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cstheme="minorEastAsia"/>
          <w:b/>
          <w:bCs/>
          <w:sz w:val="36"/>
          <w:szCs w:val="40"/>
        </w:rPr>
      </w:pPr>
      <w:r>
        <w:rPr>
          <w:rFonts w:hint="eastAsia" w:asciiTheme="minorEastAsia" w:hAnsiTheme="minorEastAsia" w:cstheme="minorEastAsia"/>
          <w:b/>
          <w:bCs/>
          <w:sz w:val="36"/>
          <w:szCs w:val="40"/>
        </w:rPr>
        <w:t>电力监控系统网络安全等级保护测评和安全防护评估项目技术规范书</w:t>
      </w:r>
    </w:p>
    <w:p>
      <w:pPr>
        <w:pStyle w:val="2"/>
        <w:numPr>
          <w:ilvl w:val="0"/>
          <w:numId w:val="2"/>
        </w:numPr>
        <w:rPr>
          <w:sz w:val="32"/>
          <w:szCs w:val="32"/>
        </w:rPr>
      </w:pPr>
      <w:r>
        <w:rPr>
          <w:rFonts w:hint="eastAsia"/>
          <w:sz w:val="32"/>
          <w:szCs w:val="32"/>
        </w:rPr>
        <w:t>项目概述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473530"/>
          <w:sz w:val="28"/>
          <w:szCs w:val="28"/>
        </w:rPr>
      </w:pPr>
      <w:r>
        <w:rPr>
          <w:rFonts w:hint="eastAsia" w:ascii="仿宋" w:hAnsi="仿宋" w:eastAsia="仿宋" w:cs="宋体"/>
          <w:color w:val="473530"/>
          <w:sz w:val="28"/>
          <w:szCs w:val="28"/>
        </w:rPr>
        <w:t>本次贯彻落实《电力行业网络安全等级保护定级指南》等有关要求，进一步规范电力监控系统网络安全等级保护管理，按要求采购电力监控系统网络安全等级保护测评和安全防护评估，</w:t>
      </w:r>
      <w:bookmarkStart w:id="1" w:name="_GoBack"/>
      <w:bookmarkEnd w:id="1"/>
      <w:r>
        <w:rPr>
          <w:rFonts w:hint="eastAsia" w:ascii="仿宋" w:hAnsi="仿宋" w:eastAsia="仿宋" w:cs="宋体"/>
          <w:color w:val="473530"/>
          <w:sz w:val="28"/>
          <w:szCs w:val="28"/>
        </w:rPr>
        <w:t>出具网络安全等级保护测评报告、电力监控系统安全访问评估报告。</w:t>
      </w:r>
    </w:p>
    <w:p>
      <w:pPr>
        <w:pStyle w:val="2"/>
        <w:numPr>
          <w:ilvl w:val="0"/>
          <w:numId w:val="2"/>
        </w:numPr>
        <w:rPr>
          <w:sz w:val="32"/>
          <w:szCs w:val="32"/>
        </w:rPr>
      </w:pPr>
      <w:r>
        <w:rPr>
          <w:rFonts w:hint="eastAsia"/>
          <w:sz w:val="32"/>
          <w:szCs w:val="32"/>
        </w:rPr>
        <w:t>服务描述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473530"/>
          <w:sz w:val="28"/>
          <w:szCs w:val="28"/>
        </w:rPr>
      </w:pPr>
      <w:r>
        <w:rPr>
          <w:rFonts w:hint="eastAsia" w:ascii="仿宋" w:hAnsi="仿宋" w:eastAsia="仿宋" w:cs="宋体"/>
          <w:color w:val="473530"/>
          <w:sz w:val="28"/>
          <w:szCs w:val="28"/>
        </w:rPr>
        <w:t>对生产运行支持系统（配电），按照国家及电力行业相关规范标准进行网络安全等级保护测评和安全防护评估，并分别出具网络安全等级保护测评报告、电力监控系统安全防护评估报告，对系统存在的技术、管理等方面安全问题进行分析，提出整改方案。具体工作内容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473530"/>
          <w:sz w:val="28"/>
          <w:szCs w:val="28"/>
        </w:rPr>
      </w:pPr>
      <w:r>
        <w:rPr>
          <w:rFonts w:hint="eastAsia" w:ascii="仿宋" w:hAnsi="仿宋" w:eastAsia="仿宋" w:cs="宋体"/>
          <w:color w:val="473530"/>
          <w:sz w:val="28"/>
          <w:szCs w:val="28"/>
        </w:rPr>
        <w:t>（1）</w:t>
      </w:r>
      <w:r>
        <w:rPr>
          <w:rFonts w:hint="eastAsia" w:ascii="仿宋" w:hAnsi="仿宋" w:eastAsia="仿宋" w:cs="宋体"/>
          <w:color w:val="473530"/>
          <w:sz w:val="28"/>
          <w:szCs w:val="28"/>
          <w:lang w:val="en-US" w:eastAsia="zh-CN"/>
        </w:rPr>
        <w:t>相关</w:t>
      </w:r>
      <w:r>
        <w:rPr>
          <w:rFonts w:hint="eastAsia" w:ascii="仿宋" w:hAnsi="仿宋" w:eastAsia="仿宋" w:cs="宋体"/>
          <w:color w:val="473530"/>
          <w:sz w:val="28"/>
          <w:szCs w:val="28"/>
        </w:rPr>
        <w:t>电力监控系统的网络安全等级保护测评工作需提交网络安全等级保护测评报告，</w:t>
      </w:r>
      <w:r>
        <w:rPr>
          <w:rFonts w:hint="eastAsia" w:ascii="仿宋" w:hAnsi="仿宋" w:eastAsia="仿宋" w:cs="宋体"/>
          <w:color w:val="473530"/>
          <w:sz w:val="28"/>
          <w:szCs w:val="28"/>
          <w:lang w:val="en-US" w:eastAsia="zh-CN"/>
        </w:rPr>
        <w:t>相关</w:t>
      </w:r>
      <w:r>
        <w:rPr>
          <w:rFonts w:hint="eastAsia" w:ascii="仿宋" w:hAnsi="仿宋" w:eastAsia="仿宋" w:cs="宋体"/>
          <w:color w:val="473530"/>
          <w:sz w:val="28"/>
          <w:szCs w:val="28"/>
        </w:rPr>
        <w:t>电力监控系统的安全防护评估工作交付物为安全防护评估报告。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cs="宋体"/>
          <w:color w:val="473530"/>
          <w:sz w:val="28"/>
          <w:szCs w:val="28"/>
        </w:rPr>
      </w:pPr>
      <w:r>
        <w:rPr>
          <w:rFonts w:hint="eastAsia" w:ascii="仿宋" w:hAnsi="仿宋" w:eastAsia="仿宋" w:cs="宋体"/>
          <w:color w:val="473530"/>
          <w:sz w:val="28"/>
          <w:szCs w:val="28"/>
        </w:rPr>
        <w:t>（2）根据网络安全等级保护相关标准，相关电力监控系统的网络安全等级保护测评应包括但不限于以下内容，并对系统存在的技术、管理等方面安全问题进行分析，提出整改方案。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473530"/>
          <w:sz w:val="28"/>
          <w:szCs w:val="28"/>
        </w:rPr>
      </w:pPr>
      <w:r>
        <w:rPr>
          <w:rFonts w:hint="eastAsia" w:ascii="仿宋" w:hAnsi="仿宋" w:eastAsia="仿宋" w:cs="宋体"/>
          <w:color w:val="473530"/>
          <w:sz w:val="28"/>
          <w:szCs w:val="28"/>
        </w:rPr>
        <w:t>（3）电力监控系统安全防护评估应依据《电力监控系统安全防护评估规范》（国能安全[2015]36号附件7）的相关要求开展，其主要内容包括：资产评估、威胁评估、脆弱性等进行分析，提出整改方案。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cs="宋体"/>
          <w:color w:val="473530"/>
          <w:sz w:val="28"/>
          <w:szCs w:val="28"/>
        </w:rPr>
      </w:pPr>
      <w:r>
        <w:rPr>
          <w:rFonts w:hint="eastAsia" w:ascii="仿宋" w:hAnsi="仿宋" w:eastAsia="仿宋" w:cs="宋体"/>
          <w:color w:val="473530"/>
          <w:sz w:val="28"/>
          <w:szCs w:val="28"/>
        </w:rPr>
        <w:t>该服务需符合以下标准规范：</w:t>
      </w:r>
    </w:p>
    <w:p>
      <w:pPr>
        <w:numPr>
          <w:ilvl w:val="0"/>
          <w:numId w:val="3"/>
        </w:numPr>
        <w:spacing w:line="360" w:lineRule="auto"/>
        <w:ind w:firstLine="147"/>
        <w:rPr>
          <w:rFonts w:hint="eastAsia" w:ascii="仿宋" w:hAnsi="仿宋" w:eastAsia="仿宋" w:cs="仿宋"/>
          <w:sz w:val="24"/>
          <w:szCs w:val="24"/>
        </w:rPr>
      </w:pPr>
      <w:bookmarkStart w:id="0" w:name="_Hlk205830611"/>
      <w:r>
        <w:rPr>
          <w:rFonts w:hint="eastAsia" w:ascii="仿宋" w:hAnsi="仿宋" w:eastAsia="仿宋" w:cs="仿宋"/>
          <w:sz w:val="24"/>
          <w:szCs w:val="24"/>
        </w:rPr>
        <w:t>《信息安全等级保护管理办法》（公通字[2007]43号）</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《GB/T 22239 信息安全技术 网络安全等级保护基本要求》</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《GB/T 22240 信息安全技术 网络安全等级保护定级指南》</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rPr>
        <w:t>GB/T 25058 信息安全技术 网络安全等级保护实施指南</w:t>
      </w:r>
      <w:r>
        <w:rPr>
          <w:rFonts w:hint="eastAsia" w:ascii="仿宋" w:hAnsi="仿宋" w:eastAsia="仿宋" w:cs="仿宋"/>
          <w:sz w:val="24"/>
          <w:szCs w:val="24"/>
        </w:rPr>
        <w:t>》</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 xml:space="preserve">《GB/T 28448 </w:t>
      </w:r>
      <w:r>
        <w:rPr>
          <w:rFonts w:hint="eastAsia" w:ascii="仿宋" w:hAnsi="仿宋" w:eastAsia="仿宋" w:cs="仿宋"/>
          <w:sz w:val="24"/>
        </w:rPr>
        <w:t xml:space="preserve">信息安全技术 </w:t>
      </w:r>
      <w:r>
        <w:rPr>
          <w:rFonts w:hint="eastAsia" w:ascii="仿宋" w:hAnsi="仿宋" w:eastAsia="仿宋" w:cs="仿宋"/>
          <w:sz w:val="24"/>
          <w:szCs w:val="24"/>
        </w:rPr>
        <w:t>网络安全等级保护测评要求》</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 xml:space="preserve">《GB/T 28449 </w:t>
      </w:r>
      <w:r>
        <w:rPr>
          <w:rFonts w:hint="eastAsia" w:ascii="仿宋" w:hAnsi="仿宋" w:eastAsia="仿宋" w:cs="仿宋"/>
          <w:sz w:val="24"/>
        </w:rPr>
        <w:t xml:space="preserve">信息安全技术 </w:t>
      </w:r>
      <w:r>
        <w:rPr>
          <w:rFonts w:hint="eastAsia" w:ascii="仿宋" w:hAnsi="仿宋" w:eastAsia="仿宋" w:cs="仿宋"/>
          <w:sz w:val="24"/>
          <w:szCs w:val="24"/>
        </w:rPr>
        <w:t>网络安全等级保护测评过程指南》</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《关于开展电力行业信息系统安全等级保护定级工作的通知》（电监信息〔2007〕34号）</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《电力行业信息系统安全等级保护基本要求》（电监信息[2012]62号）</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《电力行业网络与信息安全管理办法》（国能安全[2014]317号）</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《电力行业网络安全等级保护管理办法》（国能发安全规[2022]101号）</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szCs w:val="24"/>
        </w:rPr>
        <w:t>《电力监控系统安全防护规定》（</w:t>
      </w:r>
      <w:r>
        <w:rPr>
          <w:rFonts w:hint="eastAsia" w:ascii="仿宋" w:hAnsi="仿宋" w:eastAsia="仿宋" w:cs="仿宋"/>
          <w:sz w:val="24"/>
        </w:rPr>
        <w:t>国家发展改革委员会[2024年]第27号令</w:t>
      </w:r>
      <w:r>
        <w:rPr>
          <w:rFonts w:hint="eastAsia" w:ascii="仿宋" w:hAnsi="仿宋" w:eastAsia="仿宋" w:cs="仿宋"/>
          <w:sz w:val="24"/>
          <w:szCs w:val="24"/>
        </w:rPr>
        <w:t>）</w:t>
      </w:r>
    </w:p>
    <w:p>
      <w:pPr>
        <w:numPr>
          <w:ilvl w:val="0"/>
          <w:numId w:val="3"/>
        </w:numPr>
        <w:spacing w:line="360" w:lineRule="auto"/>
        <w:ind w:firstLine="147"/>
        <w:rPr>
          <w:rFonts w:hint="eastAsia" w:ascii="仿宋" w:hAnsi="仿宋" w:eastAsia="仿宋" w:cs="仿宋"/>
          <w:sz w:val="24"/>
        </w:rPr>
      </w:pPr>
      <w:r>
        <w:rPr>
          <w:rFonts w:hint="eastAsia" w:ascii="仿宋" w:hAnsi="仿宋" w:eastAsia="仿宋" w:cs="仿宋"/>
          <w:sz w:val="24"/>
        </w:rPr>
        <w:t>《电力监控系统安全防护总体方案》国能安全[2015]36号</w:t>
      </w:r>
    </w:p>
    <w:p>
      <w:pPr>
        <w:numPr>
          <w:ilvl w:val="0"/>
          <w:numId w:val="3"/>
        </w:numPr>
        <w:spacing w:line="360" w:lineRule="auto"/>
        <w:ind w:firstLine="147"/>
        <w:rPr>
          <w:rFonts w:hint="eastAsia" w:ascii="仿宋" w:hAnsi="仿宋" w:eastAsia="仿宋" w:cs="仿宋"/>
          <w:sz w:val="24"/>
        </w:rPr>
      </w:pPr>
      <w:r>
        <w:rPr>
          <w:rFonts w:hint="eastAsia" w:ascii="仿宋" w:hAnsi="仿宋" w:eastAsia="仿宋" w:cs="仿宋"/>
          <w:sz w:val="24"/>
        </w:rPr>
        <w:t>《省级以上调度中心监控系统安全防护方案》国能安全[2015]36号</w:t>
      </w:r>
    </w:p>
    <w:p>
      <w:pPr>
        <w:numPr>
          <w:ilvl w:val="0"/>
          <w:numId w:val="3"/>
        </w:numPr>
        <w:spacing w:line="360" w:lineRule="auto"/>
        <w:ind w:firstLine="147"/>
        <w:rPr>
          <w:rFonts w:hint="eastAsia" w:ascii="仿宋" w:hAnsi="仿宋" w:eastAsia="仿宋" w:cs="仿宋"/>
          <w:sz w:val="24"/>
        </w:rPr>
      </w:pPr>
      <w:r>
        <w:rPr>
          <w:rFonts w:hint="eastAsia" w:ascii="仿宋" w:hAnsi="仿宋" w:eastAsia="仿宋" w:cs="仿宋"/>
          <w:sz w:val="24"/>
        </w:rPr>
        <w:t>《电力监控系统安全防护评估规范》国能安全[2015]36号附件7</w:t>
      </w:r>
    </w:p>
    <w:p>
      <w:pPr>
        <w:numPr>
          <w:ilvl w:val="0"/>
          <w:numId w:val="3"/>
        </w:numPr>
        <w:spacing w:line="360" w:lineRule="auto"/>
        <w:ind w:firstLine="147"/>
        <w:rPr>
          <w:rFonts w:hint="eastAsia" w:ascii="仿宋" w:hAnsi="仿宋" w:eastAsia="仿宋" w:cs="仿宋"/>
          <w:sz w:val="24"/>
        </w:rPr>
      </w:pPr>
      <w:r>
        <w:rPr>
          <w:rFonts w:hint="eastAsia" w:ascii="仿宋" w:hAnsi="仿宋" w:eastAsia="仿宋" w:cs="仿宋"/>
          <w:sz w:val="24"/>
        </w:rPr>
        <w:t>《中国南方电网电力监控系统网络安全管理办法》</w:t>
      </w:r>
    </w:p>
    <w:p>
      <w:pPr>
        <w:numPr>
          <w:ilvl w:val="0"/>
          <w:numId w:val="3"/>
        </w:numPr>
        <w:spacing w:line="360" w:lineRule="auto"/>
        <w:ind w:firstLine="147"/>
        <w:rPr>
          <w:rFonts w:hint="eastAsia" w:ascii="仿宋" w:hAnsi="仿宋" w:eastAsia="仿宋" w:cs="仿宋"/>
          <w:sz w:val="24"/>
          <w:szCs w:val="24"/>
        </w:rPr>
      </w:pPr>
      <w:r>
        <w:rPr>
          <w:rFonts w:hint="eastAsia" w:ascii="仿宋" w:hAnsi="仿宋" w:eastAsia="仿宋" w:cs="仿宋"/>
          <w:sz w:val="24"/>
        </w:rPr>
        <w:t>《电力监控系统网络安全管理实施细则》</w:t>
      </w:r>
    </w:p>
    <w:p>
      <w:pPr>
        <w:rPr>
          <w:rFonts w:cs="宋体"/>
          <w:sz w:val="24"/>
          <w:szCs w:val="24"/>
        </w:rPr>
      </w:pPr>
      <w:r>
        <w:rPr>
          <w:rFonts w:hint="eastAsia" w:ascii="Times New Roman" w:hAnsi="Times New Roman" w:eastAsia="宋体" w:cs="宋体"/>
          <w:sz w:val="24"/>
        </w:rPr>
        <w:br w:type="page"/>
      </w:r>
    </w:p>
    <w:bookmarkEnd w:id="0"/>
    <w:p>
      <w:pPr>
        <w:pStyle w:val="2"/>
        <w:numPr>
          <w:ilvl w:val="0"/>
          <w:numId w:val="2"/>
        </w:numPr>
        <w:rPr>
          <w:sz w:val="32"/>
          <w:szCs w:val="32"/>
        </w:rPr>
      </w:pPr>
      <w:r>
        <w:rPr>
          <w:rFonts w:hint="eastAsia"/>
          <w:sz w:val="32"/>
          <w:szCs w:val="32"/>
        </w:rPr>
        <w:t>关键技术要求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473530"/>
          <w:sz w:val="28"/>
          <w:szCs w:val="28"/>
          <w:lang w:eastAsia="zh-CN"/>
        </w:rPr>
      </w:pPr>
      <w:r>
        <w:rPr>
          <w:rFonts w:hint="eastAsia" w:ascii="仿宋" w:hAnsi="仿宋" w:eastAsia="仿宋" w:cs="宋体"/>
          <w:color w:val="473530"/>
          <w:sz w:val="28"/>
          <w:szCs w:val="28"/>
        </w:rPr>
        <w:t>电力监控系统</w:t>
      </w:r>
      <w:r>
        <w:rPr>
          <w:rFonts w:hint="eastAsia" w:ascii="仿宋" w:hAnsi="仿宋" w:eastAsia="仿宋" w:cs="宋体"/>
          <w:color w:val="473530"/>
          <w:sz w:val="28"/>
          <w:szCs w:val="28"/>
          <w:lang w:val="en-US" w:eastAsia="zh-CN"/>
        </w:rPr>
        <w:t>网络安全</w:t>
      </w:r>
      <w:r>
        <w:rPr>
          <w:rFonts w:hint="eastAsia" w:ascii="仿宋" w:hAnsi="仿宋" w:eastAsia="仿宋" w:cs="宋体"/>
          <w:color w:val="473530"/>
          <w:sz w:val="28"/>
          <w:szCs w:val="28"/>
        </w:rPr>
        <w:t>等级保护</w:t>
      </w:r>
      <w:r>
        <w:rPr>
          <w:rFonts w:hint="eastAsia" w:ascii="仿宋" w:hAnsi="仿宋" w:eastAsia="仿宋" w:cs="宋体"/>
          <w:color w:val="473530"/>
          <w:sz w:val="28"/>
          <w:szCs w:val="28"/>
          <w:lang w:val="en-US" w:eastAsia="zh-CN"/>
        </w:rPr>
        <w:t>测评与</w:t>
      </w:r>
      <w:r>
        <w:rPr>
          <w:rFonts w:hint="eastAsia" w:ascii="仿宋" w:hAnsi="仿宋" w:eastAsia="仿宋" w:cs="宋体"/>
          <w:color w:val="473530"/>
          <w:sz w:val="28"/>
          <w:szCs w:val="28"/>
        </w:rPr>
        <w:t>安全防护</w:t>
      </w:r>
      <w:r>
        <w:rPr>
          <w:rFonts w:hint="eastAsia" w:ascii="仿宋" w:hAnsi="仿宋" w:eastAsia="仿宋" w:cs="宋体"/>
          <w:color w:val="473530"/>
          <w:sz w:val="28"/>
          <w:szCs w:val="28"/>
          <w:lang w:val="en-US" w:eastAsia="zh-CN"/>
        </w:rPr>
        <w:t>评估</w:t>
      </w:r>
      <w:r>
        <w:rPr>
          <w:rFonts w:hint="eastAsia" w:ascii="仿宋" w:hAnsi="仿宋" w:eastAsia="仿宋" w:cs="宋体"/>
          <w:color w:val="473530"/>
          <w:sz w:val="28"/>
          <w:szCs w:val="28"/>
        </w:rPr>
        <w:t>技术要求</w:t>
      </w:r>
      <w:r>
        <w:rPr>
          <w:rFonts w:hint="eastAsia" w:ascii="仿宋" w:hAnsi="仿宋" w:eastAsia="仿宋" w:cs="宋体"/>
          <w:color w:val="473530"/>
          <w:sz w:val="28"/>
          <w:szCs w:val="28"/>
          <w:lang w:eastAsia="zh-CN"/>
        </w:rPr>
        <w:t>：</w:t>
      </w:r>
    </w:p>
    <w:p>
      <w:pPr>
        <w:spacing w:line="202" w:lineRule="exact"/>
        <w:rPr>
          <w:rFonts w:hint="eastAsia" w:ascii="仿宋" w:hAnsi="仿宋" w:eastAsia="仿宋" w:cs="仿宋"/>
        </w:rPr>
      </w:pPr>
    </w:p>
    <w:tbl>
      <w:tblPr>
        <w:tblStyle w:val="20"/>
        <w:tblW w:w="502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3"/>
        <w:gridCol w:w="2273"/>
        <w:gridCol w:w="3115"/>
        <w:gridCol w:w="22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403" w:type="pct"/>
            <w:vAlign w:val="center"/>
          </w:tcPr>
          <w:p>
            <w:pPr>
              <w:pStyle w:val="19"/>
              <w:spacing w:before="146" w:line="221" w:lineRule="auto"/>
              <w:jc w:val="center"/>
              <w:rPr>
                <w:rFonts w:hint="eastAsia" w:ascii="仿宋" w:hAnsi="仿宋" w:eastAsia="仿宋" w:cs="仿宋"/>
                <w:b/>
                <w:bCs/>
                <w:spacing w:val="5"/>
                <w:sz w:val="24"/>
                <w:szCs w:val="24"/>
                <w:lang w:val="en-US" w:eastAsia="zh-CN"/>
              </w:rPr>
            </w:pPr>
            <w:r>
              <w:rPr>
                <w:rFonts w:hint="eastAsia" w:ascii="仿宋" w:hAnsi="仿宋" w:eastAsia="仿宋" w:cs="仿宋"/>
                <w:b/>
                <w:bCs/>
                <w:spacing w:val="5"/>
                <w:sz w:val="24"/>
                <w:szCs w:val="24"/>
                <w:lang w:val="en-US" w:eastAsia="zh-CN"/>
              </w:rPr>
              <w:t>类型</w:t>
            </w:r>
          </w:p>
        </w:tc>
        <w:tc>
          <w:tcPr>
            <w:tcW w:w="1360" w:type="pct"/>
            <w:vAlign w:val="center"/>
          </w:tcPr>
          <w:p>
            <w:pPr>
              <w:pStyle w:val="19"/>
              <w:spacing w:before="146" w:line="221" w:lineRule="auto"/>
              <w:jc w:val="center"/>
              <w:rPr>
                <w:rFonts w:hint="eastAsia" w:ascii="仿宋" w:hAnsi="仿宋" w:eastAsia="仿宋" w:cs="仿宋"/>
                <w:b/>
                <w:bCs/>
                <w:spacing w:val="5"/>
                <w:sz w:val="24"/>
                <w:szCs w:val="24"/>
                <w:lang w:val="en-US" w:eastAsia="zh-CN"/>
              </w:rPr>
            </w:pPr>
            <w:r>
              <w:rPr>
                <w:rFonts w:hint="eastAsia" w:ascii="仿宋" w:hAnsi="仿宋" w:eastAsia="仿宋" w:cs="仿宋"/>
                <w:b/>
                <w:bCs/>
                <w:spacing w:val="5"/>
                <w:sz w:val="24"/>
                <w:szCs w:val="24"/>
                <w:lang w:val="en-US" w:eastAsia="zh-CN"/>
              </w:rPr>
              <w:t>等保要求</w:t>
            </w:r>
          </w:p>
        </w:tc>
        <w:tc>
          <w:tcPr>
            <w:tcW w:w="1864" w:type="pct"/>
            <w:vAlign w:val="center"/>
          </w:tcPr>
          <w:p>
            <w:pPr>
              <w:pStyle w:val="19"/>
              <w:spacing w:before="146" w:line="221" w:lineRule="auto"/>
              <w:jc w:val="center"/>
              <w:rPr>
                <w:rFonts w:hint="eastAsia" w:ascii="仿宋" w:hAnsi="仿宋" w:eastAsia="仿宋" w:cs="仿宋"/>
                <w:b/>
                <w:bCs/>
                <w:spacing w:val="5"/>
                <w:sz w:val="24"/>
                <w:szCs w:val="24"/>
                <w:lang w:val="en-US" w:eastAsia="zh-CN"/>
              </w:rPr>
            </w:pPr>
            <w:r>
              <w:rPr>
                <w:rFonts w:hint="eastAsia" w:ascii="仿宋" w:hAnsi="仿宋" w:eastAsia="仿宋" w:cs="仿宋"/>
                <w:b/>
                <w:bCs/>
                <w:spacing w:val="5"/>
                <w:sz w:val="24"/>
                <w:szCs w:val="24"/>
                <w:lang w:val="en-US" w:eastAsia="zh-CN"/>
              </w:rPr>
              <w:t>电力监控系统安全防护要求</w:t>
            </w:r>
          </w:p>
        </w:tc>
        <w:tc>
          <w:tcPr>
            <w:tcW w:w="1371" w:type="pct"/>
            <w:vAlign w:val="center"/>
          </w:tcPr>
          <w:p>
            <w:pPr>
              <w:pStyle w:val="19"/>
              <w:spacing w:before="146" w:line="221" w:lineRule="auto"/>
              <w:jc w:val="center"/>
              <w:rPr>
                <w:rFonts w:hint="eastAsia" w:ascii="仿宋" w:hAnsi="仿宋" w:eastAsia="仿宋" w:cs="仿宋"/>
                <w:b/>
                <w:bCs/>
                <w:spacing w:val="5"/>
                <w:sz w:val="24"/>
                <w:szCs w:val="24"/>
                <w:lang w:val="en-US" w:eastAsia="zh-CN"/>
              </w:rPr>
            </w:pPr>
            <w:r>
              <w:rPr>
                <w:rFonts w:hint="eastAsia" w:ascii="仿宋" w:hAnsi="仿宋" w:eastAsia="仿宋" w:cs="仿宋"/>
                <w:b/>
                <w:bCs/>
                <w:spacing w:val="5"/>
                <w:sz w:val="24"/>
                <w:szCs w:val="24"/>
                <w:lang w:val="en-US" w:eastAsia="zh-CN"/>
              </w:rPr>
              <w:t>关键点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03" w:type="pct"/>
            <w:vAlign w:val="center"/>
          </w:tcPr>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物理</w:t>
            </w:r>
          </w:p>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安全</w:t>
            </w:r>
          </w:p>
        </w:tc>
        <w:tc>
          <w:tcPr>
            <w:tcW w:w="1360"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位置选择、访问控制、防盗防破坏、防雷击、防火、防水防潮、防静电、温湿度控制、电力供应、电磁防护</w:t>
            </w:r>
          </w:p>
        </w:tc>
        <w:tc>
          <w:tcPr>
            <w:tcW w:w="1864"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按照安全分区的原则，将不同重要程度的设备置于各安全区域内，对重要设备采取电磁屏蔽措施。其防护强度等同于等级保护要求。</w:t>
            </w:r>
          </w:p>
        </w:tc>
        <w:tc>
          <w:tcPr>
            <w:tcW w:w="1371"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按照设备、操作间进行机房物理区域划分，按安全分区摆放机柜。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00" w:hRule="atLeast"/>
        </w:trPr>
        <w:tc>
          <w:tcPr>
            <w:tcW w:w="403" w:type="pct"/>
            <w:vAlign w:val="center"/>
          </w:tcPr>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网络</w:t>
            </w:r>
          </w:p>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安全</w:t>
            </w:r>
          </w:p>
        </w:tc>
        <w:tc>
          <w:tcPr>
            <w:tcW w:w="1360"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结构安全、访问控制、安全审计、边界完整性、入侵防范、恶意代码防护、网络设备防护</w:t>
            </w:r>
          </w:p>
        </w:tc>
        <w:tc>
          <w:tcPr>
            <w:tcW w:w="1864"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电力监控系统遵循“安全分区、网络专用、横向隔离、纵向认证”的防护原则，将电力监控系统分置于生产控制大区和管理信息大区，在两个大区之间部署横向单向隔离装置，在生产控制大区专用的调度数据专用网络边界部署纵向加密认证装置，形成栅格状安全防护体系架构，其防护强度等同于等级保护要求。</w:t>
            </w:r>
          </w:p>
        </w:tc>
        <w:tc>
          <w:tcPr>
            <w:tcW w:w="1371" w:type="pct"/>
            <w:vAlign w:val="center"/>
          </w:tcPr>
          <w:p>
            <w:pPr>
              <w:pStyle w:val="19"/>
              <w:spacing w:before="146" w:line="240"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①专网专用；</w:t>
            </w:r>
          </w:p>
          <w:p>
            <w:pPr>
              <w:pStyle w:val="19"/>
              <w:spacing w:before="146" w:line="240"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②安全分区；</w:t>
            </w:r>
          </w:p>
          <w:p>
            <w:pPr>
              <w:pStyle w:val="19"/>
              <w:spacing w:before="146" w:line="240"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③横向边界部署返回1比特的新型横向隔离装置；</w:t>
            </w:r>
          </w:p>
          <w:p>
            <w:pPr>
              <w:pStyle w:val="19"/>
              <w:spacing w:before="146" w:line="240"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④纵向边界部署纵向加密认证装置，配置IP+限定端口的控制策略，对端有装置的应启用密通功能。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403" w:type="pct"/>
            <w:vAlign w:val="center"/>
          </w:tcPr>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主机安全</w:t>
            </w:r>
          </w:p>
        </w:tc>
        <w:tc>
          <w:tcPr>
            <w:tcW w:w="1360"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身份鉴别、安全标记、 访问控制、可信路径、 安全审计、剩余信息保护、入侵防范、恶意代码防范、资源控制</w:t>
            </w:r>
          </w:p>
        </w:tc>
        <w:tc>
          <w:tcPr>
            <w:tcW w:w="1864"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对原有系统按照《电力监控系统安全加固规范》进行安全加固，并通过加强运维管理保障主机及操作系统安全。</w:t>
            </w:r>
          </w:p>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新一代调度控制系统采用国产设备，国产安全操作系统提高了安全防护水平，同时满足等级保护要求。其防护强度等同于等级保护要求。</w:t>
            </w:r>
          </w:p>
        </w:tc>
        <w:tc>
          <w:tcPr>
            <w:tcW w:w="1371"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①对原有系统进行安全加固；</w:t>
            </w:r>
          </w:p>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②各个层面的口令均应杜绝7位以内弱口令；</w:t>
            </w:r>
          </w:p>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③新系统采用国产设备、国产安全操作系统、国产安全数据库。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03" w:type="pct"/>
            <w:vAlign w:val="center"/>
          </w:tcPr>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应用</w:t>
            </w:r>
          </w:p>
          <w:p>
            <w:pPr>
              <w:pStyle w:val="19"/>
              <w:spacing w:before="146" w:line="221"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安全</w:t>
            </w:r>
          </w:p>
        </w:tc>
        <w:tc>
          <w:tcPr>
            <w:tcW w:w="1360"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身份鉴别、安全标记、 访问控制、可信路径、安全审计、剩余信息保护、通信完整性、通信保密性、抗抵赖、软件容错、资源控制</w:t>
            </w:r>
          </w:p>
        </w:tc>
        <w:tc>
          <w:tcPr>
            <w:tcW w:w="1864"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原有系统在安全加固的基础上，加强访问控制措施和对内部人员的管理措施，以提升其安全防护水平。新一代系统采用基于调度数字证书及安全标签的一体化基础平台，实现安全访问控制可信可控。其防护强度等同于等级保护要求。</w:t>
            </w:r>
          </w:p>
        </w:tc>
        <w:tc>
          <w:tcPr>
            <w:tcW w:w="1371" w:type="pct"/>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①加强对原有系统及人员的日常管理；</w:t>
            </w:r>
          </w:p>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②各个层面的口令均应杜绝7位以内弱口令；</w:t>
            </w:r>
          </w:p>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③新系统采用基于调度数字证书及标签的安全认证。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trPr>
        <w:tc>
          <w:tcPr>
            <w:tcW w:w="403" w:type="pct"/>
            <w:shd w:val="clear" w:color="auto" w:fill="auto"/>
            <w:vAlign w:val="center"/>
          </w:tcPr>
          <w:p>
            <w:pPr>
              <w:pStyle w:val="19"/>
              <w:spacing w:before="146" w:line="221" w:lineRule="auto"/>
              <w:jc w:val="center"/>
              <w:rPr>
                <w:rFonts w:hint="eastAsia" w:ascii="仿宋" w:hAnsi="仿宋" w:eastAsia="仿宋" w:cs="仿宋"/>
                <w:spacing w:val="5"/>
                <w:sz w:val="24"/>
                <w:szCs w:val="24"/>
                <w:lang w:val="en-US" w:eastAsia="en-US"/>
              </w:rPr>
            </w:pPr>
            <w:r>
              <w:rPr>
                <w:rFonts w:hint="eastAsia" w:ascii="仿宋" w:hAnsi="仿宋" w:eastAsia="仿宋" w:cs="仿宋"/>
                <w:spacing w:val="5"/>
                <w:sz w:val="24"/>
                <w:szCs w:val="24"/>
                <w:lang w:val="en-US" w:eastAsia="zh-CN"/>
              </w:rPr>
              <w:t>数据安全及备份恢复</w:t>
            </w:r>
          </w:p>
        </w:tc>
        <w:tc>
          <w:tcPr>
            <w:tcW w:w="1360" w:type="pct"/>
            <w:shd w:val="clear" w:color="auto" w:fill="auto"/>
            <w:vAlign w:val="center"/>
          </w:tcPr>
          <w:p>
            <w:pPr>
              <w:pStyle w:val="19"/>
              <w:spacing w:before="146" w:line="221" w:lineRule="auto"/>
              <w:jc w:val="left"/>
              <w:rPr>
                <w:rFonts w:hint="eastAsia" w:ascii="仿宋" w:hAnsi="仿宋" w:eastAsia="仿宋" w:cs="仿宋"/>
                <w:spacing w:val="5"/>
                <w:sz w:val="24"/>
                <w:szCs w:val="24"/>
                <w:lang w:val="en-US" w:eastAsia="en-US"/>
              </w:rPr>
            </w:pPr>
            <w:r>
              <w:rPr>
                <w:rFonts w:hint="eastAsia" w:ascii="仿宋" w:hAnsi="仿宋" w:eastAsia="仿宋" w:cs="仿宋"/>
                <w:spacing w:val="5"/>
                <w:sz w:val="24"/>
                <w:szCs w:val="24"/>
                <w:lang w:val="en-US" w:eastAsia="zh-CN"/>
              </w:rPr>
              <w:t>数据完整性、数据保密性、备份和恢复</w:t>
            </w:r>
          </w:p>
        </w:tc>
        <w:tc>
          <w:tcPr>
            <w:tcW w:w="1864" w:type="pct"/>
            <w:shd w:val="clear" w:color="auto" w:fill="auto"/>
            <w:vAlign w:val="center"/>
          </w:tcPr>
          <w:p>
            <w:pPr>
              <w:pStyle w:val="19"/>
              <w:spacing w:before="146" w:line="221" w:lineRule="auto"/>
              <w:jc w:val="left"/>
              <w:rPr>
                <w:rFonts w:hint="eastAsia" w:ascii="仿宋" w:hAnsi="仿宋" w:eastAsia="仿宋" w:cs="仿宋"/>
                <w:spacing w:val="5"/>
                <w:sz w:val="24"/>
                <w:szCs w:val="24"/>
                <w:lang w:val="en-US" w:eastAsia="en-US"/>
              </w:rPr>
            </w:pPr>
            <w:r>
              <w:rPr>
                <w:rFonts w:hint="eastAsia" w:ascii="仿宋" w:hAnsi="仿宋" w:eastAsia="仿宋" w:cs="仿宋"/>
                <w:spacing w:val="5"/>
                <w:sz w:val="24"/>
                <w:szCs w:val="24"/>
                <w:lang w:val="en-US" w:eastAsia="zh-CN"/>
              </w:rPr>
              <w:t>电力监控系统从数据层面、系统层面和调度业务层面三个层面均要求实现备用，以此为基础建立备用调度体系，实现全面的电力监控系统安全备用机制，其防护强度等同于等级保护要求</w:t>
            </w:r>
          </w:p>
        </w:tc>
        <w:tc>
          <w:tcPr>
            <w:tcW w:w="1371" w:type="pct"/>
            <w:shd w:val="clear" w:color="auto" w:fill="auto"/>
            <w:vAlign w:val="center"/>
          </w:tcPr>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①实现数据级备用；</w:t>
            </w:r>
          </w:p>
          <w:p>
            <w:pPr>
              <w:pStyle w:val="19"/>
              <w:spacing w:before="146" w:line="221" w:lineRule="auto"/>
              <w:jc w:val="left"/>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②实现自动化系统及功能备用；</w:t>
            </w:r>
          </w:p>
          <w:p>
            <w:pPr>
              <w:pStyle w:val="19"/>
              <w:spacing w:before="146" w:line="221" w:lineRule="auto"/>
              <w:jc w:val="left"/>
              <w:rPr>
                <w:rFonts w:hint="eastAsia" w:ascii="仿宋" w:hAnsi="仿宋" w:eastAsia="仿宋" w:cs="仿宋"/>
                <w:spacing w:val="5"/>
                <w:sz w:val="24"/>
                <w:szCs w:val="24"/>
                <w:lang w:val="en-US" w:eastAsia="en-US"/>
              </w:rPr>
            </w:pPr>
            <w:r>
              <w:rPr>
                <w:rFonts w:hint="eastAsia" w:ascii="仿宋" w:hAnsi="仿宋" w:eastAsia="仿宋" w:cs="仿宋"/>
                <w:spacing w:val="5"/>
                <w:sz w:val="24"/>
                <w:szCs w:val="24"/>
                <w:lang w:val="en-US" w:eastAsia="zh-CN"/>
              </w:rPr>
              <w:t>③实现调度业务及人员备用。</w:t>
            </w:r>
          </w:p>
        </w:tc>
      </w:tr>
    </w:tbl>
    <w:p>
      <w:pPr>
        <w:pStyle w:val="12"/>
        <w:ind w:left="0" w:leftChars="0" w:firstLine="0" w:firstLineChars="0"/>
        <w:rPr>
          <w:rFonts w:hint="eastAsia" w:ascii="仿宋" w:hAnsi="仿宋" w:eastAsia="仿宋" w:cs="仿宋"/>
          <w:spacing w:val="-6"/>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5EF7BB"/>
    <w:multiLevelType w:val="singleLevel"/>
    <w:tmpl w:val="B35EF7BB"/>
    <w:lvl w:ilvl="0" w:tentative="0">
      <w:start w:val="1"/>
      <w:numFmt w:val="chineseCounting"/>
      <w:suff w:val="nothing"/>
      <w:lvlText w:val="%1、"/>
      <w:lvlJc w:val="left"/>
      <w:rPr>
        <w:rFonts w:hint="eastAsia"/>
      </w:rPr>
    </w:lvl>
  </w:abstractNum>
  <w:abstractNum w:abstractNumId="1">
    <w:nsid w:val="08281373"/>
    <w:multiLevelType w:val="multilevel"/>
    <w:tmpl w:val="08281373"/>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3"/>
      <w:lvlText w:val="%1.%2.%3.%4"/>
      <w:lvlJc w:val="left"/>
      <w:pPr>
        <w:tabs>
          <w:tab w:val="left" w:pos="864"/>
        </w:tabs>
        <w:ind w:left="864" w:hanging="864"/>
      </w:pPr>
    </w:lvl>
    <w:lvl w:ilvl="4" w:tentative="0">
      <w:start w:val="1"/>
      <w:numFmt w:val="decimal"/>
      <w:pStyle w:val="5"/>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2C8E742B"/>
    <w:multiLevelType w:val="multilevel"/>
    <w:tmpl w:val="2C8E742B"/>
    <w:lvl w:ilvl="0" w:tentative="0">
      <w:start w:val="1"/>
      <w:numFmt w:val="bullet"/>
      <w:lvlText w:val=""/>
      <w:lvlJc w:val="left"/>
      <w:pPr>
        <w:tabs>
          <w:tab w:val="left" w:pos="544"/>
        </w:tabs>
        <w:ind w:left="420" w:hanging="420"/>
      </w:pPr>
      <w:rPr>
        <w:rFonts w:hint="default" w:ascii="Wingdings" w:hAnsi="Wingdings"/>
      </w:rPr>
    </w:lvl>
    <w:lvl w:ilvl="1" w:tentative="0">
      <w:start w:val="1"/>
      <w:numFmt w:val="decimal"/>
      <w:lvlText w:val="%1.%2"/>
      <w:lvlJc w:val="left"/>
      <w:pPr>
        <w:tabs>
          <w:tab w:val="left" w:pos="567"/>
        </w:tabs>
        <w:ind w:left="567" w:hanging="567"/>
      </w:pPr>
      <w:rPr>
        <w:rFonts w:hint="default" w:ascii="Times New Roman" w:hAnsi="Times New Roman" w:cs="Times New Roman"/>
      </w:rPr>
    </w:lvl>
    <w:lvl w:ilvl="2" w:tentative="0">
      <w:start w:val="1"/>
      <w:numFmt w:val="decimal"/>
      <w:lvlText w:val="%1.%2.%3"/>
      <w:lvlJc w:val="left"/>
      <w:pPr>
        <w:tabs>
          <w:tab w:val="left" w:pos="709"/>
        </w:tabs>
        <w:ind w:left="709" w:hanging="709"/>
      </w:pPr>
      <w:rPr>
        <w:rFonts w:hint="default" w:ascii="Times New Roman" w:hAnsi="Times New Roman" w:cs="Times New Roman"/>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xZmUxYjA0YzE0YWVlN2I1NDVlYWFhZjJlOWRlMjUifQ=="/>
  </w:docVars>
  <w:rsids>
    <w:rsidRoot w:val="5B68096E"/>
    <w:rsid w:val="001C52A1"/>
    <w:rsid w:val="001F027F"/>
    <w:rsid w:val="002B6187"/>
    <w:rsid w:val="003A07CC"/>
    <w:rsid w:val="00624A56"/>
    <w:rsid w:val="00666CE3"/>
    <w:rsid w:val="006D266D"/>
    <w:rsid w:val="00705894"/>
    <w:rsid w:val="0072210D"/>
    <w:rsid w:val="008F6BDB"/>
    <w:rsid w:val="009C3A91"/>
    <w:rsid w:val="00AC28F0"/>
    <w:rsid w:val="00D95893"/>
    <w:rsid w:val="00E13E0D"/>
    <w:rsid w:val="00E15EB7"/>
    <w:rsid w:val="00EA26CD"/>
    <w:rsid w:val="00FF0FC7"/>
    <w:rsid w:val="01BA1191"/>
    <w:rsid w:val="03B92498"/>
    <w:rsid w:val="03EB12B8"/>
    <w:rsid w:val="04C46B88"/>
    <w:rsid w:val="05196F94"/>
    <w:rsid w:val="05AB7BBE"/>
    <w:rsid w:val="05F257ED"/>
    <w:rsid w:val="063127B9"/>
    <w:rsid w:val="07BC4DD3"/>
    <w:rsid w:val="084F33CB"/>
    <w:rsid w:val="085D1644"/>
    <w:rsid w:val="08BD778E"/>
    <w:rsid w:val="091B27E2"/>
    <w:rsid w:val="0A2543E3"/>
    <w:rsid w:val="0ACB70A7"/>
    <w:rsid w:val="0BFF07E0"/>
    <w:rsid w:val="0D4B23B2"/>
    <w:rsid w:val="0DB359A8"/>
    <w:rsid w:val="0E553AF1"/>
    <w:rsid w:val="0EF10E82"/>
    <w:rsid w:val="0F3F67AD"/>
    <w:rsid w:val="0F6E05DA"/>
    <w:rsid w:val="0FAC46E0"/>
    <w:rsid w:val="10C56B83"/>
    <w:rsid w:val="113B44EC"/>
    <w:rsid w:val="12377B80"/>
    <w:rsid w:val="129109F1"/>
    <w:rsid w:val="130C4747"/>
    <w:rsid w:val="13A24CF6"/>
    <w:rsid w:val="150F30DC"/>
    <w:rsid w:val="153F7F6E"/>
    <w:rsid w:val="165E316B"/>
    <w:rsid w:val="16970417"/>
    <w:rsid w:val="185A16FC"/>
    <w:rsid w:val="197C5567"/>
    <w:rsid w:val="19830BC5"/>
    <w:rsid w:val="1B3D2D40"/>
    <w:rsid w:val="1CA0446B"/>
    <w:rsid w:val="1CA0798D"/>
    <w:rsid w:val="1CF652AB"/>
    <w:rsid w:val="1D33076D"/>
    <w:rsid w:val="1EA355E9"/>
    <w:rsid w:val="1EDE6C3F"/>
    <w:rsid w:val="1FE42A90"/>
    <w:rsid w:val="218F68ED"/>
    <w:rsid w:val="230230BC"/>
    <w:rsid w:val="241906BD"/>
    <w:rsid w:val="241962AB"/>
    <w:rsid w:val="25264B7B"/>
    <w:rsid w:val="25FD7C5E"/>
    <w:rsid w:val="26222B51"/>
    <w:rsid w:val="26842D50"/>
    <w:rsid w:val="26864E66"/>
    <w:rsid w:val="268A7650"/>
    <w:rsid w:val="26EF1BA9"/>
    <w:rsid w:val="28616AD6"/>
    <w:rsid w:val="28EB0B4F"/>
    <w:rsid w:val="28EF5E90"/>
    <w:rsid w:val="29077F4D"/>
    <w:rsid w:val="290A5ABA"/>
    <w:rsid w:val="29286271"/>
    <w:rsid w:val="29AD6068"/>
    <w:rsid w:val="2A45052D"/>
    <w:rsid w:val="2B7D3C27"/>
    <w:rsid w:val="2D5A5311"/>
    <w:rsid w:val="2D625503"/>
    <w:rsid w:val="2DBA18AB"/>
    <w:rsid w:val="2E4A792D"/>
    <w:rsid w:val="2E51202C"/>
    <w:rsid w:val="2EDE49DD"/>
    <w:rsid w:val="2F5701F9"/>
    <w:rsid w:val="2FE813FF"/>
    <w:rsid w:val="301D4299"/>
    <w:rsid w:val="305725D7"/>
    <w:rsid w:val="30940170"/>
    <w:rsid w:val="35610116"/>
    <w:rsid w:val="358838F4"/>
    <w:rsid w:val="366F2FCA"/>
    <w:rsid w:val="38A316BD"/>
    <w:rsid w:val="39CA7CFF"/>
    <w:rsid w:val="3A4A32E3"/>
    <w:rsid w:val="3B3B31B7"/>
    <w:rsid w:val="3CB1776E"/>
    <w:rsid w:val="3CDC1B7D"/>
    <w:rsid w:val="3CDE029E"/>
    <w:rsid w:val="3CDF1CD3"/>
    <w:rsid w:val="3DD05E38"/>
    <w:rsid w:val="3DFB775E"/>
    <w:rsid w:val="3E911343"/>
    <w:rsid w:val="3E976956"/>
    <w:rsid w:val="3E9B552D"/>
    <w:rsid w:val="3F3435F6"/>
    <w:rsid w:val="3FB35F57"/>
    <w:rsid w:val="40B25CC9"/>
    <w:rsid w:val="40C9261E"/>
    <w:rsid w:val="426052B1"/>
    <w:rsid w:val="42696BD8"/>
    <w:rsid w:val="437B7B69"/>
    <w:rsid w:val="43D8711D"/>
    <w:rsid w:val="43E9058E"/>
    <w:rsid w:val="44E00565"/>
    <w:rsid w:val="44F71EFD"/>
    <w:rsid w:val="46043ECE"/>
    <w:rsid w:val="469F2428"/>
    <w:rsid w:val="48425B85"/>
    <w:rsid w:val="48A0685B"/>
    <w:rsid w:val="492A706B"/>
    <w:rsid w:val="494D658F"/>
    <w:rsid w:val="49544656"/>
    <w:rsid w:val="4A233794"/>
    <w:rsid w:val="4B6D3C9F"/>
    <w:rsid w:val="4DEA1F48"/>
    <w:rsid w:val="4E052EE2"/>
    <w:rsid w:val="4E741ED0"/>
    <w:rsid w:val="4EE5084A"/>
    <w:rsid w:val="4F041DE6"/>
    <w:rsid w:val="501F0559"/>
    <w:rsid w:val="506A1CF6"/>
    <w:rsid w:val="50781E13"/>
    <w:rsid w:val="518A61C5"/>
    <w:rsid w:val="51C427F9"/>
    <w:rsid w:val="5238328E"/>
    <w:rsid w:val="5399246B"/>
    <w:rsid w:val="53AC47FA"/>
    <w:rsid w:val="53FD0BB2"/>
    <w:rsid w:val="544B469E"/>
    <w:rsid w:val="547F5A6B"/>
    <w:rsid w:val="54C65448"/>
    <w:rsid w:val="54FC1863"/>
    <w:rsid w:val="55486DD7"/>
    <w:rsid w:val="56821842"/>
    <w:rsid w:val="56A93273"/>
    <w:rsid w:val="56F1356A"/>
    <w:rsid w:val="585B5F86"/>
    <w:rsid w:val="586456A3"/>
    <w:rsid w:val="59044790"/>
    <w:rsid w:val="599D7A79"/>
    <w:rsid w:val="5A2F1CE1"/>
    <w:rsid w:val="5A6735CA"/>
    <w:rsid w:val="5AEE394A"/>
    <w:rsid w:val="5B2568B5"/>
    <w:rsid w:val="5B547C51"/>
    <w:rsid w:val="5B68096E"/>
    <w:rsid w:val="5B827889"/>
    <w:rsid w:val="5BAA4C64"/>
    <w:rsid w:val="5BD53476"/>
    <w:rsid w:val="5BE4354C"/>
    <w:rsid w:val="5CDC298D"/>
    <w:rsid w:val="5DE52DE2"/>
    <w:rsid w:val="5EAA29FE"/>
    <w:rsid w:val="62662018"/>
    <w:rsid w:val="62C531E2"/>
    <w:rsid w:val="63061DB2"/>
    <w:rsid w:val="63E36016"/>
    <w:rsid w:val="65B6655E"/>
    <w:rsid w:val="65C94D98"/>
    <w:rsid w:val="67582877"/>
    <w:rsid w:val="679A2E90"/>
    <w:rsid w:val="682D7860"/>
    <w:rsid w:val="68B200BE"/>
    <w:rsid w:val="69431221"/>
    <w:rsid w:val="69673CF2"/>
    <w:rsid w:val="6A3C1FDC"/>
    <w:rsid w:val="6AE129B9"/>
    <w:rsid w:val="6B6C68F1"/>
    <w:rsid w:val="6C7D068A"/>
    <w:rsid w:val="6C8D4D71"/>
    <w:rsid w:val="6E021B33"/>
    <w:rsid w:val="6E8151DA"/>
    <w:rsid w:val="6F3C0F19"/>
    <w:rsid w:val="6F4F6301"/>
    <w:rsid w:val="71C72AD3"/>
    <w:rsid w:val="71DC5E53"/>
    <w:rsid w:val="72F27F0A"/>
    <w:rsid w:val="746E5488"/>
    <w:rsid w:val="74C861A0"/>
    <w:rsid w:val="7518696C"/>
    <w:rsid w:val="75F145C2"/>
    <w:rsid w:val="766F54E7"/>
    <w:rsid w:val="770245AD"/>
    <w:rsid w:val="77F42148"/>
    <w:rsid w:val="78E8687A"/>
    <w:rsid w:val="78F36363"/>
    <w:rsid w:val="797A48CF"/>
    <w:rsid w:val="7A08419A"/>
    <w:rsid w:val="7A8157E9"/>
    <w:rsid w:val="7AE00762"/>
    <w:rsid w:val="7B1F23F4"/>
    <w:rsid w:val="7B2965AD"/>
    <w:rsid w:val="7B6A2721"/>
    <w:rsid w:val="7D0E55E9"/>
    <w:rsid w:val="7D84520E"/>
    <w:rsid w:val="7DFD787D"/>
    <w:rsid w:val="7E4636BC"/>
    <w:rsid w:val="7E8B290D"/>
    <w:rsid w:val="7FA52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120" w:after="120" w:line="576" w:lineRule="auto"/>
      <w:outlineLvl w:val="0"/>
    </w:pPr>
    <w:rPr>
      <w:b/>
      <w:kern w:val="44"/>
      <w:sz w:val="44"/>
    </w:rPr>
  </w:style>
  <w:style w:type="paragraph" w:styleId="3">
    <w:name w:val="heading 4"/>
    <w:basedOn w:val="1"/>
    <w:next w:val="4"/>
    <w:qFormat/>
    <w:uiPriority w:val="0"/>
    <w:pPr>
      <w:keepNext/>
      <w:keepLines/>
      <w:numPr>
        <w:ilvl w:val="3"/>
        <w:numId w:val="1"/>
      </w:numPr>
      <w:spacing w:before="280" w:after="290" w:line="376" w:lineRule="auto"/>
      <w:outlineLvl w:val="3"/>
    </w:pPr>
    <w:rPr>
      <w:rFonts w:eastAsia="微软雅黑"/>
      <w:b/>
      <w:bCs/>
      <w:sz w:val="28"/>
      <w:szCs w:val="28"/>
    </w:rPr>
  </w:style>
  <w:style w:type="paragraph" w:styleId="5">
    <w:name w:val="heading 5"/>
    <w:basedOn w:val="1"/>
    <w:next w:val="4"/>
    <w:qFormat/>
    <w:uiPriority w:val="0"/>
    <w:pPr>
      <w:keepNext/>
      <w:keepLines/>
      <w:numPr>
        <w:ilvl w:val="4"/>
        <w:numId w:val="1"/>
      </w:numPr>
      <w:spacing w:before="280" w:after="290" w:line="376" w:lineRule="auto"/>
      <w:outlineLvl w:val="4"/>
    </w:pPr>
    <w:rPr>
      <w:rFonts w:eastAsia="微软雅黑"/>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4">
    <w:name w:val="方案正文"/>
    <w:basedOn w:val="1"/>
    <w:qFormat/>
    <w:uiPriority w:val="0"/>
    <w:pPr>
      <w:spacing w:before="156" w:line="360" w:lineRule="auto"/>
      <w:ind w:firstLine="359" w:firstLineChars="171"/>
      <w:jc w:val="left"/>
    </w:pPr>
    <w:rPr>
      <w:rFonts w:cs="宋体"/>
      <w:sz w:val="24"/>
    </w:rPr>
  </w:style>
  <w:style w:type="paragraph" w:styleId="6">
    <w:name w:val="Body Text"/>
    <w:basedOn w:val="1"/>
    <w:unhideWhenUsed/>
    <w:qFormat/>
    <w:uiPriority w:val="0"/>
    <w:pPr>
      <w:spacing w:after="120"/>
    </w:pPr>
  </w:style>
  <w:style w:type="paragraph" w:styleId="7">
    <w:name w:val="Body Text Indent"/>
    <w:basedOn w:val="1"/>
    <w:unhideWhenUsed/>
    <w:qFormat/>
    <w:uiPriority w:val="99"/>
    <w:pPr>
      <w:spacing w:line="460" w:lineRule="exact"/>
      <w:ind w:firstLine="510"/>
    </w:pPr>
    <w:rPr>
      <w:rFonts w:ascii="Calibri" w:hAnsi="Calibri"/>
      <w:sz w:val="20"/>
    </w:rPr>
  </w:style>
  <w:style w:type="paragraph" w:styleId="8">
    <w:name w:val="footer"/>
    <w:basedOn w:val="1"/>
    <w:link w:val="17"/>
    <w:qFormat/>
    <w:uiPriority w:val="0"/>
    <w:pPr>
      <w:tabs>
        <w:tab w:val="center" w:pos="4153"/>
        <w:tab w:val="right" w:pos="8306"/>
      </w:tabs>
      <w:snapToGrid w:val="0"/>
      <w:jc w:val="left"/>
    </w:pPr>
    <w:rPr>
      <w:sz w:val="18"/>
      <w:szCs w:val="18"/>
    </w:rPr>
  </w:style>
  <w:style w:type="paragraph" w:styleId="9">
    <w:name w:val="header"/>
    <w:basedOn w:val="1"/>
    <w:link w:val="16"/>
    <w:qFormat/>
    <w:uiPriority w:val="0"/>
    <w:pPr>
      <w:tabs>
        <w:tab w:val="center" w:pos="4153"/>
        <w:tab w:val="right" w:pos="8306"/>
      </w:tabs>
      <w:snapToGrid w:val="0"/>
      <w:jc w:val="center"/>
    </w:pPr>
    <w:rPr>
      <w:sz w:val="18"/>
      <w:szCs w:val="18"/>
    </w:rPr>
  </w:style>
  <w:style w:type="paragraph" w:styleId="10">
    <w:name w:val="Normal (Web)"/>
    <w:basedOn w:val="1"/>
    <w:qFormat/>
    <w:uiPriority w:val="0"/>
    <w:rPr>
      <w:sz w:val="24"/>
    </w:rPr>
  </w:style>
  <w:style w:type="paragraph" w:styleId="11">
    <w:name w:val="Title"/>
    <w:basedOn w:val="1"/>
    <w:next w:val="1"/>
    <w:qFormat/>
    <w:uiPriority w:val="10"/>
    <w:pPr>
      <w:pBdr>
        <w:bottom w:val="single" w:color="4F81BD" w:sz="8" w:space="4"/>
      </w:pBdr>
      <w:spacing w:after="300"/>
      <w:contextualSpacing/>
    </w:pPr>
    <w:rPr>
      <w:rFonts w:ascii="Cambria" w:hAnsi="Cambria"/>
      <w:color w:val="17365D"/>
      <w:spacing w:val="5"/>
      <w:kern w:val="28"/>
      <w:sz w:val="52"/>
      <w:szCs w:val="52"/>
    </w:rPr>
  </w:style>
  <w:style w:type="paragraph" w:styleId="12">
    <w:name w:val="Body Text First Indent 2"/>
    <w:basedOn w:val="7"/>
    <w:qFormat/>
    <w:uiPriority w:val="0"/>
    <w:pPr>
      <w:spacing w:line="360" w:lineRule="auto"/>
      <w:ind w:firstLine="420"/>
    </w:pPr>
    <w:rPr>
      <w:rFonts w:hAnsi="宋体"/>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页眉 字符"/>
    <w:basedOn w:val="15"/>
    <w:link w:val="9"/>
    <w:qFormat/>
    <w:uiPriority w:val="0"/>
    <w:rPr>
      <w:rFonts w:asciiTheme="minorHAnsi" w:hAnsiTheme="minorHAnsi" w:eastAsiaTheme="minorEastAsia" w:cstheme="minorBidi"/>
      <w:kern w:val="2"/>
      <w:sz w:val="18"/>
      <w:szCs w:val="18"/>
    </w:rPr>
  </w:style>
  <w:style w:type="character" w:customStyle="1" w:styleId="17">
    <w:name w:val="页脚 字符"/>
    <w:basedOn w:val="15"/>
    <w:link w:val="8"/>
    <w:qFormat/>
    <w:uiPriority w:val="0"/>
    <w:rPr>
      <w:rFonts w:asciiTheme="minorHAnsi" w:hAnsiTheme="minorHAnsi" w:eastAsiaTheme="minorEastAsia" w:cstheme="minorBidi"/>
      <w:kern w:val="2"/>
      <w:sz w:val="18"/>
      <w:szCs w:val="18"/>
    </w:rPr>
  </w:style>
  <w:style w:type="paragraph" w:styleId="18">
    <w:name w:val="List Paragraph"/>
    <w:basedOn w:val="1"/>
    <w:unhideWhenUsed/>
    <w:qFormat/>
    <w:uiPriority w:val="34"/>
    <w:pPr>
      <w:widowControl/>
      <w:ind w:left="720"/>
      <w:contextualSpacing/>
      <w:jc w:val="left"/>
    </w:pPr>
    <w:rPr>
      <w:rFonts w:ascii="Microsoft YaHei UI" w:hAnsi="Microsoft YaHei UI" w:eastAsia="Microsoft YaHei UI" w:cs="Times New Roman"/>
      <w:kern w:val="0"/>
      <w:sz w:val="22"/>
    </w:rPr>
  </w:style>
  <w:style w:type="paragraph" w:customStyle="1" w:styleId="19">
    <w:name w:val="Table Text"/>
    <w:basedOn w:val="1"/>
    <w:semiHidden/>
    <w:qFormat/>
    <w:uiPriority w:val="0"/>
    <w:rPr>
      <w:rFonts w:ascii="宋体" w:hAnsi="宋体" w:eastAsia="宋体" w:cs="宋体"/>
      <w:sz w:val="21"/>
      <w:szCs w:val="21"/>
      <w:lang w:val="en-US" w:eastAsia="en-US" w:bidi="ar-SA"/>
    </w:rPr>
  </w:style>
  <w:style w:type="table" w:customStyle="1" w:styleId="20">
    <w:name w:val="Table Normal"/>
    <w:basedOn w:val="13"/>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2712</Words>
  <Characters>2816</Characters>
  <Lines>1</Lines>
  <Paragraphs>1</Paragraphs>
  <TotalTime>20</TotalTime>
  <ScaleCrop>false</ScaleCrop>
  <LinksUpToDate>false</LinksUpToDate>
  <CharactersWithSpaces>2839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2024-04-16T06:50:00Z</dcterms:created>
  <dc:creator>吴一</dc:creator>
  <cp:lastModifiedBy>6152920A44C04D93A1A905E6796715EC</cp:lastModifiedBy>
  <dcterms:modified xsi:type="dcterms:W3CDTF">2025-08-25T07:15:56Z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A3ECE465ECA0467BBABF8DE792913F14</vt:lpwstr>
  </property>
  <property fmtid="{D5CDD505-2E9C-101B-9397-08002B2CF9AE}" pid="4" name="KSOTemplateDocerSaveRecord">
    <vt:lpwstr>eyJoZGlkIjoiYWM3ODQ4MGViZDI5Mzc4YWNmZDQyNjVmMGNhNDRlMjEiLCJ1c2VySWQiOiI0MDc0OTI5ODAifQ==</vt:lpwstr>
  </property>
</Properties>
</file>