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highlight w:val="none"/>
        </w:rPr>
      </w:pPr>
      <w:r>
        <w:rPr>
          <w:b/>
          <w:sz w:val="36"/>
          <w:highlight w:val="none"/>
        </w:rPr>
        <w:t xml:space="preserve"> </w:t>
      </w:r>
      <w:r>
        <w:rPr>
          <w:rFonts w:hint="eastAsia"/>
          <w:b/>
          <w:sz w:val="36"/>
          <w:highlight w:val="none"/>
        </w:rPr>
        <w:t>项目需求书</w:t>
      </w:r>
    </w:p>
    <w:p>
      <w:pPr>
        <w:spacing w:line="360" w:lineRule="auto"/>
        <w:outlineLvl w:val="0"/>
        <w:rPr>
          <w:b/>
          <w:bCs/>
          <w:highlight w:val="none"/>
        </w:rPr>
      </w:pPr>
      <w:r>
        <w:rPr>
          <w:rFonts w:hint="eastAsia"/>
          <w:b/>
          <w:bCs/>
          <w:highlight w:val="none"/>
        </w:rPr>
        <w:t>一、项目概述</w:t>
      </w:r>
    </w:p>
    <w:p>
      <w:pPr>
        <w:spacing w:line="360" w:lineRule="auto"/>
        <w:rPr>
          <w:highlight w:val="none"/>
        </w:rPr>
      </w:pPr>
      <w:r>
        <w:rPr>
          <w:highlight w:val="none"/>
        </w:rPr>
        <w:t>本项目采购包括：</w:t>
      </w:r>
    </w:p>
    <w:p>
      <w:pPr>
        <w:spacing w:line="360" w:lineRule="auto"/>
        <w:ind w:firstLine="420" w:firstLineChars="200"/>
        <w:rPr>
          <w:highlight w:val="none"/>
        </w:rPr>
      </w:pPr>
      <w:r>
        <w:rPr>
          <w:rFonts w:hint="eastAsia"/>
          <w:color w:val="000000" w:themeColor="text1"/>
          <w:highlight w:val="none"/>
          <w14:textFill>
            <w14:solidFill>
              <w14:schemeClr w14:val="tx1"/>
            </w14:solidFill>
          </w14:textFill>
        </w:rPr>
        <w:t>本次项目对</w:t>
      </w:r>
      <w:r>
        <w:rPr>
          <w:rFonts w:hint="eastAsia"/>
          <w:color w:val="000000" w:themeColor="text1"/>
          <w:highlight w:val="none"/>
          <w:lang w:val="en-US" w:eastAsia="zh-CN"/>
          <w14:textFill>
            <w14:solidFill>
              <w14:schemeClr w14:val="tx1"/>
            </w14:solidFill>
          </w14:textFill>
        </w:rPr>
        <w:t>南方电网综合能源股份有限公司</w:t>
      </w:r>
      <w:r>
        <w:rPr>
          <w:rFonts w:hint="eastAsia"/>
          <w:color w:val="000000" w:themeColor="text1"/>
          <w:highlight w:val="none"/>
          <w14:textFill>
            <w14:solidFill>
              <w14:schemeClr w14:val="tx1"/>
            </w14:solidFill>
          </w14:textFill>
        </w:rPr>
        <w:t>的</w:t>
      </w:r>
      <w:r>
        <w:rPr>
          <w:rFonts w:hint="eastAsia"/>
          <w:color w:val="000000" w:themeColor="text1"/>
          <w:highlight w:val="none"/>
          <w:lang w:val="en-US" w:eastAsia="zh-CN"/>
          <w14:textFill>
            <w14:solidFill>
              <w14:schemeClr w14:val="tx1"/>
            </w14:solidFill>
          </w14:textFill>
        </w:rPr>
        <w:t>南度度</w:t>
      </w:r>
      <w:r>
        <w:rPr>
          <w:rFonts w:hint="eastAsia"/>
          <w:color w:val="000000" w:themeColor="text1"/>
          <w:highlight w:val="none"/>
          <w14:textFill>
            <w14:solidFill>
              <w14:schemeClr w14:val="tx1"/>
            </w14:solidFill>
          </w14:textFill>
        </w:rPr>
        <w:t>系统开展网络安全等级保护测评，依据信息系统的安全保护等级，通过人员访谈、文档审查、实地察看、配置检查、工具检测等方法从安全技术（安全物理环境、安全通信网络、安全区域边界、安全计算环境、安全管理中心）和安全管理（安全管理制度、安全管理机构、安全管理人员、安全建设管理、安全运维管理）等方面</w:t>
      </w:r>
      <w:r>
        <w:rPr>
          <w:rFonts w:ascii="宋体" w:hAnsi="宋体" w:eastAsia="宋体" w:cs="Times New Roman"/>
          <w:color w:val="000000" w:themeColor="text1"/>
          <w:szCs w:val="22"/>
          <w:highlight w:val="none"/>
          <w14:textFill>
            <w14:solidFill>
              <w14:schemeClr w14:val="tx1"/>
            </w14:solidFill>
          </w14:textFill>
          <w14:ligatures w14:val="standardContextual"/>
        </w:rPr>
        <w:t>进行差距分析</w:t>
      </w:r>
      <w:r>
        <w:rPr>
          <w:rFonts w:hint="eastAsia"/>
          <w:color w:val="000000" w:themeColor="text1"/>
          <w:highlight w:val="none"/>
          <w14:textFill>
            <w14:solidFill>
              <w14:schemeClr w14:val="tx1"/>
            </w14:solidFill>
          </w14:textFill>
        </w:rPr>
        <w:t>，测评信息系统现有的安全保护水平与国家信息安全等级保护管理规范和技术标准要求项之间的符合情况。对信息系统进行整体、全面、公正的评估，对不符合项进行风险分析，出具《信息系统网络安全等级保护测评问题整改清单》，</w:t>
      </w:r>
      <w:r>
        <w:rPr>
          <w:rFonts w:hint="eastAsia"/>
          <w:color w:val="000000" w:themeColor="text1"/>
          <w:highlight w:val="none"/>
          <w:lang w:eastAsia="zh-CN"/>
          <w14:textFill>
            <w14:solidFill>
              <w14:schemeClr w14:val="tx1"/>
            </w14:solidFill>
          </w14:textFill>
        </w:rPr>
        <w:t>并</w:t>
      </w:r>
      <w:r>
        <w:rPr>
          <w:rFonts w:hint="eastAsia"/>
          <w:color w:val="000000" w:themeColor="text1"/>
          <w:highlight w:val="none"/>
          <w14:textFill>
            <w14:solidFill>
              <w14:schemeClr w14:val="tx1"/>
            </w14:solidFill>
          </w14:textFill>
        </w:rPr>
        <w:t>协助完成整改，达到国家规定的信息安全要求，最终完成验收测评工作，验收测评合格出具《网络安全等级保护测评报告》，并协助将</w:t>
      </w:r>
      <w:r>
        <w:rPr>
          <w:rFonts w:hint="eastAsia"/>
          <w:color w:val="000000" w:themeColor="text1"/>
          <w:highlight w:val="none"/>
          <w:lang w:eastAsia="zh-CN"/>
          <w14:textFill>
            <w14:solidFill>
              <w14:schemeClr w14:val="tx1"/>
            </w14:solidFill>
          </w14:textFill>
        </w:rPr>
        <w:t>报告</w:t>
      </w:r>
      <w:r>
        <w:rPr>
          <w:rFonts w:hint="eastAsia"/>
          <w:color w:val="000000" w:themeColor="text1"/>
          <w:highlight w:val="none"/>
          <w14:textFill>
            <w14:solidFill>
              <w14:schemeClr w14:val="tx1"/>
            </w14:solidFill>
          </w14:textFill>
        </w:rPr>
        <w:t>提交至广州市公安局，</w:t>
      </w:r>
      <w:r>
        <w:rPr>
          <w:rFonts w:hint="eastAsia"/>
          <w:color w:val="000000" w:themeColor="text1"/>
          <w:highlight w:val="none"/>
          <w:lang w:eastAsia="zh-CN"/>
          <w14:textFill>
            <w14:solidFill>
              <w14:schemeClr w14:val="tx1"/>
            </w14:solidFill>
          </w14:textFill>
        </w:rPr>
        <w:t>领取</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《网络安全等级测评</w:t>
      </w:r>
      <w:r>
        <w:rPr>
          <w:rFonts w:hint="eastAsia" w:ascii="宋体" w:hAnsi="宋体" w:eastAsia="宋体" w:cs="Times New Roman"/>
          <w:szCs w:val="22"/>
          <w:highlight w:val="none"/>
          <w14:ligatures w14:val="standardContextual"/>
        </w:rPr>
        <w:t>报告回执》</w:t>
      </w:r>
      <w:r>
        <w:rPr>
          <w:rFonts w:hint="eastAsia"/>
          <w:highlight w:val="none"/>
        </w:rPr>
        <w:t>。</w:t>
      </w:r>
    </w:p>
    <w:p>
      <w:pPr>
        <w:spacing w:line="360" w:lineRule="auto"/>
        <w:outlineLvl w:val="0"/>
        <w:rPr>
          <w:b/>
          <w:bCs/>
          <w:highlight w:val="none"/>
        </w:rPr>
      </w:pPr>
      <w:r>
        <w:rPr>
          <w:rFonts w:hint="eastAsia"/>
          <w:b/>
          <w:bCs/>
          <w:highlight w:val="none"/>
        </w:rPr>
        <w:t>二、依据及参考规范</w:t>
      </w:r>
    </w:p>
    <w:p>
      <w:pPr>
        <w:spacing w:line="360" w:lineRule="auto"/>
        <w:outlineLvl w:val="1"/>
        <w:rPr>
          <w:highlight w:val="none"/>
        </w:rPr>
      </w:pPr>
      <w:r>
        <w:rPr>
          <w:rFonts w:hint="eastAsia"/>
          <w:highlight w:val="none"/>
        </w:rPr>
        <w:t xml:space="preserve">（一）法律法规： </w:t>
      </w:r>
    </w:p>
    <w:p>
      <w:pPr>
        <w:spacing w:line="360" w:lineRule="auto"/>
        <w:outlineLvl w:val="2"/>
        <w:rPr>
          <w:highlight w:val="none"/>
        </w:rPr>
      </w:pPr>
      <w:r>
        <w:rPr>
          <w:rFonts w:hint="eastAsia"/>
          <w:highlight w:val="none"/>
        </w:rPr>
        <w:t>1、《中华人民共和国网络安全法》；</w:t>
      </w:r>
    </w:p>
    <w:p>
      <w:pPr>
        <w:spacing w:line="360" w:lineRule="auto"/>
        <w:rPr>
          <w:highlight w:val="none"/>
        </w:rPr>
      </w:pPr>
      <w:r>
        <w:rPr>
          <w:rFonts w:hint="eastAsia"/>
          <w:highlight w:val="none"/>
        </w:rPr>
        <w:t>2、《中华人民共和国计算机信息系统安全保护条例》（国务院 147 号令）；</w:t>
      </w:r>
    </w:p>
    <w:p>
      <w:pPr>
        <w:spacing w:line="360" w:lineRule="auto"/>
        <w:rPr>
          <w:highlight w:val="none"/>
        </w:rPr>
      </w:pPr>
      <w:r>
        <w:rPr>
          <w:rFonts w:hint="eastAsia"/>
          <w:highlight w:val="none"/>
        </w:rPr>
        <w:t>3、《国家信息化领导小组关于加强信息安全保障工作的意见》（中办发[2003]27号）；</w:t>
      </w:r>
    </w:p>
    <w:p>
      <w:pPr>
        <w:spacing w:line="360" w:lineRule="auto"/>
        <w:rPr>
          <w:highlight w:val="none"/>
        </w:rPr>
      </w:pPr>
      <w:r>
        <w:rPr>
          <w:rFonts w:hint="eastAsia"/>
          <w:highlight w:val="none"/>
        </w:rPr>
        <w:t>4、《中共中央办公厅国务院办公厅转发&lt;国家信息化领导小组关于加强信息处理安全保障工作的意见&gt;的通知》（中办发[2003]27 号）；</w:t>
      </w:r>
    </w:p>
    <w:p>
      <w:pPr>
        <w:spacing w:line="360" w:lineRule="auto"/>
        <w:rPr>
          <w:highlight w:val="none"/>
        </w:rPr>
      </w:pPr>
      <w:r>
        <w:rPr>
          <w:rFonts w:hint="eastAsia"/>
          <w:highlight w:val="none"/>
        </w:rPr>
        <w:t>5、《关于印发&lt;关于信息安全等级保护工作的实施意见&gt;的通知》（公通字[2004]66号文）；</w:t>
      </w:r>
    </w:p>
    <w:p>
      <w:pPr>
        <w:spacing w:line="360" w:lineRule="auto"/>
        <w:rPr>
          <w:highlight w:val="none"/>
        </w:rPr>
      </w:pPr>
      <w:r>
        <w:rPr>
          <w:rFonts w:hint="eastAsia"/>
          <w:highlight w:val="none"/>
        </w:rPr>
        <w:t>6、《关于印发&lt;信息安全等级保护管理办法&gt;的通知》（公通字[2007]43 号文）；</w:t>
      </w:r>
    </w:p>
    <w:p>
      <w:pPr>
        <w:spacing w:line="360" w:lineRule="auto"/>
        <w:rPr>
          <w:highlight w:val="none"/>
        </w:rPr>
      </w:pPr>
      <w:r>
        <w:rPr>
          <w:rFonts w:hint="eastAsia"/>
          <w:highlight w:val="none"/>
        </w:rPr>
        <w:t>7、《关于开展全国重要信息系统安全等级保护定级工作的通知》（公信安[2007]861号文）；</w:t>
      </w:r>
    </w:p>
    <w:p>
      <w:pPr>
        <w:spacing w:line="360" w:lineRule="auto"/>
        <w:outlineLvl w:val="1"/>
        <w:rPr>
          <w:highlight w:val="none"/>
        </w:rPr>
      </w:pPr>
      <w:r>
        <w:rPr>
          <w:rFonts w:hint="eastAsia"/>
          <w:highlight w:val="none"/>
        </w:rPr>
        <w:t xml:space="preserve">（二）技术标准： </w:t>
      </w:r>
    </w:p>
    <w:p>
      <w:pPr>
        <w:spacing w:line="360" w:lineRule="auto"/>
        <w:outlineLvl w:val="2"/>
        <w:rPr>
          <w:highlight w:val="none"/>
        </w:rPr>
      </w:pPr>
      <w:r>
        <w:rPr>
          <w:rFonts w:hint="eastAsia"/>
          <w:highlight w:val="none"/>
        </w:rPr>
        <w:t>1、《计算机信息系统安全保护等级划分准则》</w:t>
      </w:r>
    </w:p>
    <w:p>
      <w:pPr>
        <w:spacing w:line="360" w:lineRule="auto"/>
        <w:rPr>
          <w:highlight w:val="none"/>
        </w:rPr>
      </w:pPr>
      <w:r>
        <w:rPr>
          <w:rFonts w:hint="eastAsia"/>
          <w:highlight w:val="none"/>
        </w:rPr>
        <w:t>2、《信息安全技术 网络安全等级保护基本要求》（GB/T 22239-2019）</w:t>
      </w:r>
    </w:p>
    <w:p>
      <w:pPr>
        <w:spacing w:line="360" w:lineRule="auto"/>
        <w:rPr>
          <w:highlight w:val="none"/>
        </w:rPr>
      </w:pPr>
      <w:r>
        <w:rPr>
          <w:rFonts w:hint="eastAsia"/>
          <w:highlight w:val="none"/>
        </w:rPr>
        <w:t>3、《信息安全技术 网络安全等级保护定级指南》（GB/T 22240-2020）</w:t>
      </w:r>
    </w:p>
    <w:p>
      <w:pPr>
        <w:spacing w:line="360" w:lineRule="auto"/>
        <w:rPr>
          <w:highlight w:val="none"/>
        </w:rPr>
      </w:pPr>
      <w:r>
        <w:rPr>
          <w:rFonts w:hint="eastAsia"/>
          <w:highlight w:val="none"/>
        </w:rPr>
        <w:t>4、《信息安全技术 网络安全等级保护安全设计技术要求》（GB/T 25070-2019）</w:t>
      </w:r>
    </w:p>
    <w:p>
      <w:pPr>
        <w:spacing w:line="360" w:lineRule="auto"/>
        <w:rPr>
          <w:highlight w:val="none"/>
        </w:rPr>
      </w:pPr>
      <w:r>
        <w:rPr>
          <w:rFonts w:hint="eastAsia"/>
          <w:highlight w:val="none"/>
        </w:rPr>
        <w:t>5、《信息安全技术 网络安全等级保护实施指南》（GB/T 25058-2019）</w:t>
      </w:r>
    </w:p>
    <w:p>
      <w:pPr>
        <w:spacing w:line="360" w:lineRule="auto"/>
        <w:rPr>
          <w:highlight w:val="none"/>
        </w:rPr>
      </w:pPr>
      <w:r>
        <w:rPr>
          <w:rFonts w:hint="eastAsia"/>
          <w:highlight w:val="none"/>
        </w:rPr>
        <w:t>6、《信息安全技术 操作系统安全技术要求》（GB/T 20272-2019）</w:t>
      </w:r>
    </w:p>
    <w:p>
      <w:pPr>
        <w:spacing w:line="360" w:lineRule="auto"/>
        <w:rPr>
          <w:highlight w:val="none"/>
        </w:rPr>
      </w:pPr>
      <w:r>
        <w:rPr>
          <w:rFonts w:hint="eastAsia"/>
          <w:highlight w:val="none"/>
        </w:rPr>
        <w:t>7、《信息安全技术 数据库管理系统安全技术要求》（GB/T 20273-2019）</w:t>
      </w:r>
    </w:p>
    <w:p>
      <w:pPr>
        <w:spacing w:line="360" w:lineRule="auto"/>
        <w:outlineLvl w:val="0"/>
        <w:rPr>
          <w:b/>
          <w:bCs/>
          <w:highlight w:val="none"/>
        </w:rPr>
      </w:pPr>
      <w:r>
        <w:rPr>
          <w:rFonts w:hint="eastAsia"/>
          <w:b/>
          <w:bCs/>
          <w:highlight w:val="none"/>
        </w:rPr>
        <w:t xml:space="preserve">三、项目内容 </w:t>
      </w:r>
    </w:p>
    <w:tbl>
      <w:tblPr>
        <w:tblStyle w:val="9"/>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65"/>
        <w:gridCol w:w="1935"/>
        <w:gridCol w:w="1337"/>
        <w:gridCol w:w="1337"/>
        <w:gridCol w:w="2832"/>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5" w:type="dxa"/>
            <w:tcBorders>
              <w:top w:val="single" w:color="000000" w:sz="4" w:space="0"/>
              <w:left w:val="single" w:color="000000" w:sz="4" w:space="0"/>
              <w:bottom w:val="single" w:color="000000" w:sz="4" w:space="0"/>
              <w:right w:val="single" w:color="000000" w:sz="4" w:space="0"/>
            </w:tcBorders>
          </w:tcPr>
          <w:p>
            <w:pPr>
              <w:jc w:val="center"/>
              <w:rPr>
                <w:highlight w:val="none"/>
              </w:rPr>
            </w:pPr>
            <w:r>
              <w:rPr>
                <w:highlight w:val="none"/>
              </w:rPr>
              <w:t>序号</w:t>
            </w:r>
          </w:p>
        </w:tc>
        <w:tc>
          <w:tcPr>
            <w:tcW w:w="1935" w:type="dxa"/>
            <w:tcBorders>
              <w:top w:val="single" w:color="000000" w:sz="4" w:space="0"/>
              <w:left w:val="nil"/>
              <w:bottom w:val="single" w:color="000000" w:sz="4" w:space="0"/>
              <w:right w:val="single" w:color="000000" w:sz="4" w:space="0"/>
            </w:tcBorders>
          </w:tcPr>
          <w:p>
            <w:pPr>
              <w:jc w:val="center"/>
              <w:rPr>
                <w:highlight w:val="none"/>
              </w:rPr>
            </w:pPr>
            <w:r>
              <w:rPr>
                <w:highlight w:val="none"/>
              </w:rPr>
              <w:t>服务内容</w:t>
            </w:r>
          </w:p>
        </w:tc>
        <w:tc>
          <w:tcPr>
            <w:tcW w:w="1337" w:type="dxa"/>
            <w:tcBorders>
              <w:top w:val="single" w:color="000000" w:sz="4" w:space="0"/>
              <w:left w:val="nil"/>
              <w:bottom w:val="single" w:color="000000" w:sz="4" w:space="0"/>
              <w:right w:val="single" w:color="000000" w:sz="4" w:space="0"/>
            </w:tcBorders>
          </w:tcPr>
          <w:p>
            <w:pPr>
              <w:jc w:val="center"/>
              <w:rPr>
                <w:highlight w:val="none"/>
              </w:rPr>
            </w:pPr>
            <w:r>
              <w:rPr>
                <w:highlight w:val="none"/>
              </w:rPr>
              <w:t>单位</w:t>
            </w:r>
          </w:p>
        </w:tc>
        <w:tc>
          <w:tcPr>
            <w:tcW w:w="1337" w:type="dxa"/>
            <w:tcBorders>
              <w:top w:val="single" w:color="000000" w:sz="4" w:space="0"/>
              <w:left w:val="nil"/>
              <w:bottom w:val="single" w:color="000000" w:sz="4" w:space="0"/>
              <w:right w:val="single" w:color="000000" w:sz="4" w:space="0"/>
            </w:tcBorders>
          </w:tcPr>
          <w:p>
            <w:pPr>
              <w:jc w:val="center"/>
              <w:rPr>
                <w:highlight w:val="none"/>
              </w:rPr>
            </w:pPr>
            <w:r>
              <w:rPr>
                <w:highlight w:val="none"/>
              </w:rPr>
              <w:t>数量</w:t>
            </w:r>
          </w:p>
        </w:tc>
        <w:tc>
          <w:tcPr>
            <w:tcW w:w="2832" w:type="dxa"/>
            <w:tcBorders>
              <w:top w:val="single" w:color="000000" w:sz="4" w:space="0"/>
              <w:left w:val="nil"/>
              <w:bottom w:val="single" w:color="000000" w:sz="4" w:space="0"/>
              <w:right w:val="single" w:color="000000" w:sz="4" w:space="0"/>
            </w:tcBorders>
          </w:tcPr>
          <w:p>
            <w:pPr>
              <w:jc w:val="center"/>
              <w:rPr>
                <w:highlight w:val="none"/>
              </w:rPr>
            </w:pPr>
            <w:r>
              <w:rPr>
                <w:highlight w:val="none"/>
              </w:rPr>
              <w:t>分项最高限价（元）</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5" w:type="dxa"/>
            <w:tcBorders>
              <w:top w:val="nil"/>
              <w:left w:val="single" w:color="000000" w:sz="4" w:space="0"/>
              <w:bottom w:val="single" w:color="000000" w:sz="4" w:space="0"/>
              <w:right w:val="single" w:color="000000" w:sz="4" w:space="0"/>
            </w:tcBorders>
          </w:tcPr>
          <w:p>
            <w:pPr>
              <w:jc w:val="center"/>
              <w:rPr>
                <w:highlight w:val="none"/>
              </w:rPr>
            </w:pPr>
            <w:r>
              <w:rPr>
                <w:rFonts w:hint="eastAsia"/>
                <w:highlight w:val="none"/>
              </w:rPr>
              <w:t>1</w:t>
            </w:r>
          </w:p>
        </w:tc>
        <w:tc>
          <w:tcPr>
            <w:tcW w:w="1935" w:type="dxa"/>
            <w:tcBorders>
              <w:top w:val="nil"/>
              <w:left w:val="nil"/>
              <w:bottom w:val="single" w:color="000000" w:sz="4" w:space="0"/>
              <w:right w:val="single" w:color="000000" w:sz="4" w:space="0"/>
            </w:tcBorders>
          </w:tcPr>
          <w:p>
            <w:pPr>
              <w:jc w:val="left"/>
              <w:rPr>
                <w:highlight w:val="none"/>
              </w:rPr>
            </w:pPr>
            <w:r>
              <w:rPr>
                <w:rFonts w:hint="eastAsia"/>
                <w:highlight w:val="none"/>
                <w:lang w:val="en-US" w:eastAsia="zh-CN"/>
              </w:rPr>
              <w:t>南度度</w:t>
            </w:r>
            <w:r>
              <w:rPr>
                <w:rFonts w:hint="eastAsia"/>
                <w:highlight w:val="none"/>
              </w:rPr>
              <w:t>等级保护测评服务</w:t>
            </w:r>
          </w:p>
        </w:tc>
        <w:tc>
          <w:tcPr>
            <w:tcW w:w="1337" w:type="dxa"/>
            <w:tcBorders>
              <w:top w:val="nil"/>
              <w:left w:val="nil"/>
              <w:bottom w:val="single" w:color="000000" w:sz="4" w:space="0"/>
              <w:right w:val="single" w:color="000000" w:sz="4" w:space="0"/>
            </w:tcBorders>
          </w:tcPr>
          <w:p>
            <w:pPr>
              <w:jc w:val="center"/>
              <w:rPr>
                <w:highlight w:val="none"/>
              </w:rPr>
            </w:pPr>
            <w:r>
              <w:rPr>
                <w:highlight w:val="none"/>
              </w:rPr>
              <w:t>项</w:t>
            </w:r>
          </w:p>
        </w:tc>
        <w:tc>
          <w:tcPr>
            <w:tcW w:w="1337" w:type="dxa"/>
            <w:tcBorders>
              <w:top w:val="nil"/>
              <w:left w:val="nil"/>
              <w:bottom w:val="single" w:color="000000" w:sz="4" w:space="0"/>
              <w:right w:val="single" w:color="000000" w:sz="4" w:space="0"/>
            </w:tcBorders>
          </w:tcPr>
          <w:p>
            <w:pPr>
              <w:jc w:val="center"/>
              <w:rPr>
                <w:highlight w:val="none"/>
              </w:rPr>
            </w:pPr>
            <w:r>
              <w:rPr>
                <w:highlight w:val="none"/>
              </w:rPr>
              <w:t>1</w:t>
            </w:r>
          </w:p>
        </w:tc>
        <w:tc>
          <w:tcPr>
            <w:tcW w:w="2832" w:type="dxa"/>
            <w:tcBorders>
              <w:top w:val="nil"/>
              <w:left w:val="nil"/>
              <w:bottom w:val="single" w:color="000000" w:sz="4" w:space="0"/>
              <w:right w:val="single" w:color="000000" w:sz="4" w:space="0"/>
            </w:tcBorders>
          </w:tcPr>
          <w:p>
            <w:pPr>
              <w:jc w:val="center"/>
              <w:rPr>
                <w:rFonts w:hint="default" w:eastAsiaTheme="minorEastAsia"/>
                <w:highlight w:val="none"/>
                <w:lang w:val="en-US" w:eastAsia="zh-CN"/>
              </w:rPr>
            </w:pPr>
            <w:r>
              <w:rPr>
                <w:rFonts w:hint="eastAsia"/>
                <w:highlight w:val="none"/>
                <w:lang w:val="en-US" w:eastAsia="zh-CN"/>
              </w:rPr>
              <w:t>49000</w:t>
            </w:r>
          </w:p>
        </w:tc>
      </w:tr>
    </w:tbl>
    <w:p>
      <w:pPr>
        <w:rPr>
          <w:highlight w:val="none"/>
        </w:rPr>
      </w:pPr>
      <w:r>
        <w:rPr>
          <w:highlight w:val="none"/>
        </w:rPr>
        <w:t>★供应商须对服务内容</w:t>
      </w:r>
      <w:r>
        <w:rPr>
          <w:rFonts w:hint="eastAsia"/>
          <w:highlight w:val="none"/>
        </w:rPr>
        <w:t>进行</w:t>
      </w:r>
      <w:r>
        <w:rPr>
          <w:highlight w:val="none"/>
        </w:rPr>
        <w:t>报价，报价不得超过最高限价。</w:t>
      </w:r>
    </w:p>
    <w:p>
      <w:pPr>
        <w:rPr>
          <w:highlight w:val="none"/>
        </w:rPr>
      </w:pPr>
    </w:p>
    <w:p>
      <w:pPr>
        <w:spacing w:line="360" w:lineRule="auto"/>
        <w:outlineLvl w:val="0"/>
        <w:rPr>
          <w:rFonts w:ascii="宋体" w:hAnsi="宋体" w:eastAsia="宋体" w:cs="Times New Roman"/>
          <w:b/>
          <w:bCs/>
          <w:szCs w:val="22"/>
          <w:highlight w:val="none"/>
          <w14:ligatures w14:val="standardContextual"/>
        </w:rPr>
      </w:pPr>
      <w:bookmarkStart w:id="0" w:name="_Hlk170996640"/>
      <w:r>
        <w:rPr>
          <w:rFonts w:hint="eastAsia" w:ascii="宋体" w:hAnsi="宋体" w:eastAsia="宋体" w:cs="Times New Roman"/>
          <w:b/>
          <w:bCs/>
          <w:szCs w:val="22"/>
          <w:highlight w:val="none"/>
          <w14:ligatures w14:val="standardContextual"/>
        </w:rPr>
        <w:t>四、等级保护测评流程</w:t>
      </w:r>
      <w:r>
        <w:rPr>
          <w:rFonts w:ascii="宋体" w:hAnsi="宋体" w:eastAsia="宋体" w:cs="Times New Roman"/>
          <w:b/>
          <w:bCs/>
          <w:szCs w:val="22"/>
          <w:highlight w:val="none"/>
          <w14:ligatures w14:val="standardContextual"/>
        </w:rPr>
        <w:t xml:space="preserve"> </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为</w:t>
      </w:r>
      <w:r>
        <w:rPr>
          <w:rFonts w:hint="eastAsia" w:ascii="宋体" w:hAnsi="宋体" w:eastAsia="宋体" w:cs="Times New Roman"/>
          <w:szCs w:val="22"/>
          <w:highlight w:val="none"/>
          <w:lang w:val="en-US" w:eastAsia="zh-CN"/>
          <w14:ligatures w14:val="standardContextual"/>
        </w:rPr>
        <w:t>南方电网综合能源股份有限公司</w:t>
      </w:r>
      <w:r>
        <w:rPr>
          <w:rFonts w:hint="eastAsia" w:ascii="宋体" w:hAnsi="宋体" w:eastAsia="宋体" w:cs="Times New Roman"/>
          <w:szCs w:val="22"/>
          <w:highlight w:val="none"/>
          <w14:ligatures w14:val="standardContextual"/>
        </w:rPr>
        <w:t>完成等保测评资产收集、资料准备、项目整体协调等工作，等级保护测评流程分为协助等级保护定级备案阶段、等级保护测评差距分析阶段、等级保护安</w:t>
      </w:r>
      <w:r>
        <w:rPr>
          <w:rFonts w:hint="eastAsia" w:ascii="宋体" w:hAnsi="宋体" w:eastAsia="宋体" w:cs="Times New Roman"/>
          <w:szCs w:val="22"/>
          <w:highlight w:val="none"/>
          <w:lang w:eastAsia="zh-CN"/>
          <w14:ligatures w14:val="standardContextual"/>
        </w:rPr>
        <w:t>全</w:t>
      </w:r>
      <w:r>
        <w:rPr>
          <w:rFonts w:hint="eastAsia" w:ascii="宋体" w:hAnsi="宋体" w:eastAsia="宋体" w:cs="Times New Roman"/>
          <w:szCs w:val="22"/>
          <w:highlight w:val="none"/>
          <w14:ligatures w14:val="standardContextual"/>
        </w:rPr>
        <w:t>指导整改阶段、等级保护验收测评</w:t>
      </w:r>
      <w:r>
        <w:rPr>
          <w:rFonts w:ascii="宋体" w:hAnsi="宋体" w:eastAsia="宋体" w:cs="Times New Roman"/>
          <w:szCs w:val="22"/>
          <w:highlight w:val="none"/>
          <w14:ligatures w14:val="standardContextual"/>
        </w:rPr>
        <w:t>阶段</w:t>
      </w:r>
      <w:r>
        <w:rPr>
          <w:rFonts w:hint="eastAsia" w:ascii="宋体" w:hAnsi="宋体" w:eastAsia="宋体" w:cs="Times New Roman"/>
          <w:szCs w:val="22"/>
          <w:highlight w:val="none"/>
          <w14:ligatures w14:val="standardContextual"/>
        </w:rPr>
        <w:t>、网监部门审核阶段</w:t>
      </w:r>
      <w:r>
        <w:rPr>
          <w:rFonts w:ascii="宋体" w:hAnsi="宋体" w:eastAsia="宋体" w:cs="Times New Roman"/>
          <w:szCs w:val="22"/>
          <w:highlight w:val="none"/>
          <w14:ligatures w14:val="standardContextual"/>
        </w:rPr>
        <w:t>共</w:t>
      </w:r>
      <w:r>
        <w:rPr>
          <w:rFonts w:hint="eastAsia" w:ascii="宋体" w:hAnsi="宋体" w:eastAsia="宋体" w:cs="Times New Roman"/>
          <w:szCs w:val="22"/>
          <w:highlight w:val="none"/>
          <w14:ligatures w14:val="standardContextual"/>
        </w:rPr>
        <w:t>五</w:t>
      </w:r>
      <w:r>
        <w:rPr>
          <w:rFonts w:ascii="宋体" w:hAnsi="宋体" w:eastAsia="宋体" w:cs="Times New Roman"/>
          <w:szCs w:val="22"/>
          <w:highlight w:val="none"/>
          <w14:ligatures w14:val="standardContextual"/>
        </w:rPr>
        <w:t>个阶段。</w:t>
      </w:r>
    </w:p>
    <w:p>
      <w:pPr>
        <w:spacing w:line="360" w:lineRule="auto"/>
        <w:outlineLvl w:val="1"/>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4.1等级保护定级备案服务</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协助</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完成等级保护备案工作，包括：编制《信息系统定级备案表》、《信息系统定级报告》，组织专家评审，出具《专家评审意见表》，最终实现本次</w:t>
      </w:r>
      <w:r>
        <w:rPr>
          <w:rFonts w:hint="eastAsia" w:ascii="宋体" w:hAnsi="宋体" w:eastAsia="宋体" w:cs="Times New Roman"/>
          <w:szCs w:val="22"/>
          <w:highlight w:val="none"/>
          <w:lang w:val="en-US" w:eastAsia="zh-CN"/>
          <w14:ligatures w14:val="standardContextual"/>
        </w:rPr>
        <w:t>南度度系统</w:t>
      </w:r>
      <w:r>
        <w:rPr>
          <w:rFonts w:hint="eastAsia" w:ascii="宋体" w:hAnsi="宋体" w:eastAsia="宋体" w:cs="Times New Roman"/>
          <w:szCs w:val="22"/>
          <w:highlight w:val="none"/>
          <w14:ligatures w14:val="standardContextual"/>
        </w:rPr>
        <w:t>定级备案，取得网监部门发放的《信息系统定级回执》和《信息系统定级备案证明》。</w:t>
      </w:r>
    </w:p>
    <w:p>
      <w:pPr>
        <w:spacing w:line="360" w:lineRule="auto"/>
        <w:outlineLvl w:val="1"/>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4.2等级保护差距分析服务</w:t>
      </w:r>
    </w:p>
    <w:p>
      <w:pPr>
        <w:spacing w:line="360" w:lineRule="auto"/>
        <w:ind w:firstLine="420" w:firstLineChars="200"/>
        <w:rPr>
          <w:rFonts w:ascii="宋体" w:hAnsi="宋体" w:eastAsia="宋体" w:cs="Times New Roman"/>
          <w:b/>
          <w:bCs/>
          <w:szCs w:val="22"/>
          <w:highlight w:val="none"/>
          <w14:ligatures w14:val="standardContextual"/>
        </w:rPr>
      </w:pPr>
      <w:r>
        <w:rPr>
          <w:rFonts w:ascii="宋体" w:hAnsi="宋体" w:eastAsia="宋体" w:cs="Times New Roman"/>
          <w:szCs w:val="22"/>
          <w:highlight w:val="none"/>
          <w14:ligatures w14:val="standardContextual"/>
        </w:rPr>
        <w:t>按照等保2.0要求，从安全技术（安全物理环境、安全通信网络、安全区域边界、安全计算环境、安全管理中心）和安全管理（安全管理制度、安全管理机构、安全管理人员、安全建设管理、安全运维管理）等方面进行差距分析，</w:t>
      </w:r>
      <w:r>
        <w:rPr>
          <w:rFonts w:hint="eastAsia" w:ascii="宋体" w:hAnsi="宋体" w:eastAsia="宋体" w:cs="Times New Roman"/>
          <w:szCs w:val="22"/>
          <w:highlight w:val="none"/>
          <w14:ligatures w14:val="standardContextual"/>
        </w:rPr>
        <w:t>并</w:t>
      </w:r>
      <w:r>
        <w:rPr>
          <w:rFonts w:hint="eastAsia" w:ascii="宋体" w:hAnsi="宋体" w:eastAsia="宋体" w:cs="Times New Roman"/>
          <w:szCs w:val="22"/>
          <w:highlight w:val="none"/>
          <w:lang w:eastAsia="zh-CN"/>
          <w14:ligatures w14:val="standardContextual"/>
        </w:rPr>
        <w:t>出具</w:t>
      </w:r>
      <w:r>
        <w:rPr>
          <w:rFonts w:hint="eastAsia" w:ascii="宋体" w:hAnsi="宋体" w:eastAsia="宋体" w:cs="Times New Roman"/>
          <w:szCs w:val="22"/>
          <w:highlight w:val="none"/>
          <w14:ligatures w14:val="standardContextual"/>
        </w:rPr>
        <w:t>《网络安全等级保护测评整改问题清单》。</w:t>
      </w:r>
    </w:p>
    <w:p>
      <w:pPr>
        <w:spacing w:line="360" w:lineRule="auto"/>
        <w:outlineLvl w:val="1"/>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4.3</w:t>
      </w:r>
      <w:r>
        <w:rPr>
          <w:rFonts w:ascii="宋体" w:hAnsi="宋体" w:eastAsia="宋体" w:cs="Times New Roman"/>
          <w:b/>
          <w:bCs/>
          <w:szCs w:val="22"/>
          <w:highlight w:val="none"/>
          <w14:ligatures w14:val="standardContextual"/>
        </w:rPr>
        <w:t>等级保护指导</w:t>
      </w:r>
      <w:r>
        <w:rPr>
          <w:rFonts w:hint="eastAsia" w:ascii="宋体" w:hAnsi="宋体" w:eastAsia="宋体" w:cs="Times New Roman"/>
          <w:b/>
          <w:bCs/>
          <w:szCs w:val="22"/>
          <w:highlight w:val="none"/>
          <w14:ligatures w14:val="standardContextual"/>
        </w:rPr>
        <w:t>安全</w:t>
      </w:r>
      <w:r>
        <w:rPr>
          <w:rFonts w:ascii="宋体" w:hAnsi="宋体" w:eastAsia="宋体" w:cs="Times New Roman"/>
          <w:b/>
          <w:bCs/>
          <w:szCs w:val="22"/>
          <w:highlight w:val="none"/>
          <w14:ligatures w14:val="standardContextual"/>
        </w:rPr>
        <w:t xml:space="preserve">整改服务要求 </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根据对目标系统进行差距分析后提交的《</w:t>
      </w:r>
      <w:r>
        <w:rPr>
          <w:rFonts w:hint="eastAsia"/>
          <w:highlight w:val="none"/>
        </w:rPr>
        <w:t>网络安全等级保护测评</w:t>
      </w:r>
      <w:r>
        <w:rPr>
          <w:rFonts w:hint="eastAsia" w:ascii="宋体" w:hAnsi="宋体" w:eastAsia="宋体" w:cs="Times New Roman"/>
          <w:szCs w:val="22"/>
          <w:highlight w:val="none"/>
          <w14:ligatures w14:val="standardContextual"/>
        </w:rPr>
        <w:t>整改问题清单》，结合《</w:t>
      </w:r>
      <w:r>
        <w:rPr>
          <w:rFonts w:hint="eastAsia"/>
          <w:highlight w:val="none"/>
        </w:rPr>
        <w:t>网络安全等级保护测评</w:t>
      </w:r>
      <w:r>
        <w:rPr>
          <w:rFonts w:hint="eastAsia" w:ascii="宋体" w:hAnsi="宋体" w:eastAsia="宋体" w:cs="Times New Roman"/>
          <w:szCs w:val="22"/>
          <w:highlight w:val="none"/>
          <w14:ligatures w14:val="standardContextual"/>
        </w:rPr>
        <w:t>整改问题清单》的要求协助</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开展全面的整改协调工作，完成网络安全等级保护测评。</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指导工作包含对应用开发层面、系统网络层面设备及主机基线等各层面的高、中风险提供整改意见，协助系统开发商最终实现业务系统层面符合等级保护二级或三级要求。</w:t>
      </w:r>
    </w:p>
    <w:p>
      <w:pPr>
        <w:spacing w:line="360" w:lineRule="auto"/>
        <w:outlineLvl w:val="2"/>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4、等级保护验收测评服务</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开展验收测评，对整改和加固后的系统进行再次测评，测评通过后编写《网络安全等级测评报告》。</w:t>
      </w:r>
    </w:p>
    <w:p>
      <w:pPr>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br w:type="page"/>
      </w:r>
    </w:p>
    <w:p>
      <w:pPr>
        <w:numPr>
          <w:ilvl w:val="0"/>
          <w:numId w:val="1"/>
        </w:numPr>
        <w:spacing w:line="360" w:lineRule="auto"/>
        <w:outlineLvl w:val="2"/>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网监部门审核阶段</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协助</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提交《网络安全等级测评报告》，并取得网监部门颁发的《信息系统定级备案证》、《网络安全等级测评报告回执》。</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五、等级保护测评内容要求</w:t>
      </w:r>
      <w:r>
        <w:rPr>
          <w:rFonts w:ascii="宋体" w:hAnsi="宋体" w:eastAsia="宋体" w:cs="Times New Roman"/>
          <w:b/>
          <w:bCs/>
          <w:szCs w:val="22"/>
          <w:highlight w:val="none"/>
          <w14:ligatures w14:val="standardContextual"/>
        </w:rPr>
        <w:t xml:space="preserve"> </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根据《信息安全技术 网络安全等级保护基本要求》（GB/T 22239-2019）</w:t>
      </w:r>
      <w:r>
        <w:rPr>
          <w:rFonts w:ascii="宋体" w:hAnsi="宋体" w:eastAsia="宋体" w:cs="Times New Roman"/>
          <w:szCs w:val="22"/>
          <w:highlight w:val="none"/>
          <w14:ligatures w14:val="standardContextual"/>
        </w:rPr>
        <w:t>等标准聘请或具</w:t>
      </w:r>
      <w:r>
        <w:rPr>
          <w:rFonts w:hint="eastAsia" w:ascii="宋体" w:hAnsi="宋体" w:eastAsia="宋体" w:cs="Times New Roman"/>
          <w:szCs w:val="22"/>
          <w:highlight w:val="none"/>
          <w14:ligatures w14:val="standardContextual"/>
        </w:rPr>
        <w:t>有网络安全服务认证证书等级保护测评服务认证的机构组织开展信息系统等级保护符合性测评，衡量</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信息系统的安全保护管理措施和技术措施是否符合等级保护基本要求，是否具备相应的安全保护能力，如果不符合安全等级保护要求，则出具《</w:t>
      </w:r>
      <w:r>
        <w:rPr>
          <w:rFonts w:hint="eastAsia"/>
          <w:highlight w:val="none"/>
        </w:rPr>
        <w:t>网络安全等级保护测评</w:t>
      </w:r>
      <w:r>
        <w:rPr>
          <w:rFonts w:hint="eastAsia" w:ascii="宋体" w:hAnsi="宋体" w:eastAsia="宋体" w:cs="Times New Roman"/>
          <w:szCs w:val="22"/>
          <w:highlight w:val="none"/>
          <w14:ligatures w14:val="standardContextual"/>
        </w:rPr>
        <w:t>整改问题清单》。待完成整改后开展第二次测评工作。验收测评合格</w:t>
      </w:r>
      <w:r>
        <w:rPr>
          <w:rFonts w:hint="eastAsia" w:ascii="宋体" w:hAnsi="宋体" w:eastAsia="宋体" w:cs="Times New Roman"/>
          <w:szCs w:val="22"/>
          <w:highlight w:val="none"/>
          <w:lang w:eastAsia="zh-CN"/>
          <w14:ligatures w14:val="standardContextual"/>
        </w:rPr>
        <w:t>后</w:t>
      </w:r>
      <w:r>
        <w:rPr>
          <w:rFonts w:hint="eastAsia" w:ascii="宋体" w:hAnsi="宋体" w:eastAsia="宋体" w:cs="Times New Roman"/>
          <w:szCs w:val="22"/>
          <w:highlight w:val="none"/>
          <w14:ligatures w14:val="standardContextual"/>
        </w:rPr>
        <w:t>出具《信息系统网络安全等级测评报告》。</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依据信息系统的安全保护等级，通过人员访谈、文档查、实地察看、配置检查、工具检测等方法从安全物理环境、安全通信网络、安全区域边界、安全计算环境、安全管理中心、安全管理制度、安全管理机构、安全管理人员、安全建设管理、安全运维管理等方面，判断信息系统现有的安全保护水平与国家信息安全等级保护管理规范和技术标准要求项之间的符合情况。</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对信息系统进行整体、全面、公正的评估，对不符合项进行风险分析，组织专家评审，编写安全等级保护测评报告，最终完成验收测评工作，达到国家规定的信息安全要求，并完成向广州市公安局提交测评备案工作。</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本次测评工作具体分为安全技术测评和安全管理测评两大类。安全技术测评包括：安全物理环境、安全通信网络、安全区域边界、安全计算环境、安全管理中心等五个层面上的安全控制测评；安全管理测评包括：安全管理制度、安全管理机构、安全管理人员、安全建设管理、安全运维管理等五个方面的安全控制测评。详细内容包括：</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（1）安全物理环境</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物理安全测评评测信息系统的物理安全保障情况。主要涉及对象为机房。在内容上，物理安全层面测评实施过程应涉及10个工作单元，具体工作单元包括：物理位置的选择、物理访问控制、防盗窃和防破坏、防雷击、防火、防水和防潮、防静电、温湿度控制、电力供应、电磁防护。</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（2）安全通信网络</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通信网络安全测评通过访谈、检查和测试的方式评测信息系统的通信网络安全保障情况。主要涉及对象为机房的核心节点网络设备、主机设备以及网络拓扑结构等三大类对象。在内容上通信网络安全层面测评过程涉及网络架构、通信传输、可信验证3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（3）安全区域边界</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网络边界安全测评通过访谈、检查和测试的方式评测信息系统的网络边界防护保障情况。主要涉及对象为网络结构、网络边界设备、网络安全设备，安全层面测评实施过程涉及边界防护、访问控制、入侵防范、恶意代码和垃圾邮件防范、安全审计、可信验证6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（4）安全计算环境</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应用安全测评通过访谈、检查和测试的方式评测信息系统的应用安全保障情况。在内容上，安全计算环境层面测评实施过程涉及身份鉴别、访问控制、安全审计、入侵防范、恶意代码防范、可信验证、数据完整性、数据保密性、数据备份恢复、剩余信息保护、个人信息保护11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（5）安全管理中心</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安全管理中心测评通过访谈和检查的方式评测信息系统的数据安全保障情况。本次测评重点检查业务信息系统的在集中管控方面的措施和保障。在内容上，安全管理中心层面测评实施过程涉及系统管理、审计管理、安全管理和集中管控4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（6）安全管理制度</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安全管理制度测评通过访谈和检查的形式评测安全管理制度的制定、发布、评审和修订等情况。主要涉及安全主管人员、安全管理人员、各类其它人员、各类管理制度、各类操作规程文件等对象。在内容上，安全管理制度测评实施过程涉及安全策略、管理制度、制定与发布、评审和修订4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（7）安全管理机构</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安全管理机构测评通过访谈和检查的形式评测安全管理机构的组成情况和机构工作组织情况。主要涉及安全主管人员、安全管理人员、相关的文件资料和工作记录等对象。在内容上，安全管理机构测评实施过程涉及岗位设置、人员配备、授权和审批、沟通与合作和审核与检查5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（8）安全人员管理</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人员安全管理测评通过访谈和检查的形式评测机构人员安全控制方面的情况。主要涉及安全主管人员、人事管理人员、相关管理制度、相关工作记录等对象。在内容上，人员安全管理测评实施过程涉及人员录用、人员离岗、安全意识教育和培训、外部人员访问管理5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（9）安全建设管理</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系统建设管理测评通过访谈和检查的形式评测系统建设管理过程中的安全控制情况。主要涉及安全主管人员、系统建设负责人、各类管理制度、操作规程文件、执行过程记录等对象。在内容上，系统建设管理测评实施过程涉及系统定级和备案、安全方案设计、产品采购和使用、自行软件开发、外包软件开发、工程实施、测试验收、系统交付、服务商选择9个工作单元的测评。</w:t>
      </w:r>
    </w:p>
    <w:p>
      <w:pPr>
        <w:spacing w:line="360" w:lineRule="auto"/>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（10）安全运维管理</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系统运维管理测评通过访谈和检查的形式评测系统运维管理过程中的安全控制情况。主要涉及安全主管人员、安全管理人员、各类运维人员、各类管理制度、操作规程文件、执行过程记录等对象。在内容上，系统运维管理测评实施过程涉及环境管理、资产管理、介质管理、设备管理、漏洞和风险管理、网络和系统安全管理、恶意代码防护管理、密码管理、变更管理、备份和恢复管理、安全事件处置、应急预案管理、外部运维管理等13个工作单元的测评。</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六、漏洞扫描要求</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需对网络、主机、系统、中间件、应用等进行漏洞扫描，形成专业的漏洞扫描报告，并对漏洞进行归类，提出修复建议。</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七、渗透测试要求</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利用主流的攻击技术和工具对目标网络、业务系统、数据库进行模拟黑客攻击测试，并将发现的安全漏洞进行整理分析，针对每一个安全漏洞提供相应的解决建议。确保安全防护措施下的网络、信息系统抵抗入侵者攻击的能力。</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八、服务工具要求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该服务工具产品（软、硬件及备件）需由投标方自行配备，不包含在本项目采购范围内。成交供应商必须保证所使用的所有工具和软件不会产生所有权和知识产权纠纷，并保证工具和软件的可用性和可靠性。由此产生的一切责任由成交供应商负完全责任。投标时提供设备原厂授权书并加盖</w:t>
      </w:r>
      <w:r>
        <w:rPr>
          <w:rFonts w:hint="eastAsia" w:ascii="宋体" w:hAnsi="宋体" w:eastAsia="宋体" w:cs="Times New Roman"/>
          <w:szCs w:val="22"/>
          <w:highlight w:val="none"/>
          <w:lang w:eastAsia="zh-CN"/>
          <w14:ligatures w14:val="standardContextual"/>
        </w:rPr>
        <w:t>原厂</w:t>
      </w:r>
      <w:r>
        <w:rPr>
          <w:rFonts w:hint="eastAsia" w:ascii="宋体" w:hAnsi="宋体" w:eastAsia="宋体" w:cs="Times New Roman"/>
          <w:szCs w:val="22"/>
          <w:highlight w:val="none"/>
          <w14:ligatures w14:val="standardContextual"/>
        </w:rPr>
        <w:t>公章，参数要求如下：</w:t>
      </w:r>
    </w:p>
    <w:p>
      <w:pPr>
        <w:numPr>
          <w:ilvl w:val="255"/>
          <w:numId w:val="0"/>
        </w:numPr>
        <w:spacing w:line="360" w:lineRule="auto"/>
        <w:ind w:firstLine="0" w:firstLineChars="0"/>
        <w:outlineLvl w:val="1"/>
        <w:rPr>
          <w:rFonts w:ascii="宋体" w:hAnsi="宋体" w:eastAsia="宋体" w:cs="Times New Roman"/>
          <w:b/>
          <w:bCs/>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b/>
          <w:bCs/>
          <w:color w:val="000000" w:themeColor="text1"/>
          <w:szCs w:val="22"/>
          <w:highlight w:val="none"/>
          <w14:textFill>
            <w14:solidFill>
              <w14:schemeClr w14:val="tx1"/>
            </w14:solidFill>
          </w14:textFill>
          <w14:ligatures w14:val="standardContextual"/>
        </w:rPr>
        <w:t>1、远程安全扫描系统</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（1）</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.系统漏洞库数应大于</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40</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0000条，所有漏洞支持通过多种维度对漏洞进行检索，包括：CVE、Bugtraq ID、CNCVE、CNVD 、CNNVD、MS ID 编号、危险等级、漏洞名称、是否使用危险插件、漏洞发布时间、CVSS、影响服务、影响组件、威胁类型、POC维度等信息</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（2）.</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系统应集成系统扫描、应用扫描、</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被动扫描、</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数据库扫描、口令猜解、基线核查、镜像扫描、移动扫描检测于一体</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（3）</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.系统应支持syslog、邮件、页面告警、短信告警、kafk告警、webhook告警，包括飞书bot等告警方式</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（4）</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 系统应支持扫描结果报表对漏洞数据聚合，同一个组件有多个漏洞对应不同的修复版本时，可以在报表中展示“建议升级的最小安全版本”，无须挨个漏洞查看。在单主机报表的安装软件信息里面查看</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（5）.系统应</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支持针对指定IP段，同时一键下发系统扫描、WEB扫描、弱口令扫描任务，其中WEB扫描能够自动发现该网段内的在线网站并开展扫描；弱口令扫描能自动发现该网段IP开放服务并自动开展弱口令扫描。</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（6）</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.系统应支持非关系型数据库包括：Redis、Mongodb、Memcache、Cassandra、CouchDB、ElasticSearch等。</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（7）</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.系统应支持国产数据库包括：华为GaussDB、达梦、人大金仓、南大通用、神通大型、SinoDB(星瑞格)等</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（8）</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.系统应支持获取策略列表，对策略做冗余、冲突、过大授权检测。支持包括华为防火墙、绿盟防火墙、绿盟IPS、上元防火墙、天融信防火墙等</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（9）</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.系统应支持离线采集：支持通过离线检查插件本地检查，提供了专用的windows配置检查插件，可以检查windows系统的配置信息。</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（10）</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.系统应支持Android、IOS</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鸿蒙</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移动应用静态扫描；支持获取APP相关信息：包括应用名称、版本信息、文件大小、文件md5、第三方sdk数量等</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（11）</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.支持横向爆破，依据检测成功的弱口令动态调整检测字典库，对用户场景目标自动化开展横向撞库检测</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p>
    <w:p>
      <w:pPr>
        <w:rPr>
          <w:rFonts w:hint="eastAsia" w:ascii="宋体" w:hAnsi="宋体" w:eastAsia="宋体" w:cs="Times New Roman"/>
          <w:color w:val="000000" w:themeColor="text1"/>
          <w:szCs w:val="22"/>
          <w:highlight w:val="none"/>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br w:type="page"/>
      </w:r>
    </w:p>
    <w:p>
      <w:pPr>
        <w:shd w:val="clear"/>
        <w:spacing w:line="360" w:lineRule="auto"/>
        <w:ind w:left="0" w:leftChars="0" w:firstLine="0" w:firstLineChars="0"/>
        <w:outlineLvl w:val="1"/>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2、管理系统</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1</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合规成果大屏展示功能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合规总体态势(合规系统数量、分数走势与排名、遗留问题、合规工作进度、临期监测、整改跟踪、合规动态等)。本单位合规管理动作统计(钓鱼演练、漏洞管理、弱口令扫描、教育培训、合规检测、漏洞修复、组织架构、规章制度、合规自查等)。支持自定义大屏显示内容，并且能够对主菜单自定义显示名称与调整位置，以支持不同汇报或迎检场景的需求（提供带有国家认可的检验检测机构出具的带CMA标识或CNAS标识的检测报告复印件，原件备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2</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合规成果多层次呈现功能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支持等级保护、商用密码应用安全性评估、数据安全和供应链安全等合规领域的应用场景进行集中展示可视化呈现单位合规管理工作成果并针对相关安全问题进行风险闭环追踪，包含安全问题、风险等级问题来源、关联系统、发现日期、整改建议、整改状态、整改记录（提供带有国家认可的检验检测机构出具的带CMA标识或CNAS标识的检测报告复印件，原件备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3</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等保过程详细管理功能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支持等级保护工作相关信息与资料的集中管理与展示。包括定级备案信息、3-5年历史测评对比分析测评遗留问题分析、测评结论信息、测评报告关键页系统与设备相关信息等，并以图形、图表方式直观地进行展示（提供带有国家认可的检验检测机构出具的带CMA标识或CNAS标识的检测报告复印件，原件备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4</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制度图谱功能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多层级文档库构建，并直观展示文档父子关系，批量调用与临期文档预警，提升制度补充效率及迎检材料整理速度（提供带有国家认可的检验检测机构出具的带CMA标识或CNAS标识的检测报告复印件，原件备查）。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5</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文档标签库功能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提升文档的利用效率，系统需支持文档打标签功能，通过对单位的相关制度文档及迎检佐证材料进行打标签管理，支持自定义标签集、标签集说明，至少应支持二级标签管理，方便后续迎检过程能够在文档库中选择常见的关键词进行快速检索并直接引用相关文档做为佐证材料。</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6</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应答选项配置功能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支持在新建检查任务时，对检查指标和应答要求进行灵活配置，包括可以支持检查指标的上传和至少4类应答方式的配置。能够快捷引用已经通过工具下发检查的安全指标与下发范围（提供带有国家认可的检验检测机构出具的带CMA标识或CNAS标识的检测报告复印件，原件备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7</w:t>
      </w:r>
      <w:r>
        <w:rPr>
          <w:rFonts w:hint="eastAsia" w:ascii="宋体" w:hAnsi="宋体" w:eastAsia="宋体" w:cs="Times New Roman"/>
          <w:color w:val="000000" w:themeColor="text1"/>
          <w:szCs w:val="22"/>
          <w:highlight w:val="none"/>
          <w:lang w:eastAsia="zh-CN"/>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w:t>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告警事件多级审核功能</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begin"/>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instrText xml:space="preserve"> HYPERLINK \l "_多级部门管理" </w:instrTex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separate"/>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t>（需提供相关截图证明并加盖原厂公章）</w:t>
      </w:r>
      <w:r>
        <w:rPr>
          <w:rFonts w:hint="eastAsia" w:ascii="宋体" w:hAnsi="宋体" w:eastAsia="宋体" w:cs="Times New Roman"/>
          <w:color w:val="000000" w:themeColor="text1"/>
          <w:szCs w:val="22"/>
          <w:highlight w:val="none"/>
          <w14:textFill>
            <w14:solidFill>
              <w14:schemeClr w14:val="tx1"/>
            </w14:solidFill>
          </w14:textFill>
          <w14:ligatures w14:val="standardContextual"/>
        </w:rPr>
        <w:fldChar w:fldCharType="end"/>
      </w: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pPr>
      <w:r>
        <w:rPr>
          <w:rFonts w:hint="eastAsia" w:ascii="宋体" w:hAnsi="宋体" w:eastAsia="宋体" w:cs="Times New Roman"/>
          <w:color w:val="000000" w:themeColor="text1"/>
          <w:szCs w:val="22"/>
          <w:highlight w:val="none"/>
          <w:lang w:val="en-US" w:eastAsia="zh-CN"/>
          <w14:textFill>
            <w14:solidFill>
              <w14:schemeClr w14:val="tx1"/>
            </w14:solidFill>
          </w14:textFill>
          <w14:ligatures w14:val="standardContextual"/>
        </w:rPr>
        <w:t>支持多级审核(如一线分析员初步定性、二线专家复审)，支持将多个类似事件进行合并，合并过程需能够保留相关事件的已完成任务;支持将告警追加入已提报的事件，将告警与事件进行关联;支持对事件进行升级或变更，可将事件升级或变更为其它运营脚本任务流程（提供带有国家认可的检验检测机构出具的带CMA标识或CNAS标识的检测报告复印件，原件备查）。</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九、</w:t>
      </w:r>
      <w:r>
        <w:rPr>
          <w:rFonts w:ascii="宋体" w:hAnsi="宋体" w:eastAsia="宋体" w:cs="Times New Roman"/>
          <w:b/>
          <w:bCs/>
          <w:szCs w:val="22"/>
          <w:highlight w:val="none"/>
          <w14:ligatures w14:val="standardContextual"/>
        </w:rPr>
        <w:t xml:space="preserve">交付报告要求 </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服务中产生的全部档案资料版权归</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所有，未经</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允许的情况下，不得以任何形式向第三方提供安全技术文档的全部或部分内容，交付文件包括但不限于如下成果和报告：</w:t>
      </w:r>
    </w:p>
    <w:p>
      <w:pPr>
        <w:spacing w:line="360" w:lineRule="auto"/>
        <w:ind w:firstLine="420" w:firstLineChars="200"/>
        <w:rPr>
          <w:rFonts w:ascii="宋体" w:hAnsi="宋体" w:eastAsia="宋体" w:cs="Times New Roman"/>
          <w:szCs w:val="22"/>
          <w:highlight w:val="none"/>
          <w14:ligatures w14:val="standardContextual"/>
        </w:rPr>
      </w:pPr>
      <w:r>
        <w:rPr>
          <w:rFonts w:ascii="宋体" w:hAnsi="宋体" w:eastAsia="宋体" w:cs="Times New Roman"/>
          <w:szCs w:val="22"/>
          <w:highlight w:val="none"/>
          <w14:ligatures w14:val="standardContextual"/>
        </w:rPr>
        <w:t>1、等级保护测评实施计划</w:t>
      </w:r>
      <w:r>
        <w:rPr>
          <w:rFonts w:hint="eastAsia" w:ascii="宋体" w:hAnsi="宋体" w:eastAsia="宋体" w:cs="Times New Roman"/>
          <w:szCs w:val="22"/>
          <w:highlight w:val="none"/>
          <w14:ligatures w14:val="standardContextual"/>
        </w:rPr>
        <w:t>方案</w:t>
      </w:r>
    </w:p>
    <w:p>
      <w:pPr>
        <w:spacing w:line="360" w:lineRule="auto"/>
        <w:ind w:firstLine="420" w:firstLineChars="200"/>
        <w:rPr>
          <w:rFonts w:ascii="宋体" w:hAnsi="宋体" w:eastAsia="宋体" w:cs="Times New Roman"/>
          <w:szCs w:val="22"/>
          <w:highlight w:val="none"/>
          <w14:ligatures w14:val="standardContextual"/>
        </w:rPr>
      </w:pPr>
      <w:r>
        <w:rPr>
          <w:rFonts w:ascii="宋体" w:hAnsi="宋体" w:eastAsia="宋体" w:cs="Times New Roman"/>
          <w:szCs w:val="22"/>
          <w:highlight w:val="none"/>
          <w14:ligatures w14:val="standardContextual"/>
        </w:rPr>
        <w:t>2、信息系统定级备案表、信息系统定级报告、专家评审意见表</w:t>
      </w:r>
      <w:r>
        <w:rPr>
          <w:rFonts w:hint="eastAsia" w:ascii="宋体" w:hAnsi="宋体" w:eastAsia="宋体" w:cs="Times New Roman"/>
          <w:szCs w:val="22"/>
          <w:highlight w:val="none"/>
          <w14:ligatures w14:val="standardContextual"/>
        </w:rPr>
        <w:t>等</w:t>
      </w:r>
    </w:p>
    <w:p>
      <w:pPr>
        <w:spacing w:line="360" w:lineRule="auto"/>
        <w:ind w:firstLine="420" w:firstLineChars="200"/>
        <w:rPr>
          <w:rFonts w:ascii="宋体" w:hAnsi="宋体" w:eastAsia="宋体" w:cs="Times New Roman"/>
          <w:szCs w:val="22"/>
          <w:highlight w:val="none"/>
          <w14:ligatures w14:val="standardContextual"/>
        </w:rPr>
      </w:pPr>
      <w:r>
        <w:rPr>
          <w:rFonts w:ascii="宋体" w:hAnsi="宋体" w:eastAsia="宋体" w:cs="Times New Roman"/>
          <w:szCs w:val="22"/>
          <w:highlight w:val="none"/>
          <w14:ligatures w14:val="standardContextual"/>
        </w:rPr>
        <w:t>3、</w:t>
      </w:r>
      <w:r>
        <w:rPr>
          <w:rFonts w:hint="eastAsia"/>
          <w:highlight w:val="none"/>
        </w:rPr>
        <w:t>网络安全等级保护测评</w:t>
      </w:r>
      <w:r>
        <w:rPr>
          <w:rFonts w:ascii="宋体" w:hAnsi="宋体" w:eastAsia="宋体" w:cs="Times New Roman"/>
          <w:szCs w:val="22"/>
          <w:highlight w:val="none"/>
          <w14:ligatures w14:val="standardContextual"/>
        </w:rPr>
        <w:t>整改问题清单</w:t>
      </w:r>
    </w:p>
    <w:p>
      <w:pPr>
        <w:spacing w:line="360" w:lineRule="auto"/>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 xml:space="preserve">    4、《网络安全等级测评报告》、《信息系统定级备案证》、《网络安全等级测评报告回执》</w:t>
      </w:r>
    </w:p>
    <w:p>
      <w:pPr>
        <w:spacing w:line="360" w:lineRule="auto"/>
        <w:ind w:firstLine="420" w:firstLineChars="200"/>
        <w:outlineLvl w:val="1"/>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5</w:t>
      </w:r>
      <w:r>
        <w:rPr>
          <w:rFonts w:ascii="宋体" w:hAnsi="宋体" w:eastAsia="宋体" w:cs="Times New Roman"/>
          <w:szCs w:val="22"/>
          <w:highlight w:val="none"/>
          <w14:ligatures w14:val="standardContextual"/>
        </w:rPr>
        <w:t>、其他</w:t>
      </w:r>
      <w:r>
        <w:rPr>
          <w:rFonts w:hint="eastAsia" w:ascii="宋体" w:hAnsi="宋体" w:eastAsia="宋体" w:cs="Times New Roman"/>
          <w:szCs w:val="22"/>
          <w:highlight w:val="none"/>
          <w:lang w:eastAsia="zh-CN"/>
          <w14:ligatures w14:val="standardContextual"/>
        </w:rPr>
        <w:t>南方电网综合能源股份有限公司</w:t>
      </w:r>
      <w:r>
        <w:rPr>
          <w:rFonts w:ascii="宋体" w:hAnsi="宋体" w:eastAsia="宋体" w:cs="Times New Roman"/>
          <w:szCs w:val="22"/>
          <w:highlight w:val="none"/>
          <w14:ligatures w14:val="standardContextual"/>
        </w:rPr>
        <w:t>认为有必要的交付物</w:t>
      </w:r>
      <w:r>
        <w:rPr>
          <w:rFonts w:hint="eastAsia" w:ascii="宋体" w:hAnsi="宋体" w:eastAsia="宋体" w:cs="Times New Roman"/>
          <w:szCs w:val="22"/>
          <w:highlight w:val="none"/>
          <w14:ligatures w14:val="standardContextual"/>
        </w:rPr>
        <w:t>。</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十、安全保密要求</w:t>
      </w:r>
      <w:r>
        <w:rPr>
          <w:rFonts w:ascii="宋体" w:hAnsi="宋体" w:eastAsia="宋体" w:cs="Times New Roman"/>
          <w:b/>
          <w:bCs/>
          <w:szCs w:val="22"/>
          <w:highlight w:val="none"/>
          <w14:ligatures w14:val="standardContextual"/>
        </w:rPr>
        <w:t xml:space="preserve"> </w:t>
      </w:r>
    </w:p>
    <w:p>
      <w:pPr>
        <w:spacing w:line="360" w:lineRule="auto"/>
        <w:ind w:firstLine="420" w:firstLineChars="200"/>
        <w:rPr>
          <w:rFonts w:ascii="宋体" w:hAnsi="宋体" w:eastAsia="宋体" w:cs="Times New Roman"/>
          <w:szCs w:val="22"/>
          <w:highlight w:val="none"/>
          <w14:ligatures w14:val="standardContextual"/>
        </w:rPr>
      </w:pPr>
      <w:r>
        <w:rPr>
          <w:rFonts w:hint="eastAsia" w:ascii="宋体" w:hAnsi="宋体" w:eastAsia="宋体" w:cs="Times New Roman"/>
          <w:szCs w:val="22"/>
          <w:highlight w:val="none"/>
          <w14:ligatures w14:val="standardContextual"/>
        </w:rPr>
        <w:t>中标人应当提供与</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的保密协议草拟本，并在中标后与</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签署保密协议，对于安全服务所获取的相关信息进行严格保密，未经授权不得泄露给任何单位和个人，不得利用此数据、信息进行任何侵</w:t>
      </w:r>
      <w:r>
        <w:rPr>
          <w:rFonts w:hint="eastAsia" w:ascii="宋体" w:hAnsi="宋体" w:eastAsia="宋体" w:cs="Times New Roman"/>
          <w:szCs w:val="22"/>
          <w:highlight w:val="none"/>
          <w14:ligatures w14:val="standardContextual"/>
        </w:rPr>
        <w:t>害</w:t>
      </w:r>
      <w:r>
        <w:rPr>
          <w:rFonts w:hint="eastAsia" w:ascii="宋体" w:hAnsi="宋体" w:eastAsia="宋体" w:cs="Times New Roman"/>
          <w:szCs w:val="22"/>
          <w:highlight w:val="none"/>
          <w:lang w:eastAsia="zh-CN"/>
          <w14:ligatures w14:val="standardContextual"/>
        </w:rPr>
        <w:t>南方电网综合能源股份有限公司</w:t>
      </w:r>
      <w:r>
        <w:rPr>
          <w:rFonts w:hint="eastAsia" w:ascii="宋体" w:hAnsi="宋体" w:eastAsia="宋体" w:cs="Times New Roman"/>
          <w:szCs w:val="22"/>
          <w:highlight w:val="none"/>
          <w14:ligatures w14:val="standardContextual"/>
        </w:rPr>
        <w:t>信息系统的行为。</w:t>
      </w:r>
    </w:p>
    <w:p>
      <w:pPr>
        <w:spacing w:line="360" w:lineRule="auto"/>
        <w:outlineLvl w:val="0"/>
        <w:rPr>
          <w:rFonts w:ascii="宋体" w:hAnsi="宋体" w:eastAsia="宋体" w:cs="Times New Roman"/>
          <w:b/>
          <w:bCs/>
          <w:szCs w:val="22"/>
          <w:highlight w:val="none"/>
          <w14:ligatures w14:val="standardContextual"/>
        </w:rPr>
      </w:pPr>
      <w:r>
        <w:rPr>
          <w:rFonts w:hint="eastAsia" w:ascii="宋体" w:hAnsi="宋体" w:eastAsia="宋体" w:cs="Times New Roman"/>
          <w:b/>
          <w:bCs/>
          <w:szCs w:val="22"/>
          <w:highlight w:val="none"/>
          <w14:ligatures w14:val="standardContextual"/>
        </w:rPr>
        <w:t>十</w:t>
      </w:r>
      <w:r>
        <w:rPr>
          <w:rFonts w:hint="eastAsia" w:ascii="宋体" w:hAnsi="宋体" w:eastAsia="宋体" w:cs="Times New Roman"/>
          <w:b/>
          <w:bCs/>
          <w:szCs w:val="22"/>
          <w:highlight w:val="none"/>
          <w:lang w:eastAsia="zh-CN"/>
          <w14:ligatures w14:val="standardContextual"/>
        </w:rPr>
        <w:t>一</w:t>
      </w:r>
      <w:r>
        <w:rPr>
          <w:rFonts w:hint="eastAsia" w:ascii="宋体" w:hAnsi="宋体" w:eastAsia="宋体" w:cs="Times New Roman"/>
          <w:b/>
          <w:bCs/>
          <w:szCs w:val="22"/>
          <w:highlight w:val="none"/>
          <w14:ligatures w14:val="standardContextual"/>
        </w:rPr>
        <w:t>、其它要求</w:t>
      </w:r>
    </w:p>
    <w:p>
      <w:pPr>
        <w:spacing w:line="360" w:lineRule="auto"/>
        <w:ind w:firstLine="420" w:firstLineChars="200"/>
        <w:rPr>
          <w:rFonts w:ascii="宋体" w:hAnsi="宋体" w:eastAsia="宋体" w:cs="Times New Roman"/>
          <w:b/>
          <w:bCs/>
          <w:szCs w:val="22"/>
          <w:highlight w:val="none"/>
          <w14:ligatures w14:val="standardContextual"/>
        </w:rPr>
      </w:pPr>
      <w:r>
        <w:rPr>
          <w:rFonts w:hint="eastAsia" w:ascii="宋体" w:hAnsi="宋体" w:eastAsia="宋体" w:cs="Times New Roman"/>
          <w:szCs w:val="22"/>
          <w:highlight w:val="none"/>
          <w14:ligatures w14:val="standardContextual"/>
        </w:rPr>
        <w:t>★供应商必须具有公安部第三研究所认证发放的</w:t>
      </w:r>
      <w:r>
        <w:rPr>
          <w:rFonts w:hint="eastAsia" w:ascii="宋体" w:hAnsi="宋体" w:eastAsia="宋体" w:cs="Times New Roman"/>
          <w:szCs w:val="22"/>
          <w:highlight w:val="none"/>
          <w:lang w:val="en-US" w:eastAsia="zh-CN"/>
          <w14:ligatures w14:val="standardContextual"/>
        </w:rPr>
        <w:t xml:space="preserve"> </w:t>
      </w:r>
      <w:r>
        <w:rPr>
          <w:rFonts w:hint="eastAsia" w:ascii="宋体" w:hAnsi="宋体" w:eastAsia="宋体" w:cs="Times New Roman"/>
          <w:szCs w:val="22"/>
          <w:highlight w:val="none"/>
          <w14:ligatures w14:val="standardContextual"/>
        </w:rPr>
        <w:t>《网络安全服务认证证书等级保护测评服务认证》，证书须在有效期内，需提供证书相关证明材料扫描件。</w:t>
      </w:r>
    </w:p>
    <w:p>
      <w:pPr>
        <w:rPr>
          <w:rFonts w:hint="eastAsia" w:ascii="宋体" w:hAnsi="宋体" w:eastAsia="宋体" w:cs="Times New Roman"/>
          <w:b/>
          <w:bCs/>
          <w:szCs w:val="22"/>
          <w:highlight w:val="none"/>
          <w:lang w:eastAsia="zh-CN"/>
          <w14:ligatures w14:val="standardContextual"/>
        </w:rPr>
      </w:pPr>
      <w:bookmarkStart w:id="1" w:name="_GoBack"/>
      <w:bookmarkEnd w:id="1"/>
    </w:p>
    <w:bookmarkEnd w:id="0"/>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iti SC Light">
    <w:altName w:val="Microsoft YaHei UI"/>
    <w:panose1 w:val="02000000000000000000"/>
    <w:charset w:val="50"/>
    <w:family w:val="auto"/>
    <w:pitch w:val="default"/>
    <w:sig w:usb0="00000000" w:usb1="00000000" w:usb2="00000010" w:usb3="00000000" w:csb0="003E0000"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10040A"/>
    <w:multiLevelType w:val="singleLevel"/>
    <w:tmpl w:val="6D10040A"/>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ZmNzYzMGE3ZDkyZTZjZmI1YzI0NDRiMDJiYjcwMjYifQ=="/>
  </w:docVars>
  <w:rsids>
    <w:rsidRoot w:val="6F555B04"/>
    <w:rsid w:val="0062175D"/>
    <w:rsid w:val="00750E1B"/>
    <w:rsid w:val="0084416A"/>
    <w:rsid w:val="00F45662"/>
    <w:rsid w:val="03E16DFC"/>
    <w:rsid w:val="06A276B9"/>
    <w:rsid w:val="0AB34861"/>
    <w:rsid w:val="0EAE0089"/>
    <w:rsid w:val="22C578FC"/>
    <w:rsid w:val="289A7D95"/>
    <w:rsid w:val="299B7DC6"/>
    <w:rsid w:val="2DC117F6"/>
    <w:rsid w:val="36435A6D"/>
    <w:rsid w:val="36CC52E9"/>
    <w:rsid w:val="39554C94"/>
    <w:rsid w:val="3DC9557E"/>
    <w:rsid w:val="446479C5"/>
    <w:rsid w:val="46E17548"/>
    <w:rsid w:val="49020169"/>
    <w:rsid w:val="4F296182"/>
    <w:rsid w:val="4F5D6BFA"/>
    <w:rsid w:val="55B27B29"/>
    <w:rsid w:val="56143580"/>
    <w:rsid w:val="5C0363C4"/>
    <w:rsid w:val="5C4A25C4"/>
    <w:rsid w:val="5FBF42AD"/>
    <w:rsid w:val="629D1971"/>
    <w:rsid w:val="65A86BCC"/>
    <w:rsid w:val="6B4078AA"/>
    <w:rsid w:val="6B9C410A"/>
    <w:rsid w:val="6C3557FD"/>
    <w:rsid w:val="6F555B04"/>
    <w:rsid w:val="77812077"/>
    <w:rsid w:val="7A897002"/>
    <w:rsid w:val="7B3A2568"/>
    <w:rsid w:val="7E3D04B2"/>
    <w:rsid w:val="7ED6106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rFonts w:ascii="Times New Roman" w:hAnsi="Times New Roman"/>
      <w:kern w:val="0"/>
      <w:sz w:val="20"/>
      <w:szCs w:val="20"/>
    </w:rPr>
  </w:style>
  <w:style w:type="paragraph" w:styleId="3">
    <w:name w:val="annotation text"/>
    <w:basedOn w:val="1"/>
    <w:qFormat/>
    <w:uiPriority w:val="0"/>
    <w:pPr>
      <w:jc w:val="left"/>
    </w:pPr>
  </w:style>
  <w:style w:type="paragraph" w:styleId="4">
    <w:name w:val="Body Text"/>
    <w:basedOn w:val="1"/>
    <w:next w:val="1"/>
    <w:qFormat/>
    <w:uiPriority w:val="99"/>
    <w:rPr>
      <w:sz w:val="21"/>
      <w:szCs w:val="21"/>
    </w:rPr>
  </w:style>
  <w:style w:type="paragraph" w:styleId="5">
    <w:name w:val="Body Text Indent"/>
    <w:basedOn w:val="1"/>
    <w:next w:val="6"/>
    <w:qFormat/>
    <w:uiPriority w:val="0"/>
    <w:pPr>
      <w:autoSpaceDE/>
      <w:autoSpaceDN/>
      <w:ind w:firstLine="570"/>
      <w:jc w:val="both"/>
    </w:pPr>
    <w:rPr>
      <w:rFonts w:ascii="Times New Roman" w:hAnsi="Times New Roman" w:cs="Times New Roman"/>
      <w:kern w:val="2"/>
      <w:sz w:val="28"/>
      <w:szCs w:val="20"/>
      <w:lang w:bidi="ar-SA"/>
    </w:rPr>
  </w:style>
  <w:style w:type="paragraph" w:styleId="6">
    <w:name w:val="envelope return"/>
    <w:basedOn w:val="1"/>
    <w:qFormat/>
    <w:uiPriority w:val="0"/>
    <w:pPr>
      <w:snapToGrid w:val="0"/>
    </w:pPr>
    <w:rPr>
      <w:rFonts w:ascii="Arial" w:hAnsi="Arial"/>
      <w:szCs w:val="24"/>
    </w:rPr>
  </w:style>
  <w:style w:type="paragraph" w:styleId="7">
    <w:name w:val="Balloon Text"/>
    <w:basedOn w:val="1"/>
    <w:link w:val="13"/>
    <w:qFormat/>
    <w:uiPriority w:val="0"/>
    <w:rPr>
      <w:rFonts w:ascii="Heiti SC Light" w:eastAsia="Heiti SC Light"/>
      <w:sz w:val="18"/>
      <w:szCs w:val="18"/>
    </w:rPr>
  </w:style>
  <w:style w:type="paragraph" w:styleId="8">
    <w:name w:val="Normal (Web)"/>
    <w:basedOn w:val="1"/>
    <w:qFormat/>
    <w:uiPriority w:val="0"/>
    <w:pPr>
      <w:spacing w:beforeAutospacing="1" w:afterAutospacing="1"/>
      <w:jc w:val="left"/>
    </w:pPr>
    <w:rPr>
      <w:rFonts w:cs="Times New Roman"/>
      <w:kern w:val="0"/>
    </w:rPr>
  </w:style>
  <w:style w:type="character" w:styleId="11">
    <w:name w:val="Hyperlink"/>
    <w:basedOn w:val="10"/>
    <w:unhideWhenUsed/>
    <w:qFormat/>
    <w:uiPriority w:val="99"/>
    <w:rPr>
      <w:color w:val="0026E5" w:themeColor="hyperlink"/>
      <w:u w:val="single"/>
      <w14:textFill>
        <w14:solidFill>
          <w14:schemeClr w14:val="hlink"/>
        </w14:solidFill>
      </w14:textFill>
    </w:rPr>
  </w:style>
  <w:style w:type="paragraph" w:customStyle="1" w:styleId="12">
    <w:name w:val="正文 New New New New"/>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customStyle="1" w:styleId="13">
    <w:name w:val="批注框文本字符"/>
    <w:basedOn w:val="10"/>
    <w:link w:val="7"/>
    <w:qFormat/>
    <w:uiPriority w:val="0"/>
    <w:rPr>
      <w:rFonts w:ascii="Heiti SC Light" w:eastAsia="Heiti SC Light"/>
      <w:kern w:val="2"/>
      <w:sz w:val="18"/>
      <w:szCs w:val="18"/>
    </w:rPr>
  </w:style>
  <w:style w:type="paragraph" w:customStyle="1" w:styleId="14">
    <w:name w:val="表格文字"/>
    <w:basedOn w:val="5"/>
    <w:next w:val="4"/>
    <w:qFormat/>
    <w:uiPriority w:val="0"/>
    <w:pPr>
      <w:spacing w:before="25" w:after="25"/>
    </w:pPr>
    <w:rPr>
      <w:bCs/>
      <w:spacing w:val="1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6876</Words>
  <Characters>7225</Characters>
  <Lines>63</Lines>
  <Paragraphs>17</Paragraphs>
  <TotalTime>20</TotalTime>
  <ScaleCrop>false</ScaleCrop>
  <LinksUpToDate>false</LinksUpToDate>
  <CharactersWithSpaces>7262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2024-09-14T09:28:00Z</dcterms:created>
  <dc:creator>空间</dc:creator>
  <cp:lastModifiedBy>IT服务</cp:lastModifiedBy>
  <dcterms:modified xsi:type="dcterms:W3CDTF">2025-08-25T02:47:02Z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DFDD09D0554B4E6D9171C937180A87BB</vt:lpwstr>
  </property>
  <property fmtid="{D5CDD505-2E9C-101B-9397-08002B2CF9AE}" pid="4" name="KSOTemplateDocerSaveRecord">
    <vt:lpwstr>eyJoZGlkIjoiMDZkMDhlNDM2MTY0NGFjZjFiY2UwNzg3MmQwN2M2OTAiLCJ1c2VySWQiOiIzODAwMDMzNDEifQ==</vt:lpwstr>
  </property>
</Properties>
</file>