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w:drawing>
          <wp:anchor distT="0" distB="0" distL="114300" distR="114300" simplePos="0" relativeHeight="251660288" behindDoc="1" locked="0" layoutInCell="1" allowOverlap="1">
            <wp:simplePos x="0" y="0"/>
            <wp:positionH relativeFrom="column">
              <wp:posOffset>-1133475</wp:posOffset>
            </wp:positionH>
            <wp:positionV relativeFrom="paragraph">
              <wp:posOffset>-925195</wp:posOffset>
            </wp:positionV>
            <wp:extent cx="7781925" cy="6972300"/>
            <wp:effectExtent l="0" t="0" r="9525" b="0"/>
            <wp:wrapNone/>
            <wp:docPr id="6" name="图片 2"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未命名"/>
                    <pic:cNvPicPr>
                      <a:picLocks noChangeAspect="1"/>
                    </pic:cNvPicPr>
                  </pic:nvPicPr>
                  <pic:blipFill>
                    <a:blip r:embed="rId10"/>
                    <a:stretch>
                      <a:fillRect/>
                    </a:stretch>
                  </pic:blipFill>
                  <pic:spPr>
                    <a:xfrm>
                      <a:off x="0" y="0"/>
                      <a:ext cx="7781925" cy="697230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-217170</wp:posOffset>
                </wp:positionH>
                <wp:positionV relativeFrom="paragraph">
                  <wp:posOffset>255905</wp:posOffset>
                </wp:positionV>
                <wp:extent cx="5708015" cy="1861185"/>
                <wp:effectExtent l="0" t="0" r="0" b="0"/>
                <wp:wrapNone/>
                <wp:docPr id="7" name="矩形 7"/>
                <wp:cNvGraphicFramePr/>
                <a:graphic xmlns:a="http://schemas.openxmlformats.org/drawingml/2006/main">
                  <a:graphicData uri="http://schemas.microsoft.com/office/word/2010/wordprocessingShape">
                    <wps:wsp>
                      <wps:cNvSpPr/>
                      <wps:spPr>
                        <a:xfrm>
                          <a:off x="0" y="0"/>
                          <a:ext cx="5708015" cy="1334135"/>
                        </a:xfrm>
                        <a:prstGeom prst="rect">
                          <a:avLst/>
                        </a:prstGeom>
                        <a:noFill/>
                        <a:ln>
                          <a:noFill/>
                        </a:ln>
                        <a:effectLst/>
                      </wps:spPr>
                      <wps:txbx>
                        <w:txbxContent>
                          <w:p>
                            <w:pPr>
                              <w:jc w:val="center"/>
                              <w:rPr>
                                <w:rFonts w:hint="eastAsia" w:ascii="黑体" w:hAnsi="黑体" w:eastAsia="黑体"/>
                                <w:color w:val="000000"/>
                                <w:sz w:val="48"/>
                                <w:szCs w:val="28"/>
                                <w:highlight w:val="none"/>
                              </w:rPr>
                            </w:pPr>
                          </w:p>
                          <w:p>
                            <w:pPr>
                              <w:jc w:val="center"/>
                              <w:rPr>
                                <w:rFonts w:hint="eastAsia" w:ascii="黑体" w:hAnsi="黑体" w:eastAsia="黑体"/>
                                <w:b/>
                                <w:bCs/>
                                <w:color w:val="auto"/>
                                <w:sz w:val="56"/>
                                <w:szCs w:val="56"/>
                                <w:highlight w:val="none"/>
                                <w:lang w:val="en-US" w:eastAsia="zh-CN"/>
                              </w:rPr>
                            </w:pPr>
                            <w:r>
                              <w:rPr>
                                <w:rFonts w:hint="eastAsia" w:ascii="黑体" w:hAnsi="黑体" w:eastAsia="黑体"/>
                                <w:color w:val="000000"/>
                                <w:sz w:val="48"/>
                                <w:szCs w:val="28"/>
                                <w:highlight w:val="none"/>
                              </w:rPr>
                              <w:t>柳州供电网区</w:t>
                            </w:r>
                            <w:r>
                              <w:rPr>
                                <w:rFonts w:hint="eastAsia" w:ascii="黑体" w:hAnsi="黑体" w:eastAsia="黑体"/>
                                <w:color w:val="000000"/>
                                <w:sz w:val="48"/>
                                <w:szCs w:val="28"/>
                                <w:highlight w:val="none"/>
                                <w:lang w:val="en-US" w:eastAsia="zh-CN"/>
                              </w:rPr>
                              <w:t>2025年</w:t>
                            </w:r>
                            <w:r>
                              <w:rPr>
                                <w:rFonts w:hint="eastAsia" w:ascii="黑体" w:hAnsi="黑体" w:eastAsia="黑体"/>
                                <w:color w:val="000000"/>
                                <w:sz w:val="48"/>
                                <w:szCs w:val="28"/>
                                <w:highlight w:val="none"/>
                              </w:rPr>
                              <w:t>生产皮卡车加装货架服务采购</w:t>
                            </w:r>
                            <w:r>
                              <w:rPr>
                                <w:rFonts w:hint="eastAsia" w:ascii="黑体" w:hAnsi="黑体" w:eastAsia="黑体"/>
                                <w:color w:val="000000"/>
                                <w:sz w:val="48"/>
                                <w:szCs w:val="28"/>
                                <w:highlight w:val="none"/>
                                <w:lang w:eastAsia="zh-CN"/>
                              </w:rPr>
                              <w:t>项目</w:t>
                            </w:r>
                          </w:p>
                        </w:txbxContent>
                      </wps:txbx>
                      <wps:bodyPr upright="1"/>
                    </wps:wsp>
                  </a:graphicData>
                </a:graphic>
              </wp:anchor>
            </w:drawing>
          </mc:Choice>
          <mc:Fallback>
            <w:pict>
              <v:rect id="_x0000_s1026" o:spid="_x0000_s1026" o:spt="1" style="position:absolute;left:0pt;margin-left:-17.1pt;margin-top:20.15pt;height:146.55pt;width:449.45pt;z-index:251661312;mso-width-relative:page;mso-height-relative:page;" filled="f" stroked="f" coordsize="21600,21600" o:gfxdata="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BNJovbbAAAA&#10;CgEAAA8AAAAAAAAAAQAgAAAAIgAAAGRycy9kb3ducmV2LnhtbFBLAQIUABQAAAAIAIdO4kD4tpbu&#10;qAEAAFADAAAOAAAAAAAAAAEAIAAAACoBAABkcnMvZTJvRG9jLnhtbFBLBQYAAAAABgAGAFkBAABE&#10;BQAAAAA=&#10;">
                <v:fill on="f" focussize="0,0"/>
                <v:stroke on="f"/>
                <v:imagedata o:title=""/>
                <o:lock v:ext="edit" aspectratio="f"/>
                <v:textbox>
                  <w:txbxContent>
                    <w:p>
                      <w:pPr>
                        <w:jc w:val="center"/>
                        <w:rPr>
                          <w:rFonts w:hint="eastAsia" w:ascii="黑体" w:hAnsi="黑体" w:eastAsia="黑体"/>
                          <w:color w:val="000000"/>
                          <w:sz w:val="48"/>
                          <w:szCs w:val="28"/>
                          <w:highlight w:val="none"/>
                        </w:rPr>
                      </w:pPr>
                    </w:p>
                    <w:p>
                      <w:pPr>
                        <w:jc w:val="center"/>
                        <w:rPr>
                          <w:rFonts w:hint="eastAsia" w:ascii="黑体" w:hAnsi="黑体" w:eastAsia="黑体"/>
                          <w:b/>
                          <w:bCs/>
                          <w:color w:val="auto"/>
                          <w:sz w:val="56"/>
                          <w:szCs w:val="56"/>
                          <w:highlight w:val="none"/>
                          <w:lang w:val="en-US" w:eastAsia="zh-CN"/>
                        </w:rPr>
                      </w:pPr>
                      <w:r>
                        <w:rPr>
                          <w:rFonts w:hint="eastAsia" w:ascii="黑体" w:hAnsi="黑体" w:eastAsia="黑体"/>
                          <w:color w:val="000000"/>
                          <w:sz w:val="48"/>
                          <w:szCs w:val="28"/>
                          <w:highlight w:val="none"/>
                        </w:rPr>
                        <w:t>柳州供电网区</w:t>
                      </w:r>
                      <w:r>
                        <w:rPr>
                          <w:rFonts w:hint="eastAsia" w:ascii="黑体" w:hAnsi="黑体" w:eastAsia="黑体"/>
                          <w:color w:val="000000"/>
                          <w:sz w:val="48"/>
                          <w:szCs w:val="28"/>
                          <w:highlight w:val="none"/>
                          <w:lang w:val="en-US" w:eastAsia="zh-CN"/>
                        </w:rPr>
                        <w:t>2025年</w:t>
                      </w:r>
                      <w:r>
                        <w:rPr>
                          <w:rFonts w:hint="eastAsia" w:ascii="黑体" w:hAnsi="黑体" w:eastAsia="黑体"/>
                          <w:color w:val="000000"/>
                          <w:sz w:val="48"/>
                          <w:szCs w:val="28"/>
                          <w:highlight w:val="none"/>
                        </w:rPr>
                        <w:t>生产皮卡车加装货架服务采购</w:t>
                      </w:r>
                      <w:r>
                        <w:rPr>
                          <w:rFonts w:hint="eastAsia" w:ascii="黑体" w:hAnsi="黑体" w:eastAsia="黑体"/>
                          <w:color w:val="000000"/>
                          <w:sz w:val="48"/>
                          <w:szCs w:val="28"/>
                          <w:highlight w:val="none"/>
                          <w:lang w:eastAsia="zh-CN"/>
                        </w:rPr>
                        <w:t>项目</w:t>
                      </w:r>
                    </w:p>
                  </w:txbxContent>
                </v:textbox>
              </v:rect>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71755</wp:posOffset>
                </wp:positionH>
                <wp:positionV relativeFrom="paragraph">
                  <wp:posOffset>64770</wp:posOffset>
                </wp:positionV>
                <wp:extent cx="6205855" cy="753745"/>
                <wp:effectExtent l="0" t="0" r="0" b="0"/>
                <wp:wrapNone/>
                <wp:docPr id="5" name="文本框 5"/>
                <wp:cNvGraphicFramePr/>
                <a:graphic xmlns:a="http://schemas.openxmlformats.org/drawingml/2006/main">
                  <a:graphicData uri="http://schemas.microsoft.com/office/word/2010/wordprocessingShape">
                    <wps:wsp>
                      <wps:cNvSpPr txBox="1"/>
                      <wps:spPr>
                        <a:xfrm>
                          <a:off x="0" y="0"/>
                          <a:ext cx="6205855" cy="753745"/>
                        </a:xfrm>
                        <a:prstGeom prst="rect">
                          <a:avLst/>
                        </a:prstGeom>
                        <a:noFill/>
                        <a:ln>
                          <a:noFill/>
                        </a:ln>
                        <a:effectLst/>
                      </wps:spPr>
                      <wps:txbx>
                        <w:txbxContent>
                          <w:p>
                            <w:pPr>
                              <w:wordWrap w:val="0"/>
                              <w:ind w:right="981"/>
                              <w:jc w:val="right"/>
                              <w:rPr>
                                <w:rFonts w:ascii="文鼎CS大黑" w:eastAsia="文鼎CS大黑"/>
                                <w:b/>
                                <w:color w:val="003B77"/>
                                <w:sz w:val="84"/>
                              </w:rPr>
                            </w:pPr>
                            <w:r>
                              <w:rPr>
                                <w:rFonts w:hint="eastAsia" w:ascii="方正粗宋简体" w:eastAsia="方正粗宋简体"/>
                                <w:b/>
                                <w:color w:val="000080"/>
                                <w:sz w:val="84"/>
                              </w:rPr>
                              <w:t xml:space="preserve">技术规范和服务标准 </w:t>
                            </w:r>
                          </w:p>
                        </w:txbxContent>
                      </wps:txbx>
                      <wps:bodyPr upright="1"/>
                    </wps:wsp>
                  </a:graphicData>
                </a:graphic>
              </wp:anchor>
            </w:drawing>
          </mc:Choice>
          <mc:Fallback>
            <w:pict>
              <v:shape id="_x0000_s1026" o:spid="_x0000_s1026" o:spt="202" type="#_x0000_t202" style="position:absolute;left:0pt;margin-left:5.65pt;margin-top:5.1pt;height:59.35pt;width:488.65pt;z-index:251662336;mso-width-relative:page;mso-height-relative:page;" filled="f" stroked="f" coordsize="21600,21600" o:gfxdata="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ZIWf&#10;mtYAAAAJAQAADwAAAAAAAAABACAAAAAiAAAAZHJzL2Rvd25yZXYueG1sUEsBAhQAFAAAAAgAh07i&#10;QBePf62yAQAAXAMAAA4AAAAAAAAAAQAgAAAAJQEAAGRycy9lMm9Eb2MueG1sUEsFBgAAAAAGAAYA&#10;WQEAAEkFAAAAAA==&#10;">
                <v:fill on="f" focussize="0,0"/>
                <v:stroke on="f"/>
                <v:imagedata o:title=""/>
                <o:lock v:ext="edit" aspectratio="f"/>
                <v:textbox>
                  <w:txbxContent>
                    <w:p>
                      <w:pPr>
                        <w:wordWrap w:val="0"/>
                        <w:ind w:right="981"/>
                        <w:jc w:val="right"/>
                        <w:rPr>
                          <w:rFonts w:ascii="文鼎CS大黑" w:eastAsia="文鼎CS大黑"/>
                          <w:b/>
                          <w:color w:val="003B77"/>
                          <w:sz w:val="84"/>
                        </w:rPr>
                      </w:pPr>
                      <w:r>
                        <w:rPr>
                          <w:rFonts w:hint="eastAsia" w:ascii="方正粗宋简体" w:eastAsia="方正粗宋简体"/>
                          <w:b/>
                          <w:color w:val="000080"/>
                          <w:sz w:val="84"/>
                        </w:rPr>
                        <w:t xml:space="preserve">技术规范和服务标准 </w:t>
                      </w: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jc w:val="center"/>
        <w:rPr>
          <w:rFonts w:hint="default"/>
          <w:b/>
          <w:bCs/>
          <w:color w:val="auto"/>
          <w:sz w:val="32"/>
          <w:szCs w:val="32"/>
          <w:highlight w:val="none"/>
          <w:lang w:val="en-US"/>
        </w:rPr>
      </w:pPr>
      <w:r>
        <w:rPr>
          <w:rFonts w:hint="eastAsia"/>
          <w:b/>
          <w:bCs/>
          <w:color w:val="auto"/>
          <w:sz w:val="32"/>
          <w:szCs w:val="32"/>
          <w:highlight w:val="none"/>
        </w:rPr>
        <w:t>广西电网有限责任公司</w:t>
      </w:r>
      <w:r>
        <w:rPr>
          <w:rFonts w:hint="eastAsia"/>
          <w:b/>
          <w:bCs/>
          <w:color w:val="auto"/>
          <w:sz w:val="32"/>
          <w:szCs w:val="32"/>
          <w:highlight w:val="none"/>
          <w:lang w:val="en-US" w:eastAsia="zh-CN"/>
        </w:rPr>
        <w:t>柳州供电局</w:t>
      </w:r>
    </w:p>
    <w:p>
      <w:pPr>
        <w:jc w:val="center"/>
        <w:rPr>
          <w:rFonts w:hint="eastAsia"/>
          <w:b/>
          <w:bCs/>
          <w:color w:val="auto"/>
          <w:sz w:val="32"/>
          <w:szCs w:val="32"/>
          <w:highlight w:val="none"/>
        </w:rPr>
      </w:pPr>
      <w:r>
        <w:rPr>
          <w:rFonts w:hint="eastAsia"/>
          <w:b/>
          <w:bCs/>
          <w:color w:val="auto"/>
          <w:sz w:val="32"/>
          <w:szCs w:val="32"/>
          <w:highlight w:val="none"/>
        </w:rPr>
        <w:t>20</w:t>
      </w:r>
      <w:r>
        <w:rPr>
          <w:rFonts w:hint="eastAsia"/>
          <w:b/>
          <w:bCs/>
          <w:color w:val="auto"/>
          <w:sz w:val="32"/>
          <w:szCs w:val="32"/>
          <w:highlight w:val="none"/>
          <w:lang w:val="en-US" w:eastAsia="zh-CN"/>
        </w:rPr>
        <w:t>25</w:t>
      </w:r>
      <w:r>
        <w:rPr>
          <w:rFonts w:hint="eastAsia"/>
          <w:b/>
          <w:bCs/>
          <w:color w:val="auto"/>
          <w:sz w:val="32"/>
          <w:szCs w:val="32"/>
          <w:highlight w:val="none"/>
        </w:rPr>
        <w:t>年</w:t>
      </w:r>
      <w:r>
        <w:rPr>
          <w:rFonts w:hint="eastAsia"/>
          <w:b/>
          <w:bCs/>
          <w:color w:val="auto"/>
          <w:sz w:val="32"/>
          <w:szCs w:val="32"/>
          <w:highlight w:val="none"/>
          <w:lang w:val="en-US" w:eastAsia="zh-CN"/>
        </w:rPr>
        <w:t>8</w:t>
      </w:r>
      <w:r>
        <w:rPr>
          <w:rFonts w:hint="eastAsia"/>
          <w:b/>
          <w:bCs/>
          <w:color w:val="auto"/>
          <w:sz w:val="32"/>
          <w:szCs w:val="32"/>
          <w:highlight w:val="none"/>
        </w:rPr>
        <w:t>月</w:t>
      </w:r>
    </w:p>
    <w:p>
      <w:pPr>
        <w:jc w:val="center"/>
        <w:rPr>
          <w:rFonts w:hint="eastAsia" w:ascii="宋体" w:hAnsi="宋体" w:eastAsia="宋体" w:cs="宋体"/>
          <w:b/>
          <w:sz w:val="32"/>
          <w:szCs w:val="32"/>
        </w:rPr>
      </w:pPr>
    </w:p>
    <w:p>
      <w:pPr>
        <w:rPr>
          <w:color w:val="000000"/>
          <w:highlight w:val="none"/>
        </w:rPr>
      </w:pPr>
    </w:p>
    <w:p>
      <w:pPr>
        <w:rPr>
          <w:color w:val="000000"/>
          <w:highlight w:val="none"/>
        </w:rPr>
      </w:pPr>
    </w:p>
    <w:p>
      <w:pPr>
        <w:jc w:val="center"/>
        <w:rPr>
          <w:rFonts w:ascii="黑体" w:hAnsi="黑体" w:eastAsia="黑体"/>
          <w:color w:val="000000"/>
          <w:sz w:val="44"/>
          <w:highlight w:val="none"/>
        </w:rPr>
      </w:pPr>
      <w:r>
        <w:rPr>
          <w:rFonts w:hint="eastAsia" w:ascii="黑体" w:hAnsi="黑体" w:eastAsia="黑体"/>
          <w:color w:val="000000"/>
          <w:sz w:val="44"/>
          <w:highlight w:val="none"/>
        </w:rPr>
        <w:t>技术规范书</w:t>
      </w:r>
    </w:p>
    <w:p>
      <w:pPr>
        <w:jc w:val="center"/>
        <w:rPr>
          <w:rFonts w:ascii="黑体" w:hAnsi="黑体" w:eastAsia="黑体"/>
          <w:color w:val="000000"/>
          <w:sz w:val="44"/>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rPr>
          <w:color w:val="000000"/>
          <w:highlight w:val="none"/>
        </w:rPr>
      </w:pPr>
    </w:p>
    <w:p>
      <w:pPr>
        <w:jc w:val="center"/>
        <w:rPr>
          <w:rFonts w:hint="eastAsia" w:eastAsia="宋体"/>
          <w:color w:val="000000"/>
          <w:sz w:val="32"/>
          <w:szCs w:val="32"/>
          <w:highlight w:val="none"/>
          <w:lang w:val="en-US" w:eastAsia="zh-CN"/>
        </w:rPr>
      </w:pPr>
      <w:r>
        <w:rPr>
          <w:rFonts w:hint="eastAsia"/>
          <w:color w:val="000000"/>
          <w:sz w:val="32"/>
          <w:szCs w:val="32"/>
          <w:highlight w:val="none"/>
        </w:rPr>
        <w:t>广西电网有限责任公司</w:t>
      </w:r>
      <w:r>
        <w:rPr>
          <w:rFonts w:hint="eastAsia"/>
          <w:color w:val="000000"/>
          <w:sz w:val="32"/>
          <w:szCs w:val="32"/>
          <w:highlight w:val="none"/>
          <w:lang w:eastAsia="zh-CN"/>
        </w:rPr>
        <w:t>柳州供电局</w:t>
      </w:r>
    </w:p>
    <w:p>
      <w:pPr>
        <w:jc w:val="center"/>
        <w:rPr>
          <w:color w:val="000000"/>
          <w:sz w:val="32"/>
          <w:szCs w:val="32"/>
          <w:highlight w:val="none"/>
        </w:rPr>
      </w:pPr>
      <w:r>
        <w:rPr>
          <w:rFonts w:hint="eastAsia"/>
          <w:color w:val="000000"/>
          <w:sz w:val="32"/>
          <w:szCs w:val="32"/>
          <w:highlight w:val="none"/>
        </w:rPr>
        <w:t>202</w:t>
      </w:r>
      <w:r>
        <w:rPr>
          <w:rFonts w:hint="eastAsia"/>
          <w:color w:val="000000"/>
          <w:sz w:val="32"/>
          <w:szCs w:val="32"/>
          <w:highlight w:val="none"/>
          <w:lang w:val="en-US" w:eastAsia="zh-CN"/>
        </w:rPr>
        <w:t>5</w:t>
      </w:r>
      <w:r>
        <w:rPr>
          <w:rFonts w:hint="eastAsia"/>
          <w:color w:val="000000"/>
          <w:sz w:val="32"/>
          <w:szCs w:val="32"/>
          <w:highlight w:val="none"/>
        </w:rPr>
        <w:t>年</w:t>
      </w:r>
      <w:r>
        <w:rPr>
          <w:rFonts w:hint="eastAsia"/>
          <w:color w:val="000000"/>
          <w:sz w:val="32"/>
          <w:szCs w:val="32"/>
          <w:highlight w:val="none"/>
          <w:lang w:val="en-US" w:eastAsia="zh-CN"/>
        </w:rPr>
        <w:t>8</w:t>
      </w:r>
      <w:r>
        <w:rPr>
          <w:rFonts w:hint="eastAsia"/>
          <w:color w:val="000000"/>
          <w:sz w:val="32"/>
          <w:szCs w:val="32"/>
          <w:highlight w:val="none"/>
        </w:rPr>
        <w:t>月</w:t>
      </w:r>
    </w:p>
    <w:p>
      <w:pPr>
        <w:jc w:val="center"/>
        <w:rPr>
          <w:color w:val="000000"/>
          <w:highlight w:val="none"/>
        </w:rPr>
      </w:pPr>
      <w:r>
        <w:rPr>
          <w:color w:val="000000"/>
          <w:highlight w:val="none"/>
        </w:rPr>
        <w:br w:type="page"/>
      </w:r>
      <w:r>
        <w:rPr>
          <w:rFonts w:hint="eastAsia"/>
          <w:color w:val="000000"/>
          <w:highlight w:val="none"/>
        </w:rPr>
        <w:t>目  录</w:t>
      </w:r>
    </w:p>
    <w:p>
      <w:pPr>
        <w:pStyle w:val="19"/>
        <w:tabs>
          <w:tab w:val="right" w:leader="dot" w:pos="8306"/>
          <w:tab w:val="clear" w:pos="8296"/>
        </w:tabs>
      </w:pPr>
      <w:r>
        <w:rPr>
          <w:color w:val="000000"/>
          <w:highlight w:val="none"/>
        </w:rPr>
        <w:fldChar w:fldCharType="begin"/>
      </w:r>
      <w:r>
        <w:rPr>
          <w:color w:val="000000"/>
          <w:highlight w:val="none"/>
        </w:rPr>
        <w:instrText xml:space="preserve"> TOC \o "1-1" \h \z \u </w:instrText>
      </w:r>
      <w:r>
        <w:rPr>
          <w:color w:val="000000"/>
          <w:highlight w:val="none"/>
        </w:rPr>
        <w:fldChar w:fldCharType="separate"/>
      </w:r>
      <w:r>
        <w:rPr>
          <w:color w:val="000000"/>
          <w:highlight w:val="none"/>
        </w:rPr>
        <w:fldChar w:fldCharType="begin"/>
      </w:r>
      <w:r>
        <w:rPr>
          <w:highlight w:val="none"/>
        </w:rPr>
        <w:instrText xml:space="preserve"> HYPERLINK \l _Toc27693 </w:instrText>
      </w:r>
      <w:r>
        <w:rPr>
          <w:highlight w:val="none"/>
        </w:rPr>
        <w:fldChar w:fldCharType="separate"/>
      </w:r>
      <w:r>
        <w:rPr>
          <w:rFonts w:hint="eastAsia" w:hAnsi="宋体" w:cs="宋体"/>
          <w:szCs w:val="24"/>
        </w:rPr>
        <w:t xml:space="preserve">1. </w:t>
      </w:r>
      <w:r>
        <w:rPr>
          <w:rFonts w:hint="eastAsia" w:hAnsi="宋体" w:cs="宋体"/>
          <w:szCs w:val="24"/>
          <w:highlight w:val="none"/>
        </w:rPr>
        <w:t>总则</w:t>
      </w:r>
      <w:r>
        <w:tab/>
      </w:r>
      <w:r>
        <w:fldChar w:fldCharType="begin"/>
      </w:r>
      <w:r>
        <w:instrText xml:space="preserve"> PAGEREF _Toc27693 \h </w:instrText>
      </w:r>
      <w:r>
        <w:fldChar w:fldCharType="separate"/>
      </w:r>
      <w:r>
        <w:t>1</w:t>
      </w:r>
      <w:r>
        <w:fldChar w:fldCharType="end"/>
      </w:r>
      <w:r>
        <w:rPr>
          <w:color w:val="000000"/>
          <w:highlight w:val="none"/>
        </w:rPr>
        <w:fldChar w:fldCharType="end"/>
      </w:r>
    </w:p>
    <w:p>
      <w:pPr>
        <w:pStyle w:val="19"/>
        <w:tabs>
          <w:tab w:val="right" w:leader="dot" w:pos="8306"/>
          <w:tab w:val="clear" w:pos="8296"/>
        </w:tabs>
      </w:pPr>
      <w:r>
        <w:rPr>
          <w:color w:val="000000"/>
          <w:highlight w:val="none"/>
        </w:rPr>
        <w:fldChar w:fldCharType="begin"/>
      </w:r>
      <w:r>
        <w:rPr>
          <w:highlight w:val="none"/>
        </w:rPr>
        <w:instrText xml:space="preserve"> HYPERLINK \l _Toc7373 </w:instrText>
      </w:r>
      <w:r>
        <w:rPr>
          <w:highlight w:val="none"/>
        </w:rPr>
        <w:fldChar w:fldCharType="separate"/>
      </w:r>
      <w:r>
        <w:rPr>
          <w:rFonts w:hint="eastAsia" w:hAnsi="宋体" w:cs="宋体"/>
          <w:szCs w:val="24"/>
        </w:rPr>
        <w:t xml:space="preserve">2. </w:t>
      </w:r>
      <w:r>
        <w:rPr>
          <w:rFonts w:hint="eastAsia" w:hAnsi="宋体" w:cs="宋体"/>
          <w:szCs w:val="24"/>
          <w:highlight w:val="none"/>
        </w:rPr>
        <w:t>应遵循的主要标准</w:t>
      </w:r>
      <w:r>
        <w:tab/>
      </w:r>
      <w:r>
        <w:fldChar w:fldCharType="begin"/>
      </w:r>
      <w:r>
        <w:instrText xml:space="preserve"> PAGEREF _Toc7373 \h </w:instrText>
      </w:r>
      <w:r>
        <w:fldChar w:fldCharType="separate"/>
      </w:r>
      <w:r>
        <w:t>2</w:t>
      </w:r>
      <w:r>
        <w:fldChar w:fldCharType="end"/>
      </w:r>
      <w:r>
        <w:rPr>
          <w:color w:val="000000"/>
          <w:highlight w:val="none"/>
        </w:rPr>
        <w:fldChar w:fldCharType="end"/>
      </w:r>
    </w:p>
    <w:p>
      <w:pPr>
        <w:pStyle w:val="19"/>
        <w:tabs>
          <w:tab w:val="right" w:leader="dot" w:pos="8306"/>
          <w:tab w:val="clear" w:pos="8296"/>
        </w:tabs>
      </w:pPr>
      <w:r>
        <w:rPr>
          <w:color w:val="000000"/>
          <w:highlight w:val="none"/>
        </w:rPr>
        <w:fldChar w:fldCharType="begin"/>
      </w:r>
      <w:r>
        <w:rPr>
          <w:highlight w:val="none"/>
        </w:rPr>
        <w:instrText xml:space="preserve"> HYPERLINK \l _Toc29078 </w:instrText>
      </w:r>
      <w:r>
        <w:rPr>
          <w:highlight w:val="none"/>
        </w:rPr>
        <w:fldChar w:fldCharType="separate"/>
      </w:r>
      <w:r>
        <w:rPr>
          <w:rFonts w:hint="eastAsia"/>
        </w:rPr>
        <w:t xml:space="preserve">3. </w:t>
      </w:r>
      <w:r>
        <w:rPr>
          <w:rFonts w:hint="eastAsia"/>
          <w:highlight w:val="none"/>
        </w:rPr>
        <w:t>项目概述</w:t>
      </w:r>
      <w:r>
        <w:tab/>
      </w:r>
      <w:r>
        <w:fldChar w:fldCharType="begin"/>
      </w:r>
      <w:r>
        <w:instrText xml:space="preserve"> PAGEREF _Toc29078 \h </w:instrText>
      </w:r>
      <w:r>
        <w:fldChar w:fldCharType="separate"/>
      </w:r>
      <w:r>
        <w:t>3</w:t>
      </w:r>
      <w:r>
        <w:fldChar w:fldCharType="end"/>
      </w:r>
      <w:r>
        <w:rPr>
          <w:color w:val="000000"/>
          <w:highlight w:val="none"/>
        </w:rPr>
        <w:fldChar w:fldCharType="end"/>
      </w:r>
    </w:p>
    <w:p>
      <w:pPr>
        <w:pStyle w:val="19"/>
        <w:tabs>
          <w:tab w:val="right" w:leader="dot" w:pos="8306"/>
          <w:tab w:val="clear" w:pos="8296"/>
        </w:tabs>
      </w:pPr>
      <w:r>
        <w:rPr>
          <w:color w:val="000000"/>
          <w:highlight w:val="none"/>
        </w:rPr>
        <w:fldChar w:fldCharType="begin"/>
      </w:r>
      <w:r>
        <w:rPr>
          <w:highlight w:val="none"/>
        </w:rPr>
        <w:instrText xml:space="preserve"> HYPERLINK \l _Toc13738 </w:instrText>
      </w:r>
      <w:r>
        <w:rPr>
          <w:highlight w:val="none"/>
        </w:rPr>
        <w:fldChar w:fldCharType="separate"/>
      </w:r>
      <w:r>
        <w:rPr>
          <w:rFonts w:hint="eastAsia"/>
        </w:rPr>
        <w:t xml:space="preserve">4. </w:t>
      </w:r>
      <w:r>
        <w:rPr>
          <w:rFonts w:hint="eastAsia"/>
          <w:highlight w:val="none"/>
          <w:lang w:eastAsia="zh-CN"/>
        </w:rPr>
        <w:t>加工服务</w:t>
      </w:r>
      <w:r>
        <w:rPr>
          <w:rFonts w:hint="eastAsia"/>
          <w:highlight w:val="none"/>
        </w:rPr>
        <w:t>内容及生产要求</w:t>
      </w:r>
      <w:r>
        <w:tab/>
      </w:r>
      <w:r>
        <w:fldChar w:fldCharType="begin"/>
      </w:r>
      <w:r>
        <w:instrText xml:space="preserve"> PAGEREF _Toc13738 \h </w:instrText>
      </w:r>
      <w:r>
        <w:fldChar w:fldCharType="separate"/>
      </w:r>
      <w:r>
        <w:t>3</w:t>
      </w:r>
      <w:r>
        <w:fldChar w:fldCharType="end"/>
      </w:r>
      <w:r>
        <w:rPr>
          <w:color w:val="000000"/>
          <w:highlight w:val="none"/>
        </w:rPr>
        <w:fldChar w:fldCharType="end"/>
      </w:r>
    </w:p>
    <w:p>
      <w:pPr>
        <w:pStyle w:val="19"/>
        <w:tabs>
          <w:tab w:val="right" w:leader="dot" w:pos="8306"/>
          <w:tab w:val="clear" w:pos="8296"/>
        </w:tabs>
      </w:pPr>
      <w:r>
        <w:rPr>
          <w:color w:val="000000"/>
          <w:highlight w:val="none"/>
        </w:rPr>
        <w:fldChar w:fldCharType="begin"/>
      </w:r>
      <w:r>
        <w:rPr>
          <w:highlight w:val="none"/>
        </w:rPr>
        <w:instrText xml:space="preserve"> HYPERLINK \l _Toc32464 </w:instrText>
      </w:r>
      <w:r>
        <w:rPr>
          <w:highlight w:val="none"/>
        </w:rPr>
        <w:fldChar w:fldCharType="separate"/>
      </w:r>
      <w:r>
        <w:rPr>
          <w:rFonts w:hint="eastAsia" w:hAnsi="宋体" w:cs="宋体"/>
          <w:szCs w:val="24"/>
        </w:rPr>
        <w:t xml:space="preserve">5. </w:t>
      </w:r>
      <w:r>
        <w:rPr>
          <w:rFonts w:hint="eastAsia" w:hAnsi="宋体" w:cs="宋体"/>
          <w:szCs w:val="24"/>
          <w:highlight w:val="none"/>
        </w:rPr>
        <w:t>技术服务</w:t>
      </w:r>
      <w:r>
        <w:rPr>
          <w:rFonts w:hint="eastAsia" w:hAnsi="宋体" w:cs="宋体"/>
          <w:szCs w:val="24"/>
          <w:highlight w:val="none"/>
          <w:lang w:eastAsia="zh-CN"/>
        </w:rPr>
        <w:t>要求</w:t>
      </w:r>
      <w:r>
        <w:tab/>
      </w:r>
      <w:r>
        <w:fldChar w:fldCharType="begin"/>
      </w:r>
      <w:r>
        <w:instrText xml:space="preserve"> PAGEREF _Toc32464 \h </w:instrText>
      </w:r>
      <w:r>
        <w:fldChar w:fldCharType="separate"/>
      </w:r>
      <w:r>
        <w:t>4</w:t>
      </w:r>
      <w:r>
        <w:fldChar w:fldCharType="end"/>
      </w:r>
      <w:r>
        <w:rPr>
          <w:color w:val="000000"/>
          <w:highlight w:val="none"/>
        </w:rPr>
        <w:fldChar w:fldCharType="end"/>
      </w:r>
    </w:p>
    <w:p>
      <w:pPr>
        <w:rPr>
          <w:color w:val="000000"/>
          <w:highlight w:val="none"/>
        </w:rPr>
      </w:pPr>
      <w:r>
        <w:rPr>
          <w:color w:val="000000"/>
          <w:highlight w:val="none"/>
        </w:rPr>
        <w:fldChar w:fldCharType="end"/>
      </w:r>
    </w:p>
    <w:p>
      <w:pPr>
        <w:rPr>
          <w:color w:val="000000"/>
          <w:highlight w:val="none"/>
        </w:rPr>
        <w:sectPr>
          <w:footerReference r:id="rId5" w:type="default"/>
          <w:footerReference r:id="rId6"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pStyle w:val="3"/>
        <w:tabs>
          <w:tab w:val="left" w:pos="0"/>
        </w:tabs>
        <w:rPr>
          <w:rFonts w:hAnsi="宋体" w:cs="宋体"/>
          <w:szCs w:val="24"/>
          <w:highlight w:val="none"/>
        </w:rPr>
      </w:pPr>
      <w:bookmarkStart w:id="0" w:name="_Toc22496"/>
      <w:bookmarkStart w:id="1" w:name="_Toc27693"/>
      <w:bookmarkStart w:id="2" w:name="_Toc353115665"/>
      <w:r>
        <w:rPr>
          <w:rFonts w:hint="eastAsia" w:hAnsi="宋体" w:cs="宋体"/>
          <w:szCs w:val="24"/>
          <w:highlight w:val="none"/>
        </w:rPr>
        <w:t>总则</w:t>
      </w:r>
      <w:bookmarkEnd w:id="0"/>
      <w:bookmarkEnd w:id="1"/>
    </w:p>
    <w:p>
      <w:pPr>
        <w:pStyle w:val="4"/>
        <w:rPr>
          <w:rFonts w:hAnsi="宋体" w:cs="宋体"/>
          <w:szCs w:val="24"/>
          <w:highlight w:val="none"/>
        </w:rPr>
      </w:pPr>
      <w:r>
        <w:rPr>
          <w:rFonts w:hint="eastAsia" w:hAnsi="宋体" w:cs="宋体"/>
          <w:szCs w:val="24"/>
          <w:highlight w:val="none"/>
        </w:rPr>
        <w:t>一般要求</w:t>
      </w:r>
    </w:p>
    <w:p>
      <w:pPr>
        <w:pStyle w:val="27"/>
        <w:rPr>
          <w:rFonts w:hAnsi="宋体" w:cs="宋体"/>
          <w:highlight w:val="none"/>
        </w:rPr>
      </w:pPr>
      <w:r>
        <w:rPr>
          <w:rFonts w:hint="eastAsia" w:hAnsi="宋体" w:cs="宋体"/>
          <w:highlight w:val="none"/>
        </w:rPr>
        <w:t>投标方必须认真阅读本技术条款内容，以免造成投标失败。</w:t>
      </w:r>
    </w:p>
    <w:p>
      <w:pPr>
        <w:pStyle w:val="27"/>
        <w:rPr>
          <w:rFonts w:hAnsi="宋体" w:cs="宋体"/>
          <w:highlight w:val="none"/>
        </w:rPr>
      </w:pPr>
      <w:r>
        <w:rPr>
          <w:rFonts w:hint="eastAsia" w:hAnsi="宋体" w:cs="宋体"/>
          <w:highlight w:val="none"/>
        </w:rPr>
        <w:t>本技术规范书主要描述柳州供电网区2025年生产皮卡车加装货架服务采购项目要求有关事项。</w:t>
      </w:r>
    </w:p>
    <w:p>
      <w:pPr>
        <w:pStyle w:val="27"/>
        <w:rPr>
          <w:rFonts w:hAnsi="宋体" w:cs="宋体"/>
          <w:highlight w:val="none"/>
        </w:rPr>
      </w:pPr>
      <w:r>
        <w:rPr>
          <w:rFonts w:hint="eastAsia" w:hAnsi="宋体" w:cs="宋体"/>
          <w:highlight w:val="none"/>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27"/>
        <w:rPr>
          <w:rFonts w:hAnsi="宋体" w:cs="宋体"/>
          <w:highlight w:val="none"/>
        </w:rPr>
      </w:pPr>
      <w:r>
        <w:rPr>
          <w:rFonts w:hint="eastAsia" w:hAnsi="宋体" w:cs="宋体"/>
          <w:highlight w:val="none"/>
        </w:rPr>
        <w:t>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pStyle w:val="27"/>
        <w:rPr>
          <w:rFonts w:hAnsi="宋体" w:cs="宋体"/>
          <w:highlight w:val="none"/>
        </w:rPr>
      </w:pPr>
      <w:r>
        <w:rPr>
          <w:rFonts w:hint="eastAsia" w:hAnsi="宋体" w:cs="宋体"/>
          <w:highlight w:val="none"/>
        </w:rPr>
        <w:t>如果投标方认为本技术条款所描述技术要求等存在不合理性或不明白的，可在响应原要求后陈述相关建议。</w:t>
      </w:r>
    </w:p>
    <w:p>
      <w:pPr>
        <w:pStyle w:val="27"/>
        <w:rPr>
          <w:rFonts w:hAnsi="宋体" w:cs="宋体"/>
          <w:highlight w:val="none"/>
        </w:rPr>
      </w:pPr>
      <w:r>
        <w:rPr>
          <w:rFonts w:hint="eastAsia" w:hAnsi="宋体" w:cs="宋体"/>
          <w:highlight w:val="none"/>
        </w:rPr>
        <w:t>投标方也可提出满足本技术规范书要求，且技术先进、成熟、价格合理的其他建议，供招标方选择。</w:t>
      </w:r>
    </w:p>
    <w:p>
      <w:pPr>
        <w:pStyle w:val="27"/>
        <w:rPr>
          <w:rFonts w:hAnsi="宋体" w:cs="宋体"/>
          <w:highlight w:val="none"/>
        </w:rPr>
      </w:pPr>
      <w:r>
        <w:rPr>
          <w:rFonts w:hint="eastAsia" w:hAnsi="宋体" w:cs="宋体"/>
          <w:highlight w:val="none"/>
        </w:rPr>
        <w:t>投标方应提供满足本技术规范书要求的完整的服务、工作产品，满足国家及用户提出的有关质量标准要求。所有工作产品必须具有在中国境内的合法使用权。</w:t>
      </w:r>
    </w:p>
    <w:p>
      <w:pPr>
        <w:pStyle w:val="27"/>
        <w:rPr>
          <w:rFonts w:hAnsi="宋体" w:cs="宋体"/>
          <w:highlight w:val="none"/>
        </w:rPr>
      </w:pPr>
      <w:r>
        <w:rPr>
          <w:rFonts w:hint="eastAsia" w:hAnsi="宋体" w:cs="宋体"/>
          <w:highlight w:val="none"/>
        </w:rPr>
        <w:t>本技术规范书所使用的标准如与投标方所执行的标准不一致，按较高标准执行。</w:t>
      </w:r>
    </w:p>
    <w:p>
      <w:pPr>
        <w:pStyle w:val="27"/>
        <w:rPr>
          <w:rFonts w:hAnsi="宋体" w:cs="宋体"/>
          <w:highlight w:val="none"/>
        </w:rPr>
      </w:pPr>
      <w:r>
        <w:rPr>
          <w:rFonts w:hint="eastAsia" w:hAnsi="宋体" w:cs="宋体"/>
          <w:highlight w:val="none"/>
        </w:rPr>
        <w:t>如果因为无法提供的原因而提供其他产品、服务，投标方应明确说明并提出质量保证承诺。</w:t>
      </w:r>
    </w:p>
    <w:p>
      <w:pPr>
        <w:pStyle w:val="27"/>
        <w:rPr>
          <w:rFonts w:hAnsi="宋体" w:cs="宋体"/>
          <w:highlight w:val="none"/>
        </w:rPr>
      </w:pPr>
      <w:r>
        <w:rPr>
          <w:rFonts w:hint="eastAsia" w:hAnsi="宋体" w:cs="宋体"/>
          <w:highlight w:val="none"/>
        </w:rPr>
        <w:t>投标方应对本次投标所有文件保密，不得向其他单位公布或泄漏招标项目的有关信息。</w:t>
      </w:r>
    </w:p>
    <w:p>
      <w:pPr>
        <w:pStyle w:val="27"/>
        <w:rPr>
          <w:rFonts w:hAnsi="宋体" w:cs="宋体"/>
          <w:highlight w:val="none"/>
        </w:rPr>
      </w:pPr>
      <w:r>
        <w:rPr>
          <w:rFonts w:hint="eastAsia" w:hAnsi="宋体" w:cs="宋体"/>
          <w:highlight w:val="none"/>
        </w:rPr>
        <w:t>在不超出本技术规范书要求的情况下，投标方应对招标方提出的所有细化要求予以满足。</w:t>
      </w:r>
    </w:p>
    <w:p>
      <w:pPr>
        <w:pStyle w:val="4"/>
        <w:rPr>
          <w:rFonts w:hAnsi="宋体" w:cs="宋体"/>
          <w:szCs w:val="24"/>
          <w:highlight w:val="none"/>
        </w:rPr>
      </w:pPr>
      <w:r>
        <w:rPr>
          <w:rFonts w:hint="eastAsia" w:hAnsi="宋体" w:cs="宋体"/>
          <w:szCs w:val="24"/>
          <w:highlight w:val="none"/>
        </w:rPr>
        <w:t>投标方职责</w:t>
      </w:r>
    </w:p>
    <w:p>
      <w:pPr>
        <w:pStyle w:val="27"/>
        <w:rPr>
          <w:rFonts w:hAnsi="宋体" w:cs="宋体"/>
          <w:b/>
          <w:highlight w:val="none"/>
        </w:rPr>
      </w:pPr>
      <w:r>
        <w:rPr>
          <w:rFonts w:hint="eastAsia" w:hAnsi="宋体" w:cs="宋体"/>
          <w:highlight w:val="none"/>
        </w:rPr>
        <w:t>负责本规范书内所需服务、工作产品的方案设计，并根据招标方需求细化。</w:t>
      </w:r>
    </w:p>
    <w:p>
      <w:pPr>
        <w:pStyle w:val="27"/>
        <w:rPr>
          <w:rFonts w:hAnsi="宋体" w:cs="宋体"/>
          <w:b/>
          <w:highlight w:val="none"/>
        </w:rPr>
      </w:pPr>
      <w:r>
        <w:rPr>
          <w:rFonts w:hint="eastAsia" w:hAnsi="宋体" w:cs="宋体"/>
          <w:highlight w:val="none"/>
        </w:rPr>
        <w:t>负责服务、工作产品现场验收。</w:t>
      </w:r>
    </w:p>
    <w:p>
      <w:pPr>
        <w:pStyle w:val="27"/>
        <w:rPr>
          <w:rFonts w:hAnsi="宋体" w:cs="宋体"/>
          <w:b/>
          <w:highlight w:val="none"/>
        </w:rPr>
      </w:pPr>
      <w:r>
        <w:rPr>
          <w:rFonts w:hint="eastAsia" w:hAnsi="宋体" w:cs="宋体"/>
          <w:highlight w:val="none"/>
        </w:rPr>
        <w:t>签订合同后为招标方提供项目管理服务。</w:t>
      </w:r>
    </w:p>
    <w:p>
      <w:pPr>
        <w:pStyle w:val="27"/>
        <w:rPr>
          <w:rFonts w:hAnsi="宋体" w:cs="宋体"/>
          <w:b/>
          <w:highlight w:val="none"/>
        </w:rPr>
      </w:pPr>
      <w:r>
        <w:rPr>
          <w:rFonts w:hint="eastAsia" w:hAnsi="宋体" w:cs="宋体"/>
          <w:highlight w:val="none"/>
        </w:rPr>
        <w:t>负责提供项目内</w:t>
      </w:r>
      <w:r>
        <w:rPr>
          <w:rFonts w:hint="eastAsia" w:hAnsi="宋体" w:cs="宋体"/>
          <w:highlight w:val="none"/>
          <w:lang w:eastAsia="zh-CN"/>
        </w:rPr>
        <w:t>全过程资料的电子</w:t>
      </w:r>
      <w:r>
        <w:rPr>
          <w:rFonts w:hint="eastAsia" w:hAnsi="宋体" w:cs="宋体"/>
          <w:highlight w:val="none"/>
        </w:rPr>
        <w:t>备份。</w:t>
      </w:r>
    </w:p>
    <w:p>
      <w:pPr>
        <w:pStyle w:val="27"/>
        <w:rPr>
          <w:rFonts w:hAnsi="宋体" w:cs="宋体"/>
          <w:b/>
          <w:highlight w:val="none"/>
        </w:rPr>
      </w:pPr>
      <w:r>
        <w:rPr>
          <w:rFonts w:hint="eastAsia" w:hAnsi="宋体" w:cs="宋体"/>
          <w:highlight w:val="none"/>
        </w:rPr>
        <w:t>列出需招标方提供的数据、资料详细清单。</w:t>
      </w:r>
    </w:p>
    <w:p>
      <w:pPr>
        <w:pStyle w:val="27"/>
        <w:rPr>
          <w:rFonts w:hAnsi="宋体" w:cs="宋体"/>
          <w:b/>
          <w:highlight w:val="none"/>
        </w:rPr>
      </w:pPr>
      <w:r>
        <w:rPr>
          <w:rFonts w:hint="eastAsia" w:hAnsi="宋体" w:cs="宋体"/>
          <w:highlight w:val="none"/>
        </w:rPr>
        <w:t>负责提供服务、工作产品的所有文件资料和技术资料。</w:t>
      </w:r>
    </w:p>
    <w:p>
      <w:pPr>
        <w:pStyle w:val="27"/>
        <w:rPr>
          <w:rFonts w:hAnsi="宋体" w:cs="宋体"/>
          <w:b/>
          <w:highlight w:val="none"/>
        </w:rPr>
      </w:pPr>
      <w:r>
        <w:rPr>
          <w:rFonts w:hint="eastAsia" w:hAnsi="宋体" w:cs="宋体"/>
          <w:highlight w:val="none"/>
        </w:rPr>
        <w:t>负责最终提供的全部技术资料的准确性。</w:t>
      </w:r>
    </w:p>
    <w:p>
      <w:pPr>
        <w:pStyle w:val="27"/>
        <w:rPr>
          <w:rFonts w:hAnsi="宋体" w:cs="宋体"/>
          <w:b/>
          <w:highlight w:val="none"/>
        </w:rPr>
      </w:pPr>
      <w:r>
        <w:rPr>
          <w:rFonts w:hint="eastAsia" w:hAnsi="宋体" w:cs="宋体"/>
          <w:highlight w:val="none"/>
        </w:rPr>
        <w:t>保证提供的所有服务、工作产品的质量及技术指标完全满足本规范书要求。</w:t>
      </w:r>
    </w:p>
    <w:p>
      <w:pPr>
        <w:pStyle w:val="27"/>
        <w:rPr>
          <w:rFonts w:hAnsi="宋体" w:cs="宋体"/>
          <w:b/>
          <w:highlight w:val="none"/>
        </w:rPr>
      </w:pPr>
      <w:r>
        <w:rPr>
          <w:rFonts w:hint="eastAsia" w:hAnsi="宋体" w:cs="宋体"/>
          <w:highlight w:val="none"/>
        </w:rPr>
        <w:t>负责配合招标方有关人员在投标方地点的联络会等事宜，投标方自理投标方项目组人员的往返交通、住宿等费用等。</w:t>
      </w:r>
    </w:p>
    <w:p>
      <w:pPr>
        <w:pStyle w:val="27"/>
        <w:rPr>
          <w:rFonts w:hAnsi="宋体" w:cs="宋体"/>
          <w:b/>
          <w:highlight w:val="none"/>
        </w:rPr>
      </w:pPr>
      <w:r>
        <w:rPr>
          <w:rFonts w:hint="eastAsia" w:hAnsi="宋体" w:cs="宋体"/>
          <w:highlight w:val="none"/>
        </w:rPr>
        <w:t>与招标方签订保密协议，遵守招标方的相关保密制度。</w:t>
      </w:r>
    </w:p>
    <w:p>
      <w:pPr>
        <w:pStyle w:val="27"/>
        <w:rPr>
          <w:rFonts w:hAnsi="宋体" w:cs="宋体"/>
          <w:highlight w:val="none"/>
        </w:rPr>
      </w:pPr>
      <w:r>
        <w:rPr>
          <w:rFonts w:hint="eastAsia" w:hAnsi="宋体" w:cs="宋体"/>
          <w:highlight w:val="none"/>
        </w:rPr>
        <w:t>投标方（服务商、供应商）按照广西电网公司档案管理要求，根据归档范围负责自“项目准备”至“项目验收”阶段的项目文件收集、整理、组卷，并按规定时限向招标方项目负责人移交。投标方应明确负责档案管理的人员，开工前投标方必须向招标方提供档案管理人员名单表，经招标方确认后方可实施。</w:t>
      </w:r>
    </w:p>
    <w:p>
      <w:pPr>
        <w:pStyle w:val="4"/>
        <w:rPr>
          <w:rFonts w:hAnsi="宋体" w:cs="宋体"/>
          <w:szCs w:val="24"/>
          <w:highlight w:val="none"/>
        </w:rPr>
      </w:pPr>
      <w:r>
        <w:rPr>
          <w:rFonts w:hint="eastAsia" w:hAnsi="宋体" w:cs="宋体"/>
          <w:szCs w:val="24"/>
          <w:highlight w:val="none"/>
        </w:rPr>
        <w:t>招标方职责</w:t>
      </w:r>
    </w:p>
    <w:p>
      <w:pPr>
        <w:pStyle w:val="27"/>
        <w:rPr>
          <w:rFonts w:hAnsi="宋体" w:cs="宋体"/>
          <w:b/>
          <w:highlight w:val="none"/>
        </w:rPr>
      </w:pPr>
      <w:r>
        <w:rPr>
          <w:rFonts w:hint="eastAsia" w:hAnsi="宋体" w:cs="宋体"/>
          <w:highlight w:val="none"/>
        </w:rPr>
        <w:t>负责提供与本项目有关的技术资料、参数及图纸。</w:t>
      </w:r>
    </w:p>
    <w:p>
      <w:pPr>
        <w:pStyle w:val="27"/>
        <w:rPr>
          <w:rFonts w:hAnsi="宋体" w:cs="宋体"/>
          <w:b/>
          <w:highlight w:val="none"/>
        </w:rPr>
      </w:pPr>
      <w:r>
        <w:rPr>
          <w:rFonts w:hint="eastAsia" w:hAnsi="宋体" w:cs="宋体"/>
          <w:highlight w:val="none"/>
        </w:rPr>
        <w:t>确认投标方提供的服务、工作产品的文件资料和技术。</w:t>
      </w:r>
    </w:p>
    <w:p>
      <w:pPr>
        <w:pStyle w:val="27"/>
        <w:rPr>
          <w:rFonts w:hAnsi="宋体" w:cs="宋体"/>
          <w:b/>
          <w:highlight w:val="none"/>
        </w:rPr>
      </w:pPr>
      <w:r>
        <w:rPr>
          <w:rFonts w:hint="eastAsia" w:hAnsi="宋体" w:cs="宋体"/>
          <w:highlight w:val="none"/>
        </w:rPr>
        <w:t>提供满足投标方开展工作的环境条件</w:t>
      </w:r>
    </w:p>
    <w:p>
      <w:pPr>
        <w:pStyle w:val="27"/>
        <w:rPr>
          <w:rFonts w:hAnsi="宋体" w:cs="宋体"/>
          <w:b/>
          <w:highlight w:val="none"/>
        </w:rPr>
      </w:pPr>
      <w:r>
        <w:rPr>
          <w:rFonts w:hint="eastAsia" w:hAnsi="宋体" w:cs="宋体"/>
          <w:highlight w:val="none"/>
        </w:rPr>
        <w:t>参加相关联络会。</w:t>
      </w:r>
    </w:p>
    <w:p>
      <w:pPr>
        <w:pStyle w:val="27"/>
        <w:rPr>
          <w:rFonts w:hAnsi="宋体" w:cs="宋体"/>
          <w:b/>
          <w:highlight w:val="none"/>
        </w:rPr>
      </w:pPr>
      <w:r>
        <w:rPr>
          <w:rFonts w:hint="eastAsia" w:hAnsi="宋体" w:cs="宋体"/>
          <w:highlight w:val="none"/>
        </w:rPr>
        <w:t>负责向投标方解释技术规范书中的要求。</w:t>
      </w:r>
    </w:p>
    <w:p>
      <w:pPr>
        <w:pStyle w:val="27"/>
        <w:rPr>
          <w:rFonts w:hAnsi="宋体" w:cs="宋体"/>
          <w:b/>
          <w:highlight w:val="none"/>
        </w:rPr>
      </w:pPr>
      <w:r>
        <w:rPr>
          <w:rFonts w:hint="eastAsia" w:hAnsi="宋体" w:cs="宋体"/>
          <w:highlight w:val="none"/>
        </w:rPr>
        <w:t>配合投标方完成项目工作，并组织验收。</w:t>
      </w:r>
    </w:p>
    <w:p>
      <w:pPr>
        <w:pStyle w:val="3"/>
        <w:tabs>
          <w:tab w:val="left" w:pos="0"/>
        </w:tabs>
        <w:rPr>
          <w:rFonts w:hAnsi="宋体" w:cs="宋体"/>
          <w:szCs w:val="24"/>
          <w:highlight w:val="none"/>
        </w:rPr>
      </w:pPr>
      <w:bookmarkStart w:id="3" w:name="_Toc7373"/>
      <w:bookmarkStart w:id="4" w:name="_Toc22062"/>
      <w:r>
        <w:rPr>
          <w:rFonts w:hint="eastAsia" w:hAnsi="宋体" w:cs="宋体"/>
          <w:szCs w:val="24"/>
          <w:highlight w:val="none"/>
        </w:rPr>
        <w:t>应遵循的主要标准</w:t>
      </w:r>
      <w:bookmarkEnd w:id="3"/>
      <w:bookmarkEnd w:id="4"/>
    </w:p>
    <w:p>
      <w:pPr>
        <w:ind w:firstLine="480" w:firstLineChars="200"/>
        <w:rPr>
          <w:rFonts w:hint="eastAsia" w:hAnsi="宋体" w:cs="宋体" w:eastAsiaTheme="minorEastAsia"/>
          <w:highlight w:val="none"/>
          <w:lang w:eastAsia="zh-CN"/>
        </w:rPr>
      </w:pPr>
      <w:r>
        <w:rPr>
          <w:rFonts w:hint="eastAsia" w:asciiTheme="minorEastAsia" w:hAnsiTheme="minorEastAsia" w:eastAsiaTheme="minorEastAsia"/>
          <w:highlight w:val="none"/>
        </w:rPr>
        <w:t>投标方在</w:t>
      </w:r>
      <w:r>
        <w:rPr>
          <w:rFonts w:hint="eastAsia" w:hAnsi="宋体" w:cs="宋体"/>
          <w:highlight w:val="none"/>
        </w:rPr>
        <w:t>技术服务支持</w:t>
      </w:r>
      <w:r>
        <w:rPr>
          <w:rFonts w:hint="eastAsia" w:asciiTheme="minorEastAsia" w:hAnsiTheme="minorEastAsia" w:eastAsiaTheme="minorEastAsia"/>
          <w:highlight w:val="none"/>
        </w:rPr>
        <w:t>工作过程中提供的所有服务、技术支持、工作产品，除本规范书中规定的技术参数和要求外，其余均应遵照广西电网有限责任公司的相关管理制度。如果投标方有自己的标准或规范经招标方同意方可采用，但原则上均不能低于上述标准的有关规定，特别是这些规定或规程中互相矛盾的地方，应先征得招标方同意，再开展</w:t>
      </w:r>
      <w:r>
        <w:rPr>
          <w:rFonts w:hint="eastAsia" w:hAnsi="宋体" w:cs="宋体"/>
          <w:highlight w:val="none"/>
        </w:rPr>
        <w:t>技术服务支持</w:t>
      </w:r>
      <w:r>
        <w:rPr>
          <w:rFonts w:hint="eastAsia" w:asciiTheme="minorEastAsia" w:hAnsiTheme="minorEastAsia" w:eastAsiaTheme="minorEastAsia"/>
          <w:highlight w:val="none"/>
        </w:rPr>
        <w:t>工作</w:t>
      </w:r>
      <w:r>
        <w:rPr>
          <w:rFonts w:hint="eastAsia" w:hAnsi="宋体" w:cs="宋体"/>
          <w:highlight w:val="none"/>
        </w:rPr>
        <w:t>。</w:t>
      </w:r>
      <w:r>
        <w:rPr>
          <w:rFonts w:hint="eastAsia" w:hAnsi="宋体" w:cs="宋体"/>
          <w:highlight w:val="none"/>
          <w:lang w:eastAsia="zh-CN"/>
        </w:rPr>
        <w:t>加装的</w:t>
      </w:r>
      <w:r>
        <w:rPr>
          <w:rFonts w:hint="eastAsia" w:asciiTheme="minorEastAsia" w:hAnsiTheme="minorEastAsia" w:eastAsiaTheme="minorEastAsia"/>
          <w:highlight w:val="none"/>
        </w:rPr>
        <w:t>货架</w:t>
      </w:r>
      <w:r>
        <w:rPr>
          <w:rFonts w:hint="eastAsia" w:asciiTheme="minorEastAsia" w:hAnsiTheme="minorEastAsia" w:eastAsiaTheme="minorEastAsia"/>
          <w:highlight w:val="none"/>
          <w:lang w:eastAsia="zh-CN"/>
        </w:rPr>
        <w:t>示例如下图</w:t>
      </w:r>
    </w:p>
    <w:p>
      <w:pPr>
        <w:pStyle w:val="12"/>
      </w:pPr>
      <w:r>
        <w:rPr>
          <w:rFonts w:ascii="宋体" w:hAnsi="宋体" w:eastAsia="宋体" w:cs="宋体"/>
          <w:sz w:val="24"/>
          <w:szCs w:val="24"/>
        </w:rPr>
        <w:drawing>
          <wp:anchor distT="0" distB="0" distL="114935" distR="114935" simplePos="0" relativeHeight="251659264" behindDoc="1" locked="0" layoutInCell="1" allowOverlap="1">
            <wp:simplePos x="0" y="0"/>
            <wp:positionH relativeFrom="column">
              <wp:posOffset>-83185</wp:posOffset>
            </wp:positionH>
            <wp:positionV relativeFrom="paragraph">
              <wp:posOffset>226695</wp:posOffset>
            </wp:positionV>
            <wp:extent cx="4914265" cy="2972435"/>
            <wp:effectExtent l="0" t="0" r="0" b="18415"/>
            <wp:wrapTight wrapText="bothSides">
              <wp:wrapPolygon>
                <wp:start x="0" y="0"/>
                <wp:lineTo x="0" y="21457"/>
                <wp:lineTo x="21519" y="21457"/>
                <wp:lineTo x="21519" y="0"/>
                <wp:lineTo x="0" y="0"/>
              </wp:wrapPolygon>
            </wp:wrapTight>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11"/>
                    <a:stretch>
                      <a:fillRect/>
                    </a:stretch>
                  </pic:blipFill>
                  <pic:spPr>
                    <a:xfrm>
                      <a:off x="0" y="0"/>
                      <a:ext cx="4914265" cy="2972435"/>
                    </a:xfrm>
                    <a:prstGeom prst="rect">
                      <a:avLst/>
                    </a:prstGeom>
                    <a:noFill/>
                    <a:ln w="9525">
                      <a:noFill/>
                    </a:ln>
                  </pic:spPr>
                </pic:pic>
              </a:graphicData>
            </a:graphic>
          </wp:anchor>
        </w:drawing>
      </w:r>
    </w:p>
    <w:p>
      <w:pPr>
        <w:pStyle w:val="12"/>
        <w:jc w:val="center"/>
        <w:rPr>
          <w:rFonts w:hint="eastAsia"/>
          <w:lang w:val="en-US" w:eastAsia="zh-CN"/>
        </w:rPr>
      </w:pPr>
      <w:r>
        <w:rPr>
          <w:rFonts w:hint="eastAsia"/>
          <w:lang w:val="en-US" w:eastAsia="zh-CN"/>
        </w:rPr>
        <w:t xml:space="preserve"> </w:t>
      </w:r>
    </w:p>
    <w:p>
      <w:pPr>
        <w:pStyle w:val="12"/>
        <w:jc w:val="center"/>
        <w:rPr>
          <w:rFonts w:hint="eastAsia"/>
          <w:lang w:val="en-US" w:eastAsia="zh-CN"/>
        </w:rPr>
      </w:pPr>
    </w:p>
    <w:p>
      <w:pPr>
        <w:pStyle w:val="12"/>
        <w:jc w:val="center"/>
        <w:rPr>
          <w:rFonts w:hint="eastAsia"/>
          <w:lang w:val="en-US" w:eastAsia="zh-CN"/>
        </w:rPr>
      </w:pPr>
    </w:p>
    <w:p>
      <w:pPr>
        <w:pStyle w:val="12"/>
        <w:jc w:val="center"/>
        <w:rPr>
          <w:rFonts w:hint="eastAsia"/>
          <w:lang w:val="en-US" w:eastAsia="zh-CN"/>
        </w:rPr>
      </w:pPr>
    </w:p>
    <w:p>
      <w:pPr>
        <w:pStyle w:val="12"/>
        <w:jc w:val="center"/>
        <w:rPr>
          <w:rFonts w:hint="eastAsia"/>
          <w:lang w:val="en-US" w:eastAsia="zh-CN"/>
        </w:rPr>
      </w:pPr>
    </w:p>
    <w:p>
      <w:pPr>
        <w:pStyle w:val="12"/>
        <w:jc w:val="center"/>
        <w:rPr>
          <w:rFonts w:hint="eastAsia"/>
          <w:lang w:val="en-US" w:eastAsia="zh-CN"/>
        </w:rPr>
      </w:pPr>
    </w:p>
    <w:p>
      <w:pPr>
        <w:pStyle w:val="12"/>
        <w:jc w:val="center"/>
        <w:rPr>
          <w:rFonts w:hint="eastAsia"/>
          <w:lang w:val="en-US" w:eastAsia="zh-CN"/>
        </w:rPr>
      </w:pPr>
    </w:p>
    <w:p>
      <w:pPr>
        <w:pStyle w:val="12"/>
        <w:jc w:val="center"/>
        <w:rPr>
          <w:rFonts w:hint="eastAsia"/>
          <w:lang w:val="en-US" w:eastAsia="zh-CN"/>
        </w:rPr>
      </w:pPr>
    </w:p>
    <w:p>
      <w:pPr>
        <w:pStyle w:val="12"/>
        <w:jc w:val="center"/>
        <w:rPr>
          <w:rFonts w:hint="eastAsia"/>
          <w:lang w:val="en-US" w:eastAsia="zh-CN"/>
        </w:rPr>
      </w:pPr>
      <w:r>
        <w:rPr>
          <w:rFonts w:hint="eastAsia"/>
          <w:lang w:val="en-US" w:eastAsia="zh-CN"/>
        </w:rPr>
        <w:t xml:space="preserve"> </w:t>
      </w:r>
    </w:p>
    <w:p>
      <w:pPr>
        <w:pStyle w:val="12"/>
        <w:jc w:val="center"/>
        <w:rPr>
          <w:rFonts w:hint="eastAsia"/>
          <w:lang w:val="en-US" w:eastAsia="zh-CN"/>
        </w:rPr>
      </w:pPr>
    </w:p>
    <w:p>
      <w:pPr>
        <w:pStyle w:val="12"/>
        <w:jc w:val="center"/>
      </w:pPr>
      <w:r>
        <w:rPr>
          <w:rFonts w:hint="eastAsia"/>
          <w:lang w:val="en-US" w:eastAsia="zh-CN"/>
        </w:rPr>
        <w:t xml:space="preserve">   （图片一：</w:t>
      </w:r>
      <w:r>
        <w:rPr>
          <w:rFonts w:hint="eastAsia" w:asciiTheme="minorEastAsia" w:hAnsiTheme="minorEastAsia" w:eastAsiaTheme="minorEastAsia"/>
          <w:highlight w:val="none"/>
        </w:rPr>
        <w:t>车顶货架</w:t>
      </w:r>
      <w:r>
        <w:rPr>
          <w:rFonts w:hint="eastAsia"/>
          <w:lang w:val="en-US" w:eastAsia="zh-CN"/>
        </w:rPr>
        <w:t xml:space="preserve">）               </w:t>
      </w:r>
    </w:p>
    <w:p/>
    <w:p>
      <w:pPr>
        <w:pStyle w:val="12"/>
      </w:pPr>
    </w:p>
    <w:bookmarkEnd w:id="2"/>
    <w:p>
      <w:pPr>
        <w:pStyle w:val="3"/>
        <w:rPr>
          <w:color w:val="000000"/>
          <w:highlight w:val="none"/>
        </w:rPr>
      </w:pPr>
      <w:bookmarkStart w:id="5" w:name="_Toc353115666"/>
      <w:bookmarkStart w:id="6" w:name="_Toc29078"/>
      <w:r>
        <w:rPr>
          <w:rFonts w:hint="eastAsia"/>
          <w:color w:val="000000"/>
          <w:highlight w:val="none"/>
        </w:rPr>
        <w:t>项目概述</w:t>
      </w:r>
      <w:bookmarkEnd w:id="5"/>
      <w:bookmarkEnd w:id="6"/>
    </w:p>
    <w:p>
      <w:pPr>
        <w:ind w:firstLine="480" w:firstLineChars="200"/>
        <w:rPr>
          <w:rFonts w:hint="eastAsia" w:asciiTheme="minorEastAsia" w:hAnsiTheme="minorEastAsia" w:eastAsiaTheme="minorEastAsia"/>
          <w:highlight w:val="none"/>
        </w:rPr>
      </w:pPr>
      <w:bookmarkStart w:id="7" w:name="_Toc318801133"/>
      <w:bookmarkStart w:id="8" w:name="_Toc291008593"/>
      <w:r>
        <w:rPr>
          <w:rFonts w:hint="eastAsia" w:asciiTheme="minorEastAsia" w:hAnsiTheme="minorEastAsia" w:eastAsiaTheme="minorEastAsia"/>
          <w:highlight w:val="none"/>
        </w:rPr>
        <w:t>对柳州供电局</w:t>
      </w:r>
      <w:r>
        <w:rPr>
          <w:rFonts w:hint="eastAsia" w:asciiTheme="minorEastAsia" w:hAnsiTheme="minorEastAsia" w:eastAsiaTheme="minorEastAsia"/>
          <w:highlight w:val="none"/>
          <w:lang w:eastAsia="zh-CN"/>
        </w:rPr>
        <w:t>所属</w:t>
      </w:r>
      <w:r>
        <w:rPr>
          <w:rFonts w:hint="eastAsia" w:asciiTheme="minorEastAsia" w:hAnsiTheme="minorEastAsia" w:eastAsiaTheme="minorEastAsia"/>
          <w:highlight w:val="none"/>
        </w:rPr>
        <w:t>的生产抢修车加装</w:t>
      </w:r>
      <w:r>
        <w:rPr>
          <w:rFonts w:hint="eastAsia" w:asciiTheme="minorEastAsia" w:hAnsiTheme="minorEastAsia" w:eastAsiaTheme="minorEastAsia"/>
          <w:highlight w:val="none"/>
          <w:lang w:val="en-US" w:eastAsia="zh-CN"/>
        </w:rPr>
        <w:t>30</w:t>
      </w:r>
      <w:r>
        <w:rPr>
          <w:rFonts w:hint="eastAsia" w:asciiTheme="minorEastAsia" w:hAnsiTheme="minorEastAsia" w:eastAsiaTheme="minorEastAsia"/>
          <w:highlight w:val="none"/>
        </w:rPr>
        <w:t>副车顶货架</w:t>
      </w:r>
      <w:r>
        <w:rPr>
          <w:rFonts w:hint="eastAsia" w:asciiTheme="minorEastAsia" w:hAnsiTheme="minorEastAsia" w:eastAsiaTheme="minorEastAsia"/>
          <w:highlight w:val="none"/>
          <w:lang w:eastAsia="zh-CN"/>
        </w:rPr>
        <w:t>，并提供上门安装服务。具体安装车辆待合同签订后以甲方出具的《委托生产</w:t>
      </w:r>
      <w:r>
        <w:rPr>
          <w:rFonts w:hint="eastAsia" w:asciiTheme="minorEastAsia" w:hAnsiTheme="minorEastAsia" w:eastAsiaTheme="minorEastAsia"/>
          <w:highlight w:val="none"/>
          <w:lang w:val="en-US" w:eastAsia="zh-CN"/>
        </w:rPr>
        <w:t>加工</w:t>
      </w:r>
      <w:r>
        <w:rPr>
          <w:rFonts w:hint="eastAsia" w:asciiTheme="minorEastAsia" w:hAnsiTheme="minorEastAsia" w:eastAsiaTheme="minorEastAsia"/>
          <w:highlight w:val="none"/>
          <w:lang w:eastAsia="zh-CN"/>
        </w:rPr>
        <w:t>清单》为准</w:t>
      </w:r>
      <w:r>
        <w:rPr>
          <w:rFonts w:hint="eastAsia" w:asciiTheme="minorEastAsia" w:hAnsiTheme="minorEastAsia" w:eastAsiaTheme="minorEastAsia"/>
          <w:highlight w:val="none"/>
        </w:rPr>
        <w:t>。</w:t>
      </w:r>
    </w:p>
    <w:bookmarkEnd w:id="7"/>
    <w:bookmarkEnd w:id="8"/>
    <w:p>
      <w:pPr>
        <w:pStyle w:val="3"/>
        <w:rPr>
          <w:color w:val="000000"/>
          <w:highlight w:val="none"/>
        </w:rPr>
      </w:pPr>
      <w:bookmarkStart w:id="9" w:name="_Toc13738"/>
      <w:r>
        <w:rPr>
          <w:rFonts w:hint="eastAsia"/>
          <w:color w:val="000000"/>
          <w:highlight w:val="none"/>
          <w:lang w:eastAsia="zh-CN"/>
        </w:rPr>
        <w:t>加工服务</w:t>
      </w:r>
      <w:r>
        <w:rPr>
          <w:rFonts w:hint="eastAsia"/>
          <w:color w:val="000000"/>
          <w:highlight w:val="none"/>
        </w:rPr>
        <w:t>内容及生产要求</w:t>
      </w:r>
      <w:bookmarkEnd w:id="9"/>
    </w:p>
    <w:p>
      <w:pPr>
        <w:pStyle w:val="4"/>
        <w:bidi w:val="0"/>
        <w:rPr>
          <w:rFonts w:hint="eastAsia"/>
          <w:b w:val="0"/>
          <w:bCs w:val="0"/>
        </w:rPr>
      </w:pPr>
      <w:r>
        <w:rPr>
          <w:rFonts w:hint="eastAsia"/>
          <w:b w:val="0"/>
          <w:bCs w:val="0"/>
        </w:rPr>
        <w:t>委托加工产品的名称及内容：产品的规格型号、单位、数量，详见附件一《委托生产加工清单》</w:t>
      </w:r>
    </w:p>
    <w:p>
      <w:pPr>
        <w:ind w:firstLine="480" w:firstLineChars="200"/>
        <w:jc w:val="center"/>
        <w:rPr>
          <w:rFonts w:hint="eastAsia" w:asciiTheme="minorEastAsia" w:hAnsiTheme="minorEastAsia" w:eastAsiaTheme="minorEastAsia"/>
          <w:highlight w:val="none"/>
        </w:rPr>
      </w:pPr>
      <w:r>
        <w:rPr>
          <w:rFonts w:hint="eastAsia" w:asciiTheme="minorEastAsia" w:hAnsiTheme="minorEastAsia" w:eastAsiaTheme="minorEastAsia"/>
          <w:highlight w:val="none"/>
        </w:rPr>
        <w:t>附件</w:t>
      </w:r>
      <w:r>
        <w:rPr>
          <w:rFonts w:hint="eastAsia" w:asciiTheme="minorEastAsia" w:hAnsiTheme="minorEastAsia" w:eastAsiaTheme="minorEastAsia"/>
          <w:highlight w:val="none"/>
          <w:lang w:val="en-US" w:eastAsia="zh-CN"/>
        </w:rPr>
        <w:t>一</w:t>
      </w:r>
      <w:r>
        <w:rPr>
          <w:rFonts w:hint="eastAsia" w:asciiTheme="minorEastAsia" w:hAnsiTheme="minorEastAsia" w:eastAsiaTheme="minorEastAsia"/>
          <w:highlight w:val="none"/>
        </w:rPr>
        <w:t>：《</w:t>
      </w:r>
      <w:r>
        <w:rPr>
          <w:rFonts w:hint="eastAsia" w:asciiTheme="minorEastAsia" w:hAnsiTheme="minorEastAsia" w:eastAsiaTheme="minorEastAsia"/>
          <w:highlight w:val="none"/>
          <w:lang w:val="en-US" w:eastAsia="zh-CN"/>
        </w:rPr>
        <w:t>委托</w:t>
      </w:r>
      <w:r>
        <w:rPr>
          <w:rFonts w:hint="eastAsia" w:asciiTheme="minorEastAsia" w:hAnsiTheme="minorEastAsia" w:eastAsiaTheme="minorEastAsia"/>
          <w:highlight w:val="none"/>
        </w:rPr>
        <w:t>生产</w:t>
      </w:r>
      <w:r>
        <w:rPr>
          <w:rFonts w:hint="eastAsia" w:asciiTheme="minorEastAsia" w:hAnsiTheme="minorEastAsia" w:eastAsiaTheme="minorEastAsia"/>
          <w:highlight w:val="none"/>
          <w:lang w:val="en-US" w:eastAsia="zh-CN"/>
        </w:rPr>
        <w:t>加工</w:t>
      </w:r>
      <w:r>
        <w:rPr>
          <w:rFonts w:hint="eastAsia" w:asciiTheme="minorEastAsia" w:hAnsiTheme="minorEastAsia" w:eastAsiaTheme="minorEastAsia"/>
          <w:highlight w:val="none"/>
        </w:rPr>
        <w:t>清单》</w:t>
      </w:r>
    </w:p>
    <w:tbl>
      <w:tblPr>
        <w:tblStyle w:val="22"/>
        <w:tblpPr w:leftFromText="180" w:rightFromText="180" w:vertAnchor="text" w:horzAnchor="page" w:tblpX="2125" w:tblpY="430"/>
        <w:tblOverlap w:val="never"/>
        <w:tblW w:w="85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453"/>
        <w:gridCol w:w="2190"/>
        <w:gridCol w:w="1063"/>
        <w:gridCol w:w="1050"/>
        <w:gridCol w:w="1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944" w:type="dxa"/>
            <w:tcBorders>
              <w:tl2br w:val="nil"/>
              <w:tr2bl w:val="nil"/>
            </w:tcBorders>
            <w:shd w:val="clear" w:color="auto" w:fill="auto"/>
            <w:noWrap/>
            <w:vAlign w:val="center"/>
          </w:tcPr>
          <w:p>
            <w:pPr>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序号</w:t>
            </w:r>
          </w:p>
        </w:tc>
        <w:tc>
          <w:tcPr>
            <w:tcW w:w="1453" w:type="dxa"/>
            <w:tcBorders>
              <w:tl2br w:val="nil"/>
              <w:tr2bl w:val="nil"/>
            </w:tcBorders>
            <w:shd w:val="clear" w:color="auto" w:fill="auto"/>
            <w:noWrap/>
            <w:vAlign w:val="center"/>
          </w:tcPr>
          <w:p>
            <w:pPr>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名称</w:t>
            </w:r>
          </w:p>
        </w:tc>
        <w:tc>
          <w:tcPr>
            <w:tcW w:w="2190" w:type="dxa"/>
            <w:tcBorders>
              <w:tl2br w:val="nil"/>
              <w:tr2bl w:val="nil"/>
            </w:tcBorders>
            <w:shd w:val="clear" w:color="auto" w:fill="auto"/>
            <w:noWrap/>
            <w:vAlign w:val="center"/>
          </w:tcPr>
          <w:p>
            <w:pPr>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规格型号</w:t>
            </w:r>
          </w:p>
        </w:tc>
        <w:tc>
          <w:tcPr>
            <w:tcW w:w="1063" w:type="dxa"/>
            <w:tcBorders>
              <w:tl2br w:val="nil"/>
              <w:tr2bl w:val="nil"/>
            </w:tcBorders>
            <w:shd w:val="clear" w:color="auto" w:fill="auto"/>
            <w:noWrap/>
            <w:vAlign w:val="center"/>
          </w:tcPr>
          <w:p>
            <w:pPr>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单位</w:t>
            </w:r>
          </w:p>
        </w:tc>
        <w:tc>
          <w:tcPr>
            <w:tcW w:w="1050" w:type="dxa"/>
            <w:tcBorders>
              <w:tl2br w:val="nil"/>
              <w:tr2bl w:val="nil"/>
            </w:tcBorders>
            <w:shd w:val="clear" w:color="auto" w:fill="auto"/>
            <w:noWrap/>
            <w:vAlign w:val="center"/>
          </w:tcPr>
          <w:p>
            <w:pPr>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数量</w:t>
            </w:r>
          </w:p>
        </w:tc>
        <w:tc>
          <w:tcPr>
            <w:tcW w:w="1862" w:type="dxa"/>
            <w:tcBorders>
              <w:tl2br w:val="nil"/>
              <w:tr2bl w:val="nil"/>
            </w:tcBorders>
            <w:shd w:val="clear" w:color="auto" w:fill="auto"/>
            <w:noWrap/>
            <w:vAlign w:val="center"/>
          </w:tcPr>
          <w:p>
            <w:pPr>
              <w:jc w:val="cente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944" w:type="dxa"/>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1</w:t>
            </w:r>
          </w:p>
        </w:tc>
        <w:tc>
          <w:tcPr>
            <w:tcW w:w="1453" w:type="dxa"/>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车顶货架</w:t>
            </w:r>
          </w:p>
        </w:tc>
        <w:tc>
          <w:tcPr>
            <w:tcW w:w="2190" w:type="dxa"/>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1.8m*1.5m*0.3m</w:t>
            </w:r>
          </w:p>
        </w:tc>
        <w:tc>
          <w:tcPr>
            <w:tcW w:w="1063" w:type="dxa"/>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副</w:t>
            </w:r>
          </w:p>
        </w:tc>
        <w:tc>
          <w:tcPr>
            <w:tcW w:w="1050" w:type="dxa"/>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30</w:t>
            </w:r>
          </w:p>
        </w:tc>
        <w:tc>
          <w:tcPr>
            <w:tcW w:w="1862" w:type="dxa"/>
            <w:tcBorders>
              <w:tl2br w:val="nil"/>
              <w:tr2bl w:val="nil"/>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所列规格型号为大概尺寸，以现场测量为准。</w:t>
            </w:r>
          </w:p>
        </w:tc>
      </w:tr>
    </w:tbl>
    <w:p>
      <w:pPr>
        <w:pStyle w:val="13"/>
        <w:jc w:val="both"/>
      </w:pPr>
    </w:p>
    <w:p>
      <w:pPr>
        <w:pStyle w:val="4"/>
        <w:rPr>
          <w:rFonts w:hint="eastAsia" w:ascii="宋体" w:hAnsi="宋体" w:eastAsia="宋体" w:cs="宋体"/>
          <w:szCs w:val="24"/>
          <w:highlight w:val="none"/>
        </w:rPr>
      </w:pPr>
      <w:r>
        <w:rPr>
          <w:rFonts w:hint="eastAsia" w:ascii="宋体" w:hAnsi="宋体" w:eastAsia="宋体" w:cs="宋体"/>
          <w:szCs w:val="24"/>
          <w:highlight w:val="none"/>
          <w:lang w:eastAsia="zh-CN"/>
        </w:rPr>
        <w:t>加工</w:t>
      </w:r>
      <w:r>
        <w:rPr>
          <w:rFonts w:hint="eastAsia" w:ascii="宋体" w:hAnsi="宋体" w:eastAsia="宋体" w:cs="宋体"/>
          <w:szCs w:val="24"/>
          <w:highlight w:val="none"/>
        </w:rPr>
        <w:t>产品的质量要求</w:t>
      </w:r>
    </w:p>
    <w:p>
      <w:pPr>
        <w:pStyle w:val="27"/>
        <w:rPr>
          <w:rFonts w:hint="eastAsia" w:ascii="宋体" w:hAnsi="宋体" w:eastAsia="宋体" w:cs="宋体"/>
          <w:highlight w:val="none"/>
        </w:rPr>
      </w:pPr>
      <w:r>
        <w:rPr>
          <w:rFonts w:hint="eastAsia" w:ascii="宋体" w:hAnsi="宋体" w:eastAsia="宋体" w:cs="宋体"/>
          <w:highlight w:val="none"/>
        </w:rPr>
        <w:t>乙方应保证</w:t>
      </w:r>
      <w:r>
        <w:rPr>
          <w:rFonts w:hint="eastAsia" w:ascii="宋体" w:hAnsi="宋体" w:eastAsia="宋体" w:cs="宋体"/>
          <w:highlight w:val="none"/>
          <w:lang w:eastAsia="zh-CN"/>
        </w:rPr>
        <w:t>所加工</w:t>
      </w:r>
      <w:r>
        <w:rPr>
          <w:rFonts w:hint="eastAsia" w:ascii="宋体" w:hAnsi="宋体" w:eastAsia="宋体" w:cs="宋体"/>
          <w:highlight w:val="none"/>
        </w:rPr>
        <w:t>产品的技术标准及产品质量要求符合国家标准、行业标准、地方标准、甲方提出的技术要求、货物生产商的产品质量标准、有关部门制定的相关技术规范及符合产品说明书表明的质量</w:t>
      </w:r>
      <w:r>
        <w:rPr>
          <w:rFonts w:hint="eastAsia" w:ascii="宋体" w:hAnsi="宋体" w:eastAsia="宋体" w:cs="宋体"/>
          <w:highlight w:val="none"/>
          <w:lang w:eastAsia="zh-CN"/>
        </w:rPr>
        <w:t>。</w:t>
      </w:r>
    </w:p>
    <w:p>
      <w:pPr>
        <w:pStyle w:val="27"/>
        <w:rPr>
          <w:rFonts w:hint="eastAsia" w:ascii="宋体" w:hAnsi="宋体" w:eastAsia="宋体" w:cs="宋体"/>
          <w:highlight w:val="none"/>
        </w:rPr>
      </w:pPr>
      <w:r>
        <w:rPr>
          <w:rFonts w:hint="eastAsia" w:ascii="宋体" w:hAnsi="宋体" w:eastAsia="宋体" w:cs="宋体"/>
          <w:highlight w:val="none"/>
        </w:rPr>
        <w:t>标的产品的质量合格证书是标的产品不可分割的一部分，乙方在交付标的产品的同时必须同时交付，否则视为乙方未完成交货义务。</w:t>
      </w:r>
    </w:p>
    <w:p>
      <w:pPr>
        <w:pStyle w:val="27"/>
        <w:rPr>
          <w:rFonts w:hint="eastAsia" w:ascii="宋体" w:hAnsi="宋体" w:eastAsia="宋体" w:cs="宋体"/>
          <w:highlight w:val="none"/>
        </w:rPr>
      </w:pPr>
      <w:r>
        <w:rPr>
          <w:rFonts w:hint="eastAsia" w:ascii="宋体" w:hAnsi="宋体" w:eastAsia="宋体" w:cs="宋体"/>
          <w:highlight w:val="none"/>
        </w:rPr>
        <w:t>标的产品及其材料必须符合本</w:t>
      </w:r>
      <w:r>
        <w:rPr>
          <w:rFonts w:hint="eastAsia" w:ascii="宋体" w:hAnsi="宋体" w:eastAsia="宋体" w:cs="宋体"/>
          <w:highlight w:val="none"/>
          <w:lang w:eastAsia="zh-CN"/>
        </w:rPr>
        <w:t>技术规范书</w:t>
      </w:r>
      <w:r>
        <w:rPr>
          <w:rFonts w:hint="eastAsia" w:ascii="宋体" w:hAnsi="宋体" w:eastAsia="宋体" w:cs="宋体"/>
          <w:highlight w:val="none"/>
        </w:rPr>
        <w:t>约定的标准，甲方有权聘请具有检验资质的第三方检验机构对标的产品进行检验，如检验机构出具的检验结果与合同规定的质量要求相符，则验收合格；如检验结果与合同规定的质量要求不符，则验收不合格，乙方</w:t>
      </w:r>
      <w:r>
        <w:rPr>
          <w:rFonts w:hint="eastAsia" w:ascii="宋体" w:hAnsi="宋体" w:eastAsia="宋体" w:cs="宋体"/>
          <w:highlight w:val="none"/>
          <w:lang w:eastAsia="zh-CN"/>
        </w:rPr>
        <w:t>应根据甲方要求整改直至验收合格</w:t>
      </w:r>
      <w:r>
        <w:rPr>
          <w:rFonts w:hint="eastAsia" w:ascii="宋体" w:hAnsi="宋体" w:eastAsia="宋体" w:cs="宋体"/>
          <w:highlight w:val="none"/>
        </w:rPr>
        <w:t>。</w:t>
      </w:r>
    </w:p>
    <w:p>
      <w:pPr>
        <w:pStyle w:val="4"/>
        <w:rPr>
          <w:rFonts w:hint="eastAsia" w:ascii="宋体" w:hAnsi="宋体" w:eastAsia="宋体" w:cs="宋体"/>
          <w:szCs w:val="24"/>
          <w:highlight w:val="none"/>
        </w:rPr>
      </w:pPr>
      <w:r>
        <w:rPr>
          <w:rFonts w:hint="eastAsia" w:ascii="宋体" w:hAnsi="宋体" w:eastAsia="宋体" w:cs="宋体"/>
          <w:szCs w:val="24"/>
          <w:highlight w:val="none"/>
        </w:rPr>
        <w:t>生产进度及期限</w:t>
      </w:r>
    </w:p>
    <w:p>
      <w:pPr>
        <w:pStyle w:val="27"/>
        <w:rPr>
          <w:rFonts w:hint="eastAsia" w:ascii="宋体" w:hAnsi="宋体" w:eastAsia="宋体" w:cs="宋体"/>
          <w:highlight w:val="none"/>
        </w:rPr>
      </w:pPr>
      <w:r>
        <w:rPr>
          <w:rFonts w:hint="eastAsia" w:ascii="宋体" w:hAnsi="宋体" w:eastAsia="宋体" w:cs="宋体"/>
          <w:highlight w:val="none"/>
        </w:rPr>
        <w:t>乙方</w:t>
      </w:r>
      <w:r>
        <w:rPr>
          <w:rFonts w:hint="eastAsia" w:ascii="宋体" w:hAnsi="宋体" w:eastAsia="宋体" w:cs="宋体"/>
          <w:highlight w:val="none"/>
          <w:lang w:eastAsia="zh-CN"/>
        </w:rPr>
        <w:t>加工</w:t>
      </w:r>
      <w:r>
        <w:rPr>
          <w:rFonts w:hint="eastAsia" w:ascii="宋体" w:hAnsi="宋体" w:eastAsia="宋体" w:cs="宋体"/>
          <w:highlight w:val="none"/>
        </w:rPr>
        <w:t>产品的进度要求：</w:t>
      </w:r>
      <w:r>
        <w:rPr>
          <w:rFonts w:hint="eastAsia" w:ascii="宋体" w:hAnsi="宋体" w:eastAsia="宋体" w:cs="宋体"/>
          <w:highlight w:val="none"/>
          <w:lang w:eastAsia="zh-CN"/>
        </w:rPr>
        <w:t>自合同签订之日起</w:t>
      </w:r>
      <w:r>
        <w:rPr>
          <w:rFonts w:hint="eastAsia" w:ascii="宋体" w:hAnsi="宋体" w:eastAsia="宋体" w:cs="宋体"/>
          <w:highlight w:val="none"/>
          <w:lang w:val="en-US" w:eastAsia="zh-CN"/>
        </w:rPr>
        <w:t xml:space="preserve"> 2 个自然月。</w:t>
      </w:r>
    </w:p>
    <w:p>
      <w:pPr>
        <w:pStyle w:val="27"/>
        <w:rPr>
          <w:rFonts w:hint="eastAsia" w:ascii="宋体" w:hAnsi="宋体" w:eastAsia="宋体" w:cs="宋体"/>
          <w:highlight w:val="none"/>
        </w:rPr>
      </w:pPr>
      <w:r>
        <w:rPr>
          <w:rFonts w:hint="eastAsia" w:ascii="宋体" w:hAnsi="宋体" w:eastAsia="宋体" w:cs="宋体"/>
          <w:highlight w:val="none"/>
        </w:rPr>
        <w:t>乙方</w:t>
      </w:r>
      <w:r>
        <w:rPr>
          <w:rFonts w:hint="eastAsia" w:ascii="宋体" w:hAnsi="宋体" w:eastAsia="宋体" w:cs="宋体"/>
          <w:highlight w:val="none"/>
          <w:lang w:eastAsia="zh-CN"/>
        </w:rPr>
        <w:t>安装调试</w:t>
      </w:r>
      <w:r>
        <w:rPr>
          <w:rFonts w:hint="eastAsia" w:ascii="宋体" w:hAnsi="宋体" w:eastAsia="宋体" w:cs="宋体"/>
          <w:highlight w:val="none"/>
        </w:rPr>
        <w:t>产品的期限要求：</w:t>
      </w:r>
      <w:r>
        <w:rPr>
          <w:rFonts w:hint="eastAsia" w:ascii="宋体" w:hAnsi="宋体" w:eastAsia="宋体" w:cs="宋体"/>
          <w:highlight w:val="none"/>
          <w:lang w:eastAsia="zh-CN"/>
        </w:rPr>
        <w:t>自合同签订之日起</w:t>
      </w:r>
      <w:r>
        <w:rPr>
          <w:rFonts w:hint="eastAsia" w:ascii="宋体" w:hAnsi="宋体" w:eastAsia="宋体" w:cs="宋体"/>
          <w:highlight w:val="none"/>
          <w:lang w:val="en-US" w:eastAsia="zh-CN"/>
        </w:rPr>
        <w:t xml:space="preserve"> 3 个自然月。</w:t>
      </w:r>
    </w:p>
    <w:p>
      <w:pPr>
        <w:pStyle w:val="4"/>
        <w:rPr>
          <w:rFonts w:hint="eastAsia" w:ascii="宋体" w:hAnsi="宋体" w:eastAsia="宋体" w:cs="宋体"/>
          <w:szCs w:val="24"/>
          <w:highlight w:val="none"/>
        </w:rPr>
      </w:pPr>
      <w:r>
        <w:rPr>
          <w:rFonts w:hint="eastAsia" w:ascii="宋体" w:hAnsi="宋体" w:eastAsia="宋体" w:cs="宋体"/>
          <w:szCs w:val="24"/>
          <w:highlight w:val="none"/>
        </w:rPr>
        <w:t>加工方式及产品资料</w:t>
      </w:r>
    </w:p>
    <w:p>
      <w:pPr>
        <w:pStyle w:val="27"/>
        <w:rPr>
          <w:rFonts w:hint="eastAsia" w:ascii="宋体" w:hAnsi="宋体" w:eastAsia="宋体" w:cs="宋体"/>
          <w:highlight w:val="none"/>
        </w:rPr>
      </w:pPr>
      <w:r>
        <w:rPr>
          <w:rFonts w:hint="eastAsia" w:ascii="宋体" w:hAnsi="宋体" w:eastAsia="宋体" w:cs="宋体"/>
          <w:highlight w:val="none"/>
        </w:rPr>
        <w:t>乙方加工标的产品的方式为：包工包料，乙方负责加工。</w:t>
      </w:r>
      <w:r>
        <w:rPr>
          <w:rFonts w:hint="eastAsia" w:ascii="宋体" w:hAnsi="宋体" w:eastAsia="宋体" w:cs="宋体"/>
          <w:highlight w:val="none"/>
          <w:lang w:eastAsia="zh-CN"/>
        </w:rPr>
        <w:t>加工的具体尺寸需乙方到现场勘查，根据具体车辆型号及车辆尺寸确定加工产品的具体型号。</w:t>
      </w:r>
    </w:p>
    <w:p>
      <w:pPr>
        <w:pStyle w:val="27"/>
        <w:rPr>
          <w:rFonts w:hint="eastAsia" w:ascii="宋体" w:hAnsi="宋体" w:eastAsia="宋体" w:cs="宋体"/>
          <w:highlight w:val="none"/>
        </w:rPr>
      </w:pPr>
      <w:r>
        <w:rPr>
          <w:rFonts w:hint="eastAsia" w:ascii="宋体" w:hAnsi="宋体" w:eastAsia="宋体" w:cs="宋体"/>
          <w:highlight w:val="none"/>
        </w:rPr>
        <w:t xml:space="preserve">乙方应根据甲方的产品工艺文件及要求进行加工。同时，乙方应在合同签订后 </w:t>
      </w:r>
      <w:r>
        <w:rPr>
          <w:rFonts w:hint="eastAsia" w:ascii="宋体" w:hAnsi="宋体" w:eastAsia="宋体" w:cs="宋体"/>
          <w:highlight w:val="none"/>
          <w:lang w:val="en-US" w:eastAsia="zh-CN"/>
        </w:rPr>
        <w:t>7</w:t>
      </w:r>
      <w:r>
        <w:rPr>
          <w:rFonts w:hint="eastAsia" w:ascii="宋体" w:hAnsi="宋体" w:eastAsia="宋体" w:cs="宋体"/>
          <w:highlight w:val="none"/>
        </w:rPr>
        <w:t xml:space="preserve"> 天内提出生产加工所需资料、数据清单，甲方审核确认后提供。乙方收到资料后应当向甲方提交已收到的资料清单，并在清单上签收确认。</w:t>
      </w:r>
    </w:p>
    <w:p>
      <w:pPr>
        <w:pStyle w:val="27"/>
        <w:rPr>
          <w:rFonts w:hint="eastAsia" w:ascii="宋体" w:hAnsi="宋体" w:eastAsia="宋体" w:cs="宋体"/>
          <w:highlight w:val="none"/>
        </w:rPr>
      </w:pPr>
      <w:r>
        <w:rPr>
          <w:rFonts w:hint="eastAsia" w:ascii="宋体" w:hAnsi="宋体" w:eastAsia="宋体" w:cs="宋体"/>
          <w:highlight w:val="none"/>
        </w:rPr>
        <w:t>乙方根据需要，可要求甲方补充必要的资料、数据，甲方审核确认后提供。乙方收到补充资料后应当向甲方提交已收到的资料清单，并在清单上签收确认。</w:t>
      </w:r>
    </w:p>
    <w:p>
      <w:pPr>
        <w:pStyle w:val="27"/>
        <w:rPr>
          <w:rFonts w:hint="eastAsia" w:ascii="宋体" w:hAnsi="宋体" w:eastAsia="宋体" w:cs="宋体"/>
          <w:highlight w:val="none"/>
        </w:rPr>
      </w:pPr>
      <w:r>
        <w:rPr>
          <w:rFonts w:hint="eastAsia" w:ascii="宋体" w:hAnsi="宋体" w:eastAsia="宋体" w:cs="宋体"/>
          <w:highlight w:val="none"/>
        </w:rPr>
        <w:t>乙方对于甲方提供的资料、数据、原材料等均应当妥善保管，并只能用于本</w:t>
      </w:r>
      <w:r>
        <w:rPr>
          <w:rFonts w:hint="eastAsia" w:ascii="宋体" w:hAnsi="宋体" w:eastAsia="宋体" w:cs="宋体"/>
          <w:highlight w:val="none"/>
          <w:lang w:eastAsia="zh-CN"/>
        </w:rPr>
        <w:t>项目</w:t>
      </w:r>
      <w:r>
        <w:rPr>
          <w:rFonts w:hint="eastAsia" w:ascii="宋体" w:hAnsi="宋体" w:eastAsia="宋体" w:cs="宋体"/>
          <w:highlight w:val="none"/>
        </w:rPr>
        <w:t>下的工作。本</w:t>
      </w:r>
      <w:r>
        <w:rPr>
          <w:rFonts w:hint="eastAsia" w:ascii="宋体" w:hAnsi="宋体" w:eastAsia="宋体" w:cs="宋体"/>
          <w:highlight w:val="none"/>
          <w:lang w:eastAsia="zh-CN"/>
        </w:rPr>
        <w:t>项目竣工验收</w:t>
      </w:r>
      <w:r>
        <w:rPr>
          <w:rFonts w:hint="eastAsia" w:ascii="宋体" w:hAnsi="宋体" w:eastAsia="宋体" w:cs="宋体"/>
          <w:highlight w:val="none"/>
        </w:rPr>
        <w:t>完毕后，乙方应当将上述资料退还给甲方，并不得以复制、扫描、留存等任何方式保存甲方的资料与信息。</w:t>
      </w:r>
    </w:p>
    <w:p>
      <w:pPr>
        <w:pStyle w:val="27"/>
        <w:rPr>
          <w:rFonts w:hint="eastAsia" w:ascii="宋体" w:hAnsi="宋体" w:eastAsia="宋体" w:cs="宋体"/>
          <w:highlight w:val="none"/>
        </w:rPr>
      </w:pPr>
      <w:r>
        <w:rPr>
          <w:rFonts w:hint="eastAsia" w:ascii="宋体" w:hAnsi="宋体" w:eastAsia="宋体" w:cs="宋体"/>
          <w:highlight w:val="none"/>
        </w:rPr>
        <w:t>未经甲方书面同意，乙方不得将因为本项目而了解、取得的甲方资料及文件擅自修改或用于本项目外的其他用途。</w:t>
      </w:r>
    </w:p>
    <w:p>
      <w:pPr>
        <w:pStyle w:val="27"/>
        <w:rPr>
          <w:rFonts w:hint="eastAsia" w:ascii="宋体" w:hAnsi="宋体" w:eastAsia="宋体" w:cs="宋体"/>
          <w:highlight w:val="none"/>
        </w:rPr>
      </w:pPr>
      <w:r>
        <w:rPr>
          <w:rFonts w:hint="eastAsia" w:ascii="宋体" w:hAnsi="宋体" w:eastAsia="宋体" w:cs="宋体"/>
          <w:highlight w:val="none"/>
        </w:rPr>
        <w:t>双方明确：在任何条件下，乙方均不得主张因为甲方提供的资料或者文件不合格而免除其不能提供约定的项目服务成果所应当承担的责任。</w:t>
      </w:r>
    </w:p>
    <w:p>
      <w:pPr>
        <w:pStyle w:val="3"/>
        <w:tabs>
          <w:tab w:val="left" w:pos="0"/>
        </w:tabs>
        <w:rPr>
          <w:rFonts w:hAnsi="宋体" w:cs="宋体"/>
          <w:szCs w:val="24"/>
          <w:highlight w:val="none"/>
        </w:rPr>
      </w:pPr>
      <w:bookmarkStart w:id="10" w:name="_Toc32464"/>
      <w:bookmarkStart w:id="11" w:name="_Toc353115668"/>
      <w:r>
        <w:rPr>
          <w:rFonts w:hint="eastAsia" w:hAnsi="宋体" w:cs="宋体"/>
          <w:szCs w:val="24"/>
          <w:highlight w:val="none"/>
        </w:rPr>
        <w:t>技术服务</w:t>
      </w:r>
      <w:r>
        <w:rPr>
          <w:rFonts w:hint="eastAsia" w:hAnsi="宋体" w:cs="宋体"/>
          <w:szCs w:val="24"/>
          <w:highlight w:val="none"/>
          <w:lang w:eastAsia="zh-CN"/>
        </w:rPr>
        <w:t>要求</w:t>
      </w:r>
      <w:bookmarkEnd w:id="10"/>
    </w:p>
    <w:p>
      <w:pPr>
        <w:pStyle w:val="4"/>
        <w:rPr>
          <w:rFonts w:hint="eastAsia" w:ascii="宋体" w:eastAsia="宋体"/>
          <w:b w:val="0"/>
          <w:bCs w:val="0"/>
          <w:highlight w:val="none"/>
        </w:rPr>
      </w:pPr>
      <w:r>
        <w:rPr>
          <w:rFonts w:hint="eastAsia" w:ascii="宋体" w:eastAsia="宋体"/>
          <w:b w:val="0"/>
          <w:bCs w:val="0"/>
          <w:highlight w:val="none"/>
        </w:rPr>
        <w:t>由乙方负责标的产品</w:t>
      </w:r>
      <w:r>
        <w:rPr>
          <w:rFonts w:hint="eastAsia"/>
          <w:b w:val="0"/>
          <w:bCs w:val="0"/>
          <w:highlight w:val="none"/>
          <w:lang w:eastAsia="zh-CN"/>
        </w:rPr>
        <w:t>加工、上门</w:t>
      </w:r>
      <w:r>
        <w:rPr>
          <w:rFonts w:hint="eastAsia" w:ascii="宋体" w:eastAsia="宋体"/>
          <w:b w:val="0"/>
          <w:bCs w:val="0"/>
          <w:highlight w:val="none"/>
        </w:rPr>
        <w:t>安装调试。</w:t>
      </w:r>
    </w:p>
    <w:p>
      <w:pPr>
        <w:pStyle w:val="4"/>
        <w:rPr>
          <w:rFonts w:hint="eastAsia" w:ascii="宋体" w:eastAsia="宋体"/>
          <w:b w:val="0"/>
          <w:bCs w:val="0"/>
          <w:highlight w:val="none"/>
        </w:rPr>
      </w:pPr>
      <w:r>
        <w:rPr>
          <w:rFonts w:hint="eastAsia" w:ascii="宋体" w:eastAsia="宋体"/>
          <w:b w:val="0"/>
          <w:bCs w:val="0"/>
          <w:highlight w:val="none"/>
        </w:rPr>
        <w:t>乙方应派遣技术熟练、称职的技术人员到</w:t>
      </w:r>
      <w:r>
        <w:rPr>
          <w:rFonts w:hint="eastAsia" w:ascii="宋体" w:eastAsia="宋体"/>
          <w:b w:val="0"/>
          <w:bCs w:val="0"/>
          <w:highlight w:val="none"/>
          <w:lang w:eastAsia="zh-CN"/>
        </w:rPr>
        <w:t>现场</w:t>
      </w:r>
      <w:r>
        <w:rPr>
          <w:rFonts w:hint="eastAsia" w:ascii="宋体" w:eastAsia="宋体"/>
          <w:b w:val="0"/>
          <w:bCs w:val="0"/>
          <w:highlight w:val="none"/>
        </w:rPr>
        <w:t>为</w:t>
      </w:r>
      <w:r>
        <w:rPr>
          <w:rFonts w:hint="eastAsia" w:ascii="宋体" w:eastAsia="宋体"/>
          <w:b w:val="0"/>
          <w:bCs w:val="0"/>
          <w:highlight w:val="none"/>
          <w:lang w:eastAsia="zh-CN"/>
        </w:rPr>
        <w:t>甲方</w:t>
      </w:r>
      <w:r>
        <w:rPr>
          <w:rFonts w:hint="eastAsia" w:ascii="宋体" w:eastAsia="宋体"/>
          <w:b w:val="0"/>
          <w:bCs w:val="0"/>
          <w:highlight w:val="none"/>
        </w:rPr>
        <w:t>提供安装/调试等服务</w:t>
      </w:r>
      <w:r>
        <w:rPr>
          <w:rFonts w:hint="eastAsia" w:ascii="宋体" w:eastAsia="宋体"/>
          <w:b w:val="0"/>
          <w:bCs w:val="0"/>
          <w:highlight w:val="none"/>
          <w:lang w:eastAsia="zh-CN"/>
        </w:rPr>
        <w:t>，当现场无法满足</w:t>
      </w:r>
      <w:r>
        <w:rPr>
          <w:rFonts w:hint="eastAsia" w:ascii="宋体" w:eastAsia="宋体"/>
          <w:b w:val="0"/>
          <w:bCs w:val="0"/>
          <w:highlight w:val="none"/>
        </w:rPr>
        <w:t>安装/调试等服务</w:t>
      </w:r>
      <w:r>
        <w:rPr>
          <w:rFonts w:hint="eastAsia" w:ascii="宋体" w:eastAsia="宋体"/>
          <w:b w:val="0"/>
          <w:bCs w:val="0"/>
          <w:highlight w:val="none"/>
          <w:lang w:eastAsia="zh-CN"/>
        </w:rPr>
        <w:t>要求时，乙方应提供场地和安装所需的工器具完成安装</w:t>
      </w:r>
      <w:r>
        <w:rPr>
          <w:rFonts w:hint="eastAsia" w:ascii="宋体" w:eastAsia="宋体"/>
          <w:b w:val="0"/>
          <w:bCs w:val="0"/>
          <w:highlight w:val="none"/>
        </w:rPr>
        <w:t>/调试</w:t>
      </w:r>
      <w:r>
        <w:rPr>
          <w:rFonts w:hint="eastAsia" w:ascii="宋体" w:eastAsia="宋体"/>
          <w:b w:val="0"/>
          <w:bCs w:val="0"/>
          <w:highlight w:val="none"/>
          <w:lang w:eastAsia="zh-CN"/>
        </w:rPr>
        <w:t>服务。</w:t>
      </w:r>
    </w:p>
    <w:p>
      <w:pPr>
        <w:pStyle w:val="4"/>
        <w:rPr>
          <w:rFonts w:hint="eastAsia" w:ascii="宋体" w:eastAsia="宋体"/>
          <w:b w:val="0"/>
          <w:bCs w:val="0"/>
          <w:highlight w:val="none"/>
        </w:rPr>
      </w:pPr>
      <w:r>
        <w:rPr>
          <w:rFonts w:hint="eastAsia" w:ascii="宋体" w:eastAsia="宋体"/>
          <w:b w:val="0"/>
          <w:bCs w:val="0"/>
          <w:highlight w:val="none"/>
        </w:rPr>
        <w:t>乙方技术人员的交通、食宿费用由乙方承担。</w:t>
      </w:r>
    </w:p>
    <w:p>
      <w:pPr>
        <w:pStyle w:val="4"/>
        <w:rPr>
          <w:rFonts w:hint="eastAsia" w:ascii="宋体" w:eastAsia="宋体"/>
          <w:b w:val="0"/>
          <w:bCs w:val="0"/>
          <w:highlight w:val="none"/>
        </w:rPr>
      </w:pPr>
      <w:r>
        <w:rPr>
          <w:rFonts w:hint="eastAsia" w:ascii="宋体" w:eastAsia="宋体"/>
          <w:b w:val="0"/>
          <w:bCs w:val="0"/>
          <w:highlight w:val="none"/>
        </w:rPr>
        <w:t>乙方技术人员应遵守</w:t>
      </w:r>
      <w:r>
        <w:rPr>
          <w:rFonts w:hint="eastAsia" w:ascii="宋体" w:eastAsia="宋体"/>
          <w:b w:val="0"/>
          <w:bCs w:val="0"/>
          <w:highlight w:val="none"/>
          <w:lang w:eastAsia="zh-CN"/>
        </w:rPr>
        <w:t>甲方</w:t>
      </w:r>
      <w:r>
        <w:rPr>
          <w:rFonts w:hint="eastAsia" w:ascii="宋体" w:eastAsia="宋体"/>
          <w:b w:val="0"/>
          <w:bCs w:val="0"/>
          <w:highlight w:val="none"/>
        </w:rPr>
        <w:t>的各项规章制度和安全操作规程，并服从甲方现场管理。</w:t>
      </w:r>
    </w:p>
    <w:p>
      <w:pPr>
        <w:pStyle w:val="4"/>
        <w:rPr>
          <w:rFonts w:hAnsi="宋体" w:cs="宋体"/>
          <w:highlight w:val="none"/>
        </w:rPr>
      </w:pPr>
      <w:r>
        <w:rPr>
          <w:rFonts w:hint="eastAsia" w:ascii="宋体" w:eastAsia="宋体"/>
          <w:b w:val="0"/>
          <w:bCs w:val="0"/>
          <w:highlight w:val="none"/>
        </w:rPr>
        <w:t>如果任何技术人员不合格，甲方有权要求乙方撤换，因撤换而产生的费用应由乙方承担。在不影响技术服务并且征得甲方和买家同意的条件下，乙方也可自负费用更换其技术人员。</w:t>
      </w:r>
      <w:bookmarkEnd w:id="11"/>
    </w:p>
    <w:p>
      <w:pPr>
        <w:pStyle w:val="4"/>
        <w:rPr>
          <w:rFonts w:hAnsi="宋体" w:cs="宋体"/>
          <w:szCs w:val="24"/>
          <w:highlight w:val="none"/>
        </w:rPr>
      </w:pPr>
      <w:r>
        <w:rPr>
          <w:rFonts w:hint="eastAsia" w:hAnsi="宋体" w:cs="宋体"/>
          <w:szCs w:val="24"/>
          <w:highlight w:val="none"/>
          <w:lang w:eastAsia="zh-CN"/>
        </w:rPr>
        <w:t>招</w:t>
      </w:r>
      <w:r>
        <w:rPr>
          <w:rFonts w:hint="eastAsia" w:hAnsi="宋体" w:cs="宋体"/>
          <w:szCs w:val="24"/>
          <w:highlight w:val="none"/>
        </w:rPr>
        <w:t>标方需要说明的其它问题</w:t>
      </w:r>
    </w:p>
    <w:p>
      <w:pPr>
        <w:rPr>
          <w:rFonts w:hint="eastAsia" w:ascii="宋体" w:hAnsi="Arial" w:eastAsia="宋体" w:cs="Times New Roman"/>
          <w:b w:val="0"/>
          <w:bCs w:val="0"/>
          <w:kern w:val="2"/>
          <w:sz w:val="24"/>
          <w:szCs w:val="32"/>
          <w:highlight w:val="none"/>
          <w:lang w:val="en-US" w:eastAsia="zh-CN" w:bidi="ar-SA"/>
        </w:rPr>
      </w:pPr>
      <w:r>
        <w:rPr>
          <w:rFonts w:hint="eastAsia" w:ascii="宋体" w:hAnsi="Arial" w:eastAsia="宋体" w:cs="Times New Roman"/>
          <w:b w:val="0"/>
          <w:bCs w:val="0"/>
          <w:kern w:val="2"/>
          <w:sz w:val="24"/>
          <w:szCs w:val="32"/>
          <w:highlight w:val="none"/>
          <w:lang w:val="en-US" w:eastAsia="zh-CN" w:bidi="ar-SA"/>
        </w:rPr>
        <w:t>因</w:t>
      </w:r>
      <w:r>
        <w:rPr>
          <w:rFonts w:hint="eastAsia" w:hAnsi="Arial" w:cs="Times New Roman"/>
          <w:b w:val="0"/>
          <w:bCs w:val="0"/>
          <w:kern w:val="2"/>
          <w:sz w:val="24"/>
          <w:szCs w:val="32"/>
          <w:highlight w:val="none"/>
          <w:lang w:val="en-US" w:eastAsia="zh-CN" w:bidi="ar-SA"/>
        </w:rPr>
        <w:t>测量、安装调试服务</w:t>
      </w:r>
      <w:r>
        <w:rPr>
          <w:rFonts w:hint="eastAsia" w:ascii="宋体" w:eastAsia="宋体"/>
          <w:b w:val="0"/>
          <w:bCs w:val="0"/>
          <w:highlight w:val="none"/>
        </w:rPr>
        <w:t>由</w:t>
      </w:r>
      <w:r>
        <w:rPr>
          <w:rFonts w:hint="eastAsia" w:hAnsi="Arial" w:cs="Times New Roman"/>
          <w:b w:val="0"/>
          <w:bCs w:val="0"/>
          <w:kern w:val="2"/>
          <w:sz w:val="24"/>
          <w:szCs w:val="32"/>
          <w:highlight w:val="none"/>
          <w:lang w:val="en-US" w:eastAsia="zh-CN" w:bidi="ar-SA"/>
        </w:rPr>
        <w:t>乙方</w:t>
      </w:r>
      <w:r>
        <w:rPr>
          <w:rFonts w:hint="eastAsia" w:ascii="宋体" w:eastAsia="宋体"/>
          <w:b w:val="0"/>
          <w:bCs w:val="0"/>
          <w:highlight w:val="none"/>
        </w:rPr>
        <w:t>提供现场服务。</w:t>
      </w:r>
      <w:r>
        <w:rPr>
          <w:rFonts w:hint="eastAsia"/>
          <w:b w:val="0"/>
          <w:bCs w:val="0"/>
          <w:highlight w:val="none"/>
          <w:lang w:eastAsia="zh-CN"/>
        </w:rPr>
        <w:t>因</w:t>
      </w:r>
      <w:r>
        <w:rPr>
          <w:rFonts w:hint="eastAsia" w:ascii="宋体" w:hAnsi="Arial" w:eastAsia="宋体" w:cs="Times New Roman"/>
          <w:b w:val="0"/>
          <w:bCs w:val="0"/>
          <w:kern w:val="2"/>
          <w:sz w:val="24"/>
          <w:szCs w:val="32"/>
          <w:highlight w:val="none"/>
          <w:lang w:val="en-US" w:eastAsia="zh-CN" w:bidi="ar-SA"/>
        </w:rPr>
        <w:t>甲方车辆停放地址位于</w:t>
      </w:r>
      <w:r>
        <w:rPr>
          <w:rFonts w:hint="eastAsia" w:hAnsi="Arial" w:cs="Times New Roman"/>
          <w:b w:val="0"/>
          <w:bCs w:val="0"/>
          <w:kern w:val="2"/>
          <w:sz w:val="24"/>
          <w:szCs w:val="32"/>
          <w:highlight w:val="none"/>
          <w:lang w:val="en-US" w:eastAsia="zh-CN" w:bidi="ar-SA"/>
        </w:rPr>
        <w:t>柳州市各县区乡镇供电所，距离市区路程较远，</w:t>
      </w:r>
      <w:r>
        <w:rPr>
          <w:rFonts w:hint="eastAsia"/>
          <w:b w:val="0"/>
          <w:bCs w:val="0"/>
          <w:highlight w:val="none"/>
          <w:lang w:eastAsia="zh-CN"/>
        </w:rPr>
        <w:t>乙方报价费用</w:t>
      </w:r>
      <w:bookmarkStart w:id="12" w:name="_GoBack"/>
      <w:r>
        <w:rPr>
          <w:rFonts w:hint="eastAsia"/>
          <w:b w:val="0"/>
          <w:bCs w:val="0"/>
          <w:highlight w:val="none"/>
          <w:lang w:eastAsia="zh-CN"/>
        </w:rPr>
        <w:t>包括</w:t>
      </w:r>
      <w:r>
        <w:rPr>
          <w:rFonts w:hint="eastAsia" w:ascii="宋体" w:eastAsia="宋体"/>
          <w:b w:val="0"/>
          <w:bCs w:val="0"/>
          <w:highlight w:val="none"/>
        </w:rPr>
        <w:t>乙方技术人员的交通、食宿费用</w:t>
      </w:r>
      <w:r>
        <w:rPr>
          <w:rFonts w:hint="eastAsia"/>
          <w:b w:val="0"/>
          <w:bCs w:val="0"/>
          <w:highlight w:val="none"/>
          <w:lang w:eastAsia="zh-CN"/>
        </w:rPr>
        <w:t>、</w:t>
      </w:r>
      <w:r>
        <w:rPr>
          <w:rFonts w:hint="eastAsia" w:ascii="宋体" w:eastAsia="宋体"/>
          <w:b w:val="0"/>
          <w:bCs w:val="0"/>
          <w:highlight w:val="none"/>
        </w:rPr>
        <w:t>管理费、工作调查费各种协调费及税金等，由投标人自行测定并计入投标报价（</w:t>
      </w:r>
      <w:r>
        <w:rPr>
          <w:rFonts w:hint="eastAsia"/>
          <w:b w:val="0"/>
          <w:bCs w:val="0"/>
          <w:highlight w:val="none"/>
          <w:lang w:eastAsia="zh-CN"/>
        </w:rPr>
        <w:t>总价</w:t>
      </w:r>
      <w:r>
        <w:rPr>
          <w:rFonts w:hint="eastAsia" w:ascii="宋体" w:eastAsia="宋体"/>
          <w:b w:val="0"/>
          <w:bCs w:val="0"/>
          <w:highlight w:val="none"/>
        </w:rPr>
        <w:t>），结算时不另行计算。</w:t>
      </w:r>
    </w:p>
    <w:bookmarkEnd w:id="12"/>
    <w:sectPr>
      <w:headerReference r:id="rId7" w:type="default"/>
      <w:footerReference r:id="rId8" w:type="default"/>
      <w:pgSz w:w="11906" w:h="16838"/>
      <w:pgMar w:top="1440" w:right="1797" w:bottom="1440" w:left="1797"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_GBK">
    <w:altName w:val="微软雅黑"/>
    <w:panose1 w:val="03000509000000000000"/>
    <w:charset w:val="86"/>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drawing>
        <wp:inline distT="0" distB="0" distL="0" distR="0">
          <wp:extent cx="1561465" cy="267335"/>
          <wp:effectExtent l="0" t="0" r="635" b="0"/>
          <wp:docPr id="1" name="图片 1" descr="说明: 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ttt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561465" cy="2673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pStyle w:val="3"/>
      <w:suff w:val="space"/>
      <w:lvlText w:val="%1."/>
      <w:lvlJc w:val="left"/>
      <w:pPr>
        <w:ind w:left="0" w:firstLine="0"/>
      </w:pPr>
      <w:rPr>
        <w:rFonts w:hint="eastAsia"/>
      </w:rPr>
    </w:lvl>
    <w:lvl w:ilvl="1" w:tentative="0">
      <w:start w:val="1"/>
      <w:numFmt w:val="decimal"/>
      <w:pStyle w:val="4"/>
      <w:isLgl/>
      <w:suff w:val="space"/>
      <w:lvlText w:val="%1.%2"/>
      <w:lvlJc w:val="left"/>
      <w:pPr>
        <w:ind w:left="0" w:firstLine="0"/>
      </w:pPr>
      <w:rPr>
        <w:rFonts w:hint="eastAsia"/>
        <w:color w:val="auto"/>
      </w:rPr>
    </w:lvl>
    <w:lvl w:ilvl="2" w:tentative="0">
      <w:start w:val="1"/>
      <w:numFmt w:val="decimal"/>
      <w:pStyle w:val="27"/>
      <w:isLgl/>
      <w:suff w:val="space"/>
      <w:lvlText w:val="%1.%2.%3"/>
      <w:lvlJc w:val="left"/>
      <w:pPr>
        <w:ind w:left="0" w:firstLine="0"/>
      </w:pPr>
      <w:rPr>
        <w:rFonts w:hint="eastAsia"/>
        <w:b/>
        <w:i w:val="0"/>
        <w:color w:val="auto"/>
        <w:sz w:val="24"/>
        <w:szCs w:val="28"/>
      </w:rPr>
    </w:lvl>
    <w:lvl w:ilvl="3" w:tentative="0">
      <w:start w:val="1"/>
      <w:numFmt w:val="decimal"/>
      <w:pStyle w:val="7"/>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wMTUyMTgwOWNhZjI5MzE4NzgzNTQ0MjBlMDlmYTQifQ=="/>
  </w:docVars>
  <w:rsids>
    <w:rsidRoot w:val="00172A27"/>
    <w:rsid w:val="00002D54"/>
    <w:rsid w:val="000052CC"/>
    <w:rsid w:val="00006612"/>
    <w:rsid w:val="0000722B"/>
    <w:rsid w:val="000075C2"/>
    <w:rsid w:val="00017F07"/>
    <w:rsid w:val="00020EA9"/>
    <w:rsid w:val="000232A3"/>
    <w:rsid w:val="00025423"/>
    <w:rsid w:val="00025656"/>
    <w:rsid w:val="00027642"/>
    <w:rsid w:val="00030E79"/>
    <w:rsid w:val="0003254D"/>
    <w:rsid w:val="00033F7B"/>
    <w:rsid w:val="000362F0"/>
    <w:rsid w:val="000366BD"/>
    <w:rsid w:val="000369F9"/>
    <w:rsid w:val="00037C3B"/>
    <w:rsid w:val="00037E33"/>
    <w:rsid w:val="00040969"/>
    <w:rsid w:val="00044E83"/>
    <w:rsid w:val="00045C4E"/>
    <w:rsid w:val="000461AC"/>
    <w:rsid w:val="00046413"/>
    <w:rsid w:val="0005273C"/>
    <w:rsid w:val="00060C38"/>
    <w:rsid w:val="00061AF8"/>
    <w:rsid w:val="00063778"/>
    <w:rsid w:val="00066C5F"/>
    <w:rsid w:val="00072918"/>
    <w:rsid w:val="00073BA7"/>
    <w:rsid w:val="0008118D"/>
    <w:rsid w:val="000812B6"/>
    <w:rsid w:val="00082960"/>
    <w:rsid w:val="0008708E"/>
    <w:rsid w:val="000874B8"/>
    <w:rsid w:val="00093FFD"/>
    <w:rsid w:val="000A0AC8"/>
    <w:rsid w:val="000A130C"/>
    <w:rsid w:val="000A2057"/>
    <w:rsid w:val="000A651B"/>
    <w:rsid w:val="000B1195"/>
    <w:rsid w:val="000B180B"/>
    <w:rsid w:val="000B2E75"/>
    <w:rsid w:val="000C4FB6"/>
    <w:rsid w:val="000C6808"/>
    <w:rsid w:val="000C6881"/>
    <w:rsid w:val="000C72B5"/>
    <w:rsid w:val="000D06AF"/>
    <w:rsid w:val="000D3950"/>
    <w:rsid w:val="000D3F2A"/>
    <w:rsid w:val="000D5726"/>
    <w:rsid w:val="000E22DC"/>
    <w:rsid w:val="000E26C4"/>
    <w:rsid w:val="000E4125"/>
    <w:rsid w:val="000E60FF"/>
    <w:rsid w:val="000E6D93"/>
    <w:rsid w:val="000E7363"/>
    <w:rsid w:val="000F00CA"/>
    <w:rsid w:val="000F1C34"/>
    <w:rsid w:val="000F35ED"/>
    <w:rsid w:val="000F7F60"/>
    <w:rsid w:val="0010212F"/>
    <w:rsid w:val="0010525E"/>
    <w:rsid w:val="001074C6"/>
    <w:rsid w:val="00107B8A"/>
    <w:rsid w:val="00114F63"/>
    <w:rsid w:val="00115F74"/>
    <w:rsid w:val="00115F79"/>
    <w:rsid w:val="001234E4"/>
    <w:rsid w:val="00127AE9"/>
    <w:rsid w:val="00127D12"/>
    <w:rsid w:val="001323CE"/>
    <w:rsid w:val="0013271E"/>
    <w:rsid w:val="00132B0C"/>
    <w:rsid w:val="001340F8"/>
    <w:rsid w:val="00137EBC"/>
    <w:rsid w:val="00141E44"/>
    <w:rsid w:val="00150326"/>
    <w:rsid w:val="00150EFE"/>
    <w:rsid w:val="00154F2B"/>
    <w:rsid w:val="001551C6"/>
    <w:rsid w:val="001577CF"/>
    <w:rsid w:val="001641C0"/>
    <w:rsid w:val="0016562E"/>
    <w:rsid w:val="00172A27"/>
    <w:rsid w:val="00173E2E"/>
    <w:rsid w:val="0017691D"/>
    <w:rsid w:val="00176DA7"/>
    <w:rsid w:val="00176F9E"/>
    <w:rsid w:val="00181F98"/>
    <w:rsid w:val="001840ED"/>
    <w:rsid w:val="00187120"/>
    <w:rsid w:val="001915DA"/>
    <w:rsid w:val="001926FA"/>
    <w:rsid w:val="00195302"/>
    <w:rsid w:val="0019639D"/>
    <w:rsid w:val="00196D17"/>
    <w:rsid w:val="001A4975"/>
    <w:rsid w:val="001A734E"/>
    <w:rsid w:val="001B0C54"/>
    <w:rsid w:val="001B1CE7"/>
    <w:rsid w:val="001C156E"/>
    <w:rsid w:val="001C1F69"/>
    <w:rsid w:val="001C2450"/>
    <w:rsid w:val="001D2162"/>
    <w:rsid w:val="001D489B"/>
    <w:rsid w:val="001D77CE"/>
    <w:rsid w:val="001D798F"/>
    <w:rsid w:val="001E6D82"/>
    <w:rsid w:val="001F405E"/>
    <w:rsid w:val="002020A8"/>
    <w:rsid w:val="00203DEA"/>
    <w:rsid w:val="00207210"/>
    <w:rsid w:val="0020758F"/>
    <w:rsid w:val="00211288"/>
    <w:rsid w:val="0021351E"/>
    <w:rsid w:val="00213836"/>
    <w:rsid w:val="00213C51"/>
    <w:rsid w:val="00213DD1"/>
    <w:rsid w:val="00214B7B"/>
    <w:rsid w:val="00215816"/>
    <w:rsid w:val="00215B8C"/>
    <w:rsid w:val="002251ED"/>
    <w:rsid w:val="00225DBD"/>
    <w:rsid w:val="00226CCD"/>
    <w:rsid w:val="00235613"/>
    <w:rsid w:val="00236822"/>
    <w:rsid w:val="00237804"/>
    <w:rsid w:val="0024204F"/>
    <w:rsid w:val="0024353A"/>
    <w:rsid w:val="00245D92"/>
    <w:rsid w:val="00251F54"/>
    <w:rsid w:val="00253AE0"/>
    <w:rsid w:val="00253C85"/>
    <w:rsid w:val="00256155"/>
    <w:rsid w:val="002577A4"/>
    <w:rsid w:val="002614A6"/>
    <w:rsid w:val="0026202A"/>
    <w:rsid w:val="00262059"/>
    <w:rsid w:val="00267869"/>
    <w:rsid w:val="00270A35"/>
    <w:rsid w:val="00274B93"/>
    <w:rsid w:val="00275EF7"/>
    <w:rsid w:val="002771CD"/>
    <w:rsid w:val="00280D66"/>
    <w:rsid w:val="0028273C"/>
    <w:rsid w:val="0028573D"/>
    <w:rsid w:val="00286012"/>
    <w:rsid w:val="002908EB"/>
    <w:rsid w:val="00293087"/>
    <w:rsid w:val="00293163"/>
    <w:rsid w:val="00297918"/>
    <w:rsid w:val="002A00E5"/>
    <w:rsid w:val="002A3589"/>
    <w:rsid w:val="002A7364"/>
    <w:rsid w:val="002B4864"/>
    <w:rsid w:val="002B4D4C"/>
    <w:rsid w:val="002B6473"/>
    <w:rsid w:val="002C0593"/>
    <w:rsid w:val="002C5B17"/>
    <w:rsid w:val="002D011D"/>
    <w:rsid w:val="002D0B89"/>
    <w:rsid w:val="002D0D27"/>
    <w:rsid w:val="002D576C"/>
    <w:rsid w:val="002E2646"/>
    <w:rsid w:val="002E4DAC"/>
    <w:rsid w:val="002E6254"/>
    <w:rsid w:val="002E7795"/>
    <w:rsid w:val="002F14FE"/>
    <w:rsid w:val="002F4666"/>
    <w:rsid w:val="002F4F04"/>
    <w:rsid w:val="002F743C"/>
    <w:rsid w:val="00307269"/>
    <w:rsid w:val="003148B7"/>
    <w:rsid w:val="003155B1"/>
    <w:rsid w:val="00316724"/>
    <w:rsid w:val="00316F09"/>
    <w:rsid w:val="0031714F"/>
    <w:rsid w:val="00321B27"/>
    <w:rsid w:val="00323CB1"/>
    <w:rsid w:val="00323E52"/>
    <w:rsid w:val="003259FB"/>
    <w:rsid w:val="00326010"/>
    <w:rsid w:val="00327272"/>
    <w:rsid w:val="00334CBD"/>
    <w:rsid w:val="00335410"/>
    <w:rsid w:val="00335D99"/>
    <w:rsid w:val="00340237"/>
    <w:rsid w:val="00340564"/>
    <w:rsid w:val="00340C62"/>
    <w:rsid w:val="003447DF"/>
    <w:rsid w:val="003458EB"/>
    <w:rsid w:val="00353FB5"/>
    <w:rsid w:val="003552C4"/>
    <w:rsid w:val="00356CB2"/>
    <w:rsid w:val="003616C4"/>
    <w:rsid w:val="00362BB9"/>
    <w:rsid w:val="00367FAD"/>
    <w:rsid w:val="00370A2C"/>
    <w:rsid w:val="00374BD0"/>
    <w:rsid w:val="00376BF6"/>
    <w:rsid w:val="00384F5C"/>
    <w:rsid w:val="00390D7B"/>
    <w:rsid w:val="00390F58"/>
    <w:rsid w:val="00391A82"/>
    <w:rsid w:val="0039324F"/>
    <w:rsid w:val="00393B04"/>
    <w:rsid w:val="00393B33"/>
    <w:rsid w:val="00394D97"/>
    <w:rsid w:val="003964DA"/>
    <w:rsid w:val="00396901"/>
    <w:rsid w:val="00397F44"/>
    <w:rsid w:val="003B3F43"/>
    <w:rsid w:val="003B4E21"/>
    <w:rsid w:val="003C259A"/>
    <w:rsid w:val="003C441B"/>
    <w:rsid w:val="003C45FD"/>
    <w:rsid w:val="003D0F76"/>
    <w:rsid w:val="003D4003"/>
    <w:rsid w:val="003E26AA"/>
    <w:rsid w:val="003E5080"/>
    <w:rsid w:val="003F2B30"/>
    <w:rsid w:val="003F37A1"/>
    <w:rsid w:val="003F73DC"/>
    <w:rsid w:val="004030AF"/>
    <w:rsid w:val="00404524"/>
    <w:rsid w:val="00407300"/>
    <w:rsid w:val="00407841"/>
    <w:rsid w:val="00407F2E"/>
    <w:rsid w:val="00412F2B"/>
    <w:rsid w:val="00413327"/>
    <w:rsid w:val="004142C5"/>
    <w:rsid w:val="004164D5"/>
    <w:rsid w:val="00421D8E"/>
    <w:rsid w:val="004236F5"/>
    <w:rsid w:val="00423F8D"/>
    <w:rsid w:val="00426475"/>
    <w:rsid w:val="004317DA"/>
    <w:rsid w:val="004332CF"/>
    <w:rsid w:val="00433DBD"/>
    <w:rsid w:val="0043515E"/>
    <w:rsid w:val="00435D55"/>
    <w:rsid w:val="00436147"/>
    <w:rsid w:val="004361C5"/>
    <w:rsid w:val="0043770A"/>
    <w:rsid w:val="0044414E"/>
    <w:rsid w:val="00445E82"/>
    <w:rsid w:val="00446039"/>
    <w:rsid w:val="00451405"/>
    <w:rsid w:val="00460DCC"/>
    <w:rsid w:val="00461096"/>
    <w:rsid w:val="004670CD"/>
    <w:rsid w:val="00480830"/>
    <w:rsid w:val="00480C16"/>
    <w:rsid w:val="00483351"/>
    <w:rsid w:val="00483FF7"/>
    <w:rsid w:val="00491B87"/>
    <w:rsid w:val="00491F9D"/>
    <w:rsid w:val="00492327"/>
    <w:rsid w:val="004977ED"/>
    <w:rsid w:val="004A0A3A"/>
    <w:rsid w:val="004A1003"/>
    <w:rsid w:val="004A1710"/>
    <w:rsid w:val="004A17DF"/>
    <w:rsid w:val="004A1D01"/>
    <w:rsid w:val="004A3236"/>
    <w:rsid w:val="004A3917"/>
    <w:rsid w:val="004A7407"/>
    <w:rsid w:val="004B03F4"/>
    <w:rsid w:val="004B2056"/>
    <w:rsid w:val="004B2499"/>
    <w:rsid w:val="004B3ADC"/>
    <w:rsid w:val="004C23C7"/>
    <w:rsid w:val="004C2D0C"/>
    <w:rsid w:val="004C3012"/>
    <w:rsid w:val="004C31B0"/>
    <w:rsid w:val="004C5D1C"/>
    <w:rsid w:val="004C6A7B"/>
    <w:rsid w:val="004D45AE"/>
    <w:rsid w:val="004D4656"/>
    <w:rsid w:val="004D5A52"/>
    <w:rsid w:val="004E2F87"/>
    <w:rsid w:val="004E4E73"/>
    <w:rsid w:val="004E5897"/>
    <w:rsid w:val="004F3907"/>
    <w:rsid w:val="004F4965"/>
    <w:rsid w:val="004F552C"/>
    <w:rsid w:val="0050086A"/>
    <w:rsid w:val="005021CE"/>
    <w:rsid w:val="00504E54"/>
    <w:rsid w:val="00506DC8"/>
    <w:rsid w:val="005104CB"/>
    <w:rsid w:val="00511285"/>
    <w:rsid w:val="005148F5"/>
    <w:rsid w:val="005207B3"/>
    <w:rsid w:val="00521A10"/>
    <w:rsid w:val="005269C1"/>
    <w:rsid w:val="0053179E"/>
    <w:rsid w:val="00531ADC"/>
    <w:rsid w:val="005322B9"/>
    <w:rsid w:val="00536018"/>
    <w:rsid w:val="00540AF8"/>
    <w:rsid w:val="00542247"/>
    <w:rsid w:val="00542500"/>
    <w:rsid w:val="0054553F"/>
    <w:rsid w:val="00553E99"/>
    <w:rsid w:val="00554B03"/>
    <w:rsid w:val="00560327"/>
    <w:rsid w:val="00562813"/>
    <w:rsid w:val="00562D96"/>
    <w:rsid w:val="00566BAC"/>
    <w:rsid w:val="00571355"/>
    <w:rsid w:val="00571A2B"/>
    <w:rsid w:val="00571B3A"/>
    <w:rsid w:val="00577868"/>
    <w:rsid w:val="005852B9"/>
    <w:rsid w:val="00586379"/>
    <w:rsid w:val="005928C8"/>
    <w:rsid w:val="00593557"/>
    <w:rsid w:val="00596D39"/>
    <w:rsid w:val="005A752D"/>
    <w:rsid w:val="005B1B55"/>
    <w:rsid w:val="005B43FB"/>
    <w:rsid w:val="005B5A16"/>
    <w:rsid w:val="005B5E72"/>
    <w:rsid w:val="005B63BA"/>
    <w:rsid w:val="005C0AC1"/>
    <w:rsid w:val="005C0FDC"/>
    <w:rsid w:val="005C355E"/>
    <w:rsid w:val="005C3BE9"/>
    <w:rsid w:val="005D04D6"/>
    <w:rsid w:val="005D2BFD"/>
    <w:rsid w:val="005D2C62"/>
    <w:rsid w:val="005D4306"/>
    <w:rsid w:val="005D59BA"/>
    <w:rsid w:val="005E09D4"/>
    <w:rsid w:val="005E33DA"/>
    <w:rsid w:val="005E427D"/>
    <w:rsid w:val="005E6B17"/>
    <w:rsid w:val="005E7DB1"/>
    <w:rsid w:val="005F1E59"/>
    <w:rsid w:val="005F390B"/>
    <w:rsid w:val="00600CB4"/>
    <w:rsid w:val="00601F0A"/>
    <w:rsid w:val="00604109"/>
    <w:rsid w:val="006130E9"/>
    <w:rsid w:val="00613DDC"/>
    <w:rsid w:val="0062518D"/>
    <w:rsid w:val="0063039C"/>
    <w:rsid w:val="00632ED3"/>
    <w:rsid w:val="00644277"/>
    <w:rsid w:val="00645CC1"/>
    <w:rsid w:val="006468D4"/>
    <w:rsid w:val="00650312"/>
    <w:rsid w:val="0065051B"/>
    <w:rsid w:val="006506D2"/>
    <w:rsid w:val="00652D47"/>
    <w:rsid w:val="00657607"/>
    <w:rsid w:val="00660FE1"/>
    <w:rsid w:val="0066677A"/>
    <w:rsid w:val="00666E2B"/>
    <w:rsid w:val="0066732B"/>
    <w:rsid w:val="00667F35"/>
    <w:rsid w:val="00671DCD"/>
    <w:rsid w:val="006744B5"/>
    <w:rsid w:val="0067616B"/>
    <w:rsid w:val="006761D0"/>
    <w:rsid w:val="006800B5"/>
    <w:rsid w:val="00681303"/>
    <w:rsid w:val="00684322"/>
    <w:rsid w:val="00685A38"/>
    <w:rsid w:val="00685D9A"/>
    <w:rsid w:val="006879AA"/>
    <w:rsid w:val="006916CE"/>
    <w:rsid w:val="006965C7"/>
    <w:rsid w:val="006970E9"/>
    <w:rsid w:val="006A0BEC"/>
    <w:rsid w:val="006A19FB"/>
    <w:rsid w:val="006A1E03"/>
    <w:rsid w:val="006A7A89"/>
    <w:rsid w:val="006B1E17"/>
    <w:rsid w:val="006B3D85"/>
    <w:rsid w:val="006C11C0"/>
    <w:rsid w:val="006C24E4"/>
    <w:rsid w:val="006C4BF6"/>
    <w:rsid w:val="006D2C3C"/>
    <w:rsid w:val="006D3369"/>
    <w:rsid w:val="006D41CC"/>
    <w:rsid w:val="006D6566"/>
    <w:rsid w:val="006D7AFC"/>
    <w:rsid w:val="006E02A9"/>
    <w:rsid w:val="006E3F12"/>
    <w:rsid w:val="006E6693"/>
    <w:rsid w:val="006F14D4"/>
    <w:rsid w:val="006F1759"/>
    <w:rsid w:val="006F4E17"/>
    <w:rsid w:val="006F7843"/>
    <w:rsid w:val="00700357"/>
    <w:rsid w:val="0070074A"/>
    <w:rsid w:val="00701714"/>
    <w:rsid w:val="007019BD"/>
    <w:rsid w:val="007028BC"/>
    <w:rsid w:val="00706104"/>
    <w:rsid w:val="00710382"/>
    <w:rsid w:val="0071494C"/>
    <w:rsid w:val="00715BA2"/>
    <w:rsid w:val="00721FA2"/>
    <w:rsid w:val="00726576"/>
    <w:rsid w:val="0073053C"/>
    <w:rsid w:val="00733282"/>
    <w:rsid w:val="0073462C"/>
    <w:rsid w:val="00734983"/>
    <w:rsid w:val="007349D8"/>
    <w:rsid w:val="00737612"/>
    <w:rsid w:val="00742A72"/>
    <w:rsid w:val="00742E31"/>
    <w:rsid w:val="0074694C"/>
    <w:rsid w:val="007505F3"/>
    <w:rsid w:val="00752CB5"/>
    <w:rsid w:val="00752FA2"/>
    <w:rsid w:val="00755850"/>
    <w:rsid w:val="007609F1"/>
    <w:rsid w:val="007631FE"/>
    <w:rsid w:val="007632FB"/>
    <w:rsid w:val="007658F2"/>
    <w:rsid w:val="00766F52"/>
    <w:rsid w:val="00767298"/>
    <w:rsid w:val="00767E9E"/>
    <w:rsid w:val="00772ABA"/>
    <w:rsid w:val="00772E94"/>
    <w:rsid w:val="0078033E"/>
    <w:rsid w:val="007854CE"/>
    <w:rsid w:val="007859C5"/>
    <w:rsid w:val="00785D4B"/>
    <w:rsid w:val="0078697A"/>
    <w:rsid w:val="00790616"/>
    <w:rsid w:val="00791975"/>
    <w:rsid w:val="007928BE"/>
    <w:rsid w:val="0079427B"/>
    <w:rsid w:val="00796045"/>
    <w:rsid w:val="00796560"/>
    <w:rsid w:val="00797231"/>
    <w:rsid w:val="007A63F4"/>
    <w:rsid w:val="007A6AEB"/>
    <w:rsid w:val="007B44D4"/>
    <w:rsid w:val="007B4AF7"/>
    <w:rsid w:val="007B58C1"/>
    <w:rsid w:val="007B6286"/>
    <w:rsid w:val="007B6DED"/>
    <w:rsid w:val="007B7B07"/>
    <w:rsid w:val="007B7F1A"/>
    <w:rsid w:val="007C06E1"/>
    <w:rsid w:val="007C3F36"/>
    <w:rsid w:val="007C5926"/>
    <w:rsid w:val="007C5D77"/>
    <w:rsid w:val="007C6974"/>
    <w:rsid w:val="007C6F1B"/>
    <w:rsid w:val="007D2085"/>
    <w:rsid w:val="007D4AE0"/>
    <w:rsid w:val="007D66B3"/>
    <w:rsid w:val="007E1B34"/>
    <w:rsid w:val="007E707E"/>
    <w:rsid w:val="007E777D"/>
    <w:rsid w:val="007F2A75"/>
    <w:rsid w:val="007F2D0C"/>
    <w:rsid w:val="007F2DED"/>
    <w:rsid w:val="007F57AB"/>
    <w:rsid w:val="007F5ADB"/>
    <w:rsid w:val="007F5DDD"/>
    <w:rsid w:val="0080103F"/>
    <w:rsid w:val="0080679D"/>
    <w:rsid w:val="00810018"/>
    <w:rsid w:val="00810A09"/>
    <w:rsid w:val="008119E5"/>
    <w:rsid w:val="00811AF9"/>
    <w:rsid w:val="00811B3F"/>
    <w:rsid w:val="00823AA7"/>
    <w:rsid w:val="0082437B"/>
    <w:rsid w:val="00831E3A"/>
    <w:rsid w:val="00834241"/>
    <w:rsid w:val="008367CE"/>
    <w:rsid w:val="00837219"/>
    <w:rsid w:val="008423BB"/>
    <w:rsid w:val="00847EDF"/>
    <w:rsid w:val="00851697"/>
    <w:rsid w:val="00852ED0"/>
    <w:rsid w:val="00855136"/>
    <w:rsid w:val="00855B3A"/>
    <w:rsid w:val="00857056"/>
    <w:rsid w:val="00863E2F"/>
    <w:rsid w:val="00867252"/>
    <w:rsid w:val="0086791A"/>
    <w:rsid w:val="008705EF"/>
    <w:rsid w:val="00870637"/>
    <w:rsid w:val="00870B1E"/>
    <w:rsid w:val="00872697"/>
    <w:rsid w:val="0087498F"/>
    <w:rsid w:val="00875439"/>
    <w:rsid w:val="008769A5"/>
    <w:rsid w:val="008801B8"/>
    <w:rsid w:val="00880DF2"/>
    <w:rsid w:val="00880F55"/>
    <w:rsid w:val="008811B6"/>
    <w:rsid w:val="00882460"/>
    <w:rsid w:val="0088443F"/>
    <w:rsid w:val="008871E3"/>
    <w:rsid w:val="00894EEA"/>
    <w:rsid w:val="00896C0E"/>
    <w:rsid w:val="008A03DE"/>
    <w:rsid w:val="008A16A2"/>
    <w:rsid w:val="008A3DC4"/>
    <w:rsid w:val="008A510C"/>
    <w:rsid w:val="008B3B9C"/>
    <w:rsid w:val="008B5444"/>
    <w:rsid w:val="008B68D6"/>
    <w:rsid w:val="008B7D14"/>
    <w:rsid w:val="008C1AB4"/>
    <w:rsid w:val="008C3AB5"/>
    <w:rsid w:val="008C7B4A"/>
    <w:rsid w:val="008D0174"/>
    <w:rsid w:val="008D0612"/>
    <w:rsid w:val="008D138F"/>
    <w:rsid w:val="008D14DF"/>
    <w:rsid w:val="008D365F"/>
    <w:rsid w:val="008E3E14"/>
    <w:rsid w:val="008E4784"/>
    <w:rsid w:val="008E5C8A"/>
    <w:rsid w:val="008E62E3"/>
    <w:rsid w:val="008E6435"/>
    <w:rsid w:val="008F05D1"/>
    <w:rsid w:val="008F70A2"/>
    <w:rsid w:val="008F722B"/>
    <w:rsid w:val="00900E31"/>
    <w:rsid w:val="00900FFA"/>
    <w:rsid w:val="0090470F"/>
    <w:rsid w:val="009047E7"/>
    <w:rsid w:val="00904CA4"/>
    <w:rsid w:val="00910F13"/>
    <w:rsid w:val="00912984"/>
    <w:rsid w:val="00912C8E"/>
    <w:rsid w:val="00913709"/>
    <w:rsid w:val="00913B9E"/>
    <w:rsid w:val="009140AC"/>
    <w:rsid w:val="009171C2"/>
    <w:rsid w:val="00920EFA"/>
    <w:rsid w:val="0092202D"/>
    <w:rsid w:val="00924051"/>
    <w:rsid w:val="0092627A"/>
    <w:rsid w:val="00930472"/>
    <w:rsid w:val="00936E61"/>
    <w:rsid w:val="0094122F"/>
    <w:rsid w:val="00942735"/>
    <w:rsid w:val="009507EE"/>
    <w:rsid w:val="0095157F"/>
    <w:rsid w:val="009521CA"/>
    <w:rsid w:val="00953A1E"/>
    <w:rsid w:val="009544EE"/>
    <w:rsid w:val="009551FC"/>
    <w:rsid w:val="00956468"/>
    <w:rsid w:val="00960B8C"/>
    <w:rsid w:val="009831C7"/>
    <w:rsid w:val="00985A36"/>
    <w:rsid w:val="00985B9A"/>
    <w:rsid w:val="00986A0B"/>
    <w:rsid w:val="009872F7"/>
    <w:rsid w:val="009918B0"/>
    <w:rsid w:val="00992935"/>
    <w:rsid w:val="009A251F"/>
    <w:rsid w:val="009A27B6"/>
    <w:rsid w:val="009B0503"/>
    <w:rsid w:val="009B2818"/>
    <w:rsid w:val="009B63A1"/>
    <w:rsid w:val="009C22F6"/>
    <w:rsid w:val="009C4298"/>
    <w:rsid w:val="009C4384"/>
    <w:rsid w:val="009C5461"/>
    <w:rsid w:val="009C689A"/>
    <w:rsid w:val="009C7D05"/>
    <w:rsid w:val="009D785C"/>
    <w:rsid w:val="009E0A75"/>
    <w:rsid w:val="009E2538"/>
    <w:rsid w:val="009E38B8"/>
    <w:rsid w:val="009E449B"/>
    <w:rsid w:val="009E6F17"/>
    <w:rsid w:val="009F2F33"/>
    <w:rsid w:val="009F3B7A"/>
    <w:rsid w:val="009F3E9D"/>
    <w:rsid w:val="009F67B5"/>
    <w:rsid w:val="00A00A49"/>
    <w:rsid w:val="00A02AE9"/>
    <w:rsid w:val="00A05822"/>
    <w:rsid w:val="00A070B5"/>
    <w:rsid w:val="00A12A1E"/>
    <w:rsid w:val="00A15F07"/>
    <w:rsid w:val="00A16586"/>
    <w:rsid w:val="00A17F01"/>
    <w:rsid w:val="00A201EB"/>
    <w:rsid w:val="00A20BE5"/>
    <w:rsid w:val="00A23683"/>
    <w:rsid w:val="00A34E3E"/>
    <w:rsid w:val="00A414E6"/>
    <w:rsid w:val="00A4261C"/>
    <w:rsid w:val="00A445CD"/>
    <w:rsid w:val="00A52BE1"/>
    <w:rsid w:val="00A53737"/>
    <w:rsid w:val="00A55DF7"/>
    <w:rsid w:val="00A573FC"/>
    <w:rsid w:val="00A604E8"/>
    <w:rsid w:val="00A65D06"/>
    <w:rsid w:val="00A72ED4"/>
    <w:rsid w:val="00A736E6"/>
    <w:rsid w:val="00A80C3C"/>
    <w:rsid w:val="00A80EEB"/>
    <w:rsid w:val="00A85FDF"/>
    <w:rsid w:val="00A87125"/>
    <w:rsid w:val="00A91A6B"/>
    <w:rsid w:val="00A91E69"/>
    <w:rsid w:val="00A926DB"/>
    <w:rsid w:val="00A92795"/>
    <w:rsid w:val="00A92C74"/>
    <w:rsid w:val="00A9675E"/>
    <w:rsid w:val="00AA12BF"/>
    <w:rsid w:val="00AA2A7F"/>
    <w:rsid w:val="00AB30C2"/>
    <w:rsid w:val="00AC0E12"/>
    <w:rsid w:val="00AC0EAC"/>
    <w:rsid w:val="00AC1AAE"/>
    <w:rsid w:val="00AC41C9"/>
    <w:rsid w:val="00AC4526"/>
    <w:rsid w:val="00AC5C64"/>
    <w:rsid w:val="00AC7B73"/>
    <w:rsid w:val="00AC7E44"/>
    <w:rsid w:val="00AD12CC"/>
    <w:rsid w:val="00AD25AE"/>
    <w:rsid w:val="00AD7C11"/>
    <w:rsid w:val="00AE1E09"/>
    <w:rsid w:val="00AE553E"/>
    <w:rsid w:val="00AF24CC"/>
    <w:rsid w:val="00AF76F5"/>
    <w:rsid w:val="00B00E48"/>
    <w:rsid w:val="00B014FC"/>
    <w:rsid w:val="00B03D87"/>
    <w:rsid w:val="00B07A6A"/>
    <w:rsid w:val="00B106FB"/>
    <w:rsid w:val="00B11057"/>
    <w:rsid w:val="00B13F67"/>
    <w:rsid w:val="00B166B9"/>
    <w:rsid w:val="00B2269F"/>
    <w:rsid w:val="00B24A6E"/>
    <w:rsid w:val="00B33A45"/>
    <w:rsid w:val="00B40458"/>
    <w:rsid w:val="00B420B3"/>
    <w:rsid w:val="00B42340"/>
    <w:rsid w:val="00B46D14"/>
    <w:rsid w:val="00B512AB"/>
    <w:rsid w:val="00B5494C"/>
    <w:rsid w:val="00B6021E"/>
    <w:rsid w:val="00B60557"/>
    <w:rsid w:val="00B655C6"/>
    <w:rsid w:val="00B67F57"/>
    <w:rsid w:val="00B717BF"/>
    <w:rsid w:val="00B7555D"/>
    <w:rsid w:val="00B77337"/>
    <w:rsid w:val="00B80D0F"/>
    <w:rsid w:val="00B81659"/>
    <w:rsid w:val="00B8314D"/>
    <w:rsid w:val="00B83D89"/>
    <w:rsid w:val="00B85DCE"/>
    <w:rsid w:val="00B85EB0"/>
    <w:rsid w:val="00B918B6"/>
    <w:rsid w:val="00B9373C"/>
    <w:rsid w:val="00B951BA"/>
    <w:rsid w:val="00B97034"/>
    <w:rsid w:val="00BA0783"/>
    <w:rsid w:val="00BA0F17"/>
    <w:rsid w:val="00BA398E"/>
    <w:rsid w:val="00BA419C"/>
    <w:rsid w:val="00BA4E66"/>
    <w:rsid w:val="00BA5724"/>
    <w:rsid w:val="00BB04B3"/>
    <w:rsid w:val="00BB34E0"/>
    <w:rsid w:val="00BB4ED8"/>
    <w:rsid w:val="00BC29BB"/>
    <w:rsid w:val="00BC6DBD"/>
    <w:rsid w:val="00BC72A6"/>
    <w:rsid w:val="00BD0C72"/>
    <w:rsid w:val="00BD1591"/>
    <w:rsid w:val="00BD1654"/>
    <w:rsid w:val="00BD2632"/>
    <w:rsid w:val="00BD2B4D"/>
    <w:rsid w:val="00BD3253"/>
    <w:rsid w:val="00BE0DB0"/>
    <w:rsid w:val="00BE3173"/>
    <w:rsid w:val="00BE79B9"/>
    <w:rsid w:val="00BF365C"/>
    <w:rsid w:val="00BF41A4"/>
    <w:rsid w:val="00BF47F1"/>
    <w:rsid w:val="00BF5DCA"/>
    <w:rsid w:val="00C00544"/>
    <w:rsid w:val="00C00BEF"/>
    <w:rsid w:val="00C01CDF"/>
    <w:rsid w:val="00C03479"/>
    <w:rsid w:val="00C07AFB"/>
    <w:rsid w:val="00C12688"/>
    <w:rsid w:val="00C129D0"/>
    <w:rsid w:val="00C14EDE"/>
    <w:rsid w:val="00C15A2E"/>
    <w:rsid w:val="00C219B5"/>
    <w:rsid w:val="00C21E66"/>
    <w:rsid w:val="00C23B8C"/>
    <w:rsid w:val="00C264F7"/>
    <w:rsid w:val="00C30531"/>
    <w:rsid w:val="00C32D03"/>
    <w:rsid w:val="00C34764"/>
    <w:rsid w:val="00C36D77"/>
    <w:rsid w:val="00C36E74"/>
    <w:rsid w:val="00C372C0"/>
    <w:rsid w:val="00C40733"/>
    <w:rsid w:val="00C4321A"/>
    <w:rsid w:val="00C43825"/>
    <w:rsid w:val="00C47222"/>
    <w:rsid w:val="00C54D43"/>
    <w:rsid w:val="00C57713"/>
    <w:rsid w:val="00C57775"/>
    <w:rsid w:val="00C60860"/>
    <w:rsid w:val="00C62211"/>
    <w:rsid w:val="00C74000"/>
    <w:rsid w:val="00C75931"/>
    <w:rsid w:val="00C77045"/>
    <w:rsid w:val="00C775C8"/>
    <w:rsid w:val="00C8104E"/>
    <w:rsid w:val="00C825D3"/>
    <w:rsid w:val="00C82D2A"/>
    <w:rsid w:val="00C847E8"/>
    <w:rsid w:val="00C84AD4"/>
    <w:rsid w:val="00C8533E"/>
    <w:rsid w:val="00C86FE0"/>
    <w:rsid w:val="00C91D3C"/>
    <w:rsid w:val="00CA1843"/>
    <w:rsid w:val="00CA40F6"/>
    <w:rsid w:val="00CA6A00"/>
    <w:rsid w:val="00CB0E03"/>
    <w:rsid w:val="00CB5A1D"/>
    <w:rsid w:val="00CB64FE"/>
    <w:rsid w:val="00CB7406"/>
    <w:rsid w:val="00CB741E"/>
    <w:rsid w:val="00CC1F99"/>
    <w:rsid w:val="00CD339A"/>
    <w:rsid w:val="00CD355D"/>
    <w:rsid w:val="00CD3880"/>
    <w:rsid w:val="00CD4CF9"/>
    <w:rsid w:val="00CD586B"/>
    <w:rsid w:val="00CE185B"/>
    <w:rsid w:val="00CE36BA"/>
    <w:rsid w:val="00CE4BB3"/>
    <w:rsid w:val="00CE5240"/>
    <w:rsid w:val="00CE5AE8"/>
    <w:rsid w:val="00CE7A31"/>
    <w:rsid w:val="00CF1649"/>
    <w:rsid w:val="00CF3ECE"/>
    <w:rsid w:val="00CF61D0"/>
    <w:rsid w:val="00D01719"/>
    <w:rsid w:val="00D01FC0"/>
    <w:rsid w:val="00D04D1B"/>
    <w:rsid w:val="00D0527B"/>
    <w:rsid w:val="00D125E7"/>
    <w:rsid w:val="00D15290"/>
    <w:rsid w:val="00D177DF"/>
    <w:rsid w:val="00D214D6"/>
    <w:rsid w:val="00D24EC3"/>
    <w:rsid w:val="00D2528D"/>
    <w:rsid w:val="00D306D1"/>
    <w:rsid w:val="00D34362"/>
    <w:rsid w:val="00D36605"/>
    <w:rsid w:val="00D410F1"/>
    <w:rsid w:val="00D43896"/>
    <w:rsid w:val="00D443C7"/>
    <w:rsid w:val="00D46101"/>
    <w:rsid w:val="00D47C1F"/>
    <w:rsid w:val="00D53209"/>
    <w:rsid w:val="00D57316"/>
    <w:rsid w:val="00D61867"/>
    <w:rsid w:val="00D651AB"/>
    <w:rsid w:val="00D66641"/>
    <w:rsid w:val="00D70A1D"/>
    <w:rsid w:val="00D70F91"/>
    <w:rsid w:val="00D7460F"/>
    <w:rsid w:val="00D75E6C"/>
    <w:rsid w:val="00D76BBC"/>
    <w:rsid w:val="00D86291"/>
    <w:rsid w:val="00D87879"/>
    <w:rsid w:val="00D924F4"/>
    <w:rsid w:val="00D945FE"/>
    <w:rsid w:val="00D9565C"/>
    <w:rsid w:val="00D9734B"/>
    <w:rsid w:val="00D97F0F"/>
    <w:rsid w:val="00DA2220"/>
    <w:rsid w:val="00DA7E40"/>
    <w:rsid w:val="00DB028A"/>
    <w:rsid w:val="00DB0CF7"/>
    <w:rsid w:val="00DB1405"/>
    <w:rsid w:val="00DB43D5"/>
    <w:rsid w:val="00DB6D53"/>
    <w:rsid w:val="00DD12DD"/>
    <w:rsid w:val="00DD5A86"/>
    <w:rsid w:val="00DD73F7"/>
    <w:rsid w:val="00DD7FD4"/>
    <w:rsid w:val="00DE0427"/>
    <w:rsid w:val="00DE0651"/>
    <w:rsid w:val="00DE2B87"/>
    <w:rsid w:val="00DE7A89"/>
    <w:rsid w:val="00DF3413"/>
    <w:rsid w:val="00DF72C8"/>
    <w:rsid w:val="00E0000C"/>
    <w:rsid w:val="00E001AC"/>
    <w:rsid w:val="00E01668"/>
    <w:rsid w:val="00E03857"/>
    <w:rsid w:val="00E059E4"/>
    <w:rsid w:val="00E107E8"/>
    <w:rsid w:val="00E118A9"/>
    <w:rsid w:val="00E11DAC"/>
    <w:rsid w:val="00E11DAD"/>
    <w:rsid w:val="00E122C2"/>
    <w:rsid w:val="00E141CB"/>
    <w:rsid w:val="00E15097"/>
    <w:rsid w:val="00E16299"/>
    <w:rsid w:val="00E2276C"/>
    <w:rsid w:val="00E23EB6"/>
    <w:rsid w:val="00E23EC3"/>
    <w:rsid w:val="00E25B15"/>
    <w:rsid w:val="00E278F0"/>
    <w:rsid w:val="00E27A23"/>
    <w:rsid w:val="00E300A0"/>
    <w:rsid w:val="00E32AC5"/>
    <w:rsid w:val="00E332FB"/>
    <w:rsid w:val="00E37DEF"/>
    <w:rsid w:val="00E41B71"/>
    <w:rsid w:val="00E43D61"/>
    <w:rsid w:val="00E45B13"/>
    <w:rsid w:val="00E5133E"/>
    <w:rsid w:val="00E51F54"/>
    <w:rsid w:val="00E55116"/>
    <w:rsid w:val="00E57602"/>
    <w:rsid w:val="00E57EDC"/>
    <w:rsid w:val="00E61502"/>
    <w:rsid w:val="00E61828"/>
    <w:rsid w:val="00E63FEB"/>
    <w:rsid w:val="00E67CAB"/>
    <w:rsid w:val="00E743DB"/>
    <w:rsid w:val="00E7710E"/>
    <w:rsid w:val="00E83E4C"/>
    <w:rsid w:val="00E8448B"/>
    <w:rsid w:val="00E87B54"/>
    <w:rsid w:val="00E90CA8"/>
    <w:rsid w:val="00E90EB8"/>
    <w:rsid w:val="00E93D29"/>
    <w:rsid w:val="00E94061"/>
    <w:rsid w:val="00E9578A"/>
    <w:rsid w:val="00E95940"/>
    <w:rsid w:val="00E96531"/>
    <w:rsid w:val="00EA2324"/>
    <w:rsid w:val="00EA2C80"/>
    <w:rsid w:val="00EA4040"/>
    <w:rsid w:val="00EB0847"/>
    <w:rsid w:val="00EB792D"/>
    <w:rsid w:val="00EC16BA"/>
    <w:rsid w:val="00EC4634"/>
    <w:rsid w:val="00EC57BC"/>
    <w:rsid w:val="00ED1590"/>
    <w:rsid w:val="00ED1BE4"/>
    <w:rsid w:val="00ED55A4"/>
    <w:rsid w:val="00EE01F2"/>
    <w:rsid w:val="00EE2F95"/>
    <w:rsid w:val="00EE79A5"/>
    <w:rsid w:val="00EF1453"/>
    <w:rsid w:val="00EF7E9B"/>
    <w:rsid w:val="00F07B73"/>
    <w:rsid w:val="00F11872"/>
    <w:rsid w:val="00F126E1"/>
    <w:rsid w:val="00F14CDD"/>
    <w:rsid w:val="00F15D0D"/>
    <w:rsid w:val="00F22D1F"/>
    <w:rsid w:val="00F23044"/>
    <w:rsid w:val="00F234CC"/>
    <w:rsid w:val="00F267B0"/>
    <w:rsid w:val="00F30222"/>
    <w:rsid w:val="00F328A1"/>
    <w:rsid w:val="00F34DE2"/>
    <w:rsid w:val="00F403D9"/>
    <w:rsid w:val="00F412D3"/>
    <w:rsid w:val="00F43B4B"/>
    <w:rsid w:val="00F47325"/>
    <w:rsid w:val="00F52BEA"/>
    <w:rsid w:val="00F555D9"/>
    <w:rsid w:val="00F5726E"/>
    <w:rsid w:val="00F615FD"/>
    <w:rsid w:val="00F61EA6"/>
    <w:rsid w:val="00F629D8"/>
    <w:rsid w:val="00F63FA1"/>
    <w:rsid w:val="00F6549F"/>
    <w:rsid w:val="00F6608B"/>
    <w:rsid w:val="00F6634A"/>
    <w:rsid w:val="00F719F6"/>
    <w:rsid w:val="00F71DB5"/>
    <w:rsid w:val="00F71FF3"/>
    <w:rsid w:val="00F808CF"/>
    <w:rsid w:val="00F80B6E"/>
    <w:rsid w:val="00F83271"/>
    <w:rsid w:val="00F84273"/>
    <w:rsid w:val="00F90D18"/>
    <w:rsid w:val="00F91728"/>
    <w:rsid w:val="00F93EFA"/>
    <w:rsid w:val="00F94EDC"/>
    <w:rsid w:val="00F96B3C"/>
    <w:rsid w:val="00FA03B9"/>
    <w:rsid w:val="00FA1AF9"/>
    <w:rsid w:val="00FA2E33"/>
    <w:rsid w:val="00FA2F10"/>
    <w:rsid w:val="00FB0F83"/>
    <w:rsid w:val="00FB4118"/>
    <w:rsid w:val="00FB60B1"/>
    <w:rsid w:val="00FC186E"/>
    <w:rsid w:val="00FC21CF"/>
    <w:rsid w:val="00FC246C"/>
    <w:rsid w:val="00FC4832"/>
    <w:rsid w:val="00FC6E72"/>
    <w:rsid w:val="00FD18C9"/>
    <w:rsid w:val="00FD7C3C"/>
    <w:rsid w:val="00FE1A7B"/>
    <w:rsid w:val="00FE5D1F"/>
    <w:rsid w:val="00FF2BED"/>
    <w:rsid w:val="00FF4DF8"/>
    <w:rsid w:val="00FF53B8"/>
    <w:rsid w:val="00FF604B"/>
    <w:rsid w:val="011D0291"/>
    <w:rsid w:val="01472EB1"/>
    <w:rsid w:val="01FE6438"/>
    <w:rsid w:val="02CF0704"/>
    <w:rsid w:val="02F06CF0"/>
    <w:rsid w:val="02F62812"/>
    <w:rsid w:val="03BC0ECF"/>
    <w:rsid w:val="03CA3F4A"/>
    <w:rsid w:val="03D30608"/>
    <w:rsid w:val="056265E8"/>
    <w:rsid w:val="05C3130A"/>
    <w:rsid w:val="07287D9E"/>
    <w:rsid w:val="07511ECA"/>
    <w:rsid w:val="081652B8"/>
    <w:rsid w:val="08241586"/>
    <w:rsid w:val="082661A3"/>
    <w:rsid w:val="08713EC8"/>
    <w:rsid w:val="08A31B5F"/>
    <w:rsid w:val="08AF0A1A"/>
    <w:rsid w:val="095709C5"/>
    <w:rsid w:val="09650022"/>
    <w:rsid w:val="0A0847E4"/>
    <w:rsid w:val="0A0D4FB5"/>
    <w:rsid w:val="0A1A0491"/>
    <w:rsid w:val="0A2B6256"/>
    <w:rsid w:val="0A2F560A"/>
    <w:rsid w:val="0B3B5FCD"/>
    <w:rsid w:val="0B5E2AFB"/>
    <w:rsid w:val="0BAE596A"/>
    <w:rsid w:val="0BBA4B64"/>
    <w:rsid w:val="0BD717AD"/>
    <w:rsid w:val="0CD00C47"/>
    <w:rsid w:val="0CEB76F5"/>
    <w:rsid w:val="0CFC72D9"/>
    <w:rsid w:val="0E2A79CF"/>
    <w:rsid w:val="0ECE0FC9"/>
    <w:rsid w:val="0FA23F7C"/>
    <w:rsid w:val="0FD533E6"/>
    <w:rsid w:val="10154D11"/>
    <w:rsid w:val="10407F99"/>
    <w:rsid w:val="107E1BC2"/>
    <w:rsid w:val="10E1491B"/>
    <w:rsid w:val="111F7B66"/>
    <w:rsid w:val="1146120B"/>
    <w:rsid w:val="11A12707"/>
    <w:rsid w:val="13AA0C93"/>
    <w:rsid w:val="141F382F"/>
    <w:rsid w:val="14AF1D4C"/>
    <w:rsid w:val="14FF3E63"/>
    <w:rsid w:val="15A46E39"/>
    <w:rsid w:val="15A52C26"/>
    <w:rsid w:val="15D053F0"/>
    <w:rsid w:val="15EA4025"/>
    <w:rsid w:val="16043164"/>
    <w:rsid w:val="16867B6C"/>
    <w:rsid w:val="16AF6EC8"/>
    <w:rsid w:val="175364F7"/>
    <w:rsid w:val="182A5772"/>
    <w:rsid w:val="18FF630B"/>
    <w:rsid w:val="19656757"/>
    <w:rsid w:val="1A4066D9"/>
    <w:rsid w:val="1A483BEA"/>
    <w:rsid w:val="1A586D8E"/>
    <w:rsid w:val="1ABA0E6B"/>
    <w:rsid w:val="1AC33073"/>
    <w:rsid w:val="1ADE2183"/>
    <w:rsid w:val="1B2412E2"/>
    <w:rsid w:val="1BBC01DE"/>
    <w:rsid w:val="1BF2768A"/>
    <w:rsid w:val="1DBC19F4"/>
    <w:rsid w:val="1E2F7039"/>
    <w:rsid w:val="1FFA6611"/>
    <w:rsid w:val="20030362"/>
    <w:rsid w:val="211B223D"/>
    <w:rsid w:val="214527D6"/>
    <w:rsid w:val="220A48F7"/>
    <w:rsid w:val="22124372"/>
    <w:rsid w:val="2230610B"/>
    <w:rsid w:val="225A47B5"/>
    <w:rsid w:val="227C20A3"/>
    <w:rsid w:val="22FE4342"/>
    <w:rsid w:val="23145CE2"/>
    <w:rsid w:val="236E7717"/>
    <w:rsid w:val="239B5859"/>
    <w:rsid w:val="23A53D48"/>
    <w:rsid w:val="244E4801"/>
    <w:rsid w:val="249677CA"/>
    <w:rsid w:val="25BC1F2B"/>
    <w:rsid w:val="25CF39D2"/>
    <w:rsid w:val="262F44F4"/>
    <w:rsid w:val="26377674"/>
    <w:rsid w:val="27360264"/>
    <w:rsid w:val="276273FA"/>
    <w:rsid w:val="277946BD"/>
    <w:rsid w:val="27E2700B"/>
    <w:rsid w:val="28042AC0"/>
    <w:rsid w:val="288A1C1A"/>
    <w:rsid w:val="28DF4B99"/>
    <w:rsid w:val="292F7575"/>
    <w:rsid w:val="29983824"/>
    <w:rsid w:val="2B5E3E50"/>
    <w:rsid w:val="2B6F5ED7"/>
    <w:rsid w:val="2B7D6920"/>
    <w:rsid w:val="2BD50862"/>
    <w:rsid w:val="2CC03000"/>
    <w:rsid w:val="2D0A2CC6"/>
    <w:rsid w:val="2D6A0B81"/>
    <w:rsid w:val="2DF5076C"/>
    <w:rsid w:val="2F217D4C"/>
    <w:rsid w:val="2F57486E"/>
    <w:rsid w:val="310D0AFC"/>
    <w:rsid w:val="314960E7"/>
    <w:rsid w:val="31642DCC"/>
    <w:rsid w:val="322C4E1C"/>
    <w:rsid w:val="341554B2"/>
    <w:rsid w:val="341D5767"/>
    <w:rsid w:val="346E0C89"/>
    <w:rsid w:val="34C32256"/>
    <w:rsid w:val="356F0663"/>
    <w:rsid w:val="36675994"/>
    <w:rsid w:val="36796945"/>
    <w:rsid w:val="36836C23"/>
    <w:rsid w:val="3690515B"/>
    <w:rsid w:val="37230DD4"/>
    <w:rsid w:val="373341A3"/>
    <w:rsid w:val="3736209D"/>
    <w:rsid w:val="383D281C"/>
    <w:rsid w:val="390E1F67"/>
    <w:rsid w:val="3A047BEB"/>
    <w:rsid w:val="3A7E5861"/>
    <w:rsid w:val="3C0755C8"/>
    <w:rsid w:val="3EC5172F"/>
    <w:rsid w:val="3EDE0123"/>
    <w:rsid w:val="3F3A6928"/>
    <w:rsid w:val="3F4215A9"/>
    <w:rsid w:val="3FE526F8"/>
    <w:rsid w:val="406861E2"/>
    <w:rsid w:val="40FB6B02"/>
    <w:rsid w:val="414C73AD"/>
    <w:rsid w:val="41714EAC"/>
    <w:rsid w:val="417A64C0"/>
    <w:rsid w:val="41C92F8E"/>
    <w:rsid w:val="423A7B51"/>
    <w:rsid w:val="435C580D"/>
    <w:rsid w:val="436B6E12"/>
    <w:rsid w:val="43F11933"/>
    <w:rsid w:val="44C63686"/>
    <w:rsid w:val="450032B1"/>
    <w:rsid w:val="45957B80"/>
    <w:rsid w:val="46BF47D7"/>
    <w:rsid w:val="46F91D67"/>
    <w:rsid w:val="47E21FBA"/>
    <w:rsid w:val="48184AC8"/>
    <w:rsid w:val="482009BF"/>
    <w:rsid w:val="4843234C"/>
    <w:rsid w:val="485E249F"/>
    <w:rsid w:val="491B1245"/>
    <w:rsid w:val="49454D46"/>
    <w:rsid w:val="4ACD0D1C"/>
    <w:rsid w:val="4BF36C84"/>
    <w:rsid w:val="4C813E55"/>
    <w:rsid w:val="4CDE6411"/>
    <w:rsid w:val="4CF418B5"/>
    <w:rsid w:val="4D542CC4"/>
    <w:rsid w:val="4D7127E0"/>
    <w:rsid w:val="4D7C1C30"/>
    <w:rsid w:val="4E98738C"/>
    <w:rsid w:val="4EE7699D"/>
    <w:rsid w:val="4EFC5159"/>
    <w:rsid w:val="4F1C585F"/>
    <w:rsid w:val="4F600A37"/>
    <w:rsid w:val="4FD15837"/>
    <w:rsid w:val="503F299A"/>
    <w:rsid w:val="505C1A2D"/>
    <w:rsid w:val="506C0491"/>
    <w:rsid w:val="512A0A11"/>
    <w:rsid w:val="52313D1B"/>
    <w:rsid w:val="531E245C"/>
    <w:rsid w:val="532314A8"/>
    <w:rsid w:val="53A00A32"/>
    <w:rsid w:val="54141354"/>
    <w:rsid w:val="5449689F"/>
    <w:rsid w:val="548E2BD0"/>
    <w:rsid w:val="5520597C"/>
    <w:rsid w:val="56D17BAA"/>
    <w:rsid w:val="574F4D9F"/>
    <w:rsid w:val="58293E36"/>
    <w:rsid w:val="59303191"/>
    <w:rsid w:val="595C3110"/>
    <w:rsid w:val="5968126F"/>
    <w:rsid w:val="599056FF"/>
    <w:rsid w:val="5A5D4B77"/>
    <w:rsid w:val="5A7D1574"/>
    <w:rsid w:val="5AAE7E04"/>
    <w:rsid w:val="5AD56039"/>
    <w:rsid w:val="5B3C3572"/>
    <w:rsid w:val="5C093449"/>
    <w:rsid w:val="5CC40597"/>
    <w:rsid w:val="5D7F6FD2"/>
    <w:rsid w:val="5DAB4713"/>
    <w:rsid w:val="5E247A28"/>
    <w:rsid w:val="5EA90E62"/>
    <w:rsid w:val="5F181D5E"/>
    <w:rsid w:val="61057565"/>
    <w:rsid w:val="617C3E5B"/>
    <w:rsid w:val="61A338FA"/>
    <w:rsid w:val="61EA4752"/>
    <w:rsid w:val="62CD5129"/>
    <w:rsid w:val="634F07DE"/>
    <w:rsid w:val="63D2418B"/>
    <w:rsid w:val="643E56CC"/>
    <w:rsid w:val="64765663"/>
    <w:rsid w:val="64BF61F1"/>
    <w:rsid w:val="656A26A4"/>
    <w:rsid w:val="66520550"/>
    <w:rsid w:val="66552108"/>
    <w:rsid w:val="66EB0D2A"/>
    <w:rsid w:val="671923EC"/>
    <w:rsid w:val="67257FBA"/>
    <w:rsid w:val="672A50EE"/>
    <w:rsid w:val="672C630C"/>
    <w:rsid w:val="67BD12D4"/>
    <w:rsid w:val="68427097"/>
    <w:rsid w:val="68824BF8"/>
    <w:rsid w:val="693422F4"/>
    <w:rsid w:val="698E5A5E"/>
    <w:rsid w:val="69A05DBF"/>
    <w:rsid w:val="69C540F9"/>
    <w:rsid w:val="6A5C13AA"/>
    <w:rsid w:val="6AD5421F"/>
    <w:rsid w:val="6AFA32FB"/>
    <w:rsid w:val="6B4D36E5"/>
    <w:rsid w:val="6BBD050C"/>
    <w:rsid w:val="6BC87FD9"/>
    <w:rsid w:val="6C145B96"/>
    <w:rsid w:val="6CB67512"/>
    <w:rsid w:val="6D5026AC"/>
    <w:rsid w:val="6D8F2CE5"/>
    <w:rsid w:val="6DAF49B0"/>
    <w:rsid w:val="6DB63248"/>
    <w:rsid w:val="6E352D83"/>
    <w:rsid w:val="6F052A71"/>
    <w:rsid w:val="6F19500B"/>
    <w:rsid w:val="6F575861"/>
    <w:rsid w:val="6F616577"/>
    <w:rsid w:val="6FB15097"/>
    <w:rsid w:val="707A7F72"/>
    <w:rsid w:val="71AD0AE0"/>
    <w:rsid w:val="720F3409"/>
    <w:rsid w:val="724A7C50"/>
    <w:rsid w:val="737B3F1C"/>
    <w:rsid w:val="74317C6B"/>
    <w:rsid w:val="7435766D"/>
    <w:rsid w:val="753E0110"/>
    <w:rsid w:val="75726353"/>
    <w:rsid w:val="75E51455"/>
    <w:rsid w:val="76112549"/>
    <w:rsid w:val="770C59BC"/>
    <w:rsid w:val="771E1D5E"/>
    <w:rsid w:val="772F1249"/>
    <w:rsid w:val="77633096"/>
    <w:rsid w:val="77B4015F"/>
    <w:rsid w:val="78EB678C"/>
    <w:rsid w:val="79031303"/>
    <w:rsid w:val="791234FF"/>
    <w:rsid w:val="79ED074D"/>
    <w:rsid w:val="7A871EEF"/>
    <w:rsid w:val="7ADC06FE"/>
    <w:rsid w:val="7B231E11"/>
    <w:rsid w:val="7BD9352D"/>
    <w:rsid w:val="7C173517"/>
    <w:rsid w:val="7CAF2E85"/>
    <w:rsid w:val="7D153D75"/>
    <w:rsid w:val="7DD57307"/>
    <w:rsid w:val="7E376D0D"/>
    <w:rsid w:val="7E7265E2"/>
    <w:rsid w:val="7EFD6F69"/>
    <w:rsid w:val="7FA26A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3">
    <w:name w:val="heading 1"/>
    <w:basedOn w:val="1"/>
    <w:next w:val="1"/>
    <w:link w:val="48"/>
    <w:qFormat/>
    <w:uiPriority w:val="9"/>
    <w:pPr>
      <w:keepNext/>
      <w:keepLines/>
      <w:numPr>
        <w:ilvl w:val="0"/>
        <w:numId w:val="1"/>
      </w:numPr>
      <w:outlineLvl w:val="0"/>
    </w:pPr>
    <w:rPr>
      <w:b/>
      <w:bCs/>
      <w:kern w:val="44"/>
      <w:szCs w:val="44"/>
    </w:rPr>
  </w:style>
  <w:style w:type="paragraph" w:styleId="4">
    <w:name w:val="heading 2"/>
    <w:basedOn w:val="1"/>
    <w:next w:val="1"/>
    <w:link w:val="35"/>
    <w:qFormat/>
    <w:uiPriority w:val="0"/>
    <w:pPr>
      <w:keepNext/>
      <w:keepLines/>
      <w:numPr>
        <w:ilvl w:val="1"/>
        <w:numId w:val="1"/>
      </w:numPr>
      <w:outlineLvl w:val="1"/>
    </w:pPr>
    <w:rPr>
      <w:rFonts w:hAnsi="Arial"/>
      <w:b/>
      <w:bCs/>
      <w:szCs w:val="32"/>
    </w:rPr>
  </w:style>
  <w:style w:type="paragraph" w:styleId="5">
    <w:name w:val="heading 3"/>
    <w:basedOn w:val="1"/>
    <w:next w:val="1"/>
    <w:link w:val="28"/>
    <w:qFormat/>
    <w:uiPriority w:val="9"/>
    <w:pPr>
      <w:keepNext/>
      <w:keepLines/>
      <w:spacing w:before="260" w:after="260" w:line="416" w:lineRule="auto"/>
      <w:outlineLvl w:val="2"/>
    </w:pPr>
    <w:rPr>
      <w:b/>
      <w:bCs/>
      <w:kern w:val="0"/>
      <w:sz w:val="32"/>
      <w:szCs w:val="32"/>
    </w:rPr>
  </w:style>
  <w:style w:type="paragraph" w:styleId="6">
    <w:name w:val="heading 4"/>
    <w:basedOn w:val="7"/>
    <w:next w:val="7"/>
    <w:link w:val="41"/>
    <w:qFormat/>
    <w:uiPriority w:val="9"/>
    <w:pPr>
      <w:keepNext/>
      <w:keepLines/>
      <w:spacing w:before="280" w:after="290" w:line="376" w:lineRule="auto"/>
      <w:outlineLvl w:val="3"/>
    </w:pPr>
    <w:rPr>
      <w:rFonts w:hAnsi="宋体"/>
      <w:bCs/>
      <w:kern w:val="0"/>
      <w:szCs w:val="28"/>
    </w:rPr>
  </w:style>
  <w:style w:type="paragraph" w:styleId="8">
    <w:name w:val="heading 5"/>
    <w:basedOn w:val="1"/>
    <w:next w:val="1"/>
    <w:link w:val="46"/>
    <w:qFormat/>
    <w:uiPriority w:val="9"/>
    <w:pPr>
      <w:keepNext/>
      <w:keepLines/>
      <w:spacing w:before="280" w:after="290" w:line="376" w:lineRule="auto"/>
      <w:outlineLvl w:val="4"/>
    </w:pPr>
    <w:rPr>
      <w:rFonts w:hAnsi="宋体"/>
      <w:b/>
      <w:bCs/>
      <w:kern w:val="0"/>
      <w:szCs w:val="28"/>
    </w:rPr>
  </w:style>
  <w:style w:type="character" w:default="1" w:styleId="23">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customStyle="1" w:styleId="7">
    <w:name w:val="样式2"/>
    <w:basedOn w:val="1"/>
    <w:qFormat/>
    <w:uiPriority w:val="0"/>
    <w:pPr>
      <w:numPr>
        <w:ilvl w:val="3"/>
        <w:numId w:val="1"/>
      </w:numPr>
    </w:pPr>
  </w:style>
  <w:style w:type="paragraph" w:styleId="9">
    <w:name w:val="Normal Indent"/>
    <w:basedOn w:val="1"/>
    <w:link w:val="38"/>
    <w:qFormat/>
    <w:uiPriority w:val="0"/>
    <w:pPr>
      <w:ind w:firstLine="200" w:firstLineChars="200"/>
    </w:pPr>
    <w:rPr>
      <w:rFonts w:ascii="Times New Roman"/>
      <w:kern w:val="0"/>
      <w:szCs w:val="20"/>
    </w:rPr>
  </w:style>
  <w:style w:type="paragraph" w:styleId="10">
    <w:name w:val="Document Map"/>
    <w:basedOn w:val="1"/>
    <w:link w:val="32"/>
    <w:unhideWhenUsed/>
    <w:qFormat/>
    <w:uiPriority w:val="99"/>
    <w:rPr>
      <w:kern w:val="0"/>
      <w:sz w:val="18"/>
      <w:szCs w:val="18"/>
    </w:rPr>
  </w:style>
  <w:style w:type="paragraph" w:styleId="11">
    <w:name w:val="annotation text"/>
    <w:basedOn w:val="1"/>
    <w:unhideWhenUsed/>
    <w:qFormat/>
    <w:uiPriority w:val="99"/>
    <w:pPr>
      <w:jc w:val="left"/>
    </w:pPr>
  </w:style>
  <w:style w:type="paragraph" w:styleId="12">
    <w:name w:val="Body Text"/>
    <w:basedOn w:val="1"/>
    <w:next w:val="13"/>
    <w:semiHidden/>
    <w:unhideWhenUsed/>
    <w:qFormat/>
    <w:uiPriority w:val="99"/>
  </w:style>
  <w:style w:type="paragraph" w:styleId="13">
    <w:name w:val="Title"/>
    <w:basedOn w:val="1"/>
    <w:next w:val="1"/>
    <w:qFormat/>
    <w:uiPriority w:val="10"/>
    <w:pPr>
      <w:spacing w:before="240" w:after="60"/>
      <w:jc w:val="center"/>
      <w:outlineLvl w:val="0"/>
    </w:pPr>
    <w:rPr>
      <w:rFonts w:ascii="Calibri Light" w:hAnsi="Calibri Light"/>
      <w:b/>
      <w:bCs/>
      <w:sz w:val="32"/>
      <w:szCs w:val="32"/>
    </w:rPr>
  </w:style>
  <w:style w:type="paragraph" w:styleId="14">
    <w:name w:val="Body Text Indent"/>
    <w:basedOn w:val="1"/>
    <w:link w:val="47"/>
    <w:qFormat/>
    <w:uiPriority w:val="0"/>
    <w:pPr>
      <w:adjustRightInd w:val="0"/>
      <w:snapToGrid w:val="0"/>
      <w:spacing w:line="300" w:lineRule="auto"/>
    </w:pPr>
    <w:rPr>
      <w:rFonts w:ascii="Times New Roman"/>
      <w:kern w:val="0"/>
      <w:sz w:val="20"/>
      <w:szCs w:val="20"/>
      <w:lang w:eastAsia="zh-TW"/>
    </w:rPr>
  </w:style>
  <w:style w:type="paragraph" w:styleId="15">
    <w:name w:val="toc 3"/>
    <w:basedOn w:val="1"/>
    <w:next w:val="1"/>
    <w:unhideWhenUsed/>
    <w:qFormat/>
    <w:uiPriority w:val="39"/>
    <w:pPr>
      <w:ind w:left="840" w:leftChars="400"/>
    </w:pPr>
  </w:style>
  <w:style w:type="paragraph" w:styleId="16">
    <w:name w:val="Balloon Text"/>
    <w:basedOn w:val="1"/>
    <w:link w:val="34"/>
    <w:unhideWhenUsed/>
    <w:qFormat/>
    <w:uiPriority w:val="99"/>
    <w:pPr>
      <w:spacing w:line="240" w:lineRule="auto"/>
    </w:pPr>
    <w:rPr>
      <w:kern w:val="0"/>
      <w:sz w:val="18"/>
      <w:szCs w:val="18"/>
    </w:rPr>
  </w:style>
  <w:style w:type="paragraph" w:styleId="17">
    <w:name w:val="footer"/>
    <w:basedOn w:val="1"/>
    <w:link w:val="43"/>
    <w:unhideWhenUsed/>
    <w:qFormat/>
    <w:uiPriority w:val="99"/>
    <w:pPr>
      <w:tabs>
        <w:tab w:val="center" w:pos="4153"/>
        <w:tab w:val="right" w:pos="8306"/>
      </w:tabs>
      <w:snapToGrid w:val="0"/>
      <w:jc w:val="left"/>
    </w:pPr>
    <w:rPr>
      <w:rFonts w:ascii="Times New Roman"/>
      <w:kern w:val="0"/>
      <w:sz w:val="18"/>
      <w:szCs w:val="18"/>
    </w:rPr>
  </w:style>
  <w:style w:type="paragraph" w:styleId="18">
    <w:name w:val="header"/>
    <w:basedOn w:val="1"/>
    <w:link w:val="33"/>
    <w:unhideWhenUsed/>
    <w:qFormat/>
    <w:uiPriority w:val="99"/>
    <w:pPr>
      <w:pBdr>
        <w:bottom w:val="single" w:color="auto" w:sz="6" w:space="1"/>
      </w:pBdr>
      <w:tabs>
        <w:tab w:val="center" w:pos="4153"/>
        <w:tab w:val="right" w:pos="8306"/>
      </w:tabs>
      <w:snapToGrid w:val="0"/>
      <w:jc w:val="center"/>
    </w:pPr>
    <w:rPr>
      <w:rFonts w:ascii="Times New Roman"/>
      <w:kern w:val="0"/>
      <w:sz w:val="18"/>
      <w:szCs w:val="18"/>
    </w:rPr>
  </w:style>
  <w:style w:type="paragraph" w:styleId="19">
    <w:name w:val="toc 1"/>
    <w:basedOn w:val="1"/>
    <w:next w:val="1"/>
    <w:qFormat/>
    <w:uiPriority w:val="39"/>
    <w:pPr>
      <w:tabs>
        <w:tab w:val="right" w:leader="dot" w:pos="8296"/>
      </w:tabs>
    </w:pPr>
  </w:style>
  <w:style w:type="paragraph" w:styleId="20">
    <w:name w:val="toc 2"/>
    <w:basedOn w:val="1"/>
    <w:next w:val="1"/>
    <w:qFormat/>
    <w:uiPriority w:val="39"/>
    <w:pPr>
      <w:ind w:left="420" w:leftChars="200"/>
    </w:pPr>
  </w:style>
  <w:style w:type="paragraph" w:styleId="21">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styleId="24">
    <w:name w:val="FollowedHyperlink"/>
    <w:unhideWhenUsed/>
    <w:qFormat/>
    <w:uiPriority w:val="99"/>
    <w:rPr>
      <w:color w:val="800080"/>
      <w:u w:val="none"/>
    </w:rPr>
  </w:style>
  <w:style w:type="character" w:styleId="25">
    <w:name w:val="Hyperlink"/>
    <w:unhideWhenUsed/>
    <w:qFormat/>
    <w:uiPriority w:val="99"/>
    <w:rPr>
      <w:color w:val="0000FF"/>
      <w:u w:val="single"/>
    </w:rPr>
  </w:style>
  <w:style w:type="character" w:styleId="26">
    <w:name w:val="annotation reference"/>
    <w:basedOn w:val="23"/>
    <w:semiHidden/>
    <w:unhideWhenUsed/>
    <w:qFormat/>
    <w:uiPriority w:val="99"/>
    <w:rPr>
      <w:sz w:val="21"/>
      <w:szCs w:val="21"/>
    </w:rPr>
  </w:style>
  <w:style w:type="paragraph" w:customStyle="1" w:styleId="27">
    <w:name w:val="样式1"/>
    <w:basedOn w:val="1"/>
    <w:link w:val="42"/>
    <w:qFormat/>
    <w:uiPriority w:val="0"/>
    <w:pPr>
      <w:numPr>
        <w:ilvl w:val="2"/>
        <w:numId w:val="1"/>
      </w:numPr>
    </w:pPr>
  </w:style>
  <w:style w:type="character" w:customStyle="1" w:styleId="28">
    <w:name w:val="标题 3 Char"/>
    <w:link w:val="5"/>
    <w:qFormat/>
    <w:uiPriority w:val="9"/>
    <w:rPr>
      <w:rFonts w:ascii="宋体" w:hAnsi="Times New Roman" w:eastAsia="宋体" w:cs="Times New Roman"/>
      <w:b/>
      <w:bCs/>
      <w:sz w:val="32"/>
      <w:szCs w:val="32"/>
    </w:rPr>
  </w:style>
  <w:style w:type="character" w:customStyle="1" w:styleId="29">
    <w:name w:val="正文文本缩进 Char1"/>
    <w:semiHidden/>
    <w:qFormat/>
    <w:uiPriority w:val="99"/>
    <w:rPr>
      <w:rFonts w:ascii="宋体" w:hAnsi="Times New Roman" w:eastAsia="宋体" w:cs="Times New Roman"/>
      <w:sz w:val="24"/>
      <w:szCs w:val="24"/>
    </w:rPr>
  </w:style>
  <w:style w:type="character" w:customStyle="1" w:styleId="30">
    <w:name w:val="正文 小四 首行缩进 Char"/>
    <w:link w:val="31"/>
    <w:qFormat/>
    <w:locked/>
    <w:uiPriority w:val="0"/>
    <w:rPr>
      <w:rFonts w:ascii="Times New Roman" w:hAnsi="Times New Roman" w:eastAsia="宋体" w:cs="Times New Roman"/>
      <w:sz w:val="24"/>
      <w:szCs w:val="20"/>
    </w:rPr>
  </w:style>
  <w:style w:type="paragraph" w:customStyle="1" w:styleId="31">
    <w:name w:val="正文 小四 首行缩进"/>
    <w:basedOn w:val="1"/>
    <w:link w:val="30"/>
    <w:qFormat/>
    <w:uiPriority w:val="0"/>
    <w:pPr>
      <w:ind w:firstLine="420"/>
    </w:pPr>
    <w:rPr>
      <w:rFonts w:ascii="Times New Roman"/>
      <w:kern w:val="0"/>
      <w:szCs w:val="20"/>
    </w:rPr>
  </w:style>
  <w:style w:type="character" w:customStyle="1" w:styleId="32">
    <w:name w:val="文档结构图 Char"/>
    <w:link w:val="10"/>
    <w:semiHidden/>
    <w:qFormat/>
    <w:uiPriority w:val="99"/>
    <w:rPr>
      <w:rFonts w:ascii="宋体" w:hAnsi="Times New Roman" w:eastAsia="宋体" w:cs="Times New Roman"/>
      <w:sz w:val="18"/>
      <w:szCs w:val="18"/>
    </w:rPr>
  </w:style>
  <w:style w:type="character" w:customStyle="1" w:styleId="33">
    <w:name w:val="页眉 Char"/>
    <w:link w:val="18"/>
    <w:qFormat/>
    <w:uiPriority w:val="99"/>
    <w:rPr>
      <w:sz w:val="18"/>
      <w:szCs w:val="18"/>
    </w:rPr>
  </w:style>
  <w:style w:type="character" w:customStyle="1" w:styleId="34">
    <w:name w:val="批注框文本 Char"/>
    <w:link w:val="16"/>
    <w:semiHidden/>
    <w:qFormat/>
    <w:uiPriority w:val="99"/>
    <w:rPr>
      <w:rFonts w:ascii="宋体" w:hAnsi="Times New Roman" w:eastAsia="宋体" w:cs="Times New Roman"/>
      <w:sz w:val="18"/>
      <w:szCs w:val="18"/>
    </w:rPr>
  </w:style>
  <w:style w:type="character" w:customStyle="1" w:styleId="35">
    <w:name w:val="标题 2 Char"/>
    <w:link w:val="4"/>
    <w:qFormat/>
    <w:uiPriority w:val="0"/>
    <w:rPr>
      <w:rFonts w:ascii="宋体" w:hAnsi="Arial"/>
      <w:b/>
      <w:bCs/>
      <w:kern w:val="2"/>
      <w:sz w:val="24"/>
      <w:szCs w:val="32"/>
    </w:rPr>
  </w:style>
  <w:style w:type="character" w:customStyle="1" w:styleId="36">
    <w:name w:val="列出段落 Char"/>
    <w:link w:val="37"/>
    <w:qFormat/>
    <w:uiPriority w:val="0"/>
    <w:rPr>
      <w:szCs w:val="24"/>
    </w:rPr>
  </w:style>
  <w:style w:type="paragraph" w:customStyle="1" w:styleId="37">
    <w:name w:val="列出段落1"/>
    <w:basedOn w:val="1"/>
    <w:link w:val="36"/>
    <w:qFormat/>
    <w:uiPriority w:val="0"/>
    <w:pPr>
      <w:spacing w:line="240" w:lineRule="auto"/>
      <w:ind w:firstLine="420" w:firstLineChars="200"/>
    </w:pPr>
    <w:rPr>
      <w:rFonts w:ascii="Times New Roman"/>
      <w:kern w:val="0"/>
      <w:sz w:val="20"/>
    </w:rPr>
  </w:style>
  <w:style w:type="character" w:customStyle="1" w:styleId="38">
    <w:name w:val="正文缩进 Char"/>
    <w:link w:val="9"/>
    <w:qFormat/>
    <w:uiPriority w:val="0"/>
    <w:rPr>
      <w:sz w:val="24"/>
    </w:rPr>
  </w:style>
  <w:style w:type="character" w:customStyle="1" w:styleId="39">
    <w:name w:val="正文文字样式 Char Char"/>
    <w:link w:val="40"/>
    <w:qFormat/>
    <w:uiPriority w:val="0"/>
    <w:rPr>
      <w:rFonts w:ascii="Times New Roman" w:hAnsi="Times New Roman" w:eastAsia="宋体" w:cs="Times New Roman"/>
      <w:sz w:val="24"/>
      <w:szCs w:val="24"/>
    </w:rPr>
  </w:style>
  <w:style w:type="paragraph" w:customStyle="1" w:styleId="40">
    <w:name w:val="正文文字样式"/>
    <w:basedOn w:val="1"/>
    <w:link w:val="39"/>
    <w:qFormat/>
    <w:uiPriority w:val="0"/>
    <w:pPr>
      <w:spacing w:line="480" w:lineRule="atLeast"/>
      <w:ind w:firstLine="200" w:firstLineChars="200"/>
    </w:pPr>
    <w:rPr>
      <w:rFonts w:ascii="Times New Roman"/>
      <w:kern w:val="0"/>
    </w:rPr>
  </w:style>
  <w:style w:type="character" w:customStyle="1" w:styleId="41">
    <w:name w:val="标题 4 Char"/>
    <w:link w:val="6"/>
    <w:qFormat/>
    <w:uiPriority w:val="9"/>
    <w:rPr>
      <w:rFonts w:ascii="宋体" w:hAnsi="宋体" w:eastAsia="宋体" w:cs="Times New Roman"/>
      <w:bCs/>
      <w:sz w:val="24"/>
      <w:szCs w:val="28"/>
    </w:rPr>
  </w:style>
  <w:style w:type="character" w:customStyle="1" w:styleId="42">
    <w:name w:val="样式1 Char"/>
    <w:link w:val="27"/>
    <w:qFormat/>
    <w:uiPriority w:val="0"/>
    <w:rPr>
      <w:rFonts w:ascii="宋体" w:hAnsi="Times New Roman"/>
      <w:kern w:val="2"/>
      <w:sz w:val="24"/>
      <w:szCs w:val="24"/>
    </w:rPr>
  </w:style>
  <w:style w:type="character" w:customStyle="1" w:styleId="43">
    <w:name w:val="页脚 Char"/>
    <w:link w:val="17"/>
    <w:qFormat/>
    <w:uiPriority w:val="99"/>
    <w:rPr>
      <w:sz w:val="18"/>
      <w:szCs w:val="18"/>
    </w:rPr>
  </w:style>
  <w:style w:type="character" w:customStyle="1" w:styleId="44">
    <w:name w:val="我的正文 Char"/>
    <w:link w:val="45"/>
    <w:qFormat/>
    <w:uiPriority w:val="0"/>
    <w:rPr>
      <w:rFonts w:ascii="Arial" w:hAnsi="Arial"/>
      <w:szCs w:val="24"/>
    </w:rPr>
  </w:style>
  <w:style w:type="paragraph" w:customStyle="1" w:styleId="45">
    <w:name w:val="我的正文"/>
    <w:basedOn w:val="1"/>
    <w:link w:val="44"/>
    <w:qFormat/>
    <w:uiPriority w:val="0"/>
    <w:pPr>
      <w:ind w:firstLine="420"/>
    </w:pPr>
    <w:rPr>
      <w:rFonts w:ascii="Arial" w:hAnsi="Arial"/>
      <w:kern w:val="0"/>
      <w:sz w:val="20"/>
    </w:rPr>
  </w:style>
  <w:style w:type="character" w:customStyle="1" w:styleId="46">
    <w:name w:val="标题 5 Char"/>
    <w:link w:val="8"/>
    <w:qFormat/>
    <w:uiPriority w:val="9"/>
    <w:rPr>
      <w:rFonts w:ascii="宋体" w:hAnsi="宋体" w:eastAsia="宋体" w:cs="Times New Roman"/>
      <w:b/>
      <w:bCs/>
      <w:sz w:val="24"/>
      <w:szCs w:val="28"/>
    </w:rPr>
  </w:style>
  <w:style w:type="character" w:customStyle="1" w:styleId="47">
    <w:name w:val="正文文本缩进 Char"/>
    <w:link w:val="14"/>
    <w:qFormat/>
    <w:uiPriority w:val="0"/>
    <w:rPr>
      <w:lang w:eastAsia="zh-TW"/>
    </w:rPr>
  </w:style>
  <w:style w:type="character" w:customStyle="1" w:styleId="48">
    <w:name w:val="标题 1 Char"/>
    <w:link w:val="3"/>
    <w:qFormat/>
    <w:uiPriority w:val="9"/>
    <w:rPr>
      <w:rFonts w:ascii="宋体" w:hAnsi="Times New Roman"/>
      <w:b/>
      <w:bCs/>
      <w:kern w:val="44"/>
      <w:sz w:val="24"/>
      <w:szCs w:val="44"/>
    </w:rPr>
  </w:style>
  <w:style w:type="paragraph" w:customStyle="1" w:styleId="49">
    <w:name w:val="无间隔1"/>
    <w:qFormat/>
    <w:uiPriority w:val="1"/>
    <w:pPr>
      <w:widowControl w:val="0"/>
      <w:jc w:val="both"/>
    </w:pPr>
    <w:rPr>
      <w:rFonts w:ascii="宋体" w:hAnsi="Times New Roman" w:eastAsia="宋体" w:cs="Times New Roman"/>
      <w:kern w:val="2"/>
      <w:sz w:val="24"/>
      <w:szCs w:val="24"/>
      <w:lang w:val="en-US" w:eastAsia="zh-CN" w:bidi="ar-SA"/>
    </w:rPr>
  </w:style>
  <w:style w:type="paragraph" w:customStyle="1" w:styleId="50">
    <w:name w:val="目录or列表 标题"/>
    <w:basedOn w:val="1"/>
    <w:qFormat/>
    <w:uiPriority w:val="0"/>
    <w:pPr>
      <w:jc w:val="center"/>
    </w:pPr>
    <w:rPr>
      <w:rFonts w:ascii="Times New Roman" w:cs="宋体"/>
      <w:b/>
      <w:szCs w:val="20"/>
    </w:rPr>
  </w:style>
  <w:style w:type="paragraph" w:customStyle="1" w:styleId="51">
    <w:name w:val="修订1"/>
    <w:hidden/>
    <w:unhideWhenUsed/>
    <w:qFormat/>
    <w:uiPriority w:val="99"/>
    <w:rPr>
      <w:rFonts w:ascii="宋体" w:hAnsi="Times New Roman"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C4E417-4581-4A47-A8D6-79E20DC823A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13</Pages>
  <Words>6488</Words>
  <Characters>7312</Characters>
  <Lines>37</Lines>
  <Paragraphs>10</Paragraphs>
  <TotalTime>4</TotalTime>
  <ScaleCrop>false</ScaleCrop>
  <LinksUpToDate>false</LinksUpToDate>
  <CharactersWithSpaces>7336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2020-02-14T14:46:00Z</dcterms:created>
  <dc:creator>黄斯旎</dc:creator>
  <cp:lastModifiedBy>袁新让</cp:lastModifiedBy>
  <dcterms:modified xsi:type="dcterms:W3CDTF">2025-08-25T02:38:04Z</dcterms:modified>
  <dc:title>2018-2019年信息维护及修理</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CF94311382684C4EB7106CD7059FAF1D</vt:lpwstr>
  </property>
</Properties>
</file>