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ind w:firstLine="0" w:firstLineChars="0"/>
        <w:rPr>
          <w:rFonts w:hint="eastAsia" w:ascii="方正小标宋_GBK" w:hAnsi="方正小标宋_GBK" w:eastAsia="方正小标宋_GBK" w:cs="方正小标宋_GBK"/>
          <w:color w:val="auto"/>
          <w:lang w:val="en-US" w:eastAsia="zh-CN"/>
        </w:rPr>
      </w:pPr>
      <w:r>
        <w:rPr>
          <w:rFonts w:hint="eastAsia" w:ascii="方正小标宋_GBK" w:hAnsi="方正小标宋_GBK" w:eastAsia="方正小标宋_GBK" w:cs="方正小标宋_GBK"/>
          <w:color w:val="auto"/>
          <w:lang w:val="en-US" w:eastAsia="zh-CN"/>
        </w:rPr>
        <w:t>技术规范书</w:t>
      </w:r>
    </w:p>
    <w:p>
      <w:pPr>
        <w:rPr>
          <w:rFonts w:hint="eastAsia"/>
          <w:color w:val="auto"/>
          <w:lang w:val="en-US" w:eastAsia="zh-CN"/>
        </w:rPr>
      </w:pPr>
    </w:p>
    <w:p>
      <w:pPr>
        <w:pStyle w:val="4"/>
        <w:bidi w:val="0"/>
        <w:rPr>
          <w:rFonts w:hint="eastAsia"/>
          <w:color w:val="auto"/>
        </w:rPr>
      </w:pPr>
      <w:r>
        <w:rPr>
          <w:color w:val="auto"/>
        </w:rPr>
        <w:t>概况</w:t>
      </w:r>
    </w:p>
    <w:p>
      <w:pPr>
        <w:bidi w:val="0"/>
        <w:rPr>
          <w:rFonts w:hint="eastAsia"/>
          <w:color w:val="auto"/>
          <w:lang w:eastAsia="zh-CN"/>
        </w:rPr>
      </w:pPr>
      <w:r>
        <w:rPr>
          <w:rFonts w:hint="eastAsia"/>
          <w:color w:val="auto"/>
          <w:lang w:eastAsia="zh-CN"/>
        </w:rPr>
        <w:t>本项目针对</w:t>
      </w:r>
      <w:r>
        <w:rPr>
          <w:rFonts w:hint="eastAsia"/>
          <w:color w:val="auto"/>
        </w:rPr>
        <w:t>南方电网供应链（广东）有限公司江村区域仓绿色零碳仓库改造建设、南方电网广东江村区域仓“三个基地”综合建设等2项工程</w:t>
      </w:r>
      <w:r>
        <w:rPr>
          <w:rFonts w:hint="eastAsia"/>
          <w:color w:val="auto"/>
          <w:lang w:eastAsia="zh-CN"/>
        </w:rPr>
        <w:t>开展项目监理采购，建设工程项目具体内容概况如下：</w:t>
      </w:r>
    </w:p>
    <w:p>
      <w:pPr>
        <w:bidi w:val="0"/>
        <w:rPr>
          <w:rFonts w:hint="eastAsia"/>
          <w:color w:val="auto"/>
          <w:lang w:eastAsia="zh-CN"/>
        </w:rPr>
      </w:pPr>
      <w:r>
        <w:rPr>
          <w:rFonts w:hint="eastAsia"/>
          <w:color w:val="auto"/>
          <w:lang w:eastAsia="zh-CN"/>
        </w:rPr>
        <w:t>（一）江村区域仓绿色零碳仓库改造建设项目</w:t>
      </w:r>
    </w:p>
    <w:p>
      <w:pPr>
        <w:bidi w:val="0"/>
        <w:rPr>
          <w:rFonts w:hint="eastAsia"/>
          <w:color w:val="auto"/>
          <w:lang w:val="en-US" w:eastAsia="zh-CN"/>
        </w:rPr>
      </w:pPr>
      <w:r>
        <w:rPr>
          <w:rFonts w:hint="eastAsia"/>
          <w:color w:val="auto"/>
          <w:lang w:val="en-US" w:eastAsia="zh-CN"/>
        </w:rPr>
        <w:t>本项目主要建设内容包括智能光储充微网系统、碳排放监测和管控系统、零碳数字化管理平台、节能热水生活系统、园区照明智慧控制系统等内容，具体如下：</w:t>
      </w:r>
    </w:p>
    <w:p>
      <w:pPr>
        <w:bidi w:val="0"/>
        <w:rPr>
          <w:rFonts w:hint="eastAsia"/>
          <w:color w:val="auto"/>
          <w:lang w:val="en-US" w:eastAsia="zh-CN"/>
        </w:rPr>
      </w:pPr>
      <w:r>
        <w:rPr>
          <w:rFonts w:hint="eastAsia"/>
          <w:color w:val="auto"/>
          <w:lang w:val="en-US" w:eastAsia="zh-CN"/>
        </w:rPr>
        <w:t>1.智能光储充微网系统</w:t>
      </w:r>
    </w:p>
    <w:p>
      <w:pPr>
        <w:bidi w:val="0"/>
        <w:rPr>
          <w:rFonts w:hint="eastAsia"/>
          <w:color w:val="auto"/>
          <w:lang w:val="en-US" w:eastAsia="zh-CN"/>
        </w:rPr>
      </w:pPr>
      <w:r>
        <w:rPr>
          <w:rFonts w:hint="eastAsia"/>
          <w:color w:val="auto"/>
          <w:lang w:val="en-US" w:eastAsia="zh-CN"/>
        </w:rPr>
        <w:t>主要由光伏发电板、储能装置（电池组）、能量管理系统组成，其中光伏规模为893kWp，配置一台100KW/215kWh的风冷储能一体柜，能量管理系统一套。</w:t>
      </w:r>
    </w:p>
    <w:p>
      <w:pPr>
        <w:bidi w:val="0"/>
        <w:rPr>
          <w:rFonts w:hint="eastAsia"/>
          <w:color w:val="auto"/>
          <w:lang w:val="en-US" w:eastAsia="zh-CN"/>
        </w:rPr>
      </w:pPr>
      <w:r>
        <w:rPr>
          <w:rFonts w:hint="eastAsia"/>
          <w:color w:val="auto"/>
          <w:lang w:val="en-US" w:eastAsia="zh-CN"/>
        </w:rPr>
        <w:t>2.碳排放监测和管控系统</w:t>
      </w:r>
    </w:p>
    <w:p>
      <w:pPr>
        <w:bidi w:val="0"/>
        <w:rPr>
          <w:rFonts w:hint="eastAsia"/>
          <w:color w:val="auto"/>
          <w:lang w:val="en-US" w:eastAsia="zh-CN"/>
        </w:rPr>
      </w:pPr>
      <w:r>
        <w:rPr>
          <w:rFonts w:hint="eastAsia"/>
          <w:color w:val="auto"/>
          <w:lang w:val="en-US" w:eastAsia="zh-CN"/>
        </w:rPr>
        <w:t>采用客户端-服务器架构，服务器端负责存储和处理数据客户端提供用户界面和功能操作系统通过采集建筑的用电、面积等数据，通过人工智能算法实现能耗及碳排放测算模型，可以精准计算出每栋建筑物碳排放量及用能强度等关键指标。</w:t>
      </w:r>
    </w:p>
    <w:p>
      <w:pPr>
        <w:bidi w:val="0"/>
        <w:rPr>
          <w:rFonts w:hint="eastAsia"/>
          <w:color w:val="auto"/>
          <w:lang w:val="en-US" w:eastAsia="zh-CN"/>
        </w:rPr>
      </w:pPr>
      <w:r>
        <w:rPr>
          <w:rFonts w:hint="eastAsia"/>
          <w:color w:val="auto"/>
          <w:lang w:val="en-US" w:eastAsia="zh-CN"/>
        </w:rPr>
        <w:t>3.零碳数字化管理平台</w:t>
      </w:r>
    </w:p>
    <w:p>
      <w:pPr>
        <w:bidi w:val="0"/>
        <w:rPr>
          <w:rFonts w:hint="eastAsia"/>
          <w:color w:val="auto"/>
          <w:lang w:val="en-US" w:eastAsia="zh-CN"/>
        </w:rPr>
      </w:pPr>
      <w:r>
        <w:rPr>
          <w:rFonts w:hint="eastAsia"/>
          <w:color w:val="auto"/>
          <w:lang w:val="en-US" w:eastAsia="zh-CN"/>
        </w:rPr>
        <w:t>平台系统架构采用分层部署，自下到上分别为数据采集层、网络通讯层、监控中心、应用服务层，由通讯线路（铜介质或光纤）连接，构成整体系统。独立部署一套智能化运营平台局域网，保持与大楼现有网络隔离。平台主要功能包括</w:t>
      </w:r>
      <w:bookmarkStart w:id="0" w:name="_Toc12490"/>
      <w:r>
        <w:rPr>
          <w:rFonts w:hint="eastAsia"/>
          <w:color w:val="auto"/>
          <w:lang w:val="en-US" w:eastAsia="zh-CN"/>
        </w:rPr>
        <w:t>能耗分解，定量分析</w:t>
      </w:r>
      <w:bookmarkEnd w:id="0"/>
      <w:r>
        <w:rPr>
          <w:rFonts w:hint="eastAsia"/>
          <w:color w:val="auto"/>
          <w:lang w:val="en-US" w:eastAsia="zh-CN"/>
        </w:rPr>
        <w:t>、</w:t>
      </w:r>
      <w:bookmarkStart w:id="1" w:name="_Toc22395"/>
      <w:r>
        <w:rPr>
          <w:rFonts w:hint="eastAsia"/>
          <w:color w:val="auto"/>
          <w:lang w:val="en-US" w:eastAsia="zh-CN"/>
        </w:rPr>
        <w:t>精确支路能耗分析</w:t>
      </w:r>
      <w:bookmarkEnd w:id="1"/>
      <w:r>
        <w:rPr>
          <w:rFonts w:hint="eastAsia"/>
          <w:color w:val="auto"/>
          <w:lang w:val="en-US" w:eastAsia="zh-CN"/>
        </w:rPr>
        <w:t>、能耗排名对标、节能管理、能耗指标管理等。</w:t>
      </w:r>
    </w:p>
    <w:p>
      <w:pPr>
        <w:bidi w:val="0"/>
        <w:rPr>
          <w:rFonts w:hint="eastAsia"/>
          <w:color w:val="auto"/>
          <w:lang w:val="en-US" w:eastAsia="zh-CN"/>
        </w:rPr>
      </w:pPr>
      <w:r>
        <w:rPr>
          <w:rFonts w:hint="eastAsia"/>
          <w:color w:val="auto"/>
          <w:lang w:val="en-US" w:eastAsia="zh-CN"/>
        </w:rPr>
        <w:t>4.节能生活热水系统</w:t>
      </w:r>
    </w:p>
    <w:p>
      <w:pPr>
        <w:bidi w:val="0"/>
        <w:rPr>
          <w:rFonts w:hint="eastAsia"/>
          <w:color w:val="auto"/>
          <w:lang w:val="en-US" w:eastAsia="zh-CN"/>
        </w:rPr>
      </w:pPr>
      <w:r>
        <w:rPr>
          <w:rFonts w:hint="eastAsia"/>
          <w:color w:val="auto"/>
          <w:lang w:val="en-US" w:eastAsia="zh-CN"/>
        </w:rPr>
        <w:t>将原有电热水器淘汰，采用更为节能高效的空气能热泵型热水器替换为节能高效的空气能热泵型热水器，办公室卫生间和淋浴间配置一台1.5匹空气能热水器，200L蓄热水罐，热水出水温度45-55℃。A区卫生间共有4间淋浴间，配置一台2.0匹空气能热水器，300L蓄热水罐，热水出水温度45-55℃。</w:t>
      </w:r>
    </w:p>
    <w:p>
      <w:pPr>
        <w:bidi w:val="0"/>
        <w:rPr>
          <w:rFonts w:hint="eastAsia"/>
          <w:color w:val="auto"/>
          <w:lang w:val="en-US" w:eastAsia="zh-CN"/>
        </w:rPr>
      </w:pPr>
      <w:r>
        <w:rPr>
          <w:rFonts w:hint="eastAsia"/>
          <w:color w:val="auto"/>
          <w:lang w:val="en-US" w:eastAsia="zh-CN"/>
        </w:rPr>
        <w:t>5.园区照明智慧控制系统：</w:t>
      </w:r>
    </w:p>
    <w:p>
      <w:pPr>
        <w:bidi w:val="0"/>
        <w:rPr>
          <w:rFonts w:hint="eastAsia"/>
          <w:color w:val="auto"/>
          <w:lang w:val="en-US" w:eastAsia="zh-CN"/>
        </w:rPr>
      </w:pPr>
      <w:r>
        <w:rPr>
          <w:rFonts w:hint="eastAsia"/>
          <w:color w:val="auto"/>
          <w:lang w:val="en-US" w:eastAsia="zh-CN"/>
        </w:rPr>
        <w:t>控制系统包含定时开关、亮度调节、节能控制、远程监控、智能控制、自动报警等功能。主要基于物联网、无线通讯等技术，实现远程控制，实时监测路灯的工作状态，环境监测，实现节能减排和提高照明质量的目的。</w:t>
      </w:r>
    </w:p>
    <w:p>
      <w:pPr>
        <w:bidi w:val="0"/>
        <w:rPr>
          <w:rFonts w:hint="eastAsia"/>
          <w:color w:val="auto"/>
          <w:lang w:eastAsia="zh-CN"/>
        </w:rPr>
      </w:pPr>
      <w:r>
        <w:rPr>
          <w:rFonts w:hint="eastAsia"/>
          <w:color w:val="auto"/>
          <w:lang w:val="en-US" w:eastAsia="zh-CN"/>
        </w:rPr>
        <w:t>6.</w:t>
      </w:r>
      <w:r>
        <w:rPr>
          <w:rFonts w:hint="eastAsia"/>
          <w:color w:val="auto"/>
          <w:lang w:eastAsia="zh-CN"/>
        </w:rPr>
        <w:t>绿色低碳规划咨询技术服务绿色标识仓库认证、零碳仓库标识认证。</w:t>
      </w:r>
    </w:p>
    <w:p>
      <w:pPr>
        <w:bidi w:val="0"/>
        <w:rPr>
          <w:rFonts w:hint="eastAsia"/>
          <w:color w:val="auto"/>
          <w:lang w:eastAsia="zh-CN"/>
        </w:rPr>
      </w:pPr>
      <w:r>
        <w:rPr>
          <w:rFonts w:hint="eastAsia"/>
          <w:color w:val="auto"/>
          <w:lang w:eastAsia="zh-CN"/>
        </w:rPr>
        <w:t>通过开展绿色仓库改造建设，实现仓储作业智能化绿色化的基础上，对照ISO14064标准、物流行业标准的对应仓库认证标准，申报绿色仓库标识认证、碳中和认证、数字化仓库认证、零碳仓库标识认证等仓库绿色评价认证，打造一仓多证的“零碳仓库”。</w:t>
      </w:r>
    </w:p>
    <w:p>
      <w:pPr>
        <w:bidi w:val="0"/>
        <w:rPr>
          <w:rFonts w:hint="eastAsia"/>
          <w:color w:val="auto"/>
          <w:lang w:eastAsia="zh-CN"/>
        </w:rPr>
      </w:pPr>
      <w:r>
        <w:rPr>
          <w:rFonts w:hint="eastAsia"/>
          <w:color w:val="auto"/>
          <w:lang w:eastAsia="zh-CN"/>
        </w:rPr>
        <w:t>（二）南方电网广东江村区域仓“三个基地”综合建设项目</w:t>
      </w:r>
    </w:p>
    <w:p>
      <w:pPr>
        <w:bidi w:val="0"/>
        <w:rPr>
          <w:rFonts w:hint="eastAsia"/>
          <w:color w:val="auto"/>
          <w:lang w:val="en-US" w:eastAsia="zh-CN"/>
        </w:rPr>
      </w:pPr>
      <w:r>
        <w:rPr>
          <w:rFonts w:hint="eastAsia"/>
          <w:color w:val="auto"/>
          <w:lang w:val="en-US" w:eastAsia="zh-CN"/>
        </w:rPr>
        <w:t>本项目主要建设内容包括供应链业务培训沙盘、培评电教室、智能仓库培训仿真平台、“1+4”智慧物流创新平台、配网常用物资培训区、消防与作业安全培训区、仓储智能化设备实操培训区等七部分，具体如下：</w:t>
      </w:r>
    </w:p>
    <w:p>
      <w:pPr>
        <w:bidi w:val="0"/>
        <w:rPr>
          <w:rFonts w:hint="eastAsia"/>
          <w:color w:val="auto"/>
          <w:lang w:val="en-US" w:eastAsia="zh-CN"/>
        </w:rPr>
      </w:pPr>
      <w:r>
        <w:rPr>
          <w:rFonts w:hint="eastAsia"/>
          <w:color w:val="auto"/>
          <w:lang w:val="en-US" w:eastAsia="zh-CN"/>
        </w:rPr>
        <w:t>1.供应链业务培训沙盘</w:t>
      </w:r>
    </w:p>
    <w:p>
      <w:pPr>
        <w:bidi w:val="0"/>
        <w:rPr>
          <w:rFonts w:hint="eastAsia"/>
          <w:color w:val="auto"/>
          <w:lang w:val="en-US" w:eastAsia="zh-CN"/>
        </w:rPr>
      </w:pPr>
      <w:r>
        <w:rPr>
          <w:rFonts w:hint="eastAsia"/>
          <w:color w:val="auto"/>
          <w:lang w:val="en-US" w:eastAsia="zh-CN"/>
        </w:rPr>
        <w:t>包括立式LED大屏，音响系统、程序软件前端设计开发、触摸控制程序后端开发、高性能服务器、监控等。供应链业务培训沙盘可展示供应链物资常规供应体系（供应商仓库—区域仓—周转仓—急救包—施工现场）、应急供应“14332”体系、重点物资工程供应服务体系、配网物资精准配送服务体系和逆向物资回收服务体系等详细内容。</w:t>
      </w:r>
    </w:p>
    <w:p>
      <w:pPr>
        <w:bidi w:val="0"/>
        <w:rPr>
          <w:rFonts w:hint="eastAsia"/>
          <w:color w:val="auto"/>
          <w:lang w:val="en-US" w:eastAsia="zh-CN"/>
        </w:rPr>
      </w:pPr>
      <w:r>
        <w:rPr>
          <w:rFonts w:hint="eastAsia"/>
          <w:color w:val="auto"/>
          <w:lang w:val="en-US" w:eastAsia="zh-CN"/>
        </w:rPr>
        <w:t>2.培评电教室</w:t>
      </w:r>
    </w:p>
    <w:p>
      <w:pPr>
        <w:bidi w:val="0"/>
        <w:rPr>
          <w:rFonts w:hint="eastAsia"/>
          <w:color w:val="auto"/>
          <w:lang w:val="en-US" w:eastAsia="zh-CN"/>
        </w:rPr>
      </w:pPr>
      <w:r>
        <w:rPr>
          <w:rFonts w:hint="eastAsia"/>
          <w:color w:val="auto"/>
          <w:lang w:val="en-US" w:eastAsia="zh-CN"/>
        </w:rPr>
        <w:t>包括培评考试系统（定制开发培训考试系统页面、定制开发考试题库管理、考试规则设置、统计报表等功能）、教室电源、网线、监控的建设及40台笔记本电脑的购置。同时部署适应江村区域仓实地化操作的物流仓储专业培评题库，且可容纳40位员工同时登录培评考试系统开展员工岗位胜任能力考试。</w:t>
      </w:r>
    </w:p>
    <w:p>
      <w:pPr>
        <w:bidi w:val="0"/>
        <w:rPr>
          <w:rFonts w:hint="eastAsia"/>
          <w:color w:val="auto"/>
          <w:lang w:eastAsia="zh-CN"/>
        </w:rPr>
      </w:pPr>
      <w:r>
        <w:rPr>
          <w:rFonts w:hint="eastAsia"/>
          <w:color w:val="auto"/>
          <w:lang w:eastAsia="zh-CN"/>
        </w:rPr>
        <w:t>3.智能仓库培训仿真平台</w:t>
      </w:r>
    </w:p>
    <w:p>
      <w:pPr>
        <w:bidi w:val="0"/>
        <w:rPr>
          <w:rFonts w:hint="eastAsia"/>
          <w:color w:val="auto"/>
          <w:lang w:eastAsia="zh-CN"/>
        </w:rPr>
      </w:pPr>
      <w:r>
        <w:rPr>
          <w:rFonts w:hint="eastAsia"/>
          <w:color w:val="auto"/>
          <w:lang w:eastAsia="zh-CN"/>
        </w:rPr>
        <w:t>该项为软件系统，包括智能仓库及设备建模、模型库管理模块、渲染与可视化模块、数据交互与模拟模块、3D智能引擎工具等。主要通过建立的各种仓库智能设备模型，引用现代智能化仓库建设技术，在仓库模型中进行“积木搭建”的方法快速完成智能仓库的建设，输出符合自身需求的智能仓库建设方案，为仓库智能化改造前期决策提供强有力的支撑作用。</w:t>
      </w:r>
    </w:p>
    <w:p>
      <w:pPr>
        <w:bidi w:val="0"/>
        <w:rPr>
          <w:rFonts w:hint="eastAsia"/>
          <w:color w:val="auto"/>
          <w:lang w:eastAsia="zh-CN"/>
        </w:rPr>
      </w:pPr>
      <w:r>
        <w:rPr>
          <w:rFonts w:hint="eastAsia"/>
          <w:color w:val="auto"/>
          <w:lang w:eastAsia="zh-CN"/>
        </w:rPr>
        <w:t>4.“1+4”智慧物流创新平台</w:t>
      </w:r>
    </w:p>
    <w:p>
      <w:pPr>
        <w:bidi w:val="0"/>
        <w:rPr>
          <w:rFonts w:hint="eastAsia"/>
          <w:color w:val="auto"/>
          <w:lang w:eastAsia="zh-CN"/>
        </w:rPr>
      </w:pPr>
      <w:r>
        <w:rPr>
          <w:rFonts w:hint="eastAsia"/>
          <w:color w:val="auto"/>
          <w:lang w:eastAsia="zh-CN"/>
        </w:rPr>
        <w:t>包括购置98寸电视、广告标识、桌子椅子等。借助显示屏、创新人才交流会议桌等形式构建“1+4”智慧物流创新平台体系，力争将江村创新工作室打造成为公司仓储物流领域创新亮点名片。</w:t>
      </w:r>
    </w:p>
    <w:p>
      <w:pPr>
        <w:bidi w:val="0"/>
        <w:rPr>
          <w:rFonts w:hint="eastAsia"/>
          <w:color w:val="auto"/>
          <w:lang w:eastAsia="zh-CN"/>
        </w:rPr>
      </w:pPr>
      <w:r>
        <w:rPr>
          <w:rFonts w:hint="eastAsia"/>
          <w:color w:val="auto"/>
          <w:lang w:eastAsia="zh-CN"/>
        </w:rPr>
        <w:t>5.配网常用物资培训区</w:t>
      </w:r>
    </w:p>
    <w:p>
      <w:pPr>
        <w:bidi w:val="0"/>
        <w:rPr>
          <w:rFonts w:hint="eastAsia"/>
          <w:color w:val="auto"/>
          <w:lang w:eastAsia="zh-CN"/>
        </w:rPr>
      </w:pPr>
      <w:r>
        <w:rPr>
          <w:rFonts w:hint="eastAsia"/>
          <w:color w:val="auto"/>
          <w:lang w:eastAsia="zh-CN"/>
        </w:rPr>
        <w:t>包括购置高性能控制主机、程序软件前端设计开发、触摸控制程序后端开发、配网常用物资、拼接屏、装修、监控、标识、配网常用物资储藏柜、实训操作桌等。该区域包括物资拆解展示大屏、物资设备展示区（含物资作业培训）和配网常用物资储藏柜三大部分。</w:t>
      </w:r>
    </w:p>
    <w:p>
      <w:pPr>
        <w:bidi w:val="0"/>
        <w:rPr>
          <w:rFonts w:hint="eastAsia"/>
          <w:color w:val="auto"/>
          <w:lang w:eastAsia="zh-CN"/>
        </w:rPr>
      </w:pPr>
      <w:r>
        <w:rPr>
          <w:rFonts w:hint="eastAsia"/>
          <w:color w:val="auto"/>
          <w:lang w:eastAsia="zh-CN"/>
        </w:rPr>
        <w:t>6.消防与作业安全培训区</w:t>
      </w:r>
    </w:p>
    <w:p>
      <w:pPr>
        <w:bidi w:val="0"/>
        <w:rPr>
          <w:rFonts w:hint="eastAsia"/>
          <w:color w:val="auto"/>
          <w:lang w:eastAsia="zh-CN"/>
        </w:rPr>
      </w:pPr>
      <w:r>
        <w:rPr>
          <w:rFonts w:hint="eastAsia"/>
          <w:color w:val="auto"/>
          <w:lang w:eastAsia="zh-CN"/>
        </w:rPr>
        <w:t>包括购置98寸触控一体机、98寸电视、3D模拟灭火体验装置、消防与作业安全设施程序软件前后端设计开发、心肺复苏救助体验装置、装修、监控、标识等。该区域通过模拟真实的仓库环境和作业场景，结合先进的展示技术和互动体验设备，生动直观地展示消防安全设施使用、物资作业流程以及各类应急处理流程等。</w:t>
      </w:r>
    </w:p>
    <w:p>
      <w:pPr>
        <w:bidi w:val="0"/>
        <w:rPr>
          <w:rFonts w:hint="eastAsia"/>
          <w:color w:val="auto"/>
          <w:lang w:eastAsia="zh-CN"/>
        </w:rPr>
      </w:pPr>
      <w:r>
        <w:rPr>
          <w:rFonts w:hint="eastAsia"/>
          <w:color w:val="auto"/>
          <w:lang w:eastAsia="zh-CN"/>
        </w:rPr>
        <w:t>7.仓储智能化设备实操培训区</w:t>
      </w:r>
    </w:p>
    <w:p>
      <w:pPr>
        <w:bidi w:val="0"/>
        <w:rPr>
          <w:rFonts w:hint="eastAsia"/>
          <w:color w:val="auto"/>
          <w:lang w:eastAsia="zh-CN"/>
        </w:rPr>
      </w:pPr>
      <w:r>
        <w:rPr>
          <w:rFonts w:hint="eastAsia"/>
          <w:color w:val="auto"/>
          <w:lang w:eastAsia="zh-CN"/>
        </w:rPr>
        <w:t>包括实训场地划线、培评亭、监控等。主要在B库一楼建设仓储智能化设备和桥式起重机培训区，在仓库户外堆场建设叉车技能培评场区和培评亭等。</w:t>
      </w:r>
    </w:p>
    <w:p>
      <w:pPr>
        <w:bidi w:val="0"/>
        <w:rPr>
          <w:rFonts w:hint="eastAsia"/>
          <w:color w:val="auto"/>
          <w:lang w:eastAsia="zh-CN"/>
        </w:rPr>
      </w:pPr>
      <w:r>
        <w:rPr>
          <w:rFonts w:hint="eastAsia"/>
          <w:color w:val="auto"/>
          <w:lang w:eastAsia="zh-CN"/>
        </w:rPr>
        <w:t>以上项目内容均为工程项目可行性研究报告内容，具体实施内容以批复为准，受托人不得以内容变化为由拒绝提供项目监理。</w:t>
      </w:r>
    </w:p>
    <w:p>
      <w:pPr>
        <w:pStyle w:val="2"/>
        <w:rPr>
          <w:rFonts w:hint="eastAsia"/>
          <w:color w:val="auto"/>
        </w:rPr>
      </w:pPr>
    </w:p>
    <w:p>
      <w:pPr>
        <w:pStyle w:val="4"/>
        <w:ind w:firstLine="640"/>
        <w:rPr>
          <w:rFonts w:hint="eastAsia"/>
          <w:color w:val="auto"/>
        </w:rPr>
      </w:pPr>
      <w:r>
        <w:rPr>
          <w:rFonts w:hint="eastAsia"/>
          <w:color w:val="auto"/>
        </w:rPr>
        <w:t>资格</w:t>
      </w:r>
      <w:r>
        <w:rPr>
          <w:rFonts w:hint="eastAsia"/>
          <w:color w:val="auto"/>
          <w:lang w:eastAsia="zh-CN"/>
        </w:rPr>
        <w:t>资质</w:t>
      </w:r>
      <w:r>
        <w:rPr>
          <w:rFonts w:hint="eastAsia"/>
          <w:color w:val="auto"/>
        </w:rPr>
        <w:t>要求</w:t>
      </w:r>
    </w:p>
    <w:p>
      <w:pPr>
        <w:pStyle w:val="6"/>
        <w:numPr>
          <w:ilvl w:val="2"/>
          <w:numId w:val="0"/>
        </w:numPr>
        <w:bidi w:val="0"/>
        <w:ind w:firstLine="640" w:firstLineChars="200"/>
        <w:jc w:val="both"/>
        <w:rPr>
          <w:rFonts w:hint="eastAsia" w:ascii="仿宋_GB2312" w:hAnsi="仿宋_GB2312" w:eastAsia="仿宋_GB2312" w:cs="仿宋_GB2312"/>
          <w:bCs w:val="0"/>
          <w:color w:val="auto"/>
          <w:kern w:val="2"/>
          <w:sz w:val="32"/>
          <w:szCs w:val="28"/>
          <w:lang w:val="en-US" w:eastAsia="zh-CN" w:bidi="ar-SA"/>
        </w:rPr>
      </w:pPr>
      <w:r>
        <w:rPr>
          <w:rFonts w:hint="eastAsia" w:ascii="仿宋_GB2312" w:hAnsi="仿宋_GB2312" w:eastAsia="仿宋_GB2312" w:cs="仿宋_GB2312"/>
          <w:bCs w:val="0"/>
          <w:color w:val="auto"/>
          <w:kern w:val="2"/>
          <w:sz w:val="32"/>
          <w:szCs w:val="28"/>
          <w:lang w:val="en-US" w:eastAsia="zh-CN" w:bidi="ar-SA"/>
        </w:rPr>
        <w:t>1.具备合法有效的营业执照、独立企业法人资格或其他有效证明文件；</w:t>
      </w:r>
    </w:p>
    <w:p>
      <w:pPr>
        <w:pStyle w:val="6"/>
        <w:numPr>
          <w:ilvl w:val="2"/>
          <w:numId w:val="0"/>
        </w:numPr>
        <w:bidi w:val="0"/>
        <w:ind w:firstLine="640" w:firstLineChars="200"/>
        <w:jc w:val="both"/>
        <w:rPr>
          <w:rFonts w:hint="eastAsia" w:ascii="仿宋_GB2312" w:hAnsi="仿宋_GB2312" w:eastAsia="仿宋_GB2312" w:cs="仿宋_GB2312"/>
          <w:bCs w:val="0"/>
          <w:color w:val="auto"/>
          <w:kern w:val="2"/>
          <w:sz w:val="32"/>
          <w:szCs w:val="28"/>
          <w:lang w:val="en-US" w:eastAsia="zh-CN" w:bidi="ar-SA"/>
        </w:rPr>
      </w:pPr>
      <w:r>
        <w:rPr>
          <w:rFonts w:hint="eastAsia" w:ascii="仿宋_GB2312" w:hAnsi="仿宋_GB2312" w:eastAsia="仿宋_GB2312" w:cs="仿宋_GB2312"/>
          <w:bCs w:val="0"/>
          <w:color w:val="auto"/>
          <w:kern w:val="2"/>
          <w:sz w:val="32"/>
          <w:szCs w:val="28"/>
          <w:lang w:val="en-US" w:eastAsia="zh-CN" w:bidi="ar-SA"/>
        </w:rPr>
        <w:t>2.具有有效的工程监理综合资质或电力工程监理乙级或以上资；</w:t>
      </w:r>
    </w:p>
    <w:p>
      <w:pPr>
        <w:pStyle w:val="6"/>
        <w:numPr>
          <w:ilvl w:val="2"/>
          <w:numId w:val="0"/>
        </w:numPr>
        <w:bidi w:val="0"/>
        <w:ind w:firstLine="640" w:firstLineChars="200"/>
        <w:jc w:val="both"/>
        <w:rPr>
          <w:rFonts w:hint="eastAsia" w:ascii="仿宋_GB2312" w:hAnsi="仿宋_GB2312" w:eastAsia="仿宋_GB2312" w:cs="仿宋_GB2312"/>
          <w:bCs w:val="0"/>
          <w:color w:val="auto"/>
          <w:kern w:val="2"/>
          <w:sz w:val="32"/>
          <w:szCs w:val="28"/>
          <w:lang w:val="en-US" w:eastAsia="zh-CN" w:bidi="ar-SA"/>
        </w:rPr>
      </w:pPr>
      <w:r>
        <w:rPr>
          <w:rFonts w:hint="eastAsia" w:cs="仿宋_GB2312"/>
          <w:bCs w:val="0"/>
          <w:color w:val="auto"/>
          <w:kern w:val="2"/>
          <w:sz w:val="32"/>
          <w:szCs w:val="28"/>
          <w:lang w:val="en-US" w:eastAsia="zh-CN" w:bidi="ar-SA"/>
        </w:rPr>
        <w:t>3.</w:t>
      </w:r>
      <w:r>
        <w:rPr>
          <w:rFonts w:hint="eastAsia" w:ascii="仿宋_GB2312" w:hAnsi="仿宋_GB2312" w:eastAsia="仿宋_GB2312" w:cs="仿宋_GB2312"/>
          <w:bCs w:val="0"/>
          <w:color w:val="auto"/>
          <w:kern w:val="2"/>
          <w:sz w:val="32"/>
          <w:szCs w:val="28"/>
          <w:lang w:val="en-US" w:eastAsia="zh-CN" w:bidi="ar-SA"/>
        </w:rPr>
        <w:t>项目总监资格要求：总监理工程师应当具有国家注册监理工程师资格，相关证书均在有效期内并在</w:t>
      </w:r>
      <w:r>
        <w:rPr>
          <w:rFonts w:hint="eastAsia" w:cs="仿宋_GB2312"/>
          <w:bCs w:val="0"/>
          <w:color w:val="auto"/>
          <w:kern w:val="2"/>
          <w:sz w:val="32"/>
          <w:szCs w:val="28"/>
          <w:lang w:val="en-US" w:eastAsia="zh-CN" w:bidi="ar-SA"/>
        </w:rPr>
        <w:t>报价</w:t>
      </w:r>
      <w:r>
        <w:rPr>
          <w:rFonts w:hint="eastAsia" w:ascii="仿宋_GB2312" w:hAnsi="仿宋_GB2312" w:eastAsia="仿宋_GB2312" w:cs="仿宋_GB2312"/>
          <w:bCs w:val="0"/>
          <w:color w:val="auto"/>
          <w:kern w:val="2"/>
          <w:sz w:val="32"/>
          <w:szCs w:val="28"/>
          <w:lang w:val="en-US" w:eastAsia="zh-CN" w:bidi="ar-SA"/>
        </w:rPr>
        <w:t>单位注册，且须提供在本单位</w:t>
      </w:r>
      <w:r>
        <w:rPr>
          <w:rFonts w:hint="eastAsia" w:cs="仿宋_GB2312"/>
          <w:bCs w:val="0"/>
          <w:color w:val="auto"/>
          <w:kern w:val="2"/>
          <w:sz w:val="32"/>
          <w:szCs w:val="28"/>
          <w:lang w:val="en-US" w:eastAsia="zh-CN" w:bidi="ar-SA"/>
        </w:rPr>
        <w:t>报价</w:t>
      </w:r>
      <w:r>
        <w:rPr>
          <w:rFonts w:hint="eastAsia" w:ascii="仿宋_GB2312" w:hAnsi="仿宋_GB2312" w:eastAsia="仿宋_GB2312" w:cs="仿宋_GB2312"/>
          <w:bCs w:val="0"/>
          <w:color w:val="auto"/>
          <w:kern w:val="2"/>
          <w:sz w:val="32"/>
          <w:szCs w:val="28"/>
          <w:lang w:val="en-US" w:eastAsia="zh-CN" w:bidi="ar-SA"/>
        </w:rPr>
        <w:t>截止日期前半年内连续 3 个月的社保证明。</w:t>
      </w:r>
    </w:p>
    <w:p>
      <w:pPr>
        <w:pStyle w:val="6"/>
        <w:numPr>
          <w:ilvl w:val="2"/>
          <w:numId w:val="0"/>
        </w:numPr>
        <w:bidi w:val="0"/>
        <w:ind w:firstLine="640" w:firstLineChars="200"/>
        <w:jc w:val="both"/>
        <w:rPr>
          <w:rFonts w:hint="eastAsia" w:ascii="仿宋_GB2312" w:hAnsi="仿宋_GB2312" w:eastAsia="仿宋_GB2312" w:cs="仿宋_GB2312"/>
          <w:bCs w:val="0"/>
          <w:color w:val="auto"/>
          <w:kern w:val="2"/>
          <w:sz w:val="32"/>
          <w:szCs w:val="28"/>
          <w:lang w:val="en-US" w:eastAsia="zh-CN" w:bidi="ar-SA"/>
        </w:rPr>
      </w:pPr>
      <w:r>
        <w:rPr>
          <w:rFonts w:hint="eastAsia" w:cs="仿宋_GB2312"/>
          <w:bCs w:val="0"/>
          <w:color w:val="auto"/>
          <w:kern w:val="2"/>
          <w:sz w:val="32"/>
          <w:szCs w:val="28"/>
          <w:lang w:val="en-US" w:eastAsia="zh-CN" w:bidi="ar-SA"/>
        </w:rPr>
        <w:t>4</w:t>
      </w:r>
      <w:r>
        <w:rPr>
          <w:rFonts w:hint="eastAsia" w:ascii="仿宋_GB2312" w:hAnsi="仿宋_GB2312" w:eastAsia="仿宋_GB2312" w:cs="仿宋_GB2312"/>
          <w:bCs w:val="0"/>
          <w:color w:val="auto"/>
          <w:kern w:val="2"/>
          <w:sz w:val="32"/>
          <w:szCs w:val="28"/>
          <w:lang w:val="en-US" w:eastAsia="zh-CN" w:bidi="ar-SA"/>
        </w:rPr>
        <w:t>.不得存在以下情况：</w:t>
      </w:r>
      <w:r>
        <w:rPr>
          <w:rFonts w:hint="eastAsia" w:cs="仿宋_GB2312"/>
          <w:bCs w:val="0"/>
          <w:color w:val="auto"/>
          <w:kern w:val="2"/>
          <w:sz w:val="32"/>
          <w:szCs w:val="28"/>
          <w:lang w:val="en-US" w:eastAsia="zh-CN" w:bidi="ar-SA"/>
        </w:rPr>
        <w:t>报价</w:t>
      </w:r>
      <w:r>
        <w:rPr>
          <w:rFonts w:hint="eastAsia" w:ascii="仿宋_GB2312" w:hAnsi="仿宋_GB2312" w:eastAsia="仿宋_GB2312" w:cs="仿宋_GB2312"/>
          <w:bCs w:val="0"/>
          <w:color w:val="auto"/>
          <w:kern w:val="2"/>
          <w:sz w:val="32"/>
          <w:szCs w:val="28"/>
          <w:lang w:val="en-US" w:eastAsia="zh-CN" w:bidi="ar-SA"/>
        </w:rPr>
        <w:t>人被南方电网公司、不接受</w:t>
      </w:r>
      <w:r>
        <w:rPr>
          <w:rFonts w:hint="eastAsia" w:cs="仿宋_GB2312"/>
          <w:bCs w:val="0"/>
          <w:color w:val="auto"/>
          <w:kern w:val="2"/>
          <w:sz w:val="32"/>
          <w:szCs w:val="28"/>
          <w:lang w:val="en-US" w:eastAsia="zh-CN" w:bidi="ar-SA"/>
        </w:rPr>
        <w:t>报价</w:t>
      </w:r>
      <w:bookmarkStart w:id="2" w:name="_GoBack"/>
      <w:bookmarkEnd w:id="2"/>
      <w:r>
        <w:rPr>
          <w:rFonts w:hint="eastAsia" w:ascii="仿宋_GB2312" w:hAnsi="仿宋_GB2312" w:eastAsia="仿宋_GB2312" w:cs="仿宋_GB2312"/>
          <w:bCs w:val="0"/>
          <w:color w:val="auto"/>
          <w:kern w:val="2"/>
          <w:sz w:val="32"/>
          <w:szCs w:val="28"/>
          <w:lang w:val="en-US" w:eastAsia="zh-CN" w:bidi="ar-SA"/>
        </w:rPr>
        <w:t>或市场禁入处理，且未解除处罚的。</w:t>
      </w:r>
    </w:p>
    <w:p>
      <w:pPr>
        <w:pStyle w:val="6"/>
        <w:numPr>
          <w:ilvl w:val="2"/>
          <w:numId w:val="0"/>
        </w:numPr>
        <w:bidi w:val="0"/>
        <w:jc w:val="both"/>
        <w:rPr>
          <w:rFonts w:hint="eastAsia"/>
          <w:color w:val="auto"/>
        </w:rPr>
      </w:pPr>
    </w:p>
    <w:p>
      <w:pPr>
        <w:pStyle w:val="4"/>
        <w:ind w:firstLine="640"/>
        <w:rPr>
          <w:rFonts w:hint="eastAsia"/>
          <w:color w:val="auto"/>
        </w:rPr>
      </w:pPr>
      <w:r>
        <w:rPr>
          <w:rFonts w:hint="eastAsia"/>
          <w:color w:val="auto"/>
          <w:lang w:eastAsia="zh-CN"/>
        </w:rPr>
        <w:t>服务内容</w:t>
      </w:r>
    </w:p>
    <w:p>
      <w:pPr>
        <w:bidi w:val="0"/>
        <w:rPr>
          <w:rFonts w:hint="eastAsia"/>
          <w:color w:val="auto"/>
          <w:lang w:eastAsia="zh-CN"/>
        </w:rPr>
      </w:pPr>
      <w:r>
        <w:rPr>
          <w:rFonts w:hint="eastAsia"/>
          <w:color w:val="auto"/>
          <w:lang w:eastAsia="zh-CN"/>
        </w:rPr>
        <w:t>（一）服务</w:t>
      </w:r>
      <w:r>
        <w:rPr>
          <w:rFonts w:hint="eastAsia"/>
          <w:color w:val="auto"/>
        </w:rPr>
        <w:t>内容</w:t>
      </w:r>
      <w:r>
        <w:rPr>
          <w:rFonts w:hint="eastAsia"/>
          <w:color w:val="auto"/>
          <w:lang w:eastAsia="zh-CN"/>
        </w:rPr>
        <w:t>主要包括（具体以委托方实际要求为准）</w:t>
      </w:r>
      <w:r>
        <w:rPr>
          <w:rFonts w:hint="eastAsia"/>
          <w:color w:val="auto"/>
        </w:rPr>
        <w:t>：负责项目的全过程监理；协助委托人做好</w:t>
      </w:r>
      <w:r>
        <w:rPr>
          <w:rFonts w:hint="eastAsia"/>
          <w:color w:val="auto"/>
          <w:lang w:eastAsia="zh-CN"/>
        </w:rPr>
        <w:t>项目</w:t>
      </w:r>
      <w:r>
        <w:rPr>
          <w:rFonts w:hint="eastAsia"/>
          <w:color w:val="auto"/>
        </w:rPr>
        <w:t>开工前准备工作</w:t>
      </w:r>
      <w:r>
        <w:rPr>
          <w:rFonts w:hint="eastAsia"/>
          <w:color w:val="auto"/>
          <w:lang w:eastAsia="zh-CN"/>
        </w:rPr>
        <w:t>以及工器具报审检查</w:t>
      </w:r>
      <w:r>
        <w:rPr>
          <w:rFonts w:hint="eastAsia"/>
          <w:color w:val="auto"/>
        </w:rPr>
        <w:t>；</w:t>
      </w:r>
      <w:r>
        <w:rPr>
          <w:rFonts w:hint="eastAsia"/>
          <w:color w:val="auto"/>
          <w:lang w:eastAsia="zh-CN"/>
        </w:rPr>
        <w:t>参加项目全过程中各类协调审查会议并做好会议纪要，协助委托人做好会议纪要内容的具体落实；</w:t>
      </w:r>
      <w:r>
        <w:rPr>
          <w:rFonts w:hint="eastAsia"/>
          <w:color w:val="auto"/>
        </w:rPr>
        <w:t>负责</w:t>
      </w:r>
      <w:r>
        <w:rPr>
          <w:rFonts w:hint="eastAsia"/>
          <w:color w:val="auto"/>
          <w:lang w:eastAsia="zh-CN"/>
        </w:rPr>
        <w:t>项目实施过程中</w:t>
      </w:r>
      <w:r>
        <w:rPr>
          <w:rFonts w:hint="eastAsia"/>
          <w:color w:val="auto"/>
        </w:rPr>
        <w:t>安全、质量、进度（月报、周报</w:t>
      </w:r>
      <w:r>
        <w:rPr>
          <w:rFonts w:hint="eastAsia"/>
          <w:color w:val="auto"/>
          <w:lang w:eastAsia="zh-CN"/>
        </w:rPr>
        <w:t>，具体以委托人要求为准</w:t>
      </w:r>
      <w:r>
        <w:rPr>
          <w:rFonts w:hint="eastAsia"/>
          <w:color w:val="auto"/>
        </w:rPr>
        <w:t>）、投资控制及合同管理（包括审核工程量、</w:t>
      </w:r>
      <w:r>
        <w:rPr>
          <w:rFonts w:hint="eastAsia"/>
          <w:color w:val="auto"/>
          <w:lang w:eastAsia="zh-CN"/>
        </w:rPr>
        <w:t>施工图纸、</w:t>
      </w:r>
      <w:r>
        <w:rPr>
          <w:rFonts w:hint="eastAsia"/>
          <w:color w:val="auto"/>
        </w:rPr>
        <w:t>合同支付、变更台帐（如发生变更））；设备、材料进场检查；组织协调、安全文明施工管理、组织各类验收；组织审核竣工资料等</w:t>
      </w:r>
      <w:r>
        <w:rPr>
          <w:rFonts w:hint="eastAsia"/>
          <w:color w:val="auto"/>
          <w:lang w:eastAsia="zh-CN"/>
        </w:rPr>
        <w:t>；按委托方要求完成文件归档。</w:t>
      </w:r>
    </w:p>
    <w:p>
      <w:pPr>
        <w:bidi w:val="0"/>
        <w:rPr>
          <w:rFonts w:hint="eastAsia"/>
          <w:color w:val="auto"/>
        </w:rPr>
      </w:pPr>
      <w:r>
        <w:rPr>
          <w:rFonts w:hint="eastAsia"/>
          <w:color w:val="auto"/>
          <w:lang w:eastAsia="zh-CN"/>
        </w:rPr>
        <w:t>（二）</w:t>
      </w:r>
      <w:r>
        <w:rPr>
          <w:rFonts w:hint="eastAsia"/>
          <w:color w:val="auto"/>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bidi w:val="0"/>
        <w:rPr>
          <w:rFonts w:hint="eastAsia"/>
          <w:color w:val="auto"/>
        </w:rPr>
      </w:pPr>
      <w:r>
        <w:rPr>
          <w:rFonts w:hint="eastAsia"/>
          <w:color w:val="auto"/>
        </w:rPr>
        <w:t>1．质量控制主要工作服务内容：</w:t>
      </w:r>
    </w:p>
    <w:p>
      <w:pPr>
        <w:bidi w:val="0"/>
        <w:rPr>
          <w:rFonts w:hint="eastAsia"/>
          <w:color w:val="auto"/>
        </w:rPr>
      </w:pPr>
      <w:r>
        <w:rPr>
          <w:rFonts w:hint="eastAsia"/>
          <w:color w:val="auto"/>
        </w:rPr>
        <w:t>1.1质量的事前控制：</w:t>
      </w:r>
    </w:p>
    <w:p>
      <w:pPr>
        <w:bidi w:val="0"/>
        <w:rPr>
          <w:rFonts w:hint="eastAsia"/>
          <w:color w:val="auto"/>
        </w:rPr>
      </w:pPr>
      <w:r>
        <w:rPr>
          <w:rFonts w:hint="eastAsia"/>
          <w:color w:val="auto"/>
        </w:rPr>
        <w:t>1.1.1确定质量标准，明确质量要求。</w:t>
      </w:r>
    </w:p>
    <w:p>
      <w:pPr>
        <w:bidi w:val="0"/>
        <w:rPr>
          <w:rFonts w:hint="eastAsia"/>
          <w:color w:val="auto"/>
        </w:rPr>
      </w:pPr>
      <w:r>
        <w:rPr>
          <w:rFonts w:hint="eastAsia"/>
          <w:color w:val="auto"/>
        </w:rPr>
        <w:t>1.1.2确定本项目的质量监理控制体系。</w:t>
      </w:r>
    </w:p>
    <w:p>
      <w:pPr>
        <w:bidi w:val="0"/>
        <w:rPr>
          <w:rFonts w:hint="eastAsia"/>
          <w:color w:val="auto"/>
        </w:rPr>
      </w:pPr>
      <w:r>
        <w:rPr>
          <w:rFonts w:hint="eastAsia"/>
          <w:color w:val="auto"/>
        </w:rPr>
        <w:t>1.1.3审查承包商选择的分包单位、试验单位的资质并提出意见。</w:t>
      </w:r>
    </w:p>
    <w:p>
      <w:pPr>
        <w:bidi w:val="0"/>
        <w:rPr>
          <w:rFonts w:hint="eastAsia"/>
          <w:color w:val="auto"/>
        </w:rPr>
      </w:pPr>
      <w:r>
        <w:rPr>
          <w:rFonts w:hint="eastAsia"/>
          <w:color w:val="auto"/>
        </w:rPr>
        <w:t>1.1.4督促承包商建立并完善质量保证体系。审查承包商质保体系文件和质保手册，并监督实施。</w:t>
      </w:r>
    </w:p>
    <w:p>
      <w:pPr>
        <w:bidi w:val="0"/>
        <w:rPr>
          <w:rFonts w:hint="eastAsia"/>
          <w:color w:val="auto"/>
        </w:rPr>
      </w:pPr>
      <w:r>
        <w:rPr>
          <w:rFonts w:hint="eastAsia"/>
          <w:color w:val="auto"/>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bidi w:val="0"/>
        <w:rPr>
          <w:rFonts w:hint="eastAsia"/>
          <w:color w:val="auto"/>
        </w:rPr>
      </w:pPr>
      <w:r>
        <w:rPr>
          <w:rFonts w:hint="eastAsia"/>
          <w:color w:val="auto"/>
        </w:rPr>
        <w:t>1.1.6</w:t>
      </w:r>
      <w:r>
        <w:rPr>
          <w:rFonts w:hint="eastAsia"/>
          <w:color w:val="auto"/>
          <w:lang w:eastAsia="zh-CN"/>
        </w:rPr>
        <w:t>负责</w:t>
      </w:r>
      <w:r>
        <w:rPr>
          <w:rFonts w:hint="eastAsia"/>
          <w:color w:val="auto"/>
        </w:rPr>
        <w:t>现场设备的开箱验收工作，检查其运输，保管措施。</w:t>
      </w:r>
    </w:p>
    <w:p>
      <w:pPr>
        <w:bidi w:val="0"/>
        <w:rPr>
          <w:rFonts w:hint="eastAsia"/>
          <w:color w:val="auto"/>
        </w:rPr>
      </w:pPr>
      <w:r>
        <w:rPr>
          <w:rFonts w:hint="eastAsia"/>
          <w:color w:val="auto"/>
        </w:rPr>
        <w:t>1.1.7查验重要施工机械，起吊设施经检验的有效合格证件；检查承包商试验及其试验人员的资质与持证上岗情况；查验其检验，测量与试验设备的有效合格证件。检查现场施工人员中特殊工种持证上岗情况，并监督实施。</w:t>
      </w:r>
    </w:p>
    <w:p>
      <w:pPr>
        <w:bidi w:val="0"/>
        <w:rPr>
          <w:rFonts w:hint="eastAsia"/>
          <w:color w:val="auto"/>
        </w:rPr>
      </w:pPr>
      <w:r>
        <w:rPr>
          <w:rFonts w:hint="eastAsia"/>
          <w:color w:val="auto"/>
        </w:rPr>
        <w:t>1.1.8参与施工图阶段的设计方案讨论，核查是否符合已批准的可行性研究报告及有关设计批准文件和国家、行业有关标准。重点是技术方案、经济指标的合理性和投产后的运行可靠性。</w:t>
      </w:r>
    </w:p>
    <w:p>
      <w:pPr>
        <w:bidi w:val="0"/>
        <w:rPr>
          <w:rFonts w:hint="eastAsia"/>
          <w:color w:val="auto"/>
        </w:rPr>
      </w:pPr>
      <w:r>
        <w:rPr>
          <w:rFonts w:hint="eastAsia"/>
          <w:color w:val="auto"/>
        </w:rPr>
        <w:t>1.1.9监督检查设计单位提出的设计文件(如有必要时，可对主要计算资料和计算书进行核查)是否符合已批准的可行性研究、施工图设计文件及有关规程、规范和标准。</w:t>
      </w:r>
    </w:p>
    <w:p>
      <w:pPr>
        <w:bidi w:val="0"/>
        <w:rPr>
          <w:rFonts w:hint="eastAsia"/>
          <w:color w:val="auto"/>
        </w:rPr>
      </w:pPr>
      <w:r>
        <w:rPr>
          <w:rFonts w:hint="eastAsia"/>
          <w:color w:val="auto"/>
        </w:rPr>
        <w:t>1.1.10核查施工图方案是否符合施工图设计审批文件，是否进行优化。</w:t>
      </w:r>
    </w:p>
    <w:p>
      <w:pPr>
        <w:bidi w:val="0"/>
        <w:rPr>
          <w:rFonts w:hint="eastAsia"/>
          <w:color w:val="auto"/>
        </w:rPr>
      </w:pPr>
      <w:r>
        <w:rPr>
          <w:rFonts w:hint="eastAsia"/>
          <w:color w:val="auto"/>
        </w:rPr>
        <w:t>1.1.11组织主持审查和确认承包商提交的施工组织设计、施工技术方案、施工质量保证措施、确保安全及文明施工措施。主持审查调试计划、调试方案、调试措施、调试报告。审查承包商须报委托方的重要工序的作业指导书。</w:t>
      </w:r>
    </w:p>
    <w:p>
      <w:pPr>
        <w:bidi w:val="0"/>
        <w:rPr>
          <w:rFonts w:hint="eastAsia"/>
          <w:color w:val="auto"/>
        </w:rPr>
      </w:pPr>
      <w:r>
        <w:rPr>
          <w:rFonts w:hint="eastAsia"/>
          <w:color w:val="auto"/>
        </w:rPr>
        <w:t>1.2质量的事中控制：</w:t>
      </w:r>
    </w:p>
    <w:p>
      <w:pPr>
        <w:bidi w:val="0"/>
        <w:rPr>
          <w:rFonts w:hint="eastAsia"/>
          <w:color w:val="auto"/>
        </w:rPr>
      </w:pPr>
      <w:r>
        <w:rPr>
          <w:rFonts w:hint="eastAsia"/>
          <w:color w:val="auto"/>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bidi w:val="0"/>
        <w:rPr>
          <w:rFonts w:hint="eastAsia"/>
          <w:color w:val="auto"/>
        </w:rPr>
      </w:pPr>
      <w:r>
        <w:rPr>
          <w:rFonts w:hint="eastAsia"/>
          <w:color w:val="auto"/>
        </w:rPr>
        <w:t>1.2.2工序交接检查：坚持上道工序不经检查验收不准进行下道工序的原则，停工待检点必须经监理工程师签字后才能进入下一道工序。</w:t>
      </w:r>
    </w:p>
    <w:p>
      <w:pPr>
        <w:bidi w:val="0"/>
        <w:rPr>
          <w:rFonts w:hint="eastAsia"/>
          <w:color w:val="auto"/>
        </w:rPr>
      </w:pPr>
      <w:r>
        <w:rPr>
          <w:rFonts w:hint="eastAsia"/>
          <w:color w:val="auto"/>
        </w:rPr>
        <w:t>1.2.3主持分项，分部工程，关键工序和隐蔽工程的质量检查与验评，代表业主进行预验收。定期召开质量分析会，通报质量状况，分析质量趋势，提出改进措施并监督实施。</w:t>
      </w:r>
    </w:p>
    <w:p>
      <w:pPr>
        <w:bidi w:val="0"/>
        <w:rPr>
          <w:rFonts w:hint="eastAsia"/>
          <w:color w:val="auto"/>
        </w:rPr>
      </w:pPr>
      <w:r>
        <w:rPr>
          <w:rFonts w:hint="eastAsia"/>
          <w:color w:val="auto"/>
        </w:rPr>
        <w:t>1.2.4做好设计变更及技术核定的处理工作。核查设计变更并跟踪、检查是否按已批准的变更文件进行施工。未得到甲方书面批准的设计变更通知单前，不得同意施工单位提前实施变更内容。</w:t>
      </w:r>
    </w:p>
    <w:p>
      <w:pPr>
        <w:bidi w:val="0"/>
        <w:rPr>
          <w:rFonts w:hint="eastAsia"/>
          <w:color w:val="auto"/>
        </w:rPr>
      </w:pPr>
      <w:r>
        <w:rPr>
          <w:rFonts w:hint="eastAsia"/>
          <w:color w:val="auto"/>
        </w:rPr>
        <w:t>1.2.5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乙方员对不合格项必须跟踪检查并落实。</w:t>
      </w:r>
    </w:p>
    <w:p>
      <w:pPr>
        <w:bidi w:val="0"/>
        <w:rPr>
          <w:rFonts w:hint="eastAsia"/>
          <w:color w:val="auto"/>
        </w:rPr>
      </w:pPr>
      <w:r>
        <w:rPr>
          <w:rFonts w:hint="eastAsia"/>
          <w:color w:val="auto"/>
        </w:rPr>
        <w:t>1.2.6行使质量监督权，下达停工指令。</w:t>
      </w:r>
    </w:p>
    <w:p>
      <w:pPr>
        <w:bidi w:val="0"/>
        <w:rPr>
          <w:rFonts w:hint="eastAsia"/>
          <w:color w:val="auto"/>
        </w:rPr>
      </w:pPr>
      <w:r>
        <w:rPr>
          <w:rFonts w:hint="eastAsia"/>
          <w:color w:val="auto"/>
        </w:rPr>
        <w:t>1.3质量的事后控制：</w:t>
      </w:r>
    </w:p>
    <w:p>
      <w:pPr>
        <w:bidi w:val="0"/>
        <w:rPr>
          <w:rFonts w:hint="eastAsia"/>
          <w:color w:val="auto"/>
        </w:rPr>
      </w:pPr>
      <w:r>
        <w:rPr>
          <w:rFonts w:hint="eastAsia"/>
          <w:color w:val="auto"/>
        </w:rPr>
        <w:t>1.3.1参与工程分部试运行及整套试运行。</w:t>
      </w:r>
    </w:p>
    <w:p>
      <w:pPr>
        <w:bidi w:val="0"/>
        <w:rPr>
          <w:rFonts w:hint="eastAsia"/>
          <w:color w:val="auto"/>
        </w:rPr>
      </w:pPr>
      <w:r>
        <w:rPr>
          <w:rFonts w:hint="eastAsia"/>
          <w:color w:val="auto"/>
        </w:rPr>
        <w:t>1.3.2组织单位，单项工程竣工预验收。</w:t>
      </w:r>
    </w:p>
    <w:p>
      <w:pPr>
        <w:bidi w:val="0"/>
        <w:rPr>
          <w:rFonts w:hint="eastAsia"/>
          <w:color w:val="auto"/>
        </w:rPr>
      </w:pPr>
      <w:r>
        <w:rPr>
          <w:rFonts w:hint="eastAsia"/>
          <w:color w:val="auto"/>
        </w:rPr>
        <w:t>1.3.3组织对工程项目进行质量评定。</w:t>
      </w:r>
    </w:p>
    <w:p>
      <w:pPr>
        <w:bidi w:val="0"/>
        <w:rPr>
          <w:rFonts w:hint="eastAsia"/>
          <w:color w:val="auto"/>
        </w:rPr>
      </w:pPr>
      <w:r>
        <w:rPr>
          <w:rFonts w:hint="eastAsia"/>
          <w:color w:val="auto"/>
        </w:rPr>
        <w:t>1.3.4审核工程技术文件资料。</w:t>
      </w:r>
    </w:p>
    <w:p>
      <w:pPr>
        <w:bidi w:val="0"/>
        <w:rPr>
          <w:rFonts w:hint="eastAsia"/>
          <w:color w:val="auto"/>
        </w:rPr>
      </w:pPr>
      <w:r>
        <w:rPr>
          <w:rFonts w:hint="eastAsia"/>
          <w:color w:val="auto"/>
        </w:rPr>
        <w:t>1.3.5协助委托方准备竣工验收资料与投产工作。</w:t>
      </w:r>
    </w:p>
    <w:p>
      <w:pPr>
        <w:bidi w:val="0"/>
        <w:rPr>
          <w:rFonts w:hint="eastAsia"/>
          <w:color w:val="auto"/>
        </w:rPr>
      </w:pPr>
      <w:r>
        <w:rPr>
          <w:rFonts w:hint="eastAsia"/>
          <w:color w:val="auto"/>
        </w:rPr>
        <w:t>1.3.6缺陷责任期质量控制的任务。承担质量保修期监理工作，对工程质量缺陷进行检查和记录，调查分析并确定责任，对修复后的工程质量进行验收和核实费用，合格后予以签认。</w:t>
      </w:r>
    </w:p>
    <w:p>
      <w:pPr>
        <w:bidi w:val="0"/>
        <w:rPr>
          <w:rFonts w:hint="eastAsia"/>
          <w:color w:val="auto"/>
        </w:rPr>
      </w:pPr>
      <w:r>
        <w:rPr>
          <w:rFonts w:hint="eastAsia"/>
          <w:color w:val="auto"/>
        </w:rPr>
        <w:t>1.3.7审核承包商的《质量保修证书》。</w:t>
      </w:r>
    </w:p>
    <w:p>
      <w:pPr>
        <w:bidi w:val="0"/>
        <w:rPr>
          <w:rFonts w:hint="eastAsia"/>
          <w:color w:val="auto"/>
        </w:rPr>
      </w:pPr>
      <w:r>
        <w:rPr>
          <w:rFonts w:hint="eastAsia"/>
          <w:color w:val="auto"/>
        </w:rPr>
        <w:t>1.3.8检查，评定工程质量状况，督促承包商修复质量缺陷。</w:t>
      </w:r>
    </w:p>
    <w:p>
      <w:pPr>
        <w:bidi w:val="0"/>
        <w:rPr>
          <w:rFonts w:hint="eastAsia"/>
          <w:color w:val="auto"/>
        </w:rPr>
      </w:pPr>
      <w:r>
        <w:rPr>
          <w:rFonts w:hint="eastAsia"/>
          <w:color w:val="auto"/>
        </w:rPr>
        <w:t>1.3.9在缺陷责任期结束后，移交相关资料。</w:t>
      </w:r>
    </w:p>
    <w:p>
      <w:pPr>
        <w:bidi w:val="0"/>
        <w:rPr>
          <w:rFonts w:hint="eastAsia"/>
          <w:color w:val="auto"/>
        </w:rPr>
      </w:pPr>
      <w:r>
        <w:rPr>
          <w:rFonts w:hint="eastAsia"/>
          <w:color w:val="auto"/>
        </w:rPr>
        <w:t>2．进度控制主要工作服务内容：</w:t>
      </w:r>
    </w:p>
    <w:p>
      <w:pPr>
        <w:bidi w:val="0"/>
        <w:rPr>
          <w:rFonts w:hint="eastAsia"/>
          <w:color w:val="auto"/>
        </w:rPr>
      </w:pPr>
      <w:r>
        <w:rPr>
          <w:rFonts w:hint="eastAsia"/>
          <w:color w:val="auto"/>
        </w:rPr>
        <w:t>2.1负责与承包商商定设计图纸和文件在满足工程施工总进度要求前提下提交的时间表，并负责检查，督促、协调工作。</w:t>
      </w:r>
    </w:p>
    <w:p>
      <w:pPr>
        <w:bidi w:val="0"/>
        <w:rPr>
          <w:rFonts w:hint="eastAsia"/>
          <w:color w:val="auto"/>
        </w:rPr>
      </w:pPr>
      <w:r>
        <w:rPr>
          <w:rFonts w:hint="eastAsia"/>
          <w:color w:val="auto"/>
        </w:rPr>
        <w:t>2.2参与工程施工进度和接口的协调。编制施工阶段进度控制的相关管理制度。</w:t>
      </w:r>
    </w:p>
    <w:p>
      <w:pPr>
        <w:bidi w:val="0"/>
        <w:rPr>
          <w:rFonts w:hint="eastAsia"/>
          <w:color w:val="auto"/>
        </w:rPr>
      </w:pPr>
      <w:r>
        <w:rPr>
          <w:rFonts w:hint="eastAsia"/>
          <w:color w:val="auto"/>
        </w:rPr>
        <w:t>2.3 根据建设单位制定的里程碑计划编制一级网络计划，监督检查承包商编制的二级网络计划，并监督实施。</w:t>
      </w:r>
    </w:p>
    <w:p>
      <w:pPr>
        <w:bidi w:val="0"/>
        <w:rPr>
          <w:rFonts w:hint="eastAsia"/>
          <w:color w:val="auto"/>
        </w:rPr>
      </w:pPr>
      <w:r>
        <w:rPr>
          <w:rFonts w:hint="eastAsia"/>
          <w:color w:val="auto"/>
        </w:rPr>
        <w:t>2.4审核施工承包商上报的工作计划，审批施工承包商提出的修改目标计划要求。随时盘点工程进度，对造成工程进度滞后的原因进行分析，提出改进意见与建议，报送委托方并监督实施。</w:t>
      </w:r>
    </w:p>
    <w:p>
      <w:pPr>
        <w:bidi w:val="0"/>
        <w:rPr>
          <w:rFonts w:hint="eastAsia"/>
          <w:color w:val="auto"/>
        </w:rPr>
      </w:pPr>
      <w:r>
        <w:rPr>
          <w:rFonts w:hint="eastAsia"/>
          <w:color w:val="auto"/>
        </w:rPr>
        <w:t>2.5审查承包商单位工程，分部工程开工申请报告。根据委托方的授权范围，签发单位工程开／停工令。</w:t>
      </w:r>
    </w:p>
    <w:p>
      <w:pPr>
        <w:bidi w:val="0"/>
        <w:rPr>
          <w:rFonts w:hint="eastAsia"/>
          <w:color w:val="auto"/>
        </w:rPr>
      </w:pPr>
      <w:r>
        <w:rPr>
          <w:rFonts w:hint="eastAsia"/>
          <w:color w:val="auto"/>
        </w:rPr>
        <w:t>2.6协助并监督承包单位实施进度计划。</w:t>
      </w:r>
    </w:p>
    <w:p>
      <w:pPr>
        <w:bidi w:val="0"/>
        <w:rPr>
          <w:rFonts w:hint="eastAsia"/>
          <w:color w:val="auto"/>
        </w:rPr>
      </w:pPr>
      <w:r>
        <w:rPr>
          <w:rFonts w:hint="eastAsia"/>
          <w:color w:val="auto"/>
        </w:rPr>
        <w:t>2.7审批工程延期。</w:t>
      </w:r>
    </w:p>
    <w:p>
      <w:pPr>
        <w:bidi w:val="0"/>
        <w:rPr>
          <w:rFonts w:hint="eastAsia"/>
          <w:color w:val="auto"/>
        </w:rPr>
      </w:pPr>
      <w:r>
        <w:rPr>
          <w:rFonts w:hint="eastAsia"/>
          <w:color w:val="auto"/>
        </w:rPr>
        <w:t>2.8向委托方提供进度报告。</w:t>
      </w:r>
    </w:p>
    <w:p>
      <w:pPr>
        <w:bidi w:val="0"/>
        <w:rPr>
          <w:rFonts w:hint="eastAsia"/>
          <w:color w:val="auto"/>
        </w:rPr>
      </w:pPr>
      <w:r>
        <w:rPr>
          <w:rFonts w:hint="eastAsia"/>
          <w:color w:val="auto"/>
        </w:rPr>
        <w:t>2.9督促承包单位整理技术资料。</w:t>
      </w:r>
    </w:p>
    <w:p>
      <w:pPr>
        <w:bidi w:val="0"/>
        <w:rPr>
          <w:rFonts w:hint="eastAsia"/>
          <w:color w:val="auto"/>
        </w:rPr>
      </w:pPr>
      <w:r>
        <w:rPr>
          <w:rFonts w:hint="eastAsia"/>
          <w:color w:val="auto"/>
        </w:rPr>
        <w:t>2.10审批竣工申请报告，组织竣工验收并签署竣工验收报告。</w:t>
      </w:r>
    </w:p>
    <w:p>
      <w:pPr>
        <w:bidi w:val="0"/>
        <w:rPr>
          <w:rFonts w:hint="eastAsia"/>
          <w:color w:val="auto"/>
        </w:rPr>
      </w:pPr>
      <w:r>
        <w:rPr>
          <w:rFonts w:hint="eastAsia"/>
          <w:color w:val="auto"/>
        </w:rPr>
        <w:t>2.11整理工程进度资料。</w:t>
      </w:r>
    </w:p>
    <w:p>
      <w:pPr>
        <w:bidi w:val="0"/>
        <w:rPr>
          <w:rFonts w:hint="eastAsia"/>
          <w:color w:val="auto"/>
        </w:rPr>
      </w:pPr>
      <w:r>
        <w:rPr>
          <w:rFonts w:hint="eastAsia"/>
          <w:color w:val="auto"/>
        </w:rPr>
        <w:t>2.12对不能按时，按要求提交施工进度计划报审或者不能按要求修改进度计划的承包商，提出处理意见，直至签发停工令。</w:t>
      </w:r>
    </w:p>
    <w:p>
      <w:pPr>
        <w:bidi w:val="0"/>
        <w:rPr>
          <w:rFonts w:hint="eastAsia"/>
          <w:color w:val="auto"/>
        </w:rPr>
      </w:pPr>
      <w:r>
        <w:rPr>
          <w:rFonts w:hint="eastAsia"/>
          <w:color w:val="auto"/>
        </w:rPr>
        <w:t>2.13及时处理承包商提交的各种工程技术报表，及时回答承包商提出的各类与监理业务有关的问题，不可因此而影响工程进度。</w:t>
      </w:r>
    </w:p>
    <w:p>
      <w:pPr>
        <w:bidi w:val="0"/>
        <w:rPr>
          <w:rFonts w:hint="eastAsia"/>
          <w:color w:val="auto"/>
        </w:rPr>
      </w:pPr>
      <w:r>
        <w:rPr>
          <w:rFonts w:hint="eastAsia"/>
          <w:color w:val="auto"/>
        </w:rPr>
        <w:t>3．投资控制主要工作服务内容：</w:t>
      </w:r>
    </w:p>
    <w:p>
      <w:pPr>
        <w:bidi w:val="0"/>
        <w:rPr>
          <w:rFonts w:hint="eastAsia"/>
          <w:color w:val="auto"/>
        </w:rPr>
      </w:pPr>
      <w:r>
        <w:rPr>
          <w:rFonts w:hint="eastAsia"/>
          <w:color w:val="auto"/>
        </w:rPr>
        <w:t>3.1审核工程进度价款结算文件。</w:t>
      </w:r>
    </w:p>
    <w:p>
      <w:pPr>
        <w:bidi w:val="0"/>
        <w:rPr>
          <w:rFonts w:hint="eastAsia"/>
          <w:color w:val="auto"/>
        </w:rPr>
      </w:pPr>
      <w:r>
        <w:rPr>
          <w:rFonts w:hint="eastAsia"/>
          <w:color w:val="auto"/>
        </w:rPr>
        <w:t>3.2认真做好索赔的取证工作和有关的事实核查，为业主提供完整可靠的处置依据。</w:t>
      </w:r>
    </w:p>
    <w:p>
      <w:pPr>
        <w:bidi w:val="0"/>
        <w:rPr>
          <w:rFonts w:hint="eastAsia"/>
          <w:color w:val="auto"/>
        </w:rPr>
      </w:pPr>
      <w:r>
        <w:rPr>
          <w:rFonts w:hint="eastAsia"/>
          <w:color w:val="auto"/>
        </w:rPr>
        <w:t>3.3协作委托方处理争议和索赔。</w:t>
      </w:r>
    </w:p>
    <w:p>
      <w:pPr>
        <w:bidi w:val="0"/>
        <w:rPr>
          <w:rFonts w:hint="eastAsia"/>
          <w:color w:val="auto"/>
        </w:rPr>
      </w:pPr>
      <w:r>
        <w:rPr>
          <w:rFonts w:hint="eastAsia"/>
          <w:color w:val="auto"/>
        </w:rPr>
        <w:t>3.4随时向业主提供建设资金的使用情况，使之能有效地调度与运作，这些资料具有可追溯性，是最终工程结算的依据。</w:t>
      </w:r>
    </w:p>
    <w:p>
      <w:pPr>
        <w:bidi w:val="0"/>
        <w:rPr>
          <w:rFonts w:hint="eastAsia"/>
          <w:color w:val="auto"/>
        </w:rPr>
      </w:pPr>
      <w:r>
        <w:rPr>
          <w:rFonts w:hint="eastAsia"/>
          <w:color w:val="auto"/>
        </w:rPr>
        <w:t>4．安全控制、文明施工管理、合同及信息管理、协调等方面的主要工作服务内容：</w:t>
      </w:r>
    </w:p>
    <w:p>
      <w:pPr>
        <w:bidi w:val="0"/>
        <w:rPr>
          <w:rFonts w:hint="eastAsia"/>
          <w:color w:val="auto"/>
        </w:rPr>
      </w:pPr>
      <w:r>
        <w:rPr>
          <w:rFonts w:hint="eastAsia"/>
          <w:color w:val="auto"/>
        </w:rPr>
        <w:t>4.1协助委托方根据国家基本建设安全管理的法律，法规和南方电网有关电力基建安全管理规范和规定以及委托方安全管理的规章制度，进行安全生产管理。制定工程安全文明施工的各项管理制度，报委托方批准后实施；监督检查承包商建立健全安全生产责任制和执行安全生产的有关规定和措施；监督检查承包商建立健全劳动生产教育培训制度，加强对职工安全生产的教育培训；监督检查承包商对其分包单位的安全文明施工管理与教育；巡视检查施工现场，及时发现安全隐患，监督承包商采取纠正与预防措施，遇到威胁安全的重大问题时，有权发出“暂停施工”的通知；按照委托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bidi w:val="0"/>
        <w:rPr>
          <w:rFonts w:hint="eastAsia"/>
          <w:color w:val="auto"/>
        </w:rPr>
      </w:pPr>
      <w:r>
        <w:rPr>
          <w:rFonts w:hint="eastAsia"/>
          <w:color w:val="auto"/>
        </w:rPr>
        <w:t>4.2监督承包合同的履行，委托方与承包商在执行工程承包合同过程中发生争议，由总监理工程师协调解决，经协调仍有不同意见，可按合同约定的方式解决。</w:t>
      </w:r>
    </w:p>
    <w:p>
      <w:pPr>
        <w:bidi w:val="0"/>
        <w:rPr>
          <w:rFonts w:hint="eastAsia"/>
          <w:color w:val="auto"/>
        </w:rPr>
      </w:pPr>
      <w:r>
        <w:rPr>
          <w:rFonts w:hint="eastAsia"/>
          <w:color w:val="auto"/>
        </w:rPr>
        <w:t>4.3安装委托方的工程管理信息系统，进行质量，安全，投资，进度，合同等方面的信息管理。与委托方和承包商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bidi w:val="0"/>
        <w:rPr>
          <w:rFonts w:hint="eastAsia"/>
          <w:color w:val="auto"/>
        </w:rPr>
      </w:pPr>
      <w:r>
        <w:rPr>
          <w:rFonts w:hint="eastAsia"/>
          <w:color w:val="auto"/>
        </w:rPr>
        <w:t>4.4监理方应定期向委托方书面报告监理情况。监理方还要就工程建设的重要阶段提出监理报告，重大问题及时向委托方专题报告。监理报告内容的范围及深度应达到国家或行业有关部门对监理报告的要求及规定。</w:t>
      </w:r>
    </w:p>
    <w:p>
      <w:pPr>
        <w:bidi w:val="0"/>
        <w:rPr>
          <w:rFonts w:hint="eastAsia"/>
          <w:color w:val="auto"/>
        </w:rPr>
      </w:pPr>
      <w:r>
        <w:rPr>
          <w:rFonts w:hint="eastAsia"/>
          <w:color w:val="auto"/>
        </w:rPr>
        <w:t>4.5编制整理监理工作的各种文件，通知，记录，检测资料，图纸等，合同完成或终止时交给甲方。</w:t>
      </w:r>
    </w:p>
    <w:p>
      <w:pPr>
        <w:bidi w:val="0"/>
        <w:rPr>
          <w:rFonts w:hint="eastAsia"/>
          <w:color w:val="auto"/>
        </w:rPr>
      </w:pPr>
      <w:r>
        <w:rPr>
          <w:rFonts w:hint="eastAsia"/>
          <w:color w:val="auto"/>
        </w:rPr>
        <w:t>4.6及时督促施工单位提供完工结算及对施工单位的结算书进行审查。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公文小标宋">
    <w:altName w:val="宋体"/>
    <w:panose1 w:val="02000500000000000000"/>
    <w:charset w:val="86"/>
    <w:family w:val="auto"/>
    <w:pitch w:val="default"/>
    <w:sig w:usb0="00000000" w:usb1="00000000"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9F2321"/>
    <w:multiLevelType w:val="multilevel"/>
    <w:tmpl w:val="459F2321"/>
    <w:lvl w:ilvl="0" w:tentative="0">
      <w:start w:val="1"/>
      <w:numFmt w:val="chineseCountingThousand"/>
      <w:pStyle w:val="4"/>
      <w:suff w:val="nothing"/>
      <w:lvlText w:val="%1、"/>
      <w:lvlJc w:val="left"/>
      <w:pPr>
        <w:ind w:left="0" w:firstLine="400"/>
      </w:pPr>
      <w:rPr>
        <w:rFonts w:hint="eastAsia" w:ascii="黑体" w:eastAsia="黑体"/>
        <w:sz w:val="32"/>
      </w:rPr>
    </w:lvl>
    <w:lvl w:ilvl="1" w:tentative="0">
      <w:start w:val="1"/>
      <w:numFmt w:val="chineseCountingThousand"/>
      <w:pStyle w:val="5"/>
      <w:suff w:val="nothing"/>
      <w:lvlText w:val="（%2）"/>
      <w:lvlJc w:val="left"/>
      <w:pPr>
        <w:ind w:left="0" w:firstLine="400"/>
      </w:pPr>
      <w:rPr>
        <w:rFonts w:hint="eastAsia" w:ascii="楷体_GB2312" w:eastAsia="楷体_GB2312"/>
        <w:sz w:val="32"/>
      </w:rPr>
    </w:lvl>
    <w:lvl w:ilvl="2" w:tentative="0">
      <w:start w:val="1"/>
      <w:numFmt w:val="decimal"/>
      <w:pStyle w:val="6"/>
      <w:suff w:val="nothing"/>
      <w:lvlText w:val="%3、"/>
      <w:lvlJc w:val="left"/>
      <w:pPr>
        <w:ind w:left="0" w:firstLine="400"/>
      </w:pPr>
      <w:rPr>
        <w:rFonts w:hint="eastAsia" w:ascii="仿宋_GB2312" w:eastAsia="仿宋_GB2312"/>
        <w:sz w:val="32"/>
      </w:rPr>
    </w:lvl>
    <w:lvl w:ilvl="3" w:tentative="0">
      <w:start w:val="1"/>
      <w:numFmt w:val="decimal"/>
      <w:pStyle w:val="7"/>
      <w:suff w:val="nothing"/>
      <w:lvlText w:val="（%4）"/>
      <w:lvlJc w:val="left"/>
      <w:pPr>
        <w:ind w:left="0" w:firstLine="400"/>
      </w:pPr>
      <w:rPr>
        <w:rFonts w:hint="eastAsia" w:ascii="仿宋_GB2312" w:eastAsia="仿宋_GB2312"/>
        <w:sz w:val="32"/>
      </w:rPr>
    </w:lvl>
    <w:lvl w:ilvl="4" w:tentative="0">
      <w:start w:val="1"/>
      <w:numFmt w:val="none"/>
      <w:lvlText w:val=""/>
      <w:lvlJc w:val="left"/>
      <w:pPr>
        <w:tabs>
          <w:tab w:val="left" w:pos="2880"/>
        </w:tabs>
        <w:ind w:left="0" w:firstLine="400"/>
      </w:pPr>
      <w:rPr>
        <w:rFonts w:hint="eastAsia"/>
      </w:rPr>
    </w:lvl>
    <w:lvl w:ilvl="5" w:tentative="0">
      <w:start w:val="1"/>
      <w:numFmt w:val="none"/>
      <w:lvlText w:val=""/>
      <w:lvlJc w:val="right"/>
      <w:pPr>
        <w:tabs>
          <w:tab w:val="left" w:pos="2880"/>
        </w:tabs>
        <w:ind w:left="0" w:firstLine="400"/>
      </w:pPr>
      <w:rPr>
        <w:rFonts w:hint="eastAsia"/>
      </w:rPr>
    </w:lvl>
    <w:lvl w:ilvl="6" w:tentative="0">
      <w:start w:val="1"/>
      <w:numFmt w:val="none"/>
      <w:lvlText w:val=""/>
      <w:lvlJc w:val="left"/>
      <w:pPr>
        <w:tabs>
          <w:tab w:val="left" w:pos="2880"/>
        </w:tabs>
        <w:ind w:left="0" w:firstLine="400"/>
      </w:pPr>
      <w:rPr>
        <w:rFonts w:hint="eastAsia"/>
      </w:rPr>
    </w:lvl>
    <w:lvl w:ilvl="7" w:tentative="0">
      <w:start w:val="1"/>
      <w:numFmt w:val="none"/>
      <w:lvlText w:val=""/>
      <w:lvlJc w:val="left"/>
      <w:pPr>
        <w:tabs>
          <w:tab w:val="left" w:pos="2880"/>
        </w:tabs>
        <w:ind w:left="0" w:firstLine="400"/>
      </w:pPr>
      <w:rPr>
        <w:rFonts w:hint="eastAsia"/>
      </w:rPr>
    </w:lvl>
    <w:lvl w:ilvl="8" w:tentative="0">
      <w:start w:val="1"/>
      <w:numFmt w:val="none"/>
      <w:lvlText w:val=""/>
      <w:lvlJc w:val="right"/>
      <w:pPr>
        <w:tabs>
          <w:tab w:val="left" w:pos="2880"/>
        </w:tabs>
        <w:ind w:left="0" w:firstLine="4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548"/>
    <w:rsid w:val="000426E8"/>
    <w:rsid w:val="00045835"/>
    <w:rsid w:val="00060EA8"/>
    <w:rsid w:val="000E4DD7"/>
    <w:rsid w:val="00146E33"/>
    <w:rsid w:val="00154DFF"/>
    <w:rsid w:val="00176E75"/>
    <w:rsid w:val="001F2B37"/>
    <w:rsid w:val="002020DE"/>
    <w:rsid w:val="002660EB"/>
    <w:rsid w:val="00271C23"/>
    <w:rsid w:val="00303DA3"/>
    <w:rsid w:val="00360068"/>
    <w:rsid w:val="003F0098"/>
    <w:rsid w:val="0045075B"/>
    <w:rsid w:val="004E3A42"/>
    <w:rsid w:val="005E4B01"/>
    <w:rsid w:val="00653797"/>
    <w:rsid w:val="006577A3"/>
    <w:rsid w:val="006A4277"/>
    <w:rsid w:val="006D1EE4"/>
    <w:rsid w:val="00722955"/>
    <w:rsid w:val="007F440E"/>
    <w:rsid w:val="008035E2"/>
    <w:rsid w:val="008B5EFF"/>
    <w:rsid w:val="00916D84"/>
    <w:rsid w:val="009D241C"/>
    <w:rsid w:val="00AA4812"/>
    <w:rsid w:val="00B518DC"/>
    <w:rsid w:val="00B55F3A"/>
    <w:rsid w:val="00BA4AC1"/>
    <w:rsid w:val="00C045D3"/>
    <w:rsid w:val="00C628C2"/>
    <w:rsid w:val="00D10EAB"/>
    <w:rsid w:val="00D22458"/>
    <w:rsid w:val="00DF0AB2"/>
    <w:rsid w:val="00E7466C"/>
    <w:rsid w:val="00F11F11"/>
    <w:rsid w:val="00F35548"/>
    <w:rsid w:val="00FB5942"/>
    <w:rsid w:val="02C663BC"/>
    <w:rsid w:val="059A5A0E"/>
    <w:rsid w:val="05C36005"/>
    <w:rsid w:val="06AA5C05"/>
    <w:rsid w:val="06BD6DF9"/>
    <w:rsid w:val="06FB60DA"/>
    <w:rsid w:val="093A0D53"/>
    <w:rsid w:val="099D2108"/>
    <w:rsid w:val="09F833BA"/>
    <w:rsid w:val="0A074896"/>
    <w:rsid w:val="0A2A6B3F"/>
    <w:rsid w:val="0D65457B"/>
    <w:rsid w:val="0DBC5719"/>
    <w:rsid w:val="10164E64"/>
    <w:rsid w:val="10480018"/>
    <w:rsid w:val="11370D0E"/>
    <w:rsid w:val="125C49EA"/>
    <w:rsid w:val="13985FE2"/>
    <w:rsid w:val="14A12A0D"/>
    <w:rsid w:val="14FF77D2"/>
    <w:rsid w:val="150373E6"/>
    <w:rsid w:val="1519709E"/>
    <w:rsid w:val="1525682F"/>
    <w:rsid w:val="15A235E6"/>
    <w:rsid w:val="161841A7"/>
    <w:rsid w:val="16C04534"/>
    <w:rsid w:val="16EA0D95"/>
    <w:rsid w:val="16EE43D0"/>
    <w:rsid w:val="17001656"/>
    <w:rsid w:val="17302271"/>
    <w:rsid w:val="18800344"/>
    <w:rsid w:val="19410703"/>
    <w:rsid w:val="19EF296F"/>
    <w:rsid w:val="1A2C1A23"/>
    <w:rsid w:val="1BAE3DE7"/>
    <w:rsid w:val="1BB67789"/>
    <w:rsid w:val="1CFF7098"/>
    <w:rsid w:val="1D692FC7"/>
    <w:rsid w:val="1E6B47E8"/>
    <w:rsid w:val="1EBC1199"/>
    <w:rsid w:val="1EE3695B"/>
    <w:rsid w:val="1F064EC2"/>
    <w:rsid w:val="1F542130"/>
    <w:rsid w:val="205252DA"/>
    <w:rsid w:val="21EE55C2"/>
    <w:rsid w:val="228727B7"/>
    <w:rsid w:val="22B5208E"/>
    <w:rsid w:val="232E2DCA"/>
    <w:rsid w:val="2344557E"/>
    <w:rsid w:val="25851AEE"/>
    <w:rsid w:val="26336EC6"/>
    <w:rsid w:val="269C017B"/>
    <w:rsid w:val="26AF5E6D"/>
    <w:rsid w:val="27CE47A9"/>
    <w:rsid w:val="27D22BFE"/>
    <w:rsid w:val="28983C45"/>
    <w:rsid w:val="28BD01DD"/>
    <w:rsid w:val="28F7541C"/>
    <w:rsid w:val="29607BF9"/>
    <w:rsid w:val="29C03B93"/>
    <w:rsid w:val="2B187DE0"/>
    <w:rsid w:val="2BA619E1"/>
    <w:rsid w:val="2BD57046"/>
    <w:rsid w:val="2C0715D9"/>
    <w:rsid w:val="2C505624"/>
    <w:rsid w:val="2CD412E2"/>
    <w:rsid w:val="2CFA1003"/>
    <w:rsid w:val="2D990736"/>
    <w:rsid w:val="2F245776"/>
    <w:rsid w:val="2FD41FFC"/>
    <w:rsid w:val="30926648"/>
    <w:rsid w:val="30C470C8"/>
    <w:rsid w:val="31516D91"/>
    <w:rsid w:val="32507B1C"/>
    <w:rsid w:val="329F5360"/>
    <w:rsid w:val="333C3D2D"/>
    <w:rsid w:val="33474E40"/>
    <w:rsid w:val="343D03F7"/>
    <w:rsid w:val="345368AD"/>
    <w:rsid w:val="35E5383B"/>
    <w:rsid w:val="36456E0B"/>
    <w:rsid w:val="3653492C"/>
    <w:rsid w:val="37956C82"/>
    <w:rsid w:val="37D81139"/>
    <w:rsid w:val="39F312D1"/>
    <w:rsid w:val="3A1B4A28"/>
    <w:rsid w:val="3A751EF1"/>
    <w:rsid w:val="3AA423E2"/>
    <w:rsid w:val="3AC4406F"/>
    <w:rsid w:val="3C607883"/>
    <w:rsid w:val="3C672F19"/>
    <w:rsid w:val="3C7F28E4"/>
    <w:rsid w:val="3D9C7B6D"/>
    <w:rsid w:val="3DB716EC"/>
    <w:rsid w:val="3FC56404"/>
    <w:rsid w:val="412871C8"/>
    <w:rsid w:val="42BB69C0"/>
    <w:rsid w:val="42D22DFF"/>
    <w:rsid w:val="43DB69A9"/>
    <w:rsid w:val="45297933"/>
    <w:rsid w:val="456305C1"/>
    <w:rsid w:val="45D36C16"/>
    <w:rsid w:val="47BE5D7A"/>
    <w:rsid w:val="47D26F69"/>
    <w:rsid w:val="485E1487"/>
    <w:rsid w:val="4959784D"/>
    <w:rsid w:val="49C905D5"/>
    <w:rsid w:val="4A085A5F"/>
    <w:rsid w:val="4B1676F2"/>
    <w:rsid w:val="4B7D28BE"/>
    <w:rsid w:val="4D907A8B"/>
    <w:rsid w:val="4DEC189D"/>
    <w:rsid w:val="4E58311A"/>
    <w:rsid w:val="4E700F47"/>
    <w:rsid w:val="4FEC144E"/>
    <w:rsid w:val="505A1C1B"/>
    <w:rsid w:val="509905DE"/>
    <w:rsid w:val="51204D7E"/>
    <w:rsid w:val="517C73FA"/>
    <w:rsid w:val="51AF271F"/>
    <w:rsid w:val="5384776A"/>
    <w:rsid w:val="538B6124"/>
    <w:rsid w:val="55A85D08"/>
    <w:rsid w:val="55BE662D"/>
    <w:rsid w:val="55CC1E89"/>
    <w:rsid w:val="56AE71B9"/>
    <w:rsid w:val="571971B9"/>
    <w:rsid w:val="575D7FA3"/>
    <w:rsid w:val="59E5007C"/>
    <w:rsid w:val="59F6546F"/>
    <w:rsid w:val="5A1749DC"/>
    <w:rsid w:val="5AF56E01"/>
    <w:rsid w:val="5B0C3B62"/>
    <w:rsid w:val="5B880C39"/>
    <w:rsid w:val="5BE3218D"/>
    <w:rsid w:val="5C036693"/>
    <w:rsid w:val="5C597010"/>
    <w:rsid w:val="5C745770"/>
    <w:rsid w:val="5CB11E07"/>
    <w:rsid w:val="5CB972A9"/>
    <w:rsid w:val="5CF54E84"/>
    <w:rsid w:val="5D2E539A"/>
    <w:rsid w:val="5D524D9D"/>
    <w:rsid w:val="5D870A1A"/>
    <w:rsid w:val="5DAB6B4C"/>
    <w:rsid w:val="5DB44B9D"/>
    <w:rsid w:val="5DE02B4C"/>
    <w:rsid w:val="5E2D0760"/>
    <w:rsid w:val="5F2D2A5B"/>
    <w:rsid w:val="60620B41"/>
    <w:rsid w:val="60CA102C"/>
    <w:rsid w:val="60D52CF0"/>
    <w:rsid w:val="60EA4F15"/>
    <w:rsid w:val="6253333E"/>
    <w:rsid w:val="629C0668"/>
    <w:rsid w:val="63513431"/>
    <w:rsid w:val="63DF78A2"/>
    <w:rsid w:val="641B1E30"/>
    <w:rsid w:val="646060BC"/>
    <w:rsid w:val="65C2518C"/>
    <w:rsid w:val="65C858BB"/>
    <w:rsid w:val="65D54787"/>
    <w:rsid w:val="66E27123"/>
    <w:rsid w:val="67B056D2"/>
    <w:rsid w:val="68CB2095"/>
    <w:rsid w:val="6A5446E5"/>
    <w:rsid w:val="6ACF72F1"/>
    <w:rsid w:val="6AE25B1F"/>
    <w:rsid w:val="6BA55608"/>
    <w:rsid w:val="6BF67413"/>
    <w:rsid w:val="6C2A4001"/>
    <w:rsid w:val="6C564F5B"/>
    <w:rsid w:val="6CFD27B7"/>
    <w:rsid w:val="6D2F7534"/>
    <w:rsid w:val="6D327858"/>
    <w:rsid w:val="6DF82D22"/>
    <w:rsid w:val="6EFF71AE"/>
    <w:rsid w:val="6F405C21"/>
    <w:rsid w:val="6F6721C9"/>
    <w:rsid w:val="6F7477A9"/>
    <w:rsid w:val="6F8A4085"/>
    <w:rsid w:val="6FB37D32"/>
    <w:rsid w:val="6FB95605"/>
    <w:rsid w:val="6FD949F2"/>
    <w:rsid w:val="7011174B"/>
    <w:rsid w:val="70CF26D2"/>
    <w:rsid w:val="71B53C17"/>
    <w:rsid w:val="735D6916"/>
    <w:rsid w:val="74C90488"/>
    <w:rsid w:val="75F64BEA"/>
    <w:rsid w:val="76121BC0"/>
    <w:rsid w:val="762140E0"/>
    <w:rsid w:val="765D16EF"/>
    <w:rsid w:val="77685110"/>
    <w:rsid w:val="78F74926"/>
    <w:rsid w:val="796253FA"/>
    <w:rsid w:val="7B3752AA"/>
    <w:rsid w:val="7BA1062D"/>
    <w:rsid w:val="7C690A4E"/>
    <w:rsid w:val="7DCC0AFE"/>
    <w:rsid w:val="7E451CF6"/>
    <w:rsid w:val="7F024FD5"/>
    <w:rsid w:val="7F3B492A"/>
    <w:rsid w:val="7FCE4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仿宋_GB2312" w:hAnsi="仿宋_GB2312" w:eastAsia="仿宋_GB2312" w:cs="仿宋_GB2312"/>
      <w:kern w:val="2"/>
      <w:sz w:val="32"/>
      <w:szCs w:val="28"/>
      <w:lang w:val="en-US" w:eastAsia="zh-CN" w:bidi="ar-SA"/>
    </w:rPr>
  </w:style>
  <w:style w:type="paragraph" w:styleId="4">
    <w:name w:val="heading 1"/>
    <w:basedOn w:val="1"/>
    <w:next w:val="1"/>
    <w:link w:val="20"/>
    <w:qFormat/>
    <w:uiPriority w:val="0"/>
    <w:pPr>
      <w:numPr>
        <w:ilvl w:val="0"/>
        <w:numId w:val="1"/>
      </w:numPr>
      <w:spacing w:line="560" w:lineRule="exact"/>
      <w:ind w:firstLine="200" w:firstLineChars="200"/>
      <w:outlineLvl w:val="0"/>
    </w:pPr>
    <w:rPr>
      <w:rFonts w:ascii="黑体" w:hAnsi="黑体" w:eastAsia="黑体" w:cs="黑体"/>
      <w:kern w:val="44"/>
      <w:sz w:val="32"/>
      <w:szCs w:val="32"/>
      <w:lang w:val="en-US" w:eastAsia="zh-CN" w:bidi="ar-SA"/>
    </w:rPr>
  </w:style>
  <w:style w:type="paragraph" w:styleId="5">
    <w:name w:val="heading 2"/>
    <w:next w:val="6"/>
    <w:unhideWhenUsed/>
    <w:qFormat/>
    <w:uiPriority w:val="0"/>
    <w:pPr>
      <w:keepNext/>
      <w:keepLines/>
      <w:numPr>
        <w:ilvl w:val="1"/>
        <w:numId w:val="1"/>
      </w:numPr>
      <w:spacing w:line="560" w:lineRule="exact"/>
      <w:outlineLvl w:val="1"/>
    </w:pPr>
    <w:rPr>
      <w:rFonts w:ascii="楷体_GB2312" w:hAnsi="楷体_GB2312" w:eastAsia="楷体_GB2312" w:cs="楷体_GB2312"/>
      <w:kern w:val="2"/>
      <w:sz w:val="32"/>
      <w:szCs w:val="28"/>
      <w:lang w:val="en-US" w:eastAsia="zh-CN" w:bidi="ar-SA"/>
    </w:rPr>
  </w:style>
  <w:style w:type="paragraph" w:styleId="6">
    <w:name w:val="heading 3"/>
    <w:next w:val="7"/>
    <w:link w:val="17"/>
    <w:unhideWhenUsed/>
    <w:qFormat/>
    <w:uiPriority w:val="0"/>
    <w:pPr>
      <w:widowControl w:val="0"/>
      <w:numPr>
        <w:ilvl w:val="2"/>
        <w:numId w:val="1"/>
      </w:numPr>
      <w:spacing w:line="560" w:lineRule="exact"/>
      <w:ind w:firstLine="200" w:firstLineChars="200"/>
      <w:outlineLvl w:val="2"/>
    </w:pPr>
    <w:rPr>
      <w:rFonts w:ascii="仿宋_GB2312" w:hAnsi="仿宋_GB2312" w:eastAsia="仿宋_GB2312" w:cs="仿宋_GB2312"/>
      <w:bCs/>
      <w:kern w:val="2"/>
      <w:sz w:val="32"/>
      <w:szCs w:val="32"/>
      <w:lang w:val="en-US" w:eastAsia="zh-CN" w:bidi="ar-SA"/>
    </w:rPr>
  </w:style>
  <w:style w:type="paragraph" w:styleId="7">
    <w:name w:val="heading 4"/>
    <w:next w:val="1"/>
    <w:link w:val="18"/>
    <w:unhideWhenUsed/>
    <w:qFormat/>
    <w:uiPriority w:val="0"/>
    <w:pPr>
      <w:widowControl w:val="0"/>
      <w:numPr>
        <w:ilvl w:val="3"/>
        <w:numId w:val="1"/>
      </w:numPr>
      <w:spacing w:line="560" w:lineRule="exact"/>
      <w:ind w:firstLine="200" w:firstLineChars="200"/>
      <w:outlineLvl w:val="3"/>
    </w:pPr>
    <w:rPr>
      <w:rFonts w:ascii="仿宋_GB2312" w:hAnsi="仿宋_GB2312" w:eastAsia="仿宋_GB2312" w:cs="仿宋_GB2312"/>
      <w:kern w:val="2"/>
      <w:sz w:val="32"/>
      <w:szCs w:val="28"/>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2"/>
    <w:link w:val="15"/>
    <w:qFormat/>
    <w:uiPriority w:val="0"/>
    <w:pPr>
      <w:spacing w:before="240" w:after="60"/>
      <w:jc w:val="center"/>
      <w:outlineLvl w:val="0"/>
    </w:pPr>
    <w:rPr>
      <w:rFonts w:ascii="方正公文小标宋" w:hAnsi="方正公文小标宋" w:eastAsia="方正公文小标宋" w:cs="方正公文小标宋"/>
      <w:bCs/>
      <w:sz w:val="44"/>
      <w:szCs w:val="44"/>
    </w:rPr>
  </w:style>
  <w:style w:type="paragraph" w:styleId="8">
    <w:name w:val="annotation text"/>
    <w:basedOn w:val="1"/>
    <w:qFormat/>
    <w:uiPriority w:val="0"/>
    <w:pPr>
      <w:jc w:val="left"/>
    </w:pPr>
  </w:style>
  <w:style w:type="paragraph" w:styleId="9">
    <w:name w:val="Subtitle"/>
    <w:basedOn w:val="1"/>
    <w:next w:val="1"/>
    <w:link w:val="16"/>
    <w:qFormat/>
    <w:uiPriority w:val="0"/>
    <w:pPr>
      <w:spacing w:before="240" w:after="60" w:line="312" w:lineRule="auto"/>
      <w:jc w:val="center"/>
      <w:outlineLvl w:val="1"/>
    </w:pPr>
    <w:rPr>
      <w:b/>
      <w:bCs/>
      <w:kern w:val="28"/>
      <w:sz w:val="28"/>
    </w:rPr>
  </w:style>
  <w:style w:type="character" w:styleId="12">
    <w:name w:val="Hyperlink"/>
    <w:basedOn w:val="11"/>
    <w:qFormat/>
    <w:uiPriority w:val="0"/>
    <w:rPr>
      <w:color w:val="0563C1" w:themeColor="hyperlink"/>
      <w:u w:val="single"/>
      <w14:textFill>
        <w14:solidFill>
          <w14:schemeClr w14:val="hlink"/>
        </w14:solidFill>
      </w14:textFill>
    </w:rPr>
  </w:style>
  <w:style w:type="paragraph" w:customStyle="1" w:styleId="13">
    <w:name w:val="Revision"/>
    <w:hidden/>
    <w:unhideWhenUsed/>
    <w:qFormat/>
    <w:uiPriority w:val="99"/>
    <w:rPr>
      <w:rFonts w:asciiTheme="minorHAnsi" w:hAnsiTheme="minorHAnsi" w:eastAsiaTheme="minorEastAsia" w:cstheme="minorBidi"/>
      <w:kern w:val="2"/>
      <w:sz w:val="21"/>
      <w:szCs w:val="24"/>
      <w:lang w:val="en-US" w:eastAsia="zh-CN" w:bidi="ar-SA"/>
    </w:rPr>
  </w:style>
  <w:style w:type="paragraph" w:styleId="14">
    <w:name w:val="List Paragraph"/>
    <w:basedOn w:val="1"/>
    <w:unhideWhenUsed/>
    <w:qFormat/>
    <w:uiPriority w:val="99"/>
    <w:pPr>
      <w:ind w:firstLine="420"/>
    </w:pPr>
  </w:style>
  <w:style w:type="character" w:customStyle="1" w:styleId="15">
    <w:name w:val="标题 字符"/>
    <w:basedOn w:val="11"/>
    <w:link w:val="3"/>
    <w:qFormat/>
    <w:uiPriority w:val="0"/>
    <w:rPr>
      <w:rFonts w:ascii="方正公文小标宋" w:hAnsi="方正公文小标宋" w:eastAsia="方正公文小标宋" w:cs="方正公文小标宋"/>
      <w:bCs/>
      <w:kern w:val="2"/>
      <w:sz w:val="44"/>
      <w:szCs w:val="44"/>
    </w:rPr>
  </w:style>
  <w:style w:type="character" w:customStyle="1" w:styleId="16">
    <w:name w:val="副标题 字符"/>
    <w:basedOn w:val="11"/>
    <w:link w:val="9"/>
    <w:qFormat/>
    <w:uiPriority w:val="0"/>
    <w:rPr>
      <w:rFonts w:ascii="仿宋_GB2312" w:eastAsia="仿宋_GB2312"/>
      <w:b/>
      <w:bCs/>
      <w:kern w:val="28"/>
      <w:sz w:val="28"/>
      <w:szCs w:val="28"/>
    </w:rPr>
  </w:style>
  <w:style w:type="character" w:customStyle="1" w:styleId="17">
    <w:name w:val="标题 3 字符"/>
    <w:basedOn w:val="11"/>
    <w:link w:val="6"/>
    <w:qFormat/>
    <w:uiPriority w:val="0"/>
    <w:rPr>
      <w:rFonts w:ascii="仿宋_GB2312" w:hAnsi="仿宋_GB2312" w:eastAsia="仿宋_GB2312" w:cs="仿宋_GB2312"/>
      <w:bCs/>
      <w:kern w:val="2"/>
      <w:sz w:val="32"/>
      <w:szCs w:val="32"/>
    </w:rPr>
  </w:style>
  <w:style w:type="character" w:customStyle="1" w:styleId="18">
    <w:name w:val="标题 4 字符"/>
    <w:basedOn w:val="11"/>
    <w:link w:val="7"/>
    <w:qFormat/>
    <w:uiPriority w:val="0"/>
    <w:rPr>
      <w:rFonts w:ascii="仿宋_GB2312" w:hAnsi="仿宋_GB2312" w:eastAsia="仿宋_GB2312" w:cs="仿宋_GB2312"/>
      <w:kern w:val="2"/>
      <w:sz w:val="32"/>
      <w:szCs w:val="28"/>
    </w:rPr>
  </w:style>
  <w:style w:type="character" w:customStyle="1" w:styleId="19">
    <w:name w:val="Unresolved Mention"/>
    <w:basedOn w:val="11"/>
    <w:semiHidden/>
    <w:unhideWhenUsed/>
    <w:qFormat/>
    <w:uiPriority w:val="99"/>
    <w:rPr>
      <w:color w:val="605E5C"/>
      <w:shd w:val="clear" w:color="auto" w:fill="E1DFDD"/>
    </w:rPr>
  </w:style>
  <w:style w:type="character" w:customStyle="1" w:styleId="20">
    <w:name w:val="标题 1 字符"/>
    <w:basedOn w:val="11"/>
    <w:link w:val="4"/>
    <w:qFormat/>
    <w:uiPriority w:val="0"/>
    <w:rPr>
      <w:rFonts w:ascii="黑体" w:hAnsi="黑体" w:eastAsia="黑体" w:cs="黑体"/>
      <w:kern w:val="44"/>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30465;&#29289;&#36164;\&#20445;&#35777;&#37329;\&#20844;&#25991;&#27169;&#264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公文模板.dotx</Template>
  <Pages>12</Pages>
  <Words>493</Words>
  <Characters>2816</Characters>
  <Lines>23</Lines>
  <Paragraphs>6</Paragraphs>
  <TotalTime>4</TotalTime>
  <ScaleCrop>false</ScaleCrop>
  <LinksUpToDate>false</LinksUpToDate>
  <CharactersWithSpaces>3303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2024-04-20T13:18:00Z</dcterms:created>
  <dc:creator>55938C2D35E54CF39E3A0F6D977366A0</dc:creator>
  <cp:lastModifiedBy>Administrator</cp:lastModifiedBy>
  <dcterms:modified xsi:type="dcterms:W3CDTF">2025-08-26T03:41:52Z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EBB803B188514DFBAFD5DAF9CA0663A1</vt:lpwstr>
  </property>
</Properties>
</file>