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522" w:firstLineChars="100"/>
        <w:jc w:val="center"/>
        <w:rPr>
          <w:rFonts w:eastAsia="黑体"/>
          <w:b/>
          <w:sz w:val="52"/>
        </w:rPr>
      </w:pPr>
      <w:bookmarkStart w:id="0" w:name="_Toc131133981"/>
      <w:bookmarkStart w:id="1" w:name="_Toc131134327"/>
      <w:bookmarkStart w:id="2" w:name="_Toc131134226"/>
      <w:bookmarkStart w:id="3" w:name="_Toc131168595"/>
      <w:bookmarkStart w:id="4" w:name="_Toc114028927"/>
      <w:bookmarkStart w:id="5" w:name="_Toc183578143"/>
    </w:p>
    <w:bookmarkEnd w:id="0"/>
    <w:bookmarkEnd w:id="1"/>
    <w:bookmarkEnd w:id="2"/>
    <w:bookmarkEnd w:id="3"/>
    <w:bookmarkEnd w:id="4"/>
    <w:bookmarkEnd w:id="5"/>
    <w:p>
      <w:pPr>
        <w:spacing w:line="360" w:lineRule="auto"/>
        <w:jc w:val="center"/>
        <w:rPr>
          <w:rFonts w:ascii="宋体" w:hAnsi="Calibri" w:eastAsia="黑体"/>
          <w:b/>
          <w:spacing w:val="10"/>
          <w:kern w:val="0"/>
          <w:sz w:val="52"/>
          <w:szCs w:val="20"/>
          <w:lang w:bidi="ar"/>
        </w:rPr>
      </w:pPr>
    </w:p>
    <w:p>
      <w:pPr>
        <w:spacing w:before="624" w:beforeLines="200" w:line="360" w:lineRule="auto"/>
        <w:jc w:val="center"/>
        <w:rPr>
          <w:rFonts w:ascii="宋体" w:hAnsi="Calibri" w:eastAsia="黑体"/>
          <w:b/>
          <w:spacing w:val="10"/>
          <w:kern w:val="0"/>
          <w:sz w:val="52"/>
          <w:szCs w:val="20"/>
          <w:lang w:bidi="ar"/>
        </w:rPr>
      </w:pPr>
      <w:r>
        <w:rPr>
          <w:rFonts w:hint="eastAsia" w:ascii="宋体" w:hAnsi="Calibri" w:eastAsia="黑体"/>
          <w:b/>
          <w:spacing w:val="10"/>
          <w:kern w:val="0"/>
          <w:sz w:val="52"/>
          <w:szCs w:val="20"/>
          <w:lang w:bidi="ar"/>
        </w:rPr>
        <w:t>便携式试验支架研究及应用</w:t>
      </w:r>
    </w:p>
    <w:p>
      <w:pPr>
        <w:spacing w:before="624" w:beforeLines="200" w:line="360" w:lineRule="auto"/>
        <w:jc w:val="center"/>
        <w:rPr>
          <w:rFonts w:eastAsia="黑体"/>
          <w:b/>
          <w:sz w:val="52"/>
          <w:szCs w:val="20"/>
        </w:rPr>
      </w:pPr>
      <w:r>
        <w:rPr>
          <w:rFonts w:hint="eastAsia" w:ascii="宋体" w:hAnsi="Calibri" w:eastAsia="黑体" w:cs="黑体"/>
          <w:b/>
          <w:spacing w:val="10"/>
          <w:kern w:val="0"/>
          <w:sz w:val="52"/>
          <w:szCs w:val="20"/>
          <w:lang w:bidi="ar"/>
        </w:rPr>
        <w:t>技术规范书</w:t>
      </w:r>
      <w:r>
        <w:rPr>
          <w:rFonts w:hint="eastAsia" w:ascii="宋体" w:hAnsi="Calibri" w:eastAsia="黑体"/>
          <w:b/>
          <w:spacing w:val="10"/>
          <w:kern w:val="0"/>
          <w:sz w:val="52"/>
          <w:szCs w:val="20"/>
          <w:lang w:bidi="ar"/>
        </w:rPr>
        <w:t xml:space="preserve"> </w:t>
      </w:r>
    </w:p>
    <w:p>
      <w:pPr>
        <w:spacing w:before="624" w:beforeLines="200" w:line="360" w:lineRule="auto"/>
        <w:jc w:val="center"/>
        <w:rPr>
          <w:rFonts w:ascii="宋体" w:hAnsi="Calibri" w:eastAsia="黑体" w:cs="黑体"/>
          <w:b/>
          <w:spacing w:val="10"/>
          <w:kern w:val="0"/>
          <w:sz w:val="36"/>
          <w:szCs w:val="20"/>
          <w:lang w:bidi="ar"/>
        </w:rPr>
      </w:pPr>
    </w:p>
    <w:p>
      <w:pPr>
        <w:spacing w:before="624" w:beforeLines="200" w:line="360" w:lineRule="auto"/>
        <w:jc w:val="center"/>
        <w:rPr>
          <w:rFonts w:ascii="宋体" w:hAnsi="Calibri" w:eastAsia="黑体" w:cs="黑体"/>
          <w:b/>
          <w:spacing w:val="10"/>
          <w:kern w:val="0"/>
          <w:sz w:val="36"/>
          <w:szCs w:val="20"/>
          <w:lang w:bidi="ar"/>
        </w:rPr>
      </w:pPr>
    </w:p>
    <w:p>
      <w:pPr>
        <w:spacing w:before="624" w:beforeLines="200" w:line="360" w:lineRule="auto"/>
        <w:jc w:val="center"/>
        <w:rPr>
          <w:rFonts w:ascii="宋体" w:hAnsi="Calibri" w:eastAsia="黑体" w:cs="黑体"/>
          <w:b/>
          <w:spacing w:val="10"/>
          <w:kern w:val="0"/>
          <w:sz w:val="36"/>
          <w:szCs w:val="20"/>
          <w:lang w:bidi="ar"/>
        </w:rPr>
      </w:pPr>
    </w:p>
    <w:p>
      <w:pPr>
        <w:pStyle w:val="4"/>
        <w:rPr>
          <w:rFonts w:hint="eastAsia" w:eastAsia="宋体"/>
          <w:lang w:eastAsia="zh-CN"/>
        </w:rPr>
      </w:pPr>
    </w:p>
    <w:p>
      <w:pPr>
        <w:rPr>
          <w:rFonts w:hint="eastAsia" w:eastAsia="宋体"/>
          <w:lang w:eastAsia="zh-CN"/>
        </w:rPr>
      </w:pPr>
    </w:p>
    <w:p>
      <w:pPr>
        <w:pStyle w:val="2"/>
        <w:rPr>
          <w:rFonts w:hint="eastAsia" w:eastAsia="宋体"/>
          <w:lang w:eastAsia="zh-CN"/>
        </w:rPr>
      </w:pPr>
    </w:p>
    <w:p>
      <w:pPr>
        <w:pStyle w:val="2"/>
        <w:rPr>
          <w:rFonts w:hint="eastAsia" w:eastAsia="宋体"/>
          <w:lang w:eastAsia="zh-CN"/>
        </w:rPr>
      </w:pPr>
    </w:p>
    <w:p>
      <w:pPr>
        <w:pStyle w:val="2"/>
        <w:rPr>
          <w:rFonts w:hint="eastAsia" w:eastAsia="宋体"/>
          <w:lang w:eastAsia="zh-CN"/>
        </w:rPr>
      </w:pPr>
    </w:p>
    <w:p>
      <w:pPr>
        <w:pStyle w:val="2"/>
        <w:rPr>
          <w:rFonts w:hint="eastAsia" w:eastAsia="宋体"/>
          <w:lang w:eastAsia="zh-CN"/>
        </w:rPr>
      </w:pPr>
    </w:p>
    <w:p>
      <w:pPr>
        <w:pStyle w:val="2"/>
        <w:rPr>
          <w:rFonts w:hint="eastAsia" w:eastAsia="宋体"/>
          <w:lang w:eastAsia="zh-CN"/>
        </w:rPr>
      </w:pPr>
    </w:p>
    <w:p>
      <w:pPr>
        <w:pStyle w:val="2"/>
        <w:rPr>
          <w:rFonts w:hint="eastAsia" w:eastAsia="宋体"/>
          <w:lang w:eastAsia="zh-CN"/>
        </w:rPr>
      </w:pPr>
    </w:p>
    <w:p>
      <w:pPr>
        <w:pStyle w:val="2"/>
        <w:rPr>
          <w:rFonts w:hint="eastAsia" w:eastAsia="宋体"/>
          <w:lang w:eastAsia="zh-CN"/>
        </w:rPr>
      </w:pPr>
      <w:bookmarkStart w:id="20" w:name="_GoBack"/>
      <w:bookmarkEnd w:id="20"/>
    </w:p>
    <w:p>
      <w:pPr>
        <w:spacing w:before="624" w:beforeLines="200" w:line="360" w:lineRule="auto"/>
        <w:jc w:val="center"/>
        <w:rPr>
          <w:rFonts w:eastAsia="黑体"/>
          <w:b/>
          <w:spacing w:val="20"/>
          <w:w w:val="135"/>
          <w:sz w:val="30"/>
          <w:szCs w:val="20"/>
        </w:rPr>
      </w:pPr>
      <w:r>
        <w:rPr>
          <w:rFonts w:hint="eastAsia" w:ascii="宋体" w:hAnsi="Calibri" w:eastAsia="黑体" w:cs="黑体"/>
          <w:b/>
          <w:spacing w:val="20"/>
          <w:w w:val="135"/>
          <w:kern w:val="0"/>
          <w:sz w:val="30"/>
          <w:szCs w:val="20"/>
          <w:lang w:val="en-US" w:eastAsia="zh-CN" w:bidi="ar"/>
        </w:rPr>
        <w:t>广东</w:t>
      </w:r>
      <w:r>
        <w:rPr>
          <w:rFonts w:hint="eastAsia" w:ascii="宋体" w:hAnsi="Calibri" w:eastAsia="黑体" w:cs="黑体"/>
          <w:b/>
          <w:spacing w:val="20"/>
          <w:w w:val="135"/>
          <w:kern w:val="0"/>
          <w:sz w:val="30"/>
          <w:szCs w:val="20"/>
          <w:lang w:bidi="ar"/>
        </w:rPr>
        <w:t>电网有限责任公司</w:t>
      </w:r>
    </w:p>
    <w:p>
      <w:pPr>
        <w:spacing w:line="360" w:lineRule="auto"/>
        <w:jc w:val="center"/>
        <w:rPr>
          <w:rFonts w:eastAsia="黑体"/>
          <w:b/>
          <w:spacing w:val="20"/>
          <w:w w:val="135"/>
          <w:sz w:val="30"/>
          <w:szCs w:val="20"/>
        </w:rPr>
      </w:pPr>
      <w:r>
        <w:rPr>
          <w:rFonts w:hint="eastAsia" w:ascii="宋体" w:hAnsi="Calibri" w:eastAsia="黑体"/>
          <w:b/>
          <w:spacing w:val="20"/>
          <w:w w:val="135"/>
          <w:kern w:val="0"/>
          <w:sz w:val="30"/>
          <w:szCs w:val="20"/>
          <w:lang w:bidi="ar"/>
        </w:rPr>
        <w:t>202</w:t>
      </w:r>
      <w:r>
        <w:rPr>
          <w:rFonts w:hint="eastAsia" w:ascii="宋体" w:hAnsi="Calibri" w:eastAsia="黑体"/>
          <w:b/>
          <w:spacing w:val="20"/>
          <w:w w:val="135"/>
          <w:kern w:val="0"/>
          <w:sz w:val="30"/>
          <w:szCs w:val="20"/>
          <w:lang w:val="en-US" w:eastAsia="zh-CN" w:bidi="ar"/>
        </w:rPr>
        <w:t>5</w:t>
      </w:r>
      <w:r>
        <w:rPr>
          <w:rFonts w:hint="eastAsia" w:ascii="宋体" w:hAnsi="Calibri" w:eastAsia="黑体" w:cs="黑体"/>
          <w:b/>
          <w:spacing w:val="20"/>
          <w:w w:val="135"/>
          <w:kern w:val="0"/>
          <w:sz w:val="30"/>
          <w:szCs w:val="20"/>
          <w:lang w:bidi="ar"/>
        </w:rPr>
        <w:t>年</w:t>
      </w:r>
      <w:r>
        <w:rPr>
          <w:rFonts w:hint="eastAsia" w:ascii="宋体" w:hAnsi="Calibri" w:eastAsia="黑体"/>
          <w:b/>
          <w:spacing w:val="20"/>
          <w:w w:val="135"/>
          <w:kern w:val="0"/>
          <w:sz w:val="30"/>
          <w:szCs w:val="20"/>
          <w:lang w:val="en-US" w:eastAsia="zh-CN" w:bidi="ar"/>
        </w:rPr>
        <w:t>8</w:t>
      </w:r>
      <w:r>
        <w:rPr>
          <w:rFonts w:hint="eastAsia" w:ascii="宋体" w:hAnsi="Calibri" w:eastAsia="黑体" w:cs="黑体"/>
          <w:b/>
          <w:spacing w:val="20"/>
          <w:w w:val="135"/>
          <w:kern w:val="0"/>
          <w:sz w:val="30"/>
          <w:szCs w:val="20"/>
          <w:lang w:bidi="ar"/>
        </w:rPr>
        <w:t>月</w:t>
      </w:r>
    </w:p>
    <w:p>
      <w:pPr>
        <w:rPr>
          <w:sz w:val="28"/>
          <w:szCs w:val="28"/>
        </w:rPr>
      </w:pPr>
    </w:p>
    <w:sdt>
      <w:sdtPr>
        <w:rPr>
          <w:rFonts w:ascii="宋体" w:hAnsi="宋体"/>
          <w:kern w:val="0"/>
          <w:sz w:val="20"/>
          <w:szCs w:val="20"/>
        </w:rPr>
        <w:id w:val="796261555"/>
      </w:sdtPr>
      <w:sdtEndPr>
        <w:rPr>
          <w:rFonts w:hint="eastAsia" w:ascii="黑体" w:hAnsi="黑体" w:eastAsia="黑体" w:cs="黑体"/>
          <w:kern w:val="0"/>
          <w:sz w:val="24"/>
          <w:szCs w:val="20"/>
        </w:rPr>
      </w:sdtEndPr>
      <w:sdtContent>
        <w:p>
          <w:pPr>
            <w:jc w:val="center"/>
            <w:rPr>
              <w:rFonts w:hint="eastAsia" w:ascii="黑体" w:hAnsi="黑体" w:eastAsia="黑体" w:cs="黑体"/>
              <w:b/>
              <w:bCs/>
              <w:sz w:val="44"/>
              <w:szCs w:val="44"/>
            </w:rPr>
          </w:pPr>
          <w:bookmarkStart w:id="6" w:name="_Toc10052_WPSOffice_Type1"/>
          <w:r>
            <w:rPr>
              <w:rFonts w:hint="eastAsia" w:ascii="黑体" w:hAnsi="黑体" w:eastAsia="黑体" w:cs="黑体"/>
              <w:b/>
              <w:bCs/>
              <w:sz w:val="44"/>
              <w:szCs w:val="44"/>
            </w:rPr>
            <w:t>目录</w:t>
          </w:r>
        </w:p>
        <w:p>
          <w:pPr>
            <w:pStyle w:val="17"/>
            <w:tabs>
              <w:tab w:val="right" w:leader="dot" w:pos="8306"/>
            </w:tabs>
            <w:rPr>
              <w:rFonts w:hint="eastAsia" w:ascii="黑体" w:hAnsi="黑体" w:eastAsia="黑体" w:cs="黑体"/>
              <w:sz w:val="24"/>
              <w:szCs w:val="24"/>
            </w:rPr>
          </w:pPr>
          <w:r>
            <w:fldChar w:fldCharType="begin"/>
          </w:r>
          <w:r>
            <w:instrText xml:space="preserve"> HYPERLINK \l "_Toc31327_WPSOffice_Level1" </w:instrText>
          </w:r>
          <w:r>
            <w:fldChar w:fldCharType="separate"/>
          </w:r>
          <w:sdt>
            <w:sdtPr>
              <w:rPr>
                <w:rFonts w:hint="eastAsia" w:ascii="黑体" w:hAnsi="黑体" w:eastAsia="黑体" w:cs="黑体"/>
                <w:kern w:val="2"/>
                <w:sz w:val="24"/>
                <w:szCs w:val="24"/>
              </w:rPr>
              <w:id w:val="147452882"/>
              <w:placeholder>
                <w:docPart w:val="{deeccbc7-14ec-4f0b-9570-a752ceb770de}"/>
              </w:placeholder>
            </w:sdtPr>
            <w:sdtEndPr>
              <w:rPr>
                <w:rFonts w:hint="eastAsia" w:ascii="黑体" w:hAnsi="黑体" w:eastAsia="黑体" w:cs="黑体"/>
                <w:kern w:val="2"/>
                <w:sz w:val="24"/>
                <w:szCs w:val="24"/>
              </w:rPr>
            </w:sdtEndPr>
            <w:sdtContent>
              <w:r>
                <w:rPr>
                  <w:rFonts w:hint="eastAsia" w:ascii="黑体" w:hAnsi="黑体" w:eastAsia="黑体" w:cs="黑体"/>
                  <w:sz w:val="24"/>
                  <w:szCs w:val="24"/>
                </w:rPr>
                <w:t>1 总则</w:t>
              </w:r>
            </w:sdtContent>
          </w:sdt>
          <w:r>
            <w:rPr>
              <w:rFonts w:hint="eastAsia" w:ascii="黑体" w:hAnsi="黑体" w:eastAsia="黑体" w:cs="黑体"/>
              <w:sz w:val="24"/>
              <w:szCs w:val="24"/>
            </w:rPr>
            <w:tab/>
          </w:r>
          <w:bookmarkStart w:id="7" w:name="_Toc31327_WPSOffice_Level1Page"/>
          <w:r>
            <w:rPr>
              <w:rFonts w:hint="eastAsia" w:ascii="黑体" w:hAnsi="黑体" w:eastAsia="黑体" w:cs="黑体"/>
              <w:sz w:val="24"/>
              <w:szCs w:val="24"/>
            </w:rPr>
            <w:t>2</w:t>
          </w:r>
          <w:bookmarkEnd w:id="7"/>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"_Toc32071_WPSOffice_Level1" </w:instrText>
          </w:r>
          <w:r>
            <w:fldChar w:fldCharType="separate"/>
          </w:r>
          <w:sdt>
            <w:sdtPr>
              <w:rPr>
                <w:rFonts w:hint="eastAsia" w:ascii="黑体" w:hAnsi="黑体" w:eastAsia="黑体" w:cs="黑体"/>
                <w:kern w:val="2"/>
                <w:sz w:val="24"/>
                <w:szCs w:val="24"/>
              </w:rPr>
              <w:id w:val="147452879"/>
              <w:placeholder>
                <w:docPart w:val="{c49b57e9-eca9-4d14-8957-bf97886dcc09}"/>
              </w:placeholder>
            </w:sdtPr>
            <w:sdtEndPr>
              <w:rPr>
                <w:rFonts w:hint="eastAsia" w:ascii="黑体" w:hAnsi="黑体" w:eastAsia="黑体" w:cs="黑体"/>
                <w:kern w:val="2"/>
                <w:sz w:val="24"/>
                <w:szCs w:val="24"/>
              </w:rPr>
            </w:sdtEndPr>
            <w:sdtContent>
              <w:r>
                <w:rPr>
                  <w:rFonts w:hint="eastAsia" w:ascii="黑体" w:hAnsi="黑体" w:eastAsia="黑体" w:cs="黑体"/>
                  <w:sz w:val="24"/>
                  <w:szCs w:val="24"/>
                </w:rPr>
                <w:t>2 标准和规范</w:t>
              </w:r>
            </w:sdtContent>
          </w:sdt>
          <w:r>
            <w:rPr>
              <w:rFonts w:hint="eastAsia" w:ascii="黑体" w:hAnsi="黑体" w:eastAsia="黑体" w:cs="黑体"/>
              <w:sz w:val="24"/>
              <w:szCs w:val="24"/>
            </w:rPr>
            <w:tab/>
          </w:r>
          <w:bookmarkStart w:id="8" w:name="_Toc32071_WPSOffice_Level1Page"/>
          <w:r>
            <w:rPr>
              <w:rFonts w:hint="eastAsia" w:ascii="黑体" w:hAnsi="黑体" w:eastAsia="黑体" w:cs="黑体"/>
              <w:sz w:val="24"/>
              <w:szCs w:val="24"/>
            </w:rPr>
            <w:t>2</w:t>
          </w:r>
          <w:bookmarkEnd w:id="8"/>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"_Toc13425_WPSOffice_Level1" </w:instrText>
          </w:r>
          <w:r>
            <w:fldChar w:fldCharType="separate"/>
          </w:r>
          <w:sdt>
            <w:sdtPr>
              <w:rPr>
                <w:rFonts w:hint="eastAsia" w:ascii="黑体" w:hAnsi="黑体" w:eastAsia="黑体" w:cs="黑体"/>
                <w:kern w:val="2"/>
                <w:sz w:val="24"/>
                <w:szCs w:val="24"/>
              </w:rPr>
              <w:id w:val="-58782368"/>
              <w:placeholder>
                <w:docPart w:val="{3ac6738f-b539-4be9-a672-3075ac9067e6}"/>
              </w:placeholder>
            </w:sdtPr>
            <w:sdtEndPr>
              <w:rPr>
                <w:rFonts w:hint="eastAsia" w:ascii="黑体" w:hAnsi="黑体" w:eastAsia="黑体" w:cs="黑体"/>
                <w:kern w:val="2"/>
                <w:sz w:val="24"/>
                <w:szCs w:val="24"/>
              </w:rPr>
            </w:sdtEndPr>
            <w:sdtContent>
              <w:r>
                <w:rPr>
                  <w:rFonts w:hint="eastAsia" w:ascii="黑体" w:hAnsi="黑体" w:eastAsia="黑体" w:cs="黑体"/>
                  <w:sz w:val="24"/>
                  <w:szCs w:val="24"/>
                </w:rPr>
                <w:t>3 技术要求</w:t>
              </w:r>
            </w:sdtContent>
          </w:sdt>
          <w:r>
            <w:rPr>
              <w:rFonts w:hint="eastAsia" w:ascii="黑体" w:hAnsi="黑体" w:eastAsia="黑体" w:cs="黑体"/>
              <w:sz w:val="24"/>
              <w:szCs w:val="24"/>
            </w:rPr>
            <w:tab/>
          </w:r>
          <w:r>
            <w:rPr>
              <w:rFonts w:hint="eastAsia" w:ascii="黑体" w:hAnsi="黑体" w:eastAsia="黑体" w:cs="黑体"/>
              <w:sz w:val="24"/>
              <w:szCs w:val="24"/>
            </w:rPr>
            <w:t>2</w:t>
          </w:r>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"_Toc32030_WPSOffice_Level1" </w:instrText>
          </w:r>
          <w:r>
            <w:fldChar w:fldCharType="separate"/>
          </w:r>
          <w:sdt>
            <w:sdtPr>
              <w:rPr>
                <w:rFonts w:ascii="黑体" w:hAnsi="黑体" w:eastAsia="黑体" w:cs="黑体"/>
                <w:kern w:val="2"/>
                <w:sz w:val="24"/>
                <w:szCs w:val="24"/>
              </w:rPr>
              <w:id w:val="1535688216"/>
              <w:placeholder>
                <w:docPart w:val="{816937ab-da5e-4c1b-897e-01b62ed16711}"/>
              </w:placeholder>
            </w:sdtPr>
            <w:sdtEndPr>
              <w:rPr>
                <w:rFonts w:hint="eastAsia" w:ascii="黑体" w:hAnsi="黑体" w:eastAsia="黑体" w:cs="黑体"/>
                <w:kern w:val="2"/>
                <w:sz w:val="24"/>
                <w:szCs w:val="24"/>
              </w:rPr>
            </w:sdtEndPr>
            <w:sdtContent>
              <w:r>
                <w:rPr>
                  <w:rFonts w:hint="eastAsia" w:ascii="黑体" w:hAnsi="黑体" w:eastAsia="黑体" w:cs="黑体"/>
                  <w:kern w:val="2"/>
                  <w:sz w:val="24"/>
                  <w:szCs w:val="24"/>
                </w:rPr>
                <w:t>4</w:t>
              </w:r>
              <w:r>
                <w:rPr>
                  <w:rFonts w:hint="eastAsia" w:ascii="黑体" w:hAnsi="黑体" w:eastAsia="黑体" w:cs="黑体"/>
                  <w:sz w:val="24"/>
                  <w:szCs w:val="24"/>
                </w:rPr>
                <w:t xml:space="preserve"> 试验方法</w:t>
              </w:r>
            </w:sdtContent>
          </w:sdt>
          <w:r>
            <w:rPr>
              <w:rFonts w:hint="eastAsia" w:ascii="黑体" w:hAnsi="黑体" w:eastAsia="黑体" w:cs="黑体"/>
              <w:sz w:val="24"/>
              <w:szCs w:val="24"/>
            </w:rPr>
            <w:tab/>
          </w:r>
          <w:r>
            <w:rPr>
              <w:rFonts w:hint="eastAsia" w:ascii="黑体" w:hAnsi="黑体" w:eastAsia="黑体" w:cs="黑体"/>
              <w:sz w:val="24"/>
              <w:szCs w:val="24"/>
            </w:rPr>
            <w:t>3</w:t>
          </w:r>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"_Toc21546_WPSOffice_Level1" </w:instrText>
          </w:r>
          <w:r>
            <w:fldChar w:fldCharType="separate"/>
          </w:r>
          <w:sdt>
            <w:sdtPr>
              <w:rPr>
                <w:rFonts w:hint="eastAsia" w:ascii="黑体" w:hAnsi="黑体" w:eastAsia="黑体" w:cs="黑体"/>
                <w:kern w:val="2"/>
                <w:sz w:val="24"/>
                <w:szCs w:val="24"/>
              </w:rPr>
              <w:id w:val="-158155284"/>
              <w:placeholder>
                <w:docPart w:val="{08858668-4ad6-46bb-8f67-086150ae0dcb}"/>
              </w:placeholder>
            </w:sdtPr>
            <w:sdtEndPr>
              <w:rPr>
                <w:rFonts w:hint="eastAsia" w:ascii="黑体" w:hAnsi="黑体" w:eastAsia="黑体" w:cs="黑体"/>
                <w:kern w:val="2"/>
                <w:sz w:val="24"/>
                <w:szCs w:val="24"/>
              </w:rPr>
            </w:sdtEndPr>
            <w:sdtContent>
              <w:r>
                <w:rPr>
                  <w:rFonts w:hint="eastAsia" w:ascii="黑体" w:hAnsi="黑体" w:eastAsia="黑体" w:cs="黑体"/>
                  <w:sz w:val="24"/>
                  <w:szCs w:val="24"/>
                </w:rPr>
                <w:t>5 试验验收</w:t>
              </w:r>
            </w:sdtContent>
          </w:sdt>
          <w:r>
            <w:rPr>
              <w:rFonts w:hint="eastAsia" w:ascii="黑体" w:hAnsi="黑体" w:eastAsia="黑体" w:cs="黑体"/>
              <w:sz w:val="24"/>
              <w:szCs w:val="24"/>
            </w:rPr>
            <w:tab/>
          </w:r>
          <w:r>
            <w:rPr>
              <w:rFonts w:hint="eastAsia" w:ascii="黑体" w:hAnsi="黑体" w:eastAsia="黑体" w:cs="黑体"/>
              <w:sz w:val="24"/>
              <w:szCs w:val="24"/>
            </w:rPr>
            <w:t>3</w:t>
          </w:r>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"_Toc30401_WPSOffice_Level1" </w:instrText>
          </w:r>
          <w:r>
            <w:fldChar w:fldCharType="separate"/>
          </w:r>
          <w:sdt>
            <w:sdtPr>
              <w:rPr>
                <w:rFonts w:ascii="黑体" w:hAnsi="黑体" w:eastAsia="黑体" w:cs="黑体"/>
                <w:kern w:val="2"/>
                <w:sz w:val="24"/>
                <w:szCs w:val="24"/>
              </w:rPr>
              <w:id w:val="1890463488"/>
              <w:placeholder>
                <w:docPart w:val="{9fa69152-afc6-4197-9e5e-8ff66530c0ed}"/>
              </w:placeholder>
            </w:sdtPr>
            <w:sdtEndPr>
              <w:rPr>
                <w:rFonts w:hint="eastAsia" w:ascii="黑体" w:hAnsi="黑体" w:eastAsia="黑体" w:cs="黑体"/>
                <w:kern w:val="2"/>
                <w:sz w:val="24"/>
                <w:szCs w:val="24"/>
              </w:rPr>
            </w:sdtEndPr>
            <w:sdtContent>
              <w:r>
                <w:rPr>
                  <w:rFonts w:hint="eastAsia" w:ascii="黑体" w:hAnsi="黑体" w:eastAsia="黑体" w:cs="黑体"/>
                  <w:kern w:val="2"/>
                  <w:sz w:val="24"/>
                  <w:szCs w:val="24"/>
                </w:rPr>
                <w:t>6</w:t>
              </w:r>
              <w:r>
                <w:rPr>
                  <w:rFonts w:hint="eastAsia" w:ascii="黑体" w:hAnsi="黑体" w:eastAsia="黑体" w:cs="黑体"/>
                  <w:sz w:val="24"/>
                  <w:szCs w:val="24"/>
                </w:rPr>
                <w:t xml:space="preserve"> 标志、包装、运输、贮存</w:t>
              </w:r>
            </w:sdtContent>
          </w:sdt>
          <w:r>
            <w:rPr>
              <w:rFonts w:hint="eastAsia" w:ascii="黑体" w:hAnsi="黑体" w:eastAsia="黑体" w:cs="黑体"/>
              <w:sz w:val="24"/>
              <w:szCs w:val="24"/>
            </w:rPr>
            <w:tab/>
          </w:r>
          <w:r>
            <w:rPr>
              <w:rFonts w:hint="eastAsia" w:ascii="黑体" w:hAnsi="黑体" w:eastAsia="黑体" w:cs="黑体"/>
              <w:sz w:val="24"/>
              <w:szCs w:val="24"/>
            </w:rPr>
            <w:t>4</w:t>
          </w:r>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"_Toc9981_WPSOffice_Level1" </w:instrText>
          </w:r>
          <w:r>
            <w:fldChar w:fldCharType="separate"/>
          </w:r>
          <w:sdt>
            <w:sdtPr>
              <w:rPr>
                <w:rFonts w:ascii="黑体" w:hAnsi="黑体" w:eastAsia="黑体" w:cs="黑体"/>
                <w:kern w:val="2"/>
                <w:sz w:val="24"/>
                <w:szCs w:val="24"/>
              </w:rPr>
              <w:id w:val="1484191746"/>
              <w:placeholder>
                <w:docPart w:val="{4ea1687c-840f-471b-b5d8-2e335ae62bd6}"/>
              </w:placeholder>
            </w:sdtPr>
            <w:sdtEndPr>
              <w:rPr>
                <w:rFonts w:hint="eastAsia" w:ascii="黑体" w:hAnsi="黑体" w:eastAsia="黑体" w:cs="黑体"/>
                <w:kern w:val="2"/>
                <w:sz w:val="24"/>
                <w:szCs w:val="24"/>
              </w:rPr>
            </w:sdtEndPr>
            <w:sdtContent>
              <w:r>
                <w:rPr>
                  <w:rFonts w:hint="eastAsia" w:ascii="黑体" w:hAnsi="黑体" w:eastAsia="黑体" w:cs="黑体"/>
                  <w:kern w:val="2"/>
                  <w:sz w:val="24"/>
                  <w:szCs w:val="24"/>
                </w:rPr>
                <w:t>7</w:t>
              </w:r>
              <w:r>
                <w:rPr>
                  <w:rFonts w:hint="eastAsia" w:ascii="黑体" w:hAnsi="黑体" w:eastAsia="黑体" w:cs="黑体"/>
                  <w:sz w:val="24"/>
                  <w:szCs w:val="24"/>
                </w:rPr>
                <w:t xml:space="preserve"> 供货成套性</w:t>
              </w:r>
            </w:sdtContent>
          </w:sdt>
          <w:r>
            <w:rPr>
              <w:rFonts w:hint="eastAsia" w:ascii="黑体" w:hAnsi="黑体" w:eastAsia="黑体" w:cs="黑体"/>
              <w:sz w:val="24"/>
              <w:szCs w:val="24"/>
            </w:rPr>
            <w:tab/>
          </w:r>
          <w:r>
            <w:rPr>
              <w:rFonts w:hint="eastAsia" w:ascii="黑体" w:hAnsi="黑体" w:eastAsia="黑体" w:cs="黑体"/>
              <w:sz w:val="24"/>
              <w:szCs w:val="24"/>
            </w:rPr>
            <w:t>4</w:t>
          </w:r>
          <w:r>
            <w:rPr>
              <w:rFonts w:hint="eastAsia" w:ascii="黑体" w:hAnsi="黑体" w:eastAsia="黑体" w:cs="黑体"/>
              <w:sz w:val="24"/>
              <w:szCs w:val="24"/>
            </w:rPr>
            <w:fldChar w:fldCharType="end"/>
          </w:r>
        </w:p>
        <w:p>
          <w:pPr>
            <w:pStyle w:val="17"/>
            <w:tabs>
              <w:tab w:val="right" w:leader="dot" w:pos="8306"/>
            </w:tabs>
            <w:rPr>
              <w:rFonts w:hint="eastAsia" w:ascii="黑体" w:hAnsi="黑体" w:eastAsia="黑体" w:cs="黑体"/>
              <w:sz w:val="24"/>
              <w:szCs w:val="24"/>
            </w:rPr>
          </w:pPr>
          <w:r>
            <w:fldChar w:fldCharType="begin"/>
          </w:r>
          <w:r>
            <w:instrText xml:space="preserve"> HYPERLINK \l "_Toc24753_WPSOffice_Level1" </w:instrText>
          </w:r>
          <w:r>
            <w:fldChar w:fldCharType="separate"/>
          </w:r>
          <w:sdt>
            <w:sdtPr>
              <w:rPr>
                <w:rFonts w:ascii="黑体" w:hAnsi="黑体" w:eastAsia="黑体" w:cs="黑体"/>
                <w:kern w:val="2"/>
                <w:sz w:val="24"/>
                <w:szCs w:val="24"/>
              </w:rPr>
              <w:id w:val="-477533894"/>
              <w:placeholder>
                <w:docPart w:val="{2f99daf0-c5d1-48b6-a6af-e8a38abf9061}"/>
              </w:placeholder>
            </w:sdtPr>
            <w:sdtEndPr>
              <w:rPr>
                <w:rFonts w:hint="eastAsia" w:ascii="黑体" w:hAnsi="黑体" w:eastAsia="黑体" w:cs="黑体"/>
                <w:kern w:val="2"/>
                <w:sz w:val="24"/>
                <w:szCs w:val="24"/>
              </w:rPr>
            </w:sdtEndPr>
            <w:sdtContent>
              <w:r>
                <w:rPr>
                  <w:rFonts w:hint="eastAsia" w:ascii="黑体" w:hAnsi="黑体" w:eastAsia="黑体" w:cs="黑体"/>
                  <w:kern w:val="2"/>
                  <w:sz w:val="24"/>
                  <w:szCs w:val="24"/>
                </w:rPr>
                <w:t>8</w:t>
              </w:r>
              <w:r>
                <w:rPr>
                  <w:rFonts w:hint="eastAsia" w:ascii="黑体" w:hAnsi="黑体" w:eastAsia="黑体" w:cs="黑体"/>
                  <w:sz w:val="24"/>
                  <w:szCs w:val="24"/>
                </w:rPr>
                <w:t xml:space="preserve"> 售后服务要求</w:t>
              </w:r>
            </w:sdtContent>
          </w:sdt>
          <w:r>
            <w:rPr>
              <w:rFonts w:hint="eastAsia" w:ascii="黑体" w:hAnsi="黑体" w:eastAsia="黑体" w:cs="黑体"/>
              <w:sz w:val="24"/>
              <w:szCs w:val="24"/>
            </w:rPr>
            <w:tab/>
          </w:r>
          <w:r>
            <w:rPr>
              <w:rFonts w:hint="eastAsia" w:ascii="黑体" w:hAnsi="黑体" w:eastAsia="黑体" w:cs="黑体"/>
              <w:sz w:val="24"/>
              <w:szCs w:val="24"/>
            </w:rPr>
            <w:t>5</w:t>
          </w:r>
          <w:r>
            <w:rPr>
              <w:rFonts w:hint="eastAsia" w:ascii="黑体" w:hAnsi="黑体" w:eastAsia="黑体" w:cs="黑体"/>
              <w:sz w:val="24"/>
              <w:szCs w:val="24"/>
            </w:rPr>
            <w:fldChar w:fldCharType="end"/>
          </w:r>
        </w:p>
      </w:sdtContent>
    </w:sdt>
    <w:bookmarkEnd w:id="6"/>
    <w:p>
      <w:pPr>
        <w:rPr>
          <w:lang w:val="zh-CN"/>
        </w:rPr>
      </w:pPr>
      <w:r>
        <w:rPr>
          <w:rFonts w:hint="eastAsia"/>
          <w:lang w:val="zh-CN"/>
        </w:rPr>
        <w:br w:type="page"/>
      </w:r>
    </w:p>
    <w:p>
      <w:pPr>
        <w:pStyle w:val="3"/>
      </w:pPr>
      <w:bookmarkStart w:id="9" w:name="_Toc31327_WPSOffice_Level1"/>
      <w:r>
        <w:rPr>
          <w:rFonts w:hint="eastAsia"/>
        </w:rPr>
        <w:t>1 总则</w:t>
      </w:r>
      <w:bookmarkEnd w:id="9"/>
    </w:p>
    <w:p>
      <w:pPr>
        <w:spacing w:line="400" w:lineRule="exact"/>
        <w:rPr>
          <w:rFonts w:hint="eastAsia" w:ascii="宋体" w:hAnsi="宋体"/>
          <w:szCs w:val="21"/>
        </w:rPr>
      </w:pPr>
      <w:r>
        <w:rPr>
          <w:rFonts w:hint="eastAsia" w:ascii="宋体" w:hAnsi="宋体"/>
          <w:szCs w:val="21"/>
        </w:rPr>
        <w:t>1.1 投标人资格</w:t>
      </w:r>
    </w:p>
    <w:p>
      <w:pPr>
        <w:spacing w:line="400" w:lineRule="exact"/>
        <w:ind w:firstLine="420" w:firstLineChars="200"/>
        <w:rPr>
          <w:rFonts w:hint="eastAsia" w:ascii="宋体" w:hAnsi="宋体"/>
          <w:szCs w:val="21"/>
        </w:rPr>
      </w:pPr>
      <w:r>
        <w:rPr>
          <w:rFonts w:hint="eastAsia" w:ascii="宋体" w:hAnsi="宋体"/>
          <w:szCs w:val="21"/>
        </w:rPr>
        <w:t>投标人必须</w:t>
      </w:r>
      <w:r>
        <w:rPr>
          <w:rFonts w:hint="eastAsia" w:ascii="宋体" w:hAnsi="宋体"/>
          <w:szCs w:val="21"/>
          <w:lang w:val="en-US" w:eastAsia="zh-CN"/>
        </w:rPr>
        <w:t>具有</w:t>
      </w:r>
      <w:r>
        <w:rPr>
          <w:rFonts w:hint="eastAsia" w:ascii="宋体" w:hAnsi="宋体"/>
          <w:szCs w:val="21"/>
        </w:rPr>
        <w:t>ISO-9001质量认证书或相当的认证文件，在电力系统中有相关使用单位出具的</w:t>
      </w:r>
      <w:r>
        <w:rPr>
          <w:rFonts w:hint="eastAsia" w:ascii="宋体" w:hAnsi="宋体"/>
          <w:szCs w:val="21"/>
          <w:lang w:val="en-US" w:eastAsia="zh-CN"/>
        </w:rPr>
        <w:t>相关业务</w:t>
      </w:r>
      <w:r>
        <w:rPr>
          <w:rFonts w:hint="eastAsia" w:ascii="宋体" w:hAnsi="宋体"/>
          <w:szCs w:val="21"/>
        </w:rPr>
        <w:t>证明或者相关的销售业绩并提供相应的证明。</w:t>
      </w:r>
    </w:p>
    <w:p>
      <w:pPr>
        <w:spacing w:line="400" w:lineRule="exact"/>
        <w:rPr>
          <w:rFonts w:hint="eastAsia" w:ascii="宋体" w:hAnsi="宋体"/>
          <w:szCs w:val="21"/>
        </w:rPr>
      </w:pPr>
      <w:r>
        <w:rPr>
          <w:rFonts w:hint="eastAsia" w:ascii="宋体" w:hAnsi="宋体"/>
          <w:szCs w:val="21"/>
        </w:rPr>
        <w:t>1.2 本设备技术规范书适用于便携式试验支架研究及应用的功能设计、结构、性能和试验等方面的技术要求。</w:t>
      </w:r>
    </w:p>
    <w:p>
      <w:pPr>
        <w:spacing w:line="400" w:lineRule="exact"/>
        <w:rPr>
          <w:rFonts w:hint="eastAsia" w:ascii="宋体" w:hAnsi="宋体"/>
          <w:szCs w:val="21"/>
        </w:rPr>
      </w:pPr>
      <w:r>
        <w:rPr>
          <w:rFonts w:hint="eastAsia" w:ascii="宋体" w:hAnsi="宋体"/>
          <w:szCs w:val="21"/>
        </w:rPr>
        <w:t>1.3本设备技术规范书提出的是最低限度的技术要求，并未对一切技术细节作出规定，也未充分引述有关标准和规范的条文，投标人应提供符合本规范书和工业标准的优质产品。</w:t>
      </w:r>
    </w:p>
    <w:p>
      <w:pPr>
        <w:spacing w:line="400" w:lineRule="exact"/>
        <w:rPr>
          <w:rFonts w:hint="eastAsia" w:ascii="宋体" w:hAnsi="宋体"/>
          <w:szCs w:val="21"/>
        </w:rPr>
      </w:pPr>
      <w:r>
        <w:rPr>
          <w:rFonts w:hint="eastAsia" w:ascii="宋体" w:hAnsi="宋体"/>
          <w:szCs w:val="21"/>
        </w:rPr>
        <w:t>1.4如果投标人没有以书面形式对本规范书的条文提出异议，则意味着投标人提供的设备(或系统)完全符合本技术规范书的要求。如有异议, 不管是多么微小, 都应在投标文件中以“对规范书的意见和同规范书的差异”为标题的专门章节中加以详细描述。</w:t>
      </w:r>
    </w:p>
    <w:p>
      <w:pPr>
        <w:spacing w:line="400" w:lineRule="exact"/>
        <w:rPr>
          <w:rFonts w:hint="eastAsia" w:ascii="宋体" w:hAnsi="宋体"/>
          <w:szCs w:val="21"/>
        </w:rPr>
      </w:pPr>
      <w:r>
        <w:rPr>
          <w:rFonts w:hint="eastAsia" w:ascii="宋体" w:hAnsi="宋体"/>
          <w:szCs w:val="21"/>
        </w:rPr>
        <w:t>1.5本设备技术规范书所使用的标准如遇与投标人所执行的标准不一致时，按较高标准执行。</w:t>
      </w:r>
    </w:p>
    <w:p>
      <w:pPr>
        <w:spacing w:line="400" w:lineRule="exact"/>
        <w:rPr>
          <w:rFonts w:hint="eastAsia" w:ascii="宋体" w:hAnsi="宋体"/>
          <w:szCs w:val="21"/>
        </w:rPr>
      </w:pPr>
      <w:r>
        <w:rPr>
          <w:rFonts w:hint="eastAsia" w:ascii="宋体" w:hAnsi="宋体"/>
          <w:szCs w:val="21"/>
        </w:rPr>
        <w:t>1.6本设备规范书未尽事宜，由招投标双方协商确定。</w:t>
      </w:r>
    </w:p>
    <w:p>
      <w:pPr>
        <w:spacing w:line="400" w:lineRule="exact"/>
        <w:rPr>
          <w:rFonts w:hint="eastAsia" w:ascii="宋体" w:hAnsi="宋体"/>
          <w:szCs w:val="21"/>
        </w:rPr>
      </w:pPr>
      <w:r>
        <w:rPr>
          <w:rFonts w:hint="eastAsia" w:ascii="宋体" w:hAnsi="宋体"/>
          <w:szCs w:val="21"/>
        </w:rPr>
        <w:t>1.7投标人应按本规范书顺序逐条应答，并简要描述。</w:t>
      </w:r>
    </w:p>
    <w:p>
      <w:pPr>
        <w:pStyle w:val="3"/>
      </w:pPr>
      <w:bookmarkStart w:id="10" w:name="_Toc32071_WPSOffice_Level1"/>
      <w:r>
        <w:rPr>
          <w:rFonts w:hint="eastAsia"/>
        </w:rPr>
        <w:t>2 标准和规范</w:t>
      </w:r>
      <w:bookmarkEnd w:id="10"/>
    </w:p>
    <w:p>
      <w:pPr>
        <w:spacing w:before="78" w:beforeLines="25" w:after="78" w:afterLines="25" w:line="360" w:lineRule="auto"/>
        <w:rPr>
          <w:rFonts w:hint="eastAsia" w:ascii="宋体" w:hAnsi="宋体"/>
          <w:szCs w:val="21"/>
        </w:rPr>
      </w:pPr>
      <w:bookmarkStart w:id="11" w:name="OLE_LINK3"/>
      <w:r>
        <w:rPr>
          <w:rFonts w:hint="eastAsia" w:ascii="宋体" w:hAnsi="宋体"/>
          <w:szCs w:val="21"/>
        </w:rPr>
        <w:t>DL/T 815 2012        《金属氧化物避雷器运行维护技术规范》</w:t>
      </w:r>
    </w:p>
    <w:bookmarkEnd w:id="11"/>
    <w:p>
      <w:pPr>
        <w:spacing w:before="78" w:beforeLines="25" w:after="78" w:afterLines="25" w:line="360" w:lineRule="auto"/>
        <w:rPr>
          <w:rFonts w:hint="eastAsia" w:ascii="宋体" w:hAnsi="宋体"/>
          <w:szCs w:val="21"/>
        </w:rPr>
      </w:pPr>
      <w:r>
        <w:rPr>
          <w:rFonts w:hint="eastAsia" w:ascii="宋体" w:hAnsi="宋体"/>
          <w:szCs w:val="21"/>
        </w:rPr>
        <w:t>GB 12224-89     《钢制或铝制阀门 一般要求》</w:t>
      </w:r>
    </w:p>
    <w:p>
      <w:pPr>
        <w:pStyle w:val="3"/>
      </w:pPr>
      <w:bookmarkStart w:id="12" w:name="_Toc13425_WPSOffice_Level1"/>
      <w:r>
        <w:rPr>
          <w:rFonts w:hint="eastAsia"/>
        </w:rPr>
        <w:t>3 技术要求</w:t>
      </w:r>
      <w:bookmarkEnd w:id="12"/>
    </w:p>
    <w:p>
      <w:pPr>
        <w:pStyle w:val="3"/>
        <w:rPr>
          <w:rFonts w:hint="eastAsia" w:ascii="宋体" w:hAnsi="宋体"/>
          <w:szCs w:val="21"/>
        </w:rPr>
      </w:pPr>
      <w:r>
        <w:rPr>
          <w:rFonts w:hint="eastAsia" w:ascii="宋体" w:hAnsi="宋体"/>
          <w:szCs w:val="21"/>
        </w:rPr>
        <w:t>3.1 主要性能指标</w:t>
      </w:r>
    </w:p>
    <w:p>
      <w:pPr>
        <w:numPr>
          <w:ilvl w:val="0"/>
          <w:numId w:val="2"/>
        </w:numPr>
        <w:spacing w:line="360" w:lineRule="auto"/>
        <w:ind w:left="845" w:hanging="425"/>
        <w:rPr>
          <w:sz w:val="24"/>
        </w:rPr>
      </w:pPr>
      <w:r>
        <w:rPr>
          <w:rFonts w:hint="eastAsia"/>
          <w:sz w:val="24"/>
        </w:rPr>
        <w:t>材质：高强度铝合金、环氧树脂，红铜及高强度尼龙；</w:t>
      </w:r>
    </w:p>
    <w:p>
      <w:pPr>
        <w:numPr>
          <w:ilvl w:val="0"/>
          <w:numId w:val="2"/>
        </w:numPr>
        <w:spacing w:line="360" w:lineRule="auto"/>
        <w:ind w:left="845" w:hanging="425"/>
        <w:rPr>
          <w:sz w:val="24"/>
        </w:rPr>
      </w:pPr>
      <w:r>
        <w:rPr>
          <w:rFonts w:hint="eastAsia"/>
          <w:sz w:val="24"/>
        </w:rPr>
        <w:t>设计承载重量：50Kg</w:t>
      </w:r>
    </w:p>
    <w:p>
      <w:pPr>
        <w:numPr>
          <w:ilvl w:val="0"/>
          <w:numId w:val="2"/>
        </w:numPr>
        <w:spacing w:line="400" w:lineRule="exact"/>
        <w:ind w:firstLine="420"/>
        <w:rPr>
          <w:rFonts w:hint="eastAsia" w:ascii="宋体" w:hAnsi="宋体"/>
          <w:szCs w:val="21"/>
        </w:rPr>
      </w:pPr>
      <w:r>
        <w:rPr>
          <w:rFonts w:hint="eastAsia"/>
          <w:sz w:val="24"/>
        </w:rPr>
        <w:t>产品重量：2Kg以内</w:t>
      </w:r>
      <w:r>
        <w:rPr>
          <w:rFonts w:hint="eastAsia" w:ascii="宋体" w:hAnsi="宋体"/>
          <w:szCs w:val="21"/>
        </w:rPr>
        <w:t>使用环境温度：-40℃~+80℃</w:t>
      </w:r>
    </w:p>
    <w:p>
      <w:pPr>
        <w:spacing w:line="400" w:lineRule="exact"/>
        <w:rPr>
          <w:rFonts w:hint="eastAsia" w:ascii="宋体" w:hAnsi="宋体"/>
          <w:szCs w:val="21"/>
        </w:rPr>
      </w:pPr>
      <w:r>
        <w:rPr>
          <w:rFonts w:hint="eastAsia" w:ascii="宋体" w:hAnsi="宋体" w:eastAsia="黑体"/>
          <w:b/>
          <w:kern w:val="44"/>
          <w:sz w:val="28"/>
          <w:szCs w:val="21"/>
        </w:rPr>
        <w:t>3.2 外观</w:t>
      </w:r>
    </w:p>
    <w:p>
      <w:pPr>
        <w:spacing w:line="360" w:lineRule="auto"/>
        <w:ind w:firstLine="420" w:firstLineChars="200"/>
        <w:rPr>
          <w:rFonts w:hint="eastAsia" w:ascii="宋体" w:hAnsi="宋体"/>
          <w:szCs w:val="21"/>
        </w:rPr>
      </w:pPr>
      <w:r>
        <w:rPr>
          <w:rFonts w:hint="eastAsia" w:ascii="宋体" w:hAnsi="宋体"/>
          <w:szCs w:val="21"/>
        </w:rPr>
        <w:t>外观应满足以下要求：</w:t>
      </w:r>
    </w:p>
    <w:p>
      <w:pPr>
        <w:numPr>
          <w:ilvl w:val="0"/>
          <w:numId w:val="3"/>
        </w:numPr>
        <w:spacing w:line="400" w:lineRule="exact"/>
        <w:rPr>
          <w:rFonts w:hint="eastAsia" w:ascii="宋体" w:hAnsi="宋体"/>
          <w:szCs w:val="21"/>
        </w:rPr>
      </w:pPr>
      <w:r>
        <w:rPr>
          <w:rFonts w:hint="eastAsia" w:ascii="宋体" w:hAnsi="宋体"/>
          <w:szCs w:val="21"/>
        </w:rPr>
        <w:t>接头外观无明显的划伤、凹陷、变形，表面清洁无污迹；</w:t>
      </w:r>
    </w:p>
    <w:p>
      <w:pPr>
        <w:keepNext w:val="0"/>
        <w:keepLines w:val="0"/>
        <w:pageBreakBefore w:val="0"/>
        <w:widowControl w:val="0"/>
        <w:numPr>
          <w:ilvl w:val="0"/>
          <w:numId w:val="3"/>
        </w:numPr>
        <w:kinsoku/>
        <w:wordWrap/>
        <w:overflowPunct/>
        <w:topLinePunct w:val="0"/>
        <w:autoSpaceDE/>
        <w:autoSpaceDN/>
        <w:bidi w:val="0"/>
        <w:adjustRightInd/>
        <w:snapToGrid/>
        <w:spacing w:after="313" w:afterLines="100" w:line="400" w:lineRule="exact"/>
        <w:ind w:left="845" w:hanging="425"/>
        <w:textAlignment w:val="auto"/>
      </w:pPr>
      <w:r>
        <w:rPr>
          <w:rFonts w:hint="eastAsia" w:ascii="宋体" w:hAnsi="宋体"/>
          <w:szCs w:val="21"/>
        </w:rPr>
        <w:t>每种接头应有相应的标识，且标识应处于明显位置。</w:t>
      </w:r>
    </w:p>
    <w:p>
      <w:pPr>
        <w:spacing w:line="400" w:lineRule="exact"/>
        <w:rPr>
          <w:rFonts w:hint="eastAsia" w:ascii="宋体" w:hAnsi="宋体"/>
          <w:szCs w:val="21"/>
        </w:rPr>
      </w:pPr>
      <w:r>
        <w:rPr>
          <w:rFonts w:hint="eastAsia" w:ascii="宋体" w:hAnsi="宋体" w:eastAsia="黑体"/>
          <w:b/>
          <w:kern w:val="44"/>
          <w:sz w:val="28"/>
          <w:szCs w:val="21"/>
        </w:rPr>
        <w:t>3.3 基本功能</w:t>
      </w:r>
    </w:p>
    <w:p>
      <w:pPr>
        <w:spacing w:line="400" w:lineRule="exact"/>
        <w:ind w:firstLine="420" w:firstLineChars="200"/>
        <w:rPr>
          <w:rFonts w:hint="eastAsia" w:ascii="宋体" w:hAnsi="宋体"/>
          <w:szCs w:val="21"/>
        </w:rPr>
      </w:pPr>
      <w:r>
        <w:rPr>
          <w:rFonts w:hint="eastAsia" w:ascii="宋体" w:hAnsi="宋体"/>
          <w:szCs w:val="21"/>
        </w:rPr>
        <w:t>支架的基本功能应满足以下要求：</w:t>
      </w:r>
    </w:p>
    <w:p>
      <w:pPr>
        <w:numPr>
          <w:ilvl w:val="0"/>
          <w:numId w:val="4"/>
        </w:numPr>
        <w:spacing w:line="400" w:lineRule="exact"/>
        <w:rPr>
          <w:rFonts w:hint="eastAsia" w:ascii="宋体" w:hAnsi="宋体"/>
          <w:szCs w:val="21"/>
        </w:rPr>
      </w:pPr>
      <w:r>
        <w:rPr>
          <w:rFonts w:hint="eastAsia" w:ascii="宋体" w:hAnsi="宋体"/>
          <w:szCs w:val="21"/>
        </w:rPr>
        <w:t>具备可折叠收纳的功能：</w:t>
      </w:r>
    </w:p>
    <w:p>
      <w:pPr>
        <w:numPr>
          <w:ilvl w:val="0"/>
          <w:numId w:val="4"/>
        </w:numPr>
        <w:spacing w:line="400" w:lineRule="exact"/>
        <w:rPr>
          <w:rFonts w:hint="eastAsia" w:ascii="宋体" w:hAnsi="宋体"/>
          <w:szCs w:val="21"/>
        </w:rPr>
      </w:pPr>
      <w:r>
        <w:rPr>
          <w:rFonts w:hint="eastAsia" w:ascii="宋体" w:hAnsi="宋体"/>
          <w:szCs w:val="21"/>
        </w:rPr>
        <w:t>测试架应能平稳的防止在测试平台上；</w:t>
      </w:r>
    </w:p>
    <w:p>
      <w:pPr>
        <w:keepNext w:val="0"/>
        <w:keepLines w:val="0"/>
        <w:pageBreakBefore w:val="0"/>
        <w:widowControl w:val="0"/>
        <w:numPr>
          <w:ilvl w:val="0"/>
          <w:numId w:val="4"/>
        </w:numPr>
        <w:kinsoku/>
        <w:wordWrap/>
        <w:overflowPunct/>
        <w:topLinePunct w:val="0"/>
        <w:autoSpaceDE/>
        <w:autoSpaceDN/>
        <w:bidi w:val="0"/>
        <w:adjustRightInd/>
        <w:snapToGrid/>
        <w:spacing w:after="313" w:afterLines="100" w:line="400" w:lineRule="exact"/>
        <w:ind w:left="845" w:hanging="425"/>
        <w:textAlignment w:val="auto"/>
        <w:rPr>
          <w:rFonts w:hint="eastAsia" w:ascii="宋体" w:hAnsi="宋体"/>
          <w:szCs w:val="21"/>
        </w:rPr>
      </w:pPr>
      <w:r>
        <w:rPr>
          <w:rFonts w:hint="eastAsia" w:ascii="宋体" w:hAnsi="宋体"/>
          <w:szCs w:val="21"/>
        </w:rPr>
        <w:t>支架具备良好的绝缘性能</w:t>
      </w:r>
      <w:r>
        <w:rPr>
          <w:rFonts w:hint="eastAsia" w:ascii="宋体" w:hAnsi="宋体"/>
          <w:szCs w:val="21"/>
          <w:lang w:eastAsia="zh-CN"/>
        </w:rPr>
        <w:t>。</w:t>
      </w:r>
    </w:p>
    <w:p>
      <w:pPr>
        <w:spacing w:line="400" w:lineRule="exact"/>
        <w:rPr>
          <w:rFonts w:hint="eastAsia" w:ascii="宋体" w:hAnsi="宋体" w:eastAsia="黑体" w:cs="Times New Roman"/>
          <w:b/>
          <w:kern w:val="44"/>
          <w:sz w:val="28"/>
          <w:szCs w:val="21"/>
          <w:lang w:val="en-US" w:eastAsia="zh-CN"/>
        </w:rPr>
      </w:pPr>
      <w:r>
        <w:rPr>
          <w:rFonts w:hint="eastAsia" w:ascii="宋体" w:hAnsi="宋体" w:eastAsia="黑体" w:cs="Times New Roman"/>
          <w:b/>
          <w:kern w:val="44"/>
          <w:sz w:val="28"/>
          <w:szCs w:val="21"/>
          <w:lang w:val="en-US" w:eastAsia="zh-CN"/>
        </w:rPr>
        <w:t>3.4 投标单位生产能力要求</w:t>
      </w:r>
    </w:p>
    <w:p>
      <w:pPr>
        <w:pStyle w:val="8"/>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投标方应具有以下生产加工设备、试验设备或工具。</w:t>
      </w:r>
    </w:p>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生产加工设备、试验设备或工具需求一览表</w:t>
      </w:r>
    </w:p>
    <w:tbl>
      <w:tblPr>
        <w:tblStyle w:val="14"/>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733"/>
        <w:gridCol w:w="2519"/>
        <w:gridCol w:w="720"/>
        <w:gridCol w:w="719"/>
        <w:gridCol w:w="170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序号</w:t>
            </w:r>
          </w:p>
        </w:tc>
        <w:tc>
          <w:tcPr>
            <w:tcW w:w="1733"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名称</w:t>
            </w:r>
          </w:p>
        </w:tc>
        <w:tc>
          <w:tcPr>
            <w:tcW w:w="2519"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功能</w:t>
            </w:r>
          </w:p>
        </w:tc>
        <w:tc>
          <w:tcPr>
            <w:tcW w:w="720"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单位</w:t>
            </w:r>
          </w:p>
        </w:tc>
        <w:tc>
          <w:tcPr>
            <w:tcW w:w="719"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数量</w:t>
            </w:r>
          </w:p>
        </w:tc>
        <w:tc>
          <w:tcPr>
            <w:tcW w:w="1701"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rPr>
              <w:t>投标方响应型式、规格</w:t>
            </w:r>
          </w:p>
        </w:tc>
        <w:tc>
          <w:tcPr>
            <w:tcW w:w="1191" w:type="dxa"/>
            <w:shd w:val="clear" w:color="auto" w:fill="D7D7D7"/>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rPr>
              <w:t>投标方响应数量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33"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激光切割机</w:t>
            </w:r>
          </w:p>
        </w:tc>
        <w:tc>
          <w:tcPr>
            <w:tcW w:w="25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金属板材切割</w:t>
            </w:r>
          </w:p>
        </w:tc>
        <w:tc>
          <w:tcPr>
            <w:tcW w:w="720"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color w:val="auto"/>
                <w:kern w:val="0"/>
                <w:sz w:val="24"/>
                <w:szCs w:val="24"/>
                <w:highlight w:val="none"/>
                <w:u w:val="single"/>
                <w:lang w:val="en-US" w:eastAsia="zh-CN" w:bidi="ar-SA"/>
              </w:rPr>
            </w:pPr>
          </w:p>
        </w:tc>
        <w:tc>
          <w:tcPr>
            <w:tcW w:w="1191" w:type="dxa"/>
            <w:noWrap w:val="0"/>
            <w:vAlign w:val="center"/>
          </w:tcPr>
          <w:p>
            <w:pPr>
              <w:keepNext w:val="0"/>
              <w:keepLines w:val="0"/>
              <w:pageBreakBefore w:val="0"/>
              <w:kinsoku/>
              <w:wordWrap/>
              <w:overflowPunct/>
              <w:topLinePunct w:val="0"/>
              <w:autoSpaceDE/>
              <w:autoSpaceDN/>
              <w:bidi w:val="0"/>
              <w:adjustRightInd/>
              <w:snapToGrid/>
              <w:spacing w:line="240" w:lineRule="auto"/>
              <w:ind w:leftChars="0" w:firstLine="0" w:firstLineChars="0"/>
              <w:jc w:val="both"/>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w:t>
            </w:r>
          </w:p>
        </w:tc>
        <w:tc>
          <w:tcPr>
            <w:tcW w:w="1733"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焊接设备</w:t>
            </w:r>
          </w:p>
        </w:tc>
        <w:tc>
          <w:tcPr>
            <w:tcW w:w="25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金属或其他材料焊接</w:t>
            </w:r>
          </w:p>
        </w:tc>
        <w:tc>
          <w:tcPr>
            <w:tcW w:w="720"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color w:val="auto"/>
                <w:kern w:val="0"/>
                <w:sz w:val="24"/>
                <w:szCs w:val="24"/>
                <w:highlight w:val="none"/>
                <w:u w:val="single"/>
                <w:lang w:val="en-US" w:eastAsia="zh-CN" w:bidi="ar-SA"/>
              </w:rPr>
            </w:pPr>
          </w:p>
        </w:tc>
        <w:tc>
          <w:tcPr>
            <w:tcW w:w="1191" w:type="dxa"/>
            <w:noWrap w:val="0"/>
            <w:vAlign w:val="center"/>
          </w:tcPr>
          <w:p>
            <w:pPr>
              <w:keepNext w:val="0"/>
              <w:keepLines w:val="0"/>
              <w:pageBreakBefore w:val="0"/>
              <w:kinsoku/>
              <w:wordWrap/>
              <w:overflowPunct/>
              <w:topLinePunct w:val="0"/>
              <w:autoSpaceDE/>
              <w:autoSpaceDN/>
              <w:bidi w:val="0"/>
              <w:adjustRightInd/>
              <w:snapToGrid/>
              <w:spacing w:line="240" w:lineRule="auto"/>
              <w:ind w:leftChars="0" w:firstLine="0" w:firstLineChars="0"/>
              <w:jc w:val="both"/>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w:t>
            </w:r>
          </w:p>
        </w:tc>
        <w:tc>
          <w:tcPr>
            <w:tcW w:w="1733"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压铆机</w:t>
            </w:r>
          </w:p>
        </w:tc>
        <w:tc>
          <w:tcPr>
            <w:tcW w:w="25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w:t>
            </w:r>
          </w:p>
        </w:tc>
        <w:tc>
          <w:tcPr>
            <w:tcW w:w="720"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0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仿宋" w:hAnsi="仿宋" w:eastAsia="仿宋" w:cs="仿宋"/>
                <w:color w:val="auto"/>
                <w:kern w:val="0"/>
                <w:sz w:val="24"/>
                <w:szCs w:val="24"/>
                <w:highlight w:val="none"/>
                <w:u w:val="single"/>
                <w:lang w:val="en-US" w:eastAsia="zh-CN" w:bidi="ar-SA"/>
              </w:rPr>
            </w:pPr>
          </w:p>
        </w:tc>
        <w:tc>
          <w:tcPr>
            <w:tcW w:w="1191" w:type="dxa"/>
            <w:noWrap w:val="0"/>
            <w:vAlign w:val="center"/>
          </w:tcPr>
          <w:p>
            <w:pPr>
              <w:keepNext w:val="0"/>
              <w:keepLines w:val="0"/>
              <w:pageBreakBefore w:val="0"/>
              <w:kinsoku/>
              <w:wordWrap/>
              <w:overflowPunct/>
              <w:topLinePunct w:val="0"/>
              <w:autoSpaceDE/>
              <w:autoSpaceDN/>
              <w:bidi w:val="0"/>
              <w:adjustRightInd/>
              <w:snapToGrid/>
              <w:spacing w:line="240" w:lineRule="auto"/>
              <w:ind w:leftChars="0" w:firstLine="0" w:firstLineChars="0"/>
              <w:jc w:val="both"/>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4</w:t>
            </w:r>
          </w:p>
        </w:tc>
        <w:tc>
          <w:tcPr>
            <w:tcW w:w="1733"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数控折弯机</w:t>
            </w:r>
          </w:p>
        </w:tc>
        <w:tc>
          <w:tcPr>
            <w:tcW w:w="25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金属板材折弯</w:t>
            </w:r>
          </w:p>
        </w:tc>
        <w:tc>
          <w:tcPr>
            <w:tcW w:w="720"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0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Chars="0" w:firstLine="0" w:firstLineChars="0"/>
              <w:jc w:val="center"/>
              <w:textAlignment w:val="auto"/>
              <w:rPr>
                <w:rFonts w:hint="eastAsia" w:ascii="仿宋" w:hAnsi="仿宋" w:eastAsia="仿宋" w:cs="仿宋"/>
                <w:color w:val="auto"/>
                <w:kern w:val="0"/>
                <w:sz w:val="24"/>
                <w:szCs w:val="24"/>
                <w:highlight w:val="none"/>
                <w:u w:val="single"/>
                <w:lang w:val="en-US" w:eastAsia="zh-CN" w:bidi="ar-SA"/>
              </w:rPr>
            </w:pPr>
          </w:p>
        </w:tc>
        <w:tc>
          <w:tcPr>
            <w:tcW w:w="1191" w:type="dxa"/>
            <w:noWrap w:val="0"/>
            <w:vAlign w:val="center"/>
          </w:tcPr>
          <w:p>
            <w:pPr>
              <w:keepNext w:val="0"/>
              <w:keepLines w:val="0"/>
              <w:pageBreakBefore w:val="0"/>
              <w:kinsoku/>
              <w:wordWrap/>
              <w:overflowPunct/>
              <w:topLinePunct w:val="0"/>
              <w:autoSpaceDE/>
              <w:autoSpaceDN/>
              <w:bidi w:val="0"/>
              <w:adjustRightInd/>
              <w:snapToGrid/>
              <w:spacing w:line="240" w:lineRule="auto"/>
              <w:ind w:leftChars="0" w:firstLine="0" w:firstLineChars="0"/>
              <w:jc w:val="both"/>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5</w:t>
            </w:r>
          </w:p>
        </w:tc>
        <w:tc>
          <w:tcPr>
            <w:tcW w:w="1733"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数控车床</w:t>
            </w:r>
          </w:p>
        </w:tc>
        <w:tc>
          <w:tcPr>
            <w:tcW w:w="25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数</w:t>
            </w:r>
            <w:r>
              <w:rPr>
                <w:rFonts w:hint="default" w:ascii="宋体" w:hAnsi="宋体" w:eastAsia="宋体" w:cs="Times New Roman"/>
                <w:kern w:val="2"/>
                <w:sz w:val="21"/>
                <w:szCs w:val="21"/>
                <w:lang w:val="en-US" w:eastAsia="zh-CN" w:bidi="ar-SA"/>
              </w:rPr>
              <w:t>控自动化加工的机床</w:t>
            </w:r>
          </w:p>
        </w:tc>
        <w:tc>
          <w:tcPr>
            <w:tcW w:w="720"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default" w:ascii="宋体" w:hAnsi="宋体" w:eastAsia="宋体" w:cs="Times New Roman"/>
                <w:kern w:val="2"/>
                <w:sz w:val="21"/>
                <w:szCs w:val="21"/>
                <w:lang w:val="en-US" w:eastAsia="zh-CN" w:bidi="ar-SA"/>
              </w:rPr>
              <w:t>1</w:t>
            </w:r>
          </w:p>
        </w:tc>
        <w:tc>
          <w:tcPr>
            <w:tcW w:w="170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Chars="0" w:firstLine="0" w:firstLineChars="0"/>
              <w:jc w:val="center"/>
              <w:textAlignment w:val="auto"/>
              <w:rPr>
                <w:rFonts w:hint="eastAsia" w:ascii="仿宋" w:hAnsi="仿宋" w:eastAsia="仿宋" w:cs="仿宋"/>
                <w:color w:val="auto"/>
                <w:kern w:val="0"/>
                <w:sz w:val="24"/>
                <w:szCs w:val="24"/>
                <w:highlight w:val="none"/>
                <w:u w:val="single"/>
                <w:lang w:val="en-US" w:eastAsia="zh-CN" w:bidi="ar-SA"/>
              </w:rPr>
            </w:pPr>
          </w:p>
        </w:tc>
        <w:tc>
          <w:tcPr>
            <w:tcW w:w="1191" w:type="dxa"/>
            <w:noWrap w:val="0"/>
            <w:vAlign w:val="center"/>
          </w:tcPr>
          <w:p>
            <w:pPr>
              <w:keepNext w:val="0"/>
              <w:keepLines w:val="0"/>
              <w:pageBreakBefore w:val="0"/>
              <w:kinsoku/>
              <w:wordWrap/>
              <w:overflowPunct/>
              <w:topLinePunct w:val="0"/>
              <w:autoSpaceDE/>
              <w:autoSpaceDN/>
              <w:bidi w:val="0"/>
              <w:adjustRightInd/>
              <w:snapToGrid/>
              <w:spacing w:line="240" w:lineRule="auto"/>
              <w:ind w:leftChars="0" w:firstLine="0" w:firstLineChars="0"/>
              <w:jc w:val="both"/>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7"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6</w:t>
            </w:r>
          </w:p>
        </w:tc>
        <w:tc>
          <w:tcPr>
            <w:tcW w:w="1733"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高精度磨床</w:t>
            </w:r>
          </w:p>
        </w:tc>
        <w:tc>
          <w:tcPr>
            <w:tcW w:w="25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w:t>
            </w:r>
          </w:p>
        </w:tc>
        <w:tc>
          <w:tcPr>
            <w:tcW w:w="720"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台</w:t>
            </w:r>
          </w:p>
        </w:tc>
        <w:tc>
          <w:tcPr>
            <w:tcW w:w="719" w:type="dxa"/>
            <w:noWrap w:val="0"/>
            <w:vAlign w:val="center"/>
          </w:tcPr>
          <w:p>
            <w:pPr>
              <w:keepNext w:val="0"/>
              <w:keepLines w:val="0"/>
              <w:pageBreakBefore w:val="0"/>
              <w:widowControl w:val="0"/>
              <w:kinsoku/>
              <w:wordWrap/>
              <w:overflowPunct/>
              <w:topLinePunct w:val="0"/>
              <w:autoSpaceDE/>
              <w:autoSpaceDN/>
              <w:bidi w:val="0"/>
              <w:adjustRightInd/>
              <w:snapToGrid/>
              <w:spacing w:after="157" w:afterLines="50" w:line="560" w:lineRule="exact"/>
              <w:ind w:leftChars="0" w:firstLine="0" w:firstLineChars="0"/>
              <w:jc w:val="center"/>
              <w:textAlignment w:val="auto"/>
              <w:outlineLvl w:val="9"/>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1</w:t>
            </w:r>
          </w:p>
        </w:tc>
        <w:tc>
          <w:tcPr>
            <w:tcW w:w="1701"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Chars="0" w:firstLine="0" w:firstLineChars="0"/>
              <w:jc w:val="center"/>
              <w:textAlignment w:val="auto"/>
              <w:rPr>
                <w:rFonts w:hint="eastAsia" w:ascii="仿宋" w:hAnsi="仿宋" w:eastAsia="仿宋" w:cs="仿宋"/>
                <w:color w:val="auto"/>
                <w:kern w:val="0"/>
                <w:sz w:val="24"/>
                <w:szCs w:val="24"/>
                <w:highlight w:val="none"/>
                <w:u w:val="single"/>
                <w:lang w:val="en-US" w:eastAsia="zh-CN" w:bidi="ar-SA"/>
              </w:rPr>
            </w:pPr>
          </w:p>
        </w:tc>
        <w:tc>
          <w:tcPr>
            <w:tcW w:w="1191" w:type="dxa"/>
            <w:noWrap w:val="0"/>
            <w:vAlign w:val="center"/>
          </w:tcPr>
          <w:p>
            <w:pPr>
              <w:keepNext w:val="0"/>
              <w:keepLines w:val="0"/>
              <w:pageBreakBefore w:val="0"/>
              <w:kinsoku/>
              <w:wordWrap/>
              <w:overflowPunct/>
              <w:topLinePunct w:val="0"/>
              <w:autoSpaceDE/>
              <w:autoSpaceDN/>
              <w:bidi w:val="0"/>
              <w:adjustRightInd/>
              <w:snapToGrid/>
              <w:spacing w:line="240" w:lineRule="auto"/>
              <w:ind w:leftChars="0" w:firstLine="0" w:firstLineChars="0"/>
              <w:jc w:val="both"/>
              <w:textAlignment w:val="auto"/>
              <w:rPr>
                <w:rFonts w:hint="eastAsia" w:ascii="仿宋" w:hAnsi="仿宋" w:eastAsia="仿宋" w:cs="仿宋"/>
                <w:color w:val="auto"/>
                <w:sz w:val="24"/>
                <w:szCs w:val="24"/>
                <w:highlight w:val="none"/>
              </w:rPr>
            </w:pPr>
          </w:p>
        </w:tc>
      </w:tr>
    </w:tbl>
    <w:p>
      <w:pPr>
        <w:pStyle w:val="8"/>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注：投标人响应的生产加工设备、试验设备或工具，需提供购销合同及发票扫描件（采购人需为投标人，进口设备须提供报关单）。</w:t>
      </w:r>
    </w:p>
    <w:p>
      <w:pPr>
        <w:pStyle w:val="3"/>
      </w:pPr>
      <w:bookmarkStart w:id="13" w:name="_Toc32030_WPSOffice_Level1"/>
      <w:r>
        <w:rPr>
          <w:rFonts w:hint="eastAsia"/>
        </w:rPr>
        <w:t>4 试验方法</w:t>
      </w:r>
      <w:bookmarkEnd w:id="13"/>
    </w:p>
    <w:p>
      <w:pPr>
        <w:spacing w:before="78" w:beforeLines="25" w:after="78" w:afterLines="25" w:line="360" w:lineRule="auto"/>
        <w:rPr>
          <w:rFonts w:hint="eastAsia" w:ascii="宋体" w:hAnsi="宋体"/>
          <w:szCs w:val="21"/>
        </w:rPr>
      </w:pPr>
      <w:r>
        <w:rPr>
          <w:rFonts w:hint="eastAsia" w:ascii="宋体" w:hAnsi="宋体"/>
          <w:szCs w:val="21"/>
        </w:rPr>
        <w:t>DL/T 815 2012        《金属氧化物避雷器运行维护技术规范》</w:t>
      </w:r>
    </w:p>
    <w:p>
      <w:pPr>
        <w:spacing w:before="78" w:beforeLines="25" w:after="78" w:afterLines="25" w:line="360" w:lineRule="auto"/>
        <w:rPr>
          <w:rFonts w:hint="eastAsia" w:ascii="宋体" w:hAnsi="宋体"/>
          <w:szCs w:val="21"/>
        </w:rPr>
      </w:pPr>
    </w:p>
    <w:p>
      <w:pPr>
        <w:pStyle w:val="3"/>
      </w:pPr>
      <w:bookmarkStart w:id="14" w:name="_Toc21546_WPSOffice_Level1"/>
      <w:r>
        <w:rPr>
          <w:rFonts w:hint="eastAsia"/>
        </w:rPr>
        <w:t>5 试验验收</w:t>
      </w:r>
      <w:bookmarkEnd w:id="14"/>
    </w:p>
    <w:p>
      <w:pPr>
        <w:spacing w:line="360" w:lineRule="auto"/>
        <w:ind w:firstLine="420" w:firstLineChars="200"/>
      </w:pPr>
      <w:r>
        <w:t>投</w:t>
      </w:r>
      <w:r>
        <w:rPr>
          <w:rFonts w:hint="eastAsia"/>
          <w:lang w:val="zh-CN"/>
        </w:rPr>
        <w:t>标方提供的设备到货后，</w:t>
      </w:r>
      <w:r>
        <w:rPr>
          <w:lang w:val="zh-CN"/>
        </w:rPr>
        <w:t>必须经过</w:t>
      </w:r>
      <w:r>
        <w:rPr>
          <w:rFonts w:hint="eastAsia"/>
        </w:rPr>
        <w:t>外观、螺纹规格</w:t>
      </w:r>
      <w:r>
        <w:rPr>
          <w:lang w:val="zh-CN"/>
        </w:rPr>
        <w:t>等</w:t>
      </w:r>
      <w:r>
        <w:rPr>
          <w:rFonts w:hint="eastAsia"/>
          <w:lang w:val="zh-CN"/>
        </w:rPr>
        <w:t>常规检查</w:t>
      </w:r>
      <w:r>
        <w:rPr>
          <w:lang w:val="zh-CN"/>
        </w:rPr>
        <w:t>；</w:t>
      </w:r>
      <w:r>
        <w:rPr>
          <w:rFonts w:hint="eastAsia"/>
        </w:rPr>
        <w:t>还需通过各项技术参数包括检测原理方法的检查和验证（各种检查和验证必须经招标方检查验收合格，对</w:t>
      </w:r>
      <w:r>
        <w:rPr>
          <w:rFonts w:hint="eastAsia"/>
          <w:lang w:val="zh-CN"/>
        </w:rPr>
        <w:t>设备</w:t>
      </w:r>
      <w:r>
        <w:rPr>
          <w:rFonts w:hint="eastAsia"/>
        </w:rPr>
        <w:t>的检查和验证解释权归招标方）。</w:t>
      </w:r>
    </w:p>
    <w:p>
      <w:pPr>
        <w:pStyle w:val="3"/>
      </w:pPr>
      <w:bookmarkStart w:id="15" w:name="_Toc30401_WPSOffice_Level1"/>
      <w:r>
        <w:rPr>
          <w:rFonts w:hint="eastAsia"/>
        </w:rPr>
        <w:t>6 标志、包装、运输、贮存</w:t>
      </w:r>
      <w:bookmarkEnd w:id="15"/>
    </w:p>
    <w:p>
      <w:pPr>
        <w:spacing w:line="360" w:lineRule="auto"/>
        <w:ind w:right="384" w:rightChars="183"/>
        <w:rPr>
          <w:rFonts w:hint="eastAsia" w:ascii="宋体" w:hAnsi="宋体" w:cs="宋体"/>
          <w:szCs w:val="21"/>
        </w:rPr>
      </w:pPr>
      <w:r>
        <w:rPr>
          <w:rFonts w:hint="eastAsia" w:ascii="宋体" w:hAnsi="宋体" w:cs="宋体"/>
          <w:szCs w:val="21"/>
        </w:rPr>
        <w:t>6.1 标志</w:t>
      </w:r>
    </w:p>
    <w:p>
      <w:pPr>
        <w:spacing w:line="360" w:lineRule="auto"/>
        <w:ind w:right="384" w:rightChars="183" w:firstLine="420" w:firstLineChars="200"/>
        <w:rPr>
          <w:rFonts w:hint="eastAsia" w:ascii="宋体" w:hAnsi="宋体" w:cs="宋体"/>
          <w:szCs w:val="21"/>
        </w:rPr>
      </w:pPr>
      <w:r>
        <w:rPr>
          <w:rFonts w:hint="eastAsia" w:ascii="宋体" w:hAnsi="宋体" w:cs="宋体"/>
          <w:szCs w:val="21"/>
        </w:rPr>
        <w:t>装置铭牌应有下列明显标志：</w:t>
      </w:r>
    </w:p>
    <w:p>
      <w:pPr>
        <w:numPr>
          <w:ilvl w:val="0"/>
          <w:numId w:val="5"/>
        </w:numPr>
        <w:spacing w:line="360" w:lineRule="auto"/>
        <w:ind w:right="384" w:rightChars="183" w:firstLine="420" w:firstLineChars="200"/>
        <w:rPr>
          <w:rFonts w:hint="eastAsia" w:ascii="宋体" w:hAnsi="宋体" w:cs="宋体"/>
          <w:szCs w:val="21"/>
        </w:rPr>
      </w:pPr>
      <w:r>
        <w:rPr>
          <w:rFonts w:hint="eastAsia" w:ascii="宋体" w:hAnsi="宋体" w:cs="宋体"/>
          <w:szCs w:val="21"/>
        </w:rPr>
        <w:t>产品名称；</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b) 产品型号；</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c) 出厂编号；</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d) 出厂年月；</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e) 制造厂名；</w:t>
      </w:r>
    </w:p>
    <w:p>
      <w:pPr>
        <w:spacing w:line="400" w:lineRule="exact"/>
        <w:ind w:right="384" w:rightChars="183" w:firstLine="420" w:firstLineChars="200"/>
        <w:rPr>
          <w:rFonts w:hint="eastAsia" w:ascii="宋体" w:hAnsi="宋体" w:cs="宋体"/>
          <w:szCs w:val="21"/>
        </w:rPr>
      </w:pPr>
    </w:p>
    <w:p>
      <w:pPr>
        <w:spacing w:line="400" w:lineRule="exact"/>
        <w:ind w:right="384" w:rightChars="183"/>
        <w:rPr>
          <w:rFonts w:hint="eastAsia" w:ascii="宋体" w:hAnsi="宋体" w:cs="宋体"/>
          <w:szCs w:val="21"/>
        </w:rPr>
      </w:pPr>
      <w:r>
        <w:rPr>
          <w:rFonts w:hint="eastAsia" w:ascii="宋体" w:hAnsi="宋体" w:cs="宋体"/>
          <w:szCs w:val="21"/>
        </w:rPr>
        <w:t>6.2 包装</w:t>
      </w:r>
    </w:p>
    <w:p>
      <w:pPr>
        <w:spacing w:line="400" w:lineRule="exact"/>
        <w:ind w:right="384" w:rightChars="183"/>
        <w:rPr>
          <w:rFonts w:hint="eastAsia" w:ascii="宋体" w:hAnsi="宋体" w:cs="宋体"/>
          <w:szCs w:val="21"/>
        </w:rPr>
      </w:pPr>
      <w:r>
        <w:rPr>
          <w:rFonts w:hint="eastAsia" w:ascii="宋体" w:hAnsi="宋体" w:cs="宋体"/>
          <w:szCs w:val="21"/>
        </w:rPr>
        <w:t>6.2.1 产品外包装按 GB/T 13384 执行。</w:t>
      </w:r>
    </w:p>
    <w:p>
      <w:pPr>
        <w:spacing w:line="400" w:lineRule="exact"/>
        <w:ind w:right="384" w:rightChars="183"/>
        <w:rPr>
          <w:rFonts w:hint="eastAsia" w:ascii="宋体" w:hAnsi="宋体" w:cs="宋体"/>
          <w:szCs w:val="21"/>
        </w:rPr>
      </w:pPr>
      <w:r>
        <w:rPr>
          <w:rFonts w:hint="eastAsia" w:ascii="宋体" w:hAnsi="宋体" w:cs="宋体"/>
          <w:szCs w:val="21"/>
        </w:rPr>
        <w:t>6.2.2 产品外包装应符合 GB/T 191 的有关标志的规定，并标明“小心轻放”、“向上”、“防雨”等标志。</w:t>
      </w:r>
    </w:p>
    <w:p>
      <w:pPr>
        <w:pStyle w:val="8"/>
        <w:ind w:firstLine="0" w:firstLineChars="0"/>
        <w:rPr>
          <w:rFonts w:hint="eastAsia" w:ascii="宋体" w:hAnsi="宋体" w:cs="宋体"/>
          <w:sz w:val="21"/>
          <w:szCs w:val="21"/>
          <w:lang w:val="en-US"/>
        </w:rPr>
      </w:pPr>
      <w:r>
        <w:rPr>
          <w:rFonts w:hint="eastAsia" w:ascii="宋体" w:hAnsi="宋体" w:cs="宋体"/>
          <w:sz w:val="21"/>
          <w:szCs w:val="21"/>
          <w:lang w:val="en-US"/>
        </w:rPr>
        <w:t>6.2.3 产品内包装应提供可以搬运和转移的铝合金箱，内部应设计有放置防泄压接头匹配的孔洞。</w:t>
      </w:r>
    </w:p>
    <w:p>
      <w:pPr>
        <w:spacing w:line="400" w:lineRule="exact"/>
        <w:ind w:right="384" w:rightChars="183"/>
        <w:rPr>
          <w:rFonts w:hint="eastAsia" w:ascii="宋体" w:hAnsi="宋体" w:cs="宋体"/>
          <w:szCs w:val="21"/>
        </w:rPr>
      </w:pPr>
      <w:r>
        <w:rPr>
          <w:rFonts w:hint="eastAsia" w:ascii="宋体" w:hAnsi="宋体" w:cs="宋体"/>
          <w:szCs w:val="21"/>
        </w:rPr>
        <w:t>6.3 运输</w:t>
      </w:r>
    </w:p>
    <w:p>
      <w:pPr>
        <w:spacing w:line="400" w:lineRule="exact"/>
        <w:ind w:right="384" w:rightChars="183"/>
        <w:rPr>
          <w:rFonts w:hint="eastAsia" w:ascii="宋体" w:hAnsi="宋体" w:cs="宋体"/>
          <w:szCs w:val="21"/>
        </w:rPr>
      </w:pPr>
      <w:r>
        <w:rPr>
          <w:rFonts w:hint="eastAsia" w:ascii="宋体" w:hAnsi="宋体" w:cs="宋体"/>
          <w:szCs w:val="21"/>
        </w:rPr>
        <w:t>6.3.1 产品应适用于陆运、空运、水（海）运，运输装卸按包装箱上的标志进行操作。</w:t>
      </w:r>
    </w:p>
    <w:p>
      <w:pPr>
        <w:spacing w:line="400" w:lineRule="exact"/>
        <w:ind w:right="384" w:rightChars="183"/>
        <w:rPr>
          <w:rFonts w:hint="eastAsia" w:ascii="宋体" w:hAnsi="宋体" w:cs="宋体"/>
          <w:szCs w:val="21"/>
        </w:rPr>
      </w:pPr>
      <w:r>
        <w:rPr>
          <w:rFonts w:hint="eastAsia" w:ascii="宋体" w:hAnsi="宋体" w:cs="宋体"/>
          <w:szCs w:val="21"/>
        </w:rPr>
        <w:t>6.3.2 产品在运输中应防雨、防潮、避免强烈地振动与撞击。</w:t>
      </w:r>
    </w:p>
    <w:p>
      <w:pPr>
        <w:spacing w:line="400" w:lineRule="exact"/>
        <w:ind w:right="384" w:rightChars="183"/>
        <w:rPr>
          <w:rFonts w:hint="eastAsia" w:ascii="宋体" w:hAnsi="宋体" w:cs="宋体"/>
          <w:szCs w:val="21"/>
        </w:rPr>
      </w:pPr>
    </w:p>
    <w:p>
      <w:pPr>
        <w:spacing w:line="400" w:lineRule="exact"/>
        <w:ind w:right="384" w:rightChars="183"/>
        <w:rPr>
          <w:rFonts w:hint="eastAsia" w:ascii="宋体" w:hAnsi="宋体" w:cs="宋体"/>
          <w:szCs w:val="21"/>
        </w:rPr>
      </w:pPr>
      <w:r>
        <w:rPr>
          <w:rFonts w:hint="eastAsia" w:ascii="宋体" w:hAnsi="宋体" w:cs="宋体"/>
          <w:szCs w:val="21"/>
        </w:rPr>
        <w:t>6.4 贮存包装完好的装置应满足GB/T 25480条款的贮存运输要求，长期不用的装置应保留原包装，贮存在环境温度为-10℃～40℃，相对湿度不大于85%的库房内，室内无酸、碱、盐及腐蚀性、爆炸性气体，不受灰尘以及雨、雪的侵蚀。</w:t>
      </w:r>
    </w:p>
    <w:p>
      <w:pPr>
        <w:spacing w:line="400" w:lineRule="exact"/>
        <w:ind w:right="384" w:rightChars="183" w:firstLine="420" w:firstLineChars="200"/>
        <w:rPr>
          <w:rFonts w:hint="eastAsia" w:ascii="宋体" w:hAnsi="宋体" w:cs="宋体"/>
          <w:szCs w:val="21"/>
        </w:rPr>
      </w:pPr>
    </w:p>
    <w:p>
      <w:pPr>
        <w:pStyle w:val="3"/>
      </w:pPr>
      <w:bookmarkStart w:id="16" w:name="_Toc9981_WPSOffice_Level1"/>
      <w:r>
        <w:rPr>
          <w:rFonts w:hint="eastAsia"/>
        </w:rPr>
        <w:t>7 供货成套性</w:t>
      </w:r>
      <w:bookmarkEnd w:id="16"/>
    </w:p>
    <w:p>
      <w:pPr>
        <w:spacing w:line="400" w:lineRule="exact"/>
        <w:ind w:right="384" w:rightChars="183" w:firstLine="420" w:firstLineChars="200"/>
        <w:rPr>
          <w:rFonts w:hint="eastAsia" w:ascii="宋体" w:hAnsi="宋体" w:cs="宋体"/>
          <w:szCs w:val="21"/>
          <w:lang w:val="en-US" w:eastAsia="zh-CN"/>
        </w:rPr>
      </w:pPr>
      <w:r>
        <w:rPr>
          <w:rFonts w:hint="eastAsia" w:ascii="宋体" w:hAnsi="宋体" w:cs="宋体"/>
          <w:szCs w:val="21"/>
          <w:lang w:val="en-US" w:eastAsia="zh-CN"/>
        </w:rPr>
        <w:t>供货范围：</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2287"/>
        <w:gridCol w:w="1708"/>
        <w:gridCol w:w="842"/>
        <w:gridCol w:w="842"/>
        <w:gridCol w:w="1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spacing w:line="360" w:lineRule="auto"/>
              <w:jc w:val="center"/>
              <w:rPr>
                <w:rFonts w:hint="eastAsia" w:asciiTheme="minorEastAsia" w:hAnsiTheme="minorEastAsia" w:eastAsiaTheme="minorEastAsia" w:cstheme="minorEastAsia"/>
                <w:b/>
                <w:bCs/>
                <w:sz w:val="21"/>
                <w:szCs w:val="21"/>
              </w:rPr>
            </w:pPr>
            <w:bookmarkStart w:id="17" w:name="OLE_LINK1" w:colFirst="2" w:colLast="4"/>
            <w:r>
              <w:rPr>
                <w:rFonts w:hint="eastAsia" w:asciiTheme="minorEastAsia" w:hAnsiTheme="minorEastAsia" w:eastAsiaTheme="minorEastAsia" w:cstheme="minorEastAsia"/>
                <w:b/>
                <w:bCs/>
                <w:sz w:val="21"/>
                <w:szCs w:val="21"/>
              </w:rPr>
              <w:t>序号</w:t>
            </w:r>
          </w:p>
        </w:tc>
        <w:tc>
          <w:tcPr>
            <w:tcW w:w="1342" w:type="pct"/>
            <w:vAlign w:val="center"/>
          </w:tcPr>
          <w:p>
            <w:pPr>
              <w:spacing w:line="36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名称</w:t>
            </w:r>
          </w:p>
        </w:tc>
        <w:tc>
          <w:tcPr>
            <w:tcW w:w="1002" w:type="pct"/>
            <w:vAlign w:val="center"/>
          </w:tcPr>
          <w:p>
            <w:pPr>
              <w:spacing w:line="360" w:lineRule="auto"/>
              <w:jc w:val="center"/>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rPr>
              <w:t>规格</w:t>
            </w:r>
          </w:p>
        </w:tc>
        <w:tc>
          <w:tcPr>
            <w:tcW w:w="494" w:type="pct"/>
            <w:vAlign w:val="center"/>
          </w:tcPr>
          <w:p>
            <w:pPr>
              <w:spacing w:line="36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数量</w:t>
            </w:r>
          </w:p>
        </w:tc>
        <w:tc>
          <w:tcPr>
            <w:tcW w:w="494" w:type="pct"/>
            <w:vAlign w:val="center"/>
          </w:tcPr>
          <w:p>
            <w:pPr>
              <w:spacing w:line="360" w:lineRule="auto"/>
              <w:jc w:val="center"/>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单位</w:t>
            </w:r>
          </w:p>
        </w:tc>
        <w:tc>
          <w:tcPr>
            <w:tcW w:w="1172" w:type="pct"/>
            <w:vAlign w:val="center"/>
          </w:tcPr>
          <w:p>
            <w:pPr>
              <w:spacing w:line="360" w:lineRule="auto"/>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rPr>
            </w:pPr>
            <w:bookmarkStart w:id="18" w:name="OLE_LINK2" w:colFirst="5" w:colLast="5"/>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1</w:t>
            </w:r>
          </w:p>
        </w:tc>
        <w:tc>
          <w:tcPr>
            <w:tcW w:w="1342" w:type="pct"/>
            <w:vAlign w:val="center"/>
          </w:tcPr>
          <w:p>
            <w:pPr>
              <w:jc w:val="center"/>
              <w:rPr>
                <w:rFonts w:hint="eastAsia" w:asciiTheme="minorEastAsia" w:hAnsiTheme="minorEastAsia" w:eastAsiaTheme="minorEastAsia" w:cstheme="minorEastAsia"/>
                <w:b/>
                <w:sz w:val="21"/>
                <w:szCs w:val="21"/>
                <w:lang w:val="en-US" w:eastAsia="zh-CN"/>
              </w:rPr>
            </w:pPr>
            <w:r>
              <w:rPr>
                <w:rFonts w:hint="eastAsia" w:asciiTheme="minorEastAsia" w:hAnsiTheme="minorEastAsia" w:eastAsiaTheme="minorEastAsia" w:cstheme="minorEastAsia"/>
                <w:color w:val="000000"/>
                <w:sz w:val="21"/>
                <w:szCs w:val="21"/>
                <w:lang w:val="en-US" w:eastAsia="zh-CN"/>
              </w:rPr>
              <w:t>长板1</w:t>
            </w:r>
          </w:p>
        </w:tc>
        <w:tc>
          <w:tcPr>
            <w:tcW w:w="1002"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300×60×8</w:t>
            </w:r>
          </w:p>
        </w:tc>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个</w:t>
            </w:r>
          </w:p>
        </w:tc>
        <w:tc>
          <w:tcPr>
            <w:tcW w:w="1172" w:type="pct"/>
            <w:vAlign w:val="center"/>
          </w:tcPr>
          <w:p>
            <w:pPr>
              <w:numPr>
                <w:ilvl w:val="0"/>
                <w:numId w:val="0"/>
              </w:numPr>
              <w:tabs>
                <w:tab w:val="left" w:pos="336"/>
              </w:tabs>
              <w:ind w:left="0" w:leftChars="0" w:firstLine="0" w:firstLine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2</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color w:val="000000"/>
                <w:sz w:val="21"/>
                <w:szCs w:val="21"/>
                <w:lang w:val="en-US" w:eastAsia="zh-CN"/>
              </w:rPr>
              <w:t>长板2</w:t>
            </w:r>
          </w:p>
        </w:tc>
        <w:tc>
          <w:tcPr>
            <w:tcW w:w="1002"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lang w:val="en-US" w:eastAsia="zh-CN"/>
              </w:rPr>
              <w:t>260×60×8</w:t>
            </w:r>
          </w:p>
        </w:tc>
        <w:tc>
          <w:tcPr>
            <w:tcW w:w="494" w:type="pct"/>
            <w:vAlign w:val="center"/>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4</w:t>
            </w:r>
          </w:p>
        </w:tc>
        <w:tc>
          <w:tcPr>
            <w:tcW w:w="494"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lang w:val="en-US" w:eastAsia="zh-CN"/>
              </w:rPr>
              <w:t>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94"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3</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color w:val="000000"/>
                <w:sz w:val="21"/>
                <w:szCs w:val="21"/>
                <w:lang w:val="en-US" w:eastAsia="zh-CN"/>
              </w:rPr>
              <w:t>短板</w:t>
            </w:r>
          </w:p>
        </w:tc>
        <w:tc>
          <w:tcPr>
            <w:tcW w:w="1002"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lang w:val="en-US" w:eastAsia="zh-CN"/>
              </w:rPr>
              <w:t>134×60×8</w:t>
            </w:r>
          </w:p>
        </w:tc>
        <w:tc>
          <w:tcPr>
            <w:tcW w:w="494" w:type="pct"/>
            <w:vAlign w:val="center"/>
          </w:tcPr>
          <w:p>
            <w:pPr>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8</w:t>
            </w:r>
          </w:p>
        </w:tc>
        <w:tc>
          <w:tcPr>
            <w:tcW w:w="494"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lang w:val="en-US" w:eastAsia="zh-CN"/>
              </w:rPr>
              <w:t>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4</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color w:val="000000"/>
                <w:sz w:val="21"/>
                <w:szCs w:val="21"/>
                <w:lang w:val="en-US" w:eastAsia="zh-CN"/>
              </w:rPr>
              <w:t>轴</w:t>
            </w:r>
          </w:p>
        </w:tc>
        <w:tc>
          <w:tcPr>
            <w:tcW w:w="1002"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Φ37</w:t>
            </w:r>
          </w:p>
        </w:tc>
        <w:tc>
          <w:tcPr>
            <w:tcW w:w="494" w:type="pct"/>
            <w:vAlign w:val="center"/>
          </w:tcPr>
          <w:p>
            <w:pPr>
              <w:jc w:val="center"/>
              <w:rPr>
                <w:rFonts w:hint="eastAsia" w:asciiTheme="minorEastAsia" w:hAnsiTheme="minorEastAsia" w:eastAsiaTheme="minorEastAsia" w:cstheme="minorEastAsia"/>
                <w:color w:val="000000"/>
                <w:sz w:val="21"/>
                <w:szCs w:val="21"/>
                <w:lang w:val="en-US"/>
              </w:rPr>
            </w:pPr>
            <w:r>
              <w:rPr>
                <w:rFonts w:hint="eastAsia" w:asciiTheme="minorEastAsia" w:hAnsiTheme="minorEastAsia" w:eastAsiaTheme="minorEastAsia" w:cstheme="minorEastAsia"/>
                <w:color w:val="000000"/>
                <w:sz w:val="21"/>
                <w:szCs w:val="21"/>
                <w:lang w:val="en-US" w:eastAsia="zh-CN"/>
              </w:rPr>
              <w:t>4</w:t>
            </w:r>
          </w:p>
        </w:tc>
        <w:tc>
          <w:tcPr>
            <w:tcW w:w="494"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5</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en-US" w:eastAsia="zh-CN"/>
              </w:rPr>
              <w:t>垫脚1</w:t>
            </w:r>
          </w:p>
        </w:tc>
        <w:tc>
          <w:tcPr>
            <w:tcW w:w="1002"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60×60×20</w:t>
            </w:r>
          </w:p>
        </w:tc>
        <w:tc>
          <w:tcPr>
            <w:tcW w:w="494" w:type="pct"/>
            <w:vAlign w:val="center"/>
          </w:tcPr>
          <w:p>
            <w:pPr>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w:t>
            </w:r>
          </w:p>
        </w:tc>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聚醚醚酮树脂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6</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en-US" w:eastAsia="zh-CN"/>
              </w:rPr>
              <w:t>垫脚2</w:t>
            </w:r>
          </w:p>
        </w:tc>
        <w:tc>
          <w:tcPr>
            <w:tcW w:w="1002"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60×60×12</w:t>
            </w:r>
          </w:p>
        </w:tc>
        <w:tc>
          <w:tcPr>
            <w:tcW w:w="494" w:type="pct"/>
            <w:vAlign w:val="center"/>
          </w:tcPr>
          <w:p>
            <w:pPr>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4</w:t>
            </w:r>
          </w:p>
        </w:tc>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聚醚醚酮树脂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1.7</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en-US" w:eastAsia="zh-CN"/>
              </w:rPr>
              <w:t>升高座</w:t>
            </w:r>
          </w:p>
        </w:tc>
        <w:tc>
          <w:tcPr>
            <w:tcW w:w="1002"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Φ80×65</w:t>
            </w:r>
          </w:p>
        </w:tc>
        <w:tc>
          <w:tcPr>
            <w:tcW w:w="494"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聚醚醚酮树脂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1.8</w:t>
            </w:r>
          </w:p>
        </w:tc>
        <w:tc>
          <w:tcPr>
            <w:tcW w:w="1342" w:type="pct"/>
            <w:vAlign w:val="center"/>
          </w:tcPr>
          <w:p>
            <w:pPr>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en-US" w:eastAsia="zh-CN"/>
              </w:rPr>
              <w:t>安装导体</w:t>
            </w:r>
          </w:p>
        </w:tc>
        <w:tc>
          <w:tcPr>
            <w:tcW w:w="1002"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Φ40×30</w:t>
            </w:r>
          </w:p>
        </w:tc>
        <w:tc>
          <w:tcPr>
            <w:tcW w:w="494" w:type="pct"/>
            <w:vAlign w:val="center"/>
          </w:tcPr>
          <w:p>
            <w:pPr>
              <w:jc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494" w:type="pct"/>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个</w:t>
            </w:r>
          </w:p>
        </w:tc>
        <w:tc>
          <w:tcPr>
            <w:tcW w:w="1172" w:type="pct"/>
            <w:vAlign w:val="center"/>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紫铜</w:t>
            </w:r>
          </w:p>
        </w:tc>
      </w:tr>
      <w:bookmarkEnd w:id="17"/>
      <w:bookmarkEnd w:id="18"/>
    </w:tbl>
    <w:p>
      <w:pPr>
        <w:keepNext w:val="0"/>
        <w:keepLines w:val="0"/>
        <w:pageBreakBefore w:val="0"/>
        <w:widowControl w:val="0"/>
        <w:kinsoku/>
        <w:wordWrap/>
        <w:overflowPunct/>
        <w:topLinePunct w:val="0"/>
        <w:autoSpaceDE/>
        <w:autoSpaceDN/>
        <w:bidi w:val="0"/>
        <w:adjustRightInd/>
        <w:snapToGrid/>
        <w:spacing w:before="313" w:beforeLines="100" w:line="400" w:lineRule="exact"/>
        <w:ind w:right="384" w:rightChars="183"/>
        <w:textAlignment w:val="auto"/>
        <w:rPr>
          <w:rFonts w:hint="eastAsia" w:ascii="宋体" w:hAnsi="宋体" w:cs="宋体"/>
          <w:szCs w:val="21"/>
        </w:rPr>
      </w:pPr>
      <w:r>
        <w:rPr>
          <w:rFonts w:hint="eastAsia" w:ascii="宋体" w:hAnsi="宋体" w:cs="宋体"/>
          <w:szCs w:val="21"/>
        </w:rPr>
        <w:t>随同装置供货应有的附件：</w:t>
      </w:r>
    </w:p>
    <w:p>
      <w:pPr>
        <w:numPr>
          <w:ilvl w:val="0"/>
          <w:numId w:val="6"/>
        </w:numPr>
        <w:spacing w:line="400" w:lineRule="exact"/>
        <w:ind w:left="420" w:leftChars="200" w:right="384" w:rightChars="183"/>
        <w:rPr>
          <w:rFonts w:hint="eastAsia" w:ascii="宋体" w:hAnsi="宋体" w:cs="宋体"/>
          <w:szCs w:val="21"/>
        </w:rPr>
      </w:pPr>
      <w:r>
        <w:rPr>
          <w:rFonts w:hint="eastAsia" w:ascii="宋体" w:hAnsi="宋体" w:cs="宋体"/>
          <w:szCs w:val="21"/>
        </w:rPr>
        <w:t>产品检验合格证；</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b) 装箱单；</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c) 使用说明书，符合GB/T 9969规定；</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d) 随机备件、附件；</w:t>
      </w:r>
    </w:p>
    <w:p>
      <w:pPr>
        <w:spacing w:line="400" w:lineRule="exact"/>
        <w:ind w:right="384" w:rightChars="183" w:firstLine="420" w:firstLineChars="200"/>
        <w:rPr>
          <w:rFonts w:hint="eastAsia" w:ascii="宋体" w:hAnsi="宋体" w:cs="宋体"/>
          <w:szCs w:val="21"/>
        </w:rPr>
      </w:pPr>
      <w:r>
        <w:rPr>
          <w:rFonts w:hint="eastAsia" w:ascii="宋体" w:hAnsi="宋体" w:cs="宋体"/>
          <w:szCs w:val="21"/>
        </w:rPr>
        <w:t>e) 其他有关的技术资料。</w:t>
      </w:r>
    </w:p>
    <w:p>
      <w:pPr>
        <w:pStyle w:val="3"/>
      </w:pPr>
      <w:bookmarkStart w:id="19" w:name="_Toc24753_WPSOffice_Level1"/>
      <w:r>
        <w:rPr>
          <w:rFonts w:hint="eastAsia"/>
        </w:rPr>
        <w:t xml:space="preserve">8 </w:t>
      </w:r>
      <w:r>
        <w:t>售后服务要求</w:t>
      </w:r>
      <w:bookmarkEnd w:id="19"/>
    </w:p>
    <w:p>
      <w:pPr>
        <w:spacing w:line="400" w:lineRule="exact"/>
        <w:ind w:right="384" w:rightChars="183"/>
        <w:rPr>
          <w:rFonts w:hint="eastAsia" w:ascii="宋体" w:hAnsi="宋体" w:cs="宋体"/>
          <w:szCs w:val="21"/>
        </w:rPr>
      </w:pPr>
      <w:r>
        <w:rPr>
          <w:rFonts w:hint="eastAsia" w:ascii="宋体" w:hAnsi="宋体" w:cs="宋体"/>
          <w:szCs w:val="21"/>
        </w:rPr>
        <w:t>9</w:t>
      </w:r>
      <w:r>
        <w:rPr>
          <w:rFonts w:ascii="宋体" w:hAnsi="宋体" w:cs="宋体"/>
          <w:szCs w:val="21"/>
        </w:rPr>
        <w:t xml:space="preserve">.1 </w:t>
      </w:r>
      <w:r>
        <w:rPr>
          <w:rFonts w:hint="eastAsia" w:ascii="宋体" w:hAnsi="宋体" w:cs="宋体"/>
          <w:szCs w:val="21"/>
        </w:rPr>
        <w:t>产品</w:t>
      </w:r>
      <w:r>
        <w:rPr>
          <w:rFonts w:ascii="宋体" w:hAnsi="宋体" w:cs="宋体"/>
          <w:szCs w:val="21"/>
        </w:rPr>
        <w:t>在使用中出现问题</w:t>
      </w:r>
      <w:r>
        <w:rPr>
          <w:rFonts w:hint="eastAsia" w:ascii="宋体" w:hAnsi="宋体" w:cs="宋体"/>
          <w:szCs w:val="21"/>
        </w:rPr>
        <w:t>，</w:t>
      </w:r>
      <w:r>
        <w:rPr>
          <w:rFonts w:ascii="宋体" w:hAnsi="宋体" w:cs="宋体"/>
          <w:szCs w:val="21"/>
          <w:lang w:val="zh-CN"/>
        </w:rPr>
        <w:t>投标方</w:t>
      </w:r>
      <w:r>
        <w:rPr>
          <w:rFonts w:ascii="宋体" w:hAnsi="宋体" w:cs="宋体"/>
          <w:szCs w:val="21"/>
        </w:rPr>
        <w:t>应在48小时内积极响应（必要时免费提供备用设备）。</w:t>
      </w:r>
    </w:p>
    <w:p>
      <w:pPr>
        <w:spacing w:line="400" w:lineRule="exact"/>
        <w:ind w:right="384" w:rightChars="183"/>
        <w:rPr>
          <w:rFonts w:hint="eastAsia" w:ascii="宋体" w:hAnsi="宋体" w:cs="宋体"/>
          <w:szCs w:val="21"/>
        </w:rPr>
      </w:pPr>
      <w:r>
        <w:rPr>
          <w:rFonts w:hint="eastAsia" w:ascii="宋体" w:hAnsi="宋体" w:cs="宋体"/>
          <w:szCs w:val="21"/>
        </w:rPr>
        <w:t>9.</w:t>
      </w:r>
      <w:r>
        <w:rPr>
          <w:rFonts w:ascii="宋体" w:hAnsi="宋体" w:cs="宋体"/>
          <w:szCs w:val="21"/>
        </w:rPr>
        <w:t>2 有关</w:t>
      </w:r>
      <w:r>
        <w:rPr>
          <w:rFonts w:hint="eastAsia" w:ascii="宋体" w:hAnsi="宋体" w:cs="宋体"/>
          <w:szCs w:val="21"/>
        </w:rPr>
        <w:t>产品</w:t>
      </w:r>
      <w:r>
        <w:rPr>
          <w:rFonts w:ascii="宋体" w:hAnsi="宋体" w:cs="宋体"/>
          <w:szCs w:val="21"/>
        </w:rPr>
        <w:t>在其它地方使用过程中出现的质量问题, 投标人应及时告知</w:t>
      </w:r>
      <w:r>
        <w:rPr>
          <w:rFonts w:hint="eastAsia" w:ascii="宋体" w:hAnsi="宋体" w:cs="宋体"/>
          <w:szCs w:val="21"/>
        </w:rPr>
        <w:t>，</w:t>
      </w:r>
      <w:r>
        <w:rPr>
          <w:rFonts w:ascii="宋体" w:hAnsi="宋体" w:cs="宋体"/>
          <w:szCs w:val="21"/>
        </w:rPr>
        <w:t>并采取相应措施免费解决。</w:t>
      </w:r>
    </w:p>
    <w:p>
      <w:pPr>
        <w:spacing w:line="400" w:lineRule="exact"/>
        <w:ind w:right="384" w:rightChars="183"/>
        <w:rPr>
          <w:rFonts w:hint="eastAsia" w:ascii="宋体" w:hAnsi="宋体" w:cs="宋体"/>
          <w:szCs w:val="21"/>
          <w:lang w:val="zh-CN"/>
        </w:rPr>
      </w:pPr>
      <w:r>
        <w:rPr>
          <w:rFonts w:hint="eastAsia" w:ascii="宋体" w:hAnsi="宋体" w:cs="宋体"/>
          <w:szCs w:val="21"/>
        </w:rPr>
        <w:t>9</w:t>
      </w:r>
      <w:r>
        <w:rPr>
          <w:rFonts w:ascii="宋体" w:hAnsi="宋体" w:cs="宋体"/>
          <w:szCs w:val="21"/>
          <w:lang w:val="zh-CN"/>
        </w:rPr>
        <w:t>.3 投标方应免费进行</w:t>
      </w:r>
      <w:r>
        <w:rPr>
          <w:rFonts w:hint="eastAsia" w:ascii="宋体" w:hAnsi="宋体" w:cs="宋体"/>
          <w:szCs w:val="21"/>
        </w:rPr>
        <w:t>产品使用指导</w:t>
      </w:r>
      <w:r>
        <w:rPr>
          <w:rFonts w:ascii="宋体" w:hAnsi="宋体" w:cs="宋体"/>
          <w:szCs w:val="21"/>
          <w:lang w:val="zh-CN"/>
        </w:rPr>
        <w:t>，提供技术服务。</w:t>
      </w:r>
    </w:p>
    <w:p>
      <w:pPr>
        <w:spacing w:line="400" w:lineRule="exact"/>
        <w:ind w:right="384" w:rightChars="183"/>
        <w:rPr>
          <w:rFonts w:hint="eastAsia" w:ascii="宋体" w:hAnsi="宋体" w:cs="宋体"/>
          <w:szCs w:val="21"/>
          <w:lang w:val="zh-CN"/>
        </w:rPr>
      </w:pPr>
      <w:r>
        <w:rPr>
          <w:rFonts w:hint="eastAsia" w:ascii="宋体" w:hAnsi="宋体" w:cs="宋体"/>
          <w:szCs w:val="21"/>
        </w:rPr>
        <w:t>9</w:t>
      </w:r>
      <w:r>
        <w:rPr>
          <w:rFonts w:ascii="宋体" w:hAnsi="宋体" w:cs="宋体"/>
          <w:szCs w:val="21"/>
          <w:lang w:val="zh-CN"/>
        </w:rPr>
        <w:t>.4 投标方应为招标方提供免费集中培训，必要时进行现场试验指导。</w:t>
      </w:r>
    </w:p>
    <w:p>
      <w:pPr>
        <w:spacing w:line="400" w:lineRule="exact"/>
        <w:ind w:right="384" w:rightChars="183"/>
        <w:rPr>
          <w:rFonts w:hint="eastAsia" w:ascii="宋体" w:hAnsi="宋体" w:cs="宋体"/>
          <w:szCs w:val="21"/>
        </w:rPr>
      </w:pPr>
      <w:r>
        <w:rPr>
          <w:rFonts w:hint="eastAsia" w:ascii="宋体" w:hAnsi="宋体" w:cs="宋体"/>
          <w:szCs w:val="21"/>
        </w:rPr>
        <w:t>9.</w:t>
      </w:r>
      <w:r>
        <w:rPr>
          <w:rFonts w:ascii="宋体" w:hAnsi="宋体" w:cs="宋体"/>
          <w:szCs w:val="21"/>
          <w:lang w:val="zh-CN"/>
        </w:rPr>
        <w:t xml:space="preserve">5 </w:t>
      </w:r>
      <w:r>
        <w:rPr>
          <w:rFonts w:hint="eastAsia" w:ascii="宋体" w:hAnsi="宋体" w:cs="宋体"/>
          <w:szCs w:val="21"/>
        </w:rPr>
        <w:t>产品一年质保，一年内产品在正常使用过程中出现加工或者设计缺陷问题，投标方负责免费维修，超出一年后，投标方仅收取材料费用。</w:t>
      </w:r>
    </w:p>
    <w:p>
      <w:pPr>
        <w:spacing w:line="400" w:lineRule="exact"/>
        <w:ind w:right="384" w:rightChars="183" w:firstLine="420" w:firstLineChars="200"/>
        <w:rPr>
          <w:rFonts w:hint="eastAsia" w:ascii="宋体" w:hAnsi="宋体" w:cs="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F94DCA"/>
    <w:multiLevelType w:val="singleLevel"/>
    <w:tmpl w:val="CBF94DCA"/>
    <w:lvl w:ilvl="0" w:tentative="0">
      <w:start w:val="1"/>
      <w:numFmt w:val="lowerLetter"/>
      <w:suff w:val="space"/>
      <w:lvlText w:val="%1)"/>
      <w:lvlJc w:val="left"/>
    </w:lvl>
  </w:abstractNum>
  <w:abstractNum w:abstractNumId="1">
    <w:nsid w:val="F27D113D"/>
    <w:multiLevelType w:val="singleLevel"/>
    <w:tmpl w:val="F27D113D"/>
    <w:lvl w:ilvl="0" w:tentative="0">
      <w:start w:val="1"/>
      <w:numFmt w:val="lowerLetter"/>
      <w:suff w:val="space"/>
      <w:lvlText w:val="%1)"/>
      <w:lvlJc w:val="left"/>
    </w:lvl>
  </w:abstractNum>
  <w:abstractNum w:abstractNumId="2">
    <w:nsid w:val="1684AE9C"/>
    <w:multiLevelType w:val="singleLevel"/>
    <w:tmpl w:val="1684AE9C"/>
    <w:lvl w:ilvl="0" w:tentative="0">
      <w:start w:val="1"/>
      <w:numFmt w:val="lowerLetter"/>
      <w:lvlText w:val="%1."/>
      <w:lvlJc w:val="left"/>
      <w:pPr>
        <w:tabs>
          <w:tab w:val="left" w:pos="420"/>
        </w:tabs>
        <w:ind w:left="845" w:hanging="425"/>
      </w:pPr>
      <w:rPr>
        <w:rFonts w:hint="default"/>
      </w:rPr>
    </w:lvl>
  </w:abstractNum>
  <w:abstractNum w:abstractNumId="3">
    <w:nsid w:val="73AA0C1F"/>
    <w:multiLevelType w:val="multilevel"/>
    <w:tmpl w:val="73AA0C1F"/>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936"/>
        </w:tabs>
        <w:ind w:left="936" w:hanging="576"/>
      </w:pPr>
    </w:lvl>
    <w:lvl w:ilvl="2" w:tentative="0">
      <w:start w:val="1"/>
      <w:numFmt w:val="decimal"/>
      <w:pStyle w:val="5"/>
      <w:lvlText w:val="%1.%2.%3"/>
      <w:lvlJc w:val="left"/>
      <w:pPr>
        <w:tabs>
          <w:tab w:val="left" w:pos="1004"/>
        </w:tabs>
        <w:ind w:left="1004" w:hanging="720"/>
      </w:pPr>
      <w:rPr>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7554E2E5"/>
    <w:multiLevelType w:val="singleLevel"/>
    <w:tmpl w:val="7554E2E5"/>
    <w:lvl w:ilvl="0" w:tentative="0">
      <w:start w:val="1"/>
      <w:numFmt w:val="lowerLetter"/>
      <w:suff w:val="space"/>
      <w:lvlText w:val="%1)"/>
      <w:lvlJc w:val="left"/>
    </w:lvl>
  </w:abstractNum>
  <w:abstractNum w:abstractNumId="5">
    <w:nsid w:val="7C93761B"/>
    <w:multiLevelType w:val="singleLevel"/>
    <w:tmpl w:val="7C93761B"/>
    <w:lvl w:ilvl="0" w:tentative="0">
      <w:start w:val="1"/>
      <w:numFmt w:val="lowerLetter"/>
      <w:lvlText w:val="%1."/>
      <w:lvlJc w:val="left"/>
      <w:pPr>
        <w:tabs>
          <w:tab w:val="left" w:pos="420"/>
        </w:tabs>
        <w:ind w:left="845" w:hanging="425"/>
      </w:pPr>
      <w:rPr>
        <w:rFont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BjYTE0N2MyZDlmYmRkZjkxYzdlNWI1YTNlZjhhOGQifQ=="/>
  </w:docVars>
  <w:rsids>
    <w:rsidRoot w:val="19CE6200"/>
    <w:rsid w:val="000C05F2"/>
    <w:rsid w:val="001D7D9C"/>
    <w:rsid w:val="00276303"/>
    <w:rsid w:val="004E1CDB"/>
    <w:rsid w:val="00634155"/>
    <w:rsid w:val="006358EB"/>
    <w:rsid w:val="00786484"/>
    <w:rsid w:val="008F3D47"/>
    <w:rsid w:val="009B4004"/>
    <w:rsid w:val="00A96EFF"/>
    <w:rsid w:val="00DC1D1E"/>
    <w:rsid w:val="00DD53F5"/>
    <w:rsid w:val="00E76CE7"/>
    <w:rsid w:val="00F06D5D"/>
    <w:rsid w:val="015D72E7"/>
    <w:rsid w:val="01FF570B"/>
    <w:rsid w:val="028D31A8"/>
    <w:rsid w:val="03496166"/>
    <w:rsid w:val="036D152A"/>
    <w:rsid w:val="03C27FBB"/>
    <w:rsid w:val="03EC7B89"/>
    <w:rsid w:val="0524673D"/>
    <w:rsid w:val="052C14CB"/>
    <w:rsid w:val="053869D6"/>
    <w:rsid w:val="055D3AF4"/>
    <w:rsid w:val="05881B9C"/>
    <w:rsid w:val="05C822DC"/>
    <w:rsid w:val="06B01EE7"/>
    <w:rsid w:val="06CD1FFD"/>
    <w:rsid w:val="07E05B6F"/>
    <w:rsid w:val="09156AAD"/>
    <w:rsid w:val="095B4362"/>
    <w:rsid w:val="0A2F0A13"/>
    <w:rsid w:val="0A300990"/>
    <w:rsid w:val="0AA25AAF"/>
    <w:rsid w:val="0AE51E01"/>
    <w:rsid w:val="0AFC3C41"/>
    <w:rsid w:val="0B6D180A"/>
    <w:rsid w:val="0B8F09AF"/>
    <w:rsid w:val="0BB322B1"/>
    <w:rsid w:val="0BFD2A58"/>
    <w:rsid w:val="0C99050D"/>
    <w:rsid w:val="0D2F07A7"/>
    <w:rsid w:val="0D674884"/>
    <w:rsid w:val="0ED634D3"/>
    <w:rsid w:val="0FB16102"/>
    <w:rsid w:val="103E1F35"/>
    <w:rsid w:val="1067230C"/>
    <w:rsid w:val="118544CE"/>
    <w:rsid w:val="1201171D"/>
    <w:rsid w:val="120F0392"/>
    <w:rsid w:val="12A32144"/>
    <w:rsid w:val="12E06F07"/>
    <w:rsid w:val="131F1DC3"/>
    <w:rsid w:val="13A74F7B"/>
    <w:rsid w:val="13EC54A4"/>
    <w:rsid w:val="13FA0E53"/>
    <w:rsid w:val="14066C52"/>
    <w:rsid w:val="14AA03C6"/>
    <w:rsid w:val="159C5D2F"/>
    <w:rsid w:val="15B5669B"/>
    <w:rsid w:val="16544D81"/>
    <w:rsid w:val="176A7F52"/>
    <w:rsid w:val="180A0102"/>
    <w:rsid w:val="18413460"/>
    <w:rsid w:val="18957D89"/>
    <w:rsid w:val="191472B1"/>
    <w:rsid w:val="198F523A"/>
    <w:rsid w:val="19CE6200"/>
    <w:rsid w:val="1BB478FE"/>
    <w:rsid w:val="1D3618F4"/>
    <w:rsid w:val="1DE63A74"/>
    <w:rsid w:val="1DEE795D"/>
    <w:rsid w:val="1E687942"/>
    <w:rsid w:val="1EDF3673"/>
    <w:rsid w:val="1F7635A2"/>
    <w:rsid w:val="20122417"/>
    <w:rsid w:val="20BE6412"/>
    <w:rsid w:val="20F3366D"/>
    <w:rsid w:val="22680B98"/>
    <w:rsid w:val="23393FCC"/>
    <w:rsid w:val="237A3807"/>
    <w:rsid w:val="23D24E28"/>
    <w:rsid w:val="241972A9"/>
    <w:rsid w:val="245C0722"/>
    <w:rsid w:val="247C3E04"/>
    <w:rsid w:val="24AC2D84"/>
    <w:rsid w:val="25393C55"/>
    <w:rsid w:val="25900931"/>
    <w:rsid w:val="25B72338"/>
    <w:rsid w:val="2670781B"/>
    <w:rsid w:val="26755135"/>
    <w:rsid w:val="2697313C"/>
    <w:rsid w:val="27584ED2"/>
    <w:rsid w:val="2778267B"/>
    <w:rsid w:val="27D459A2"/>
    <w:rsid w:val="28902F9A"/>
    <w:rsid w:val="28B7466A"/>
    <w:rsid w:val="28CE4138"/>
    <w:rsid w:val="28E3290D"/>
    <w:rsid w:val="292D2021"/>
    <w:rsid w:val="297D0615"/>
    <w:rsid w:val="2A0432F8"/>
    <w:rsid w:val="2AA11CD0"/>
    <w:rsid w:val="2AF61957"/>
    <w:rsid w:val="2C8A79E3"/>
    <w:rsid w:val="2E03314C"/>
    <w:rsid w:val="2E440C97"/>
    <w:rsid w:val="2F101374"/>
    <w:rsid w:val="314F0D3A"/>
    <w:rsid w:val="31F33D9B"/>
    <w:rsid w:val="32051665"/>
    <w:rsid w:val="32295561"/>
    <w:rsid w:val="34D7714A"/>
    <w:rsid w:val="364875CD"/>
    <w:rsid w:val="367734D5"/>
    <w:rsid w:val="377B73C0"/>
    <w:rsid w:val="37F07105"/>
    <w:rsid w:val="38563707"/>
    <w:rsid w:val="392D7AFD"/>
    <w:rsid w:val="393A6BB4"/>
    <w:rsid w:val="399228C1"/>
    <w:rsid w:val="3A081EE1"/>
    <w:rsid w:val="3A1977C4"/>
    <w:rsid w:val="3A713DE2"/>
    <w:rsid w:val="3AF90A77"/>
    <w:rsid w:val="3B4A7132"/>
    <w:rsid w:val="3B6B7E89"/>
    <w:rsid w:val="3BD04381"/>
    <w:rsid w:val="3BDD3C4A"/>
    <w:rsid w:val="3BDD65B9"/>
    <w:rsid w:val="3BE304EB"/>
    <w:rsid w:val="3CBD69F9"/>
    <w:rsid w:val="3CFF294A"/>
    <w:rsid w:val="3D1A5E22"/>
    <w:rsid w:val="3D28065B"/>
    <w:rsid w:val="3DF3042E"/>
    <w:rsid w:val="3E0C145D"/>
    <w:rsid w:val="3ECA7EE6"/>
    <w:rsid w:val="3F2E0971"/>
    <w:rsid w:val="3F4C5DE9"/>
    <w:rsid w:val="3F70540A"/>
    <w:rsid w:val="3F714D92"/>
    <w:rsid w:val="3F8D185C"/>
    <w:rsid w:val="3FD010BC"/>
    <w:rsid w:val="40E43599"/>
    <w:rsid w:val="40E50B17"/>
    <w:rsid w:val="40F606DA"/>
    <w:rsid w:val="40FA2EC2"/>
    <w:rsid w:val="413B268D"/>
    <w:rsid w:val="4169298C"/>
    <w:rsid w:val="417F5983"/>
    <w:rsid w:val="41A93CE8"/>
    <w:rsid w:val="42C22B51"/>
    <w:rsid w:val="42D52759"/>
    <w:rsid w:val="44081720"/>
    <w:rsid w:val="444A6B8C"/>
    <w:rsid w:val="445941E4"/>
    <w:rsid w:val="44E815DE"/>
    <w:rsid w:val="45672DAE"/>
    <w:rsid w:val="45830B34"/>
    <w:rsid w:val="45996998"/>
    <w:rsid w:val="4683600C"/>
    <w:rsid w:val="46D82C0F"/>
    <w:rsid w:val="4701335A"/>
    <w:rsid w:val="478359D4"/>
    <w:rsid w:val="47E720D1"/>
    <w:rsid w:val="4942055A"/>
    <w:rsid w:val="4A3A6644"/>
    <w:rsid w:val="4A426041"/>
    <w:rsid w:val="4AFF58F6"/>
    <w:rsid w:val="4B5C572D"/>
    <w:rsid w:val="4B815E41"/>
    <w:rsid w:val="4C1E3905"/>
    <w:rsid w:val="4CD410D8"/>
    <w:rsid w:val="4D172B82"/>
    <w:rsid w:val="4D897FB4"/>
    <w:rsid w:val="4D903FA0"/>
    <w:rsid w:val="4E9A47FB"/>
    <w:rsid w:val="4EAE7BC9"/>
    <w:rsid w:val="4F0E02C2"/>
    <w:rsid w:val="4F936B37"/>
    <w:rsid w:val="50122135"/>
    <w:rsid w:val="51207B05"/>
    <w:rsid w:val="51A40847"/>
    <w:rsid w:val="51C92DC1"/>
    <w:rsid w:val="51F20DF4"/>
    <w:rsid w:val="531F396D"/>
    <w:rsid w:val="532562B5"/>
    <w:rsid w:val="53880EDB"/>
    <w:rsid w:val="53BD563D"/>
    <w:rsid w:val="53FD7E83"/>
    <w:rsid w:val="542131FA"/>
    <w:rsid w:val="551E03BA"/>
    <w:rsid w:val="557344A2"/>
    <w:rsid w:val="55C92356"/>
    <w:rsid w:val="55D9123B"/>
    <w:rsid w:val="57137EC6"/>
    <w:rsid w:val="5716726C"/>
    <w:rsid w:val="574509F4"/>
    <w:rsid w:val="579A3CC2"/>
    <w:rsid w:val="57A56F36"/>
    <w:rsid w:val="57BA6AFE"/>
    <w:rsid w:val="588967CF"/>
    <w:rsid w:val="58BE23FD"/>
    <w:rsid w:val="597E6858"/>
    <w:rsid w:val="59B4414A"/>
    <w:rsid w:val="5A730682"/>
    <w:rsid w:val="5B6F0F76"/>
    <w:rsid w:val="5B770B5E"/>
    <w:rsid w:val="5C230378"/>
    <w:rsid w:val="5C40199E"/>
    <w:rsid w:val="5D646652"/>
    <w:rsid w:val="5DBD56A9"/>
    <w:rsid w:val="5DDF518E"/>
    <w:rsid w:val="5E6B5DE9"/>
    <w:rsid w:val="5F0D1F5B"/>
    <w:rsid w:val="5F120B8D"/>
    <w:rsid w:val="5F221BA3"/>
    <w:rsid w:val="5F3D0698"/>
    <w:rsid w:val="5F510D7D"/>
    <w:rsid w:val="5F6F2507"/>
    <w:rsid w:val="5FD55C82"/>
    <w:rsid w:val="5FFC4CFF"/>
    <w:rsid w:val="60723FCA"/>
    <w:rsid w:val="60D61E9B"/>
    <w:rsid w:val="60DA429F"/>
    <w:rsid w:val="60F91E30"/>
    <w:rsid w:val="61580D09"/>
    <w:rsid w:val="61A32017"/>
    <w:rsid w:val="61F57615"/>
    <w:rsid w:val="61FF088F"/>
    <w:rsid w:val="625C0A6C"/>
    <w:rsid w:val="627C4AAE"/>
    <w:rsid w:val="62987FAC"/>
    <w:rsid w:val="62EE73FC"/>
    <w:rsid w:val="63785067"/>
    <w:rsid w:val="63B863FC"/>
    <w:rsid w:val="63C90D93"/>
    <w:rsid w:val="641E366E"/>
    <w:rsid w:val="64A73DC1"/>
    <w:rsid w:val="66AD738C"/>
    <w:rsid w:val="67554718"/>
    <w:rsid w:val="678E50FC"/>
    <w:rsid w:val="67A64ABB"/>
    <w:rsid w:val="67D152E7"/>
    <w:rsid w:val="68046F82"/>
    <w:rsid w:val="680B4EA7"/>
    <w:rsid w:val="68141AB6"/>
    <w:rsid w:val="68204B5F"/>
    <w:rsid w:val="68447066"/>
    <w:rsid w:val="68FC4D36"/>
    <w:rsid w:val="69A172DE"/>
    <w:rsid w:val="6A3063EE"/>
    <w:rsid w:val="6AC5160A"/>
    <w:rsid w:val="6AF021EA"/>
    <w:rsid w:val="6BBF553C"/>
    <w:rsid w:val="6D354AD2"/>
    <w:rsid w:val="6D39010D"/>
    <w:rsid w:val="6DD86CD7"/>
    <w:rsid w:val="6E271C72"/>
    <w:rsid w:val="6E4B205E"/>
    <w:rsid w:val="6EF42AB9"/>
    <w:rsid w:val="6FDD25DE"/>
    <w:rsid w:val="7083261D"/>
    <w:rsid w:val="709716F7"/>
    <w:rsid w:val="70F11883"/>
    <w:rsid w:val="7141162A"/>
    <w:rsid w:val="71D80C8F"/>
    <w:rsid w:val="721D5CBA"/>
    <w:rsid w:val="72262A7C"/>
    <w:rsid w:val="72CF17E0"/>
    <w:rsid w:val="73612AB3"/>
    <w:rsid w:val="73943265"/>
    <w:rsid w:val="75230276"/>
    <w:rsid w:val="752E0027"/>
    <w:rsid w:val="75A54F59"/>
    <w:rsid w:val="75BC4EDF"/>
    <w:rsid w:val="76645175"/>
    <w:rsid w:val="769E6EA9"/>
    <w:rsid w:val="76B109A0"/>
    <w:rsid w:val="76BA7B42"/>
    <w:rsid w:val="77AD6D23"/>
    <w:rsid w:val="77E770AE"/>
    <w:rsid w:val="78EF75D1"/>
    <w:rsid w:val="792429B5"/>
    <w:rsid w:val="79837314"/>
    <w:rsid w:val="79F3297C"/>
    <w:rsid w:val="7A205CF2"/>
    <w:rsid w:val="7A8752D3"/>
    <w:rsid w:val="7B9C339B"/>
    <w:rsid w:val="7BAC63FE"/>
    <w:rsid w:val="7BB24A89"/>
    <w:rsid w:val="7C465EF1"/>
    <w:rsid w:val="7C791C62"/>
    <w:rsid w:val="7D705C25"/>
    <w:rsid w:val="7E1A6FAE"/>
    <w:rsid w:val="7E484F23"/>
    <w:rsid w:val="7F236FAE"/>
    <w:rsid w:val="7F2C40F8"/>
    <w:rsid w:val="7FE50D9E"/>
    <w:rsid w:val="7FE71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黑体"/>
      <w:b/>
      <w:kern w:val="44"/>
      <w:sz w:val="28"/>
    </w:rPr>
  </w:style>
  <w:style w:type="paragraph" w:styleId="4">
    <w:name w:val="heading 2"/>
    <w:basedOn w:val="1"/>
    <w:next w:val="1"/>
    <w:qFormat/>
    <w:uiPriority w:val="99"/>
    <w:pPr>
      <w:autoSpaceDE w:val="0"/>
      <w:autoSpaceDN w:val="0"/>
      <w:adjustRightInd w:val="0"/>
      <w:outlineLvl w:val="1"/>
    </w:pPr>
    <w:rPr>
      <w:rFonts w:ascii="Arial" w:hAnsi="Arial"/>
      <w:b/>
      <w:i/>
      <w:color w:val="000000"/>
      <w:sz w:val="28"/>
    </w:rPr>
  </w:style>
  <w:style w:type="paragraph" w:styleId="5">
    <w:name w:val="heading 3"/>
    <w:basedOn w:val="1"/>
    <w:next w:val="1"/>
    <w:qFormat/>
    <w:uiPriority w:val="0"/>
    <w:pPr>
      <w:numPr>
        <w:ilvl w:val="2"/>
        <w:numId w:val="1"/>
      </w:numPr>
      <w:spacing w:before="120" w:line="360" w:lineRule="auto"/>
      <w:outlineLvl w:val="2"/>
    </w:pPr>
    <w:rPr>
      <w:b/>
      <w:bCs/>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7">
    <w:name w:val="heading 5"/>
    <w:basedOn w:val="1"/>
    <w:next w:val="1"/>
    <w:unhideWhenUsed/>
    <w:qFormat/>
    <w:uiPriority w:val="0"/>
    <w:pPr>
      <w:keepNext/>
      <w:keepLines/>
      <w:spacing w:before="280" w:after="290" w:line="372" w:lineRule="auto"/>
      <w:outlineLvl w:val="4"/>
    </w:pPr>
    <w:rPr>
      <w:b/>
      <w:sz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8">
    <w:name w:val="Body Text"/>
    <w:basedOn w:val="1"/>
    <w:qFormat/>
    <w:uiPriority w:val="0"/>
    <w:pPr>
      <w:spacing w:line="360" w:lineRule="auto"/>
      <w:ind w:firstLine="480" w:firstLineChars="200"/>
    </w:pPr>
    <w:rPr>
      <w:sz w:val="24"/>
      <w:lang w:val="zh-CN"/>
    </w:rPr>
  </w:style>
  <w:style w:type="paragraph" w:styleId="9">
    <w:name w:val="Plain Text"/>
    <w:basedOn w:val="1"/>
    <w:qFormat/>
    <w:uiPriority w:val="0"/>
    <w:rPr>
      <w:rFonts w:ascii="宋体" w:hAnsi="Courier New"/>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Autospacing="1" w:afterAutospacing="1"/>
      <w:jc w:val="left"/>
    </w:pPr>
    <w:rPr>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paragraph" w:customStyle="1" w:styleId="17">
    <w:name w:val="WPSOffice手动目录 1"/>
    <w:qFormat/>
    <w:uiPriority w:val="0"/>
    <w:rPr>
      <w:rFonts w:ascii="Times New Roman" w:hAnsi="Times New Roman" w:eastAsia="宋体" w:cs="Times New Roman"/>
      <w:lang w:val="en-US" w:eastAsia="zh-CN" w:bidi="ar-SA"/>
    </w:rPr>
  </w:style>
  <w:style w:type="character" w:customStyle="1" w:styleId="18">
    <w:name w:val="页眉 字符"/>
    <w:basedOn w:val="15"/>
    <w:link w:val="11"/>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eccbc7-14ec-4f0b-9570-a752ceb770de}"/>
        <w:style w:val=""/>
        <w:category>
          <w:name w:val="常规"/>
          <w:gallery w:val="placeholder"/>
        </w:category>
        <w:types>
          <w:type w:val="bbPlcHdr"/>
        </w:types>
        <w:behaviors>
          <w:behavior w:val="content"/>
        </w:behaviors>
        <w:description w:val=""/>
        <w:guid w:val="{DEECCBC7-14EC-4F0B-9570-A752CEB770DE}"/>
      </w:docPartPr>
      <w:docPartBody>
        <w:p>
          <w:pPr>
            <w:rPr>
              <w:rFonts w:hint="eastAsia"/>
            </w:rPr>
          </w:pPr>
          <w:r>
            <w:rPr>
              <w:color w:val="808080"/>
            </w:rPr>
            <w:t>单击此处输入文字。</w:t>
          </w:r>
        </w:p>
      </w:docPartBody>
    </w:docPart>
    <w:docPart>
      <w:docPartPr>
        <w:name w:val="{c49b57e9-eca9-4d14-8957-bf97886dcc09}"/>
        <w:style w:val=""/>
        <w:category>
          <w:name w:val="常规"/>
          <w:gallery w:val="placeholder"/>
        </w:category>
        <w:types>
          <w:type w:val="bbPlcHdr"/>
        </w:types>
        <w:behaviors>
          <w:behavior w:val="content"/>
        </w:behaviors>
        <w:description w:val=""/>
        <w:guid w:val="{C49B57E9-ECA9-4D14-8957-BF97886DCC09}"/>
      </w:docPartPr>
      <w:docPartBody>
        <w:p>
          <w:pPr>
            <w:rPr>
              <w:rFonts w:hint="eastAsia"/>
            </w:rPr>
          </w:pPr>
          <w:r>
            <w:rPr>
              <w:color w:val="808080"/>
            </w:rPr>
            <w:t>单击此处输入文字。</w:t>
          </w:r>
        </w:p>
      </w:docPartBody>
    </w:docPart>
    <w:docPart>
      <w:docPartPr>
        <w:name w:val="{3ac6738f-b539-4be9-a672-3075ac9067e6}"/>
        <w:style w:val=""/>
        <w:category>
          <w:name w:val="常规"/>
          <w:gallery w:val="placeholder"/>
        </w:category>
        <w:types>
          <w:type w:val="bbPlcHdr"/>
        </w:types>
        <w:behaviors>
          <w:behavior w:val="content"/>
        </w:behaviors>
        <w:description w:val=""/>
        <w:guid w:val="{3AC6738F-B539-4BE9-A672-3075AC9067E6}"/>
      </w:docPartPr>
      <w:docPartBody>
        <w:p>
          <w:pPr>
            <w:rPr>
              <w:rFonts w:hint="eastAsia"/>
            </w:rPr>
          </w:pPr>
          <w:r>
            <w:rPr>
              <w:color w:val="808080"/>
            </w:rPr>
            <w:t>单击此处输入文字。</w:t>
          </w:r>
        </w:p>
      </w:docPartBody>
    </w:docPart>
    <w:docPart>
      <w:docPartPr>
        <w:name w:val="{816937ab-da5e-4c1b-897e-01b62ed16711}"/>
        <w:style w:val=""/>
        <w:category>
          <w:name w:val="常规"/>
          <w:gallery w:val="placeholder"/>
        </w:category>
        <w:types>
          <w:type w:val="bbPlcHdr"/>
        </w:types>
        <w:behaviors>
          <w:behavior w:val="content"/>
        </w:behaviors>
        <w:description w:val=""/>
        <w:guid w:val="{816937AB-DA5E-4C1B-897E-01B62ED16711}"/>
      </w:docPartPr>
      <w:docPartBody>
        <w:p>
          <w:pPr>
            <w:rPr>
              <w:rFonts w:hint="eastAsia"/>
            </w:rPr>
          </w:pPr>
          <w:r>
            <w:rPr>
              <w:color w:val="808080"/>
            </w:rPr>
            <w:t>单击此处输入文字。</w:t>
          </w:r>
        </w:p>
      </w:docPartBody>
    </w:docPart>
    <w:docPart>
      <w:docPartPr>
        <w:name w:val="{08858668-4ad6-46bb-8f67-086150ae0dcb}"/>
        <w:style w:val=""/>
        <w:category>
          <w:name w:val="常规"/>
          <w:gallery w:val="placeholder"/>
        </w:category>
        <w:types>
          <w:type w:val="bbPlcHdr"/>
        </w:types>
        <w:behaviors>
          <w:behavior w:val="content"/>
        </w:behaviors>
        <w:description w:val=""/>
        <w:guid w:val="{08858668-4AD6-46BB-8F67-086150AE0DCB}"/>
      </w:docPartPr>
      <w:docPartBody>
        <w:p>
          <w:pPr>
            <w:rPr>
              <w:rFonts w:hint="eastAsia"/>
            </w:rPr>
          </w:pPr>
          <w:r>
            <w:rPr>
              <w:color w:val="808080"/>
            </w:rPr>
            <w:t>单击此处输入文字。</w:t>
          </w:r>
        </w:p>
      </w:docPartBody>
    </w:docPart>
    <w:docPart>
      <w:docPartPr>
        <w:name w:val="{9fa69152-afc6-4197-9e5e-8ff66530c0ed}"/>
        <w:style w:val=""/>
        <w:category>
          <w:name w:val="常规"/>
          <w:gallery w:val="placeholder"/>
        </w:category>
        <w:types>
          <w:type w:val="bbPlcHdr"/>
        </w:types>
        <w:behaviors>
          <w:behavior w:val="content"/>
        </w:behaviors>
        <w:description w:val=""/>
        <w:guid w:val="{9FA69152-AFC6-4197-9E5E-8FF66530C0ED}"/>
      </w:docPartPr>
      <w:docPartBody>
        <w:p>
          <w:pPr>
            <w:rPr>
              <w:rFonts w:hint="eastAsia"/>
            </w:rPr>
          </w:pPr>
          <w:r>
            <w:rPr>
              <w:color w:val="808080"/>
            </w:rPr>
            <w:t>单击此处输入文字。</w:t>
          </w:r>
        </w:p>
      </w:docPartBody>
    </w:docPart>
    <w:docPart>
      <w:docPartPr>
        <w:name w:val="{4ea1687c-840f-471b-b5d8-2e335ae62bd6}"/>
        <w:style w:val=""/>
        <w:category>
          <w:name w:val="常规"/>
          <w:gallery w:val="placeholder"/>
        </w:category>
        <w:types>
          <w:type w:val="bbPlcHdr"/>
        </w:types>
        <w:behaviors>
          <w:behavior w:val="content"/>
        </w:behaviors>
        <w:description w:val=""/>
        <w:guid w:val="{4EA1687C-840F-471B-B5D8-2E335AE62BD6}"/>
      </w:docPartPr>
      <w:docPartBody>
        <w:p>
          <w:pPr>
            <w:rPr>
              <w:rFonts w:hint="eastAsia"/>
            </w:rPr>
          </w:pPr>
          <w:r>
            <w:rPr>
              <w:color w:val="808080"/>
            </w:rPr>
            <w:t>单击此处输入文字。</w:t>
          </w:r>
        </w:p>
      </w:docPartBody>
    </w:docPart>
    <w:docPart>
      <w:docPartPr>
        <w:name w:val="{2f99daf0-c5d1-48b6-a6af-e8a38abf9061}"/>
        <w:style w:val=""/>
        <w:category>
          <w:name w:val="常规"/>
          <w:gallery w:val="placeholder"/>
        </w:category>
        <w:types>
          <w:type w:val="bbPlcHdr"/>
        </w:types>
        <w:behaviors>
          <w:behavior w:val="content"/>
        </w:behaviors>
        <w:description w:val=""/>
        <w:guid w:val="{2F99DAF0-C5D1-48B6-A6AF-E8A38ABF9061}"/>
      </w:docPartPr>
      <w:docPartBody>
        <w:p>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DC0BF9"/>
    <w:rsid w:val="00086E7E"/>
    <w:rsid w:val="001D7D9C"/>
    <w:rsid w:val="005146ED"/>
    <w:rsid w:val="005E4C96"/>
    <w:rsid w:val="00667B79"/>
    <w:rsid w:val="00DC0BF9"/>
    <w:rsid w:val="00DF718A"/>
    <w:rsid w:val="00F52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贵州电网有限责任公司电力科学研究院</Company>
  <Pages>6</Pages>
  <Words>1678</Words>
  <Characters>1821</Characters>
  <Lines>82</Lines>
  <Paragraphs>115</Paragraphs>
  <TotalTime>8</TotalTime>
  <ScaleCrop>false</ScaleCrop>
  <LinksUpToDate>false</LinksUpToDate>
  <CharactersWithSpaces>1929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2025-08-27T23:39:00Z</dcterms:created>
  <dc:creator>刘喆</dc:creator>
  <cp:lastModifiedBy>邱凌枫</cp:lastModifiedBy>
  <dcterms:modified xsi:type="dcterms:W3CDTF">2025-08-31T07:45:03Z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81509FECE4694B5A99DDED16222334B1</vt:lpwstr>
  </property>
</Properties>
</file>