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6972BD"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10kV电缆剥削作业精密成像装置材料零星采购技术要求</w:t>
      </w:r>
    </w:p>
    <w:p w14:paraId="071B1B1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一、技术要求</w:t>
      </w:r>
    </w:p>
    <w:p w14:paraId="65960758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 材料包括六个核心模块：高清摄像模块、通信模块、AI算力模块、存储模块、分布式同步闪光灯及闪光灯程控恒流驱动器。</w:t>
      </w:r>
    </w:p>
    <w:p w14:paraId="13743244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 高清摄像模块采用先进的CMOS传感器阵列技术，结合自适应曝光算法与多光谱成像原理，实现高动态范围图像获取。该模块具备亚像素级精度定位能力，支持多维度空间坐标系下的同步采样，确保图像数据的时空一致性与几何精度。</w:t>
      </w:r>
    </w:p>
    <w:p w14:paraId="36DD3B50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 通信模块基于异构网络融合技术，集成多协议栈通信架构。采用软件可编程网络控制平面与数据平面分离设计，支持动态路由优化与负载均衡。系统内置加密芯片，实现端到端数据加密传输，保障信息安全。</w:t>
      </w:r>
    </w:p>
    <w:p w14:paraId="0F278D02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4. AI算力模块采用神经网络处理器（NPU）架构，集成张量处理单元与矢量计算模块。支持多种深度学习框架的模型推理加速，具备边缘计算与云端协同处理能力。系统采用流水线并行处理技术，实现多任务并发执行与资源动态调度。</w:t>
      </w:r>
    </w:p>
    <w:p w14:paraId="2AAEFDA6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5. 存储模块基于分布式存储架构，采用纠删码技术保障数据可靠性。系统支持热数据与冷数据分层存储，具备自动数据迁移与生命周期管理功能。存储接口采用高速串行总线技术，确保数据读写性能与系统响应速度。</w:t>
      </w:r>
    </w:p>
    <w:p w14:paraId="056038D8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6. 分布式同步闪光灯采用分布式时钟同步协议，实现毫秒级时间精度控制。光源模块采用可调LED阵列，支持光强精确控制。系统具备自适应光学补偿能力，可根据环境光条件自动调整照明参数。</w:t>
      </w:r>
    </w:p>
    <w:p w14:paraId="37D459BD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7. 闪光灯程控恒流驱动器采用数字处理器与硬触发电路协同控制架构。集成高精度电流检测与反馈控制回路，实现毫安级电流控制精度。系统支持多路输出独立控制，具备故障诊断与保护功能。</w:t>
      </w:r>
    </w:p>
    <w:p w14:paraId="1656F0D5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8. 各子系统通过工业总线RS485双重通信机制实现数据交互，采用时间触发通信协议保障实时性。具备数字孪生建模能力与预测性维护功能。</w:t>
      </w:r>
    </w:p>
    <w:p w14:paraId="6C035898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9. 整套系统采用分层解耦设计，硬件抽象层与应用层分离，支持模块化升级与功能扩展。系统通过EMC电磁兼容性设计，具备恶劣工业环境下的稳定运行能力。</w:t>
      </w:r>
    </w:p>
    <w:p w14:paraId="76CE7A6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sz w:val="24"/>
          <w:szCs w:val="24"/>
        </w:rPr>
        <w:t>期限要求：</w:t>
      </w:r>
    </w:p>
    <w:p w14:paraId="3D3CCB74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</w:rPr>
        <w:t>月30前，完成全部材料采购，并送到指定地点。</w:t>
      </w:r>
    </w:p>
    <w:p w14:paraId="2C2C20EE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三、其他要求</w:t>
      </w:r>
    </w:p>
    <w:p w14:paraId="3E5C13F8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1、供应商需配合甲方在合同周期内至少完成1项发明专利底稿撰写，直至申请受理；</w:t>
      </w:r>
    </w:p>
    <w:p w14:paraId="185768C0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2、供应商需配合甲方在合同周期内至少完成1篇专业论文撰写，直至录用发表；</w:t>
      </w:r>
    </w:p>
    <w:p w14:paraId="6EF92AAE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3、 供应商须承诺至少安排一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名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t>正式员工专职与甲方对接跟进项目工作，并配合项目开展试点应用工作；</w:t>
      </w:r>
    </w:p>
    <w:p w14:paraId="63135722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4、供应商需配合完成项目相关技术资料编写，包含但不限于整套图纸设计、材料采购、加工、测试、技术总结报告、工作总结报告、项目验收资料等；</w:t>
      </w:r>
    </w:p>
    <w:p w14:paraId="6A30425F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5、供应商需配合甲方完成试点应用，能够派正式员工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定期</w:t>
      </w:r>
      <w:r>
        <w:rPr>
          <w:rFonts w:hint="eastAsia" w:ascii="宋体" w:hAnsi="宋体" w:eastAsia="宋体" w:cs="宋体"/>
          <w:sz w:val="24"/>
          <w:szCs w:val="24"/>
        </w:rPr>
        <w:t>驻点，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不少于1个月，</w:t>
      </w:r>
      <w:r>
        <w:rPr>
          <w:rFonts w:hint="eastAsia" w:ascii="宋体" w:hAnsi="宋体" w:eastAsia="宋体" w:cs="宋体"/>
          <w:sz w:val="24"/>
          <w:szCs w:val="24"/>
        </w:rPr>
        <w:t>进行现场交流、确认实施方案、现场测试、项目验收等。</w:t>
      </w:r>
    </w:p>
    <w:p w14:paraId="22575D4A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6、供应商如果不能按时按质完成，东莞供电局将按照南网电网公司相关规定对供应商采取相关处罚。</w:t>
      </w:r>
    </w:p>
    <w:p w14:paraId="07D535F2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552"/>
    <w:rsid w:val="0019261E"/>
    <w:rsid w:val="00362C02"/>
    <w:rsid w:val="00465322"/>
    <w:rsid w:val="006875B4"/>
    <w:rsid w:val="006A3552"/>
    <w:rsid w:val="006D4F84"/>
    <w:rsid w:val="007D3A75"/>
    <w:rsid w:val="00A56587"/>
    <w:rsid w:val="00DC2489"/>
    <w:rsid w:val="0DE174BC"/>
    <w:rsid w:val="356C45C3"/>
    <w:rsid w:val="54F14294"/>
    <w:rsid w:val="5BB9290B"/>
    <w:rsid w:val="7D4F2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link w:val="16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4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5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6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7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8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9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1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rFonts w:ascii="Calibri" w:hAnsi="Calibri"/>
      <w:kern w:val="0"/>
      <w:sz w:val="20"/>
      <w:szCs w:val="20"/>
    </w:rPr>
  </w:style>
  <w:style w:type="paragraph" w:styleId="12">
    <w:name w:val="Subtitle"/>
    <w:basedOn w:val="1"/>
    <w:next w:val="1"/>
    <w:link w:val="26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3">
    <w:name w:val="Title"/>
    <w:basedOn w:val="1"/>
    <w:next w:val="1"/>
    <w:link w:val="25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6">
    <w:name w:val="标题 1 字符"/>
    <w:basedOn w:val="15"/>
    <w:link w:val="3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7">
    <w:name w:val="标题 2 字符"/>
    <w:basedOn w:val="15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8">
    <w:name w:val="标题 3 字符"/>
    <w:basedOn w:val="15"/>
    <w:link w:val="5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9">
    <w:name w:val="标题 4 字符"/>
    <w:basedOn w:val="15"/>
    <w:link w:val="6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0">
    <w:name w:val="标题 5 字符"/>
    <w:basedOn w:val="15"/>
    <w:link w:val="7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1">
    <w:name w:val="标题 6 字符"/>
    <w:basedOn w:val="15"/>
    <w:link w:val="8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2">
    <w:name w:val="标题 7 字符"/>
    <w:basedOn w:val="15"/>
    <w:link w:val="9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8 字符"/>
    <w:basedOn w:val="15"/>
    <w:link w:val="10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9 字符"/>
    <w:basedOn w:val="15"/>
    <w:link w:val="11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字符"/>
    <w:basedOn w:val="15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副标题 字符"/>
    <w:basedOn w:val="15"/>
    <w:link w:val="12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引用 字符"/>
    <w:basedOn w:val="15"/>
    <w:link w:val="27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5"/>
    <w:qFormat/>
    <w:uiPriority w:val="21"/>
    <w:rPr>
      <w:i/>
      <w:iCs/>
      <w:color w:val="104862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2">
    <w:name w:val="明显引用 字符"/>
    <w:basedOn w:val="15"/>
    <w:link w:val="31"/>
    <w:qFormat/>
    <w:uiPriority w:val="30"/>
    <w:rPr>
      <w:i/>
      <w:iCs/>
      <w:color w:val="104862" w:themeColor="accent1" w:themeShade="BF"/>
    </w:rPr>
  </w:style>
  <w:style w:type="character" w:customStyle="1" w:styleId="33">
    <w:name w:val="Intense Reference"/>
    <w:basedOn w:val="15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1103</Words>
  <Characters>1134</Characters>
  <Lines>5</Lines>
  <Paragraphs>1</Paragraphs>
  <TotalTime>3</TotalTime>
  <ScaleCrop>false</ScaleCrop>
  <LinksUpToDate>false</LinksUpToDate>
  <CharactersWithSpaces>1164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2025-08-22T02:19:00Z</dcterms:created>
  <dc:creator>bo Fang</dc:creator>
  <cp:lastModifiedBy>突破防守</cp:lastModifiedBy>
  <dcterms:modified xsi:type="dcterms:W3CDTF">2025-08-22T02:48:21Z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eyJoZGlkIjoiNjhmM2JkYjI2YWVhYTQ5OWNhMjIzYjg1OTg2ZjJjMzAiLCJ1c2VySWQiOiI0NTgxNjU1ODAifQ==</vt:lpwstr>
  </property>
  <property fmtid="{D5CDD505-2E9C-101B-9397-08002B2CF9AE}" pid="3" name="KSOProductBuildVer">
    <vt:lpwstr>2052-12.1.0.22529</vt:lpwstr>
  </property>
  <property fmtid="{D5CDD505-2E9C-101B-9397-08002B2CF9AE}" pid="4" name="ICV">
    <vt:lpwstr>FAA2DB1FFC38471984F22E3311DC962E_12</vt:lpwstr>
  </property>
</Properties>
</file>