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00" w:lineRule="auto"/>
        <w:rPr>
          <w:sz w:val="21"/>
          <w:szCs w:val="21"/>
        </w:rPr>
      </w:pPr>
    </w:p>
    <w:p>
      <w:pPr>
        <w:spacing w:line="300" w:lineRule="auto"/>
        <w:rPr>
          <w:sz w:val="21"/>
          <w:szCs w:val="21"/>
        </w:rPr>
      </w:pPr>
    </w:p>
    <w:p>
      <w:pPr>
        <w:spacing w:line="300" w:lineRule="auto"/>
        <w:rPr>
          <w:sz w:val="44"/>
          <w:szCs w:val="44"/>
        </w:rPr>
      </w:pPr>
    </w:p>
    <w:p>
      <w:pPr>
        <w:spacing w:line="300" w:lineRule="auto"/>
        <w:jc w:val="center"/>
        <w:rPr>
          <w:sz w:val="44"/>
          <w:szCs w:val="44"/>
        </w:rPr>
      </w:pPr>
      <w:r>
        <w:rPr>
          <w:rFonts w:hint="eastAsia"/>
          <w:sz w:val="44"/>
          <w:szCs w:val="44"/>
          <w:lang w:eastAsia="zh-CN"/>
        </w:rPr>
        <w:t>崇左供电局2025年南网智瞰微应用技术支持服务</w:t>
      </w:r>
      <w:r>
        <w:rPr>
          <w:rFonts w:hint="eastAsia"/>
          <w:sz w:val="44"/>
          <w:szCs w:val="44"/>
        </w:rPr>
        <w:t>技术规范书</w:t>
      </w:r>
    </w:p>
    <w:p>
      <w:pPr>
        <w:spacing w:line="300" w:lineRule="auto"/>
        <w:rPr>
          <w:sz w:val="21"/>
          <w:szCs w:val="21"/>
        </w:rPr>
      </w:pPr>
    </w:p>
    <w:p>
      <w:pPr>
        <w:spacing w:line="300" w:lineRule="auto"/>
        <w:rPr>
          <w:sz w:val="21"/>
          <w:szCs w:val="21"/>
        </w:rPr>
      </w:pPr>
    </w:p>
    <w:p>
      <w:pPr>
        <w:spacing w:line="300" w:lineRule="auto"/>
        <w:rPr>
          <w:sz w:val="21"/>
          <w:szCs w:val="21"/>
        </w:rPr>
      </w:pPr>
    </w:p>
    <w:p>
      <w:pPr>
        <w:spacing w:line="300" w:lineRule="auto"/>
        <w:rPr>
          <w:sz w:val="21"/>
          <w:szCs w:val="21"/>
        </w:rPr>
      </w:pPr>
    </w:p>
    <w:p>
      <w:pPr>
        <w:spacing w:line="300" w:lineRule="auto"/>
        <w:rPr>
          <w:sz w:val="21"/>
          <w:szCs w:val="21"/>
        </w:rPr>
      </w:pPr>
    </w:p>
    <w:p>
      <w:pPr>
        <w:spacing w:line="300" w:lineRule="auto"/>
        <w:rPr>
          <w:sz w:val="21"/>
          <w:szCs w:val="21"/>
        </w:rPr>
      </w:pPr>
    </w:p>
    <w:p>
      <w:pPr>
        <w:spacing w:line="300" w:lineRule="auto"/>
        <w:rPr>
          <w:sz w:val="21"/>
          <w:szCs w:val="21"/>
        </w:rPr>
      </w:pPr>
    </w:p>
    <w:p>
      <w:pPr>
        <w:spacing w:line="300" w:lineRule="auto"/>
        <w:rPr>
          <w:sz w:val="21"/>
          <w:szCs w:val="21"/>
        </w:rPr>
      </w:pPr>
    </w:p>
    <w:p>
      <w:pPr>
        <w:spacing w:line="300" w:lineRule="auto"/>
        <w:rPr>
          <w:sz w:val="21"/>
          <w:szCs w:val="21"/>
        </w:rPr>
      </w:pPr>
    </w:p>
    <w:p>
      <w:pPr>
        <w:spacing w:line="300" w:lineRule="auto"/>
        <w:rPr>
          <w:sz w:val="21"/>
          <w:szCs w:val="21"/>
        </w:rPr>
      </w:pPr>
    </w:p>
    <w:p>
      <w:pPr>
        <w:spacing w:line="300" w:lineRule="auto"/>
        <w:rPr>
          <w:sz w:val="21"/>
          <w:szCs w:val="21"/>
        </w:rPr>
      </w:pPr>
    </w:p>
    <w:p>
      <w:pPr>
        <w:spacing w:line="300" w:lineRule="auto"/>
        <w:rPr>
          <w:sz w:val="21"/>
          <w:szCs w:val="21"/>
        </w:rPr>
      </w:pPr>
    </w:p>
    <w:p>
      <w:pPr>
        <w:spacing w:line="300" w:lineRule="auto"/>
        <w:rPr>
          <w:sz w:val="21"/>
          <w:szCs w:val="21"/>
        </w:rPr>
      </w:pPr>
    </w:p>
    <w:p>
      <w:pPr>
        <w:spacing w:line="300" w:lineRule="auto"/>
        <w:rPr>
          <w:sz w:val="21"/>
          <w:szCs w:val="21"/>
        </w:rPr>
      </w:pPr>
    </w:p>
    <w:p>
      <w:pPr>
        <w:spacing w:line="300" w:lineRule="auto"/>
        <w:rPr>
          <w:sz w:val="21"/>
          <w:szCs w:val="21"/>
        </w:rPr>
      </w:pPr>
    </w:p>
    <w:p>
      <w:pPr>
        <w:spacing w:line="300" w:lineRule="auto"/>
        <w:rPr>
          <w:sz w:val="21"/>
          <w:szCs w:val="21"/>
        </w:rPr>
      </w:pPr>
    </w:p>
    <w:p>
      <w:pPr>
        <w:spacing w:line="300" w:lineRule="auto"/>
        <w:rPr>
          <w:sz w:val="21"/>
          <w:szCs w:val="21"/>
        </w:rPr>
      </w:pPr>
    </w:p>
    <w:p>
      <w:pPr>
        <w:spacing w:line="300" w:lineRule="auto"/>
        <w:rPr>
          <w:sz w:val="32"/>
          <w:szCs w:val="32"/>
        </w:rPr>
      </w:pPr>
    </w:p>
    <w:p>
      <w:pPr>
        <w:spacing w:line="300" w:lineRule="auto"/>
        <w:rPr>
          <w:sz w:val="32"/>
          <w:szCs w:val="32"/>
        </w:rPr>
      </w:pPr>
    </w:p>
    <w:p>
      <w:pPr>
        <w:spacing w:line="300" w:lineRule="auto"/>
        <w:jc w:val="center"/>
        <w:rPr>
          <w:sz w:val="32"/>
          <w:szCs w:val="32"/>
        </w:rPr>
      </w:pPr>
      <w:r>
        <w:rPr>
          <w:rFonts w:hint="eastAsia"/>
          <w:sz w:val="32"/>
          <w:szCs w:val="32"/>
          <w:lang w:val="en-US" w:eastAsia="zh-CN"/>
        </w:rPr>
        <w:t>崇左</w:t>
      </w:r>
      <w:r>
        <w:rPr>
          <w:rFonts w:hint="eastAsia"/>
          <w:sz w:val="32"/>
          <w:szCs w:val="32"/>
        </w:rPr>
        <w:t>供电局</w:t>
      </w:r>
    </w:p>
    <w:p>
      <w:pPr>
        <w:spacing w:line="300" w:lineRule="auto"/>
        <w:jc w:val="center"/>
        <w:rPr>
          <w:sz w:val="32"/>
          <w:szCs w:val="32"/>
        </w:rPr>
      </w:pPr>
      <w:r>
        <w:rPr>
          <w:rFonts w:hint="eastAsia"/>
          <w:sz w:val="32"/>
          <w:szCs w:val="32"/>
        </w:rPr>
        <w:t>202</w:t>
      </w:r>
      <w:r>
        <w:rPr>
          <w:rFonts w:hint="eastAsia"/>
          <w:sz w:val="32"/>
          <w:szCs w:val="32"/>
          <w:lang w:val="en-US" w:eastAsia="zh-CN"/>
        </w:rPr>
        <w:t>5</w:t>
      </w:r>
      <w:r>
        <w:rPr>
          <w:rFonts w:hint="eastAsia"/>
          <w:sz w:val="32"/>
          <w:szCs w:val="32"/>
        </w:rPr>
        <w:t>年</w:t>
      </w:r>
      <w:r>
        <w:rPr>
          <w:rFonts w:hint="eastAsia"/>
          <w:sz w:val="32"/>
          <w:szCs w:val="32"/>
          <w:lang w:val="en-US" w:eastAsia="zh-CN"/>
        </w:rPr>
        <w:t>4</w:t>
      </w:r>
      <w:r>
        <w:rPr>
          <w:rFonts w:hint="eastAsia"/>
          <w:sz w:val="32"/>
          <w:szCs w:val="32"/>
        </w:rPr>
        <w:t>月</w:t>
      </w:r>
    </w:p>
    <w:p>
      <w:pPr>
        <w:spacing w:line="300" w:lineRule="auto"/>
        <w:jc w:val="center"/>
        <w:rPr>
          <w:sz w:val="21"/>
          <w:szCs w:val="21"/>
        </w:rPr>
      </w:pPr>
      <w:r>
        <w:rPr>
          <w:sz w:val="21"/>
          <w:szCs w:val="21"/>
        </w:rPr>
        <w:br w:type="page"/>
      </w:r>
      <w:r>
        <w:rPr>
          <w:rFonts w:hint="eastAsia"/>
          <w:sz w:val="21"/>
          <w:szCs w:val="21"/>
        </w:rPr>
        <w:t>目  录</w:t>
      </w:r>
    </w:p>
    <w:p>
      <w:pPr>
        <w:pStyle w:val="20"/>
        <w:tabs>
          <w:tab w:val="right" w:leader="dot" w:pos="8306"/>
          <w:tab w:val="clear" w:pos="8296"/>
        </w:tabs>
      </w:pPr>
      <w:r>
        <w:rPr>
          <w:sz w:val="21"/>
          <w:szCs w:val="21"/>
        </w:rPr>
        <w:fldChar w:fldCharType="begin"/>
      </w:r>
      <w:r>
        <w:rPr>
          <w:rFonts w:hint="eastAsia"/>
          <w:sz w:val="21"/>
          <w:szCs w:val="21"/>
        </w:rPr>
        <w:instrText xml:space="preserve">TOC \o "1-1" \h \z \u</w:instrText>
      </w:r>
      <w:r>
        <w:rPr>
          <w:sz w:val="21"/>
          <w:szCs w:val="21"/>
        </w:rPr>
        <w:fldChar w:fldCharType="separate"/>
      </w:r>
      <w:r>
        <w:rPr>
          <w:szCs w:val="21"/>
        </w:rPr>
        <w:fldChar w:fldCharType="begin"/>
      </w:r>
      <w:r>
        <w:rPr>
          <w:szCs w:val="21"/>
        </w:rPr>
        <w:instrText xml:space="preserve"> HYPERLINK \l _Toc16594 </w:instrText>
      </w:r>
      <w:r>
        <w:rPr>
          <w:szCs w:val="21"/>
        </w:rPr>
        <w:fldChar w:fldCharType="separate"/>
      </w:r>
      <w:r>
        <w:rPr>
          <w:rFonts w:hint="default" w:ascii="宋体" w:hAnsi="宋体" w:eastAsia="宋体" w:cs="宋体"/>
          <w:szCs w:val="24"/>
        </w:rPr>
        <w:t xml:space="preserve">1. </w:t>
      </w:r>
      <w:r>
        <w:rPr>
          <w:rFonts w:hint="eastAsia" w:cs="宋体"/>
          <w:szCs w:val="24"/>
        </w:rPr>
        <w:t>总则</w:t>
      </w:r>
      <w:r>
        <w:tab/>
      </w:r>
      <w:r>
        <w:fldChar w:fldCharType="begin"/>
      </w:r>
      <w:r>
        <w:instrText xml:space="preserve"> PAGEREF _Toc16594 \h </w:instrText>
      </w:r>
      <w:r>
        <w:fldChar w:fldCharType="separate"/>
      </w:r>
      <w:r>
        <w:t>1</w:t>
      </w:r>
      <w:r>
        <w:fldChar w:fldCharType="end"/>
      </w:r>
      <w:r>
        <w:rPr>
          <w:szCs w:val="21"/>
        </w:rPr>
        <w:fldChar w:fldCharType="end"/>
      </w:r>
    </w:p>
    <w:p>
      <w:pPr>
        <w:pStyle w:val="20"/>
        <w:tabs>
          <w:tab w:val="right" w:leader="dot" w:pos="8306"/>
          <w:tab w:val="clear" w:pos="8296"/>
        </w:tabs>
      </w:pPr>
      <w:r>
        <w:rPr>
          <w:szCs w:val="21"/>
        </w:rPr>
        <w:fldChar w:fldCharType="begin"/>
      </w:r>
      <w:r>
        <w:rPr>
          <w:szCs w:val="21"/>
        </w:rPr>
        <w:instrText xml:space="preserve"> HYPERLINK \l _Toc12289 </w:instrText>
      </w:r>
      <w:r>
        <w:rPr>
          <w:szCs w:val="21"/>
        </w:rPr>
        <w:fldChar w:fldCharType="separate"/>
      </w:r>
      <w:r>
        <w:rPr>
          <w:rFonts w:hint="default" w:ascii="宋体" w:hAnsi="宋体" w:eastAsia="宋体" w:cs="宋体"/>
          <w:szCs w:val="24"/>
        </w:rPr>
        <w:t xml:space="preserve">2. </w:t>
      </w:r>
      <w:r>
        <w:rPr>
          <w:rFonts w:hint="eastAsia" w:cs="宋体"/>
          <w:szCs w:val="24"/>
        </w:rPr>
        <w:t>应遵循的主要标准</w:t>
      </w:r>
      <w:r>
        <w:tab/>
      </w:r>
      <w:r>
        <w:fldChar w:fldCharType="begin"/>
      </w:r>
      <w:r>
        <w:instrText xml:space="preserve"> PAGEREF _Toc12289 \h </w:instrText>
      </w:r>
      <w:r>
        <w:fldChar w:fldCharType="separate"/>
      </w:r>
      <w:r>
        <w:t>2</w:t>
      </w:r>
      <w:r>
        <w:fldChar w:fldCharType="end"/>
      </w:r>
      <w:r>
        <w:rPr>
          <w:szCs w:val="21"/>
        </w:rPr>
        <w:fldChar w:fldCharType="end"/>
      </w:r>
    </w:p>
    <w:p>
      <w:pPr>
        <w:pStyle w:val="20"/>
        <w:tabs>
          <w:tab w:val="right" w:leader="dot" w:pos="8306"/>
          <w:tab w:val="clear" w:pos="8296"/>
        </w:tabs>
      </w:pPr>
      <w:r>
        <w:rPr>
          <w:szCs w:val="21"/>
        </w:rPr>
        <w:fldChar w:fldCharType="begin"/>
      </w:r>
      <w:r>
        <w:rPr>
          <w:szCs w:val="21"/>
        </w:rPr>
        <w:instrText xml:space="preserve"> HYPERLINK \l _Toc12609 </w:instrText>
      </w:r>
      <w:r>
        <w:rPr>
          <w:szCs w:val="21"/>
        </w:rPr>
        <w:fldChar w:fldCharType="separate"/>
      </w:r>
      <w:r>
        <w:rPr>
          <w:rFonts w:hint="default" w:ascii="宋体" w:hAnsi="宋体" w:eastAsia="宋体" w:cs="宋体"/>
        </w:rPr>
        <w:t xml:space="preserve">3. </w:t>
      </w:r>
      <w:r>
        <w:rPr>
          <w:rFonts w:hint="eastAsia" w:cs="宋体"/>
          <w:szCs w:val="24"/>
        </w:rPr>
        <w:t>项目概述</w:t>
      </w:r>
      <w:r>
        <w:tab/>
      </w:r>
      <w:r>
        <w:fldChar w:fldCharType="begin"/>
      </w:r>
      <w:r>
        <w:instrText xml:space="preserve"> PAGEREF _Toc12609 \h </w:instrText>
      </w:r>
      <w:r>
        <w:fldChar w:fldCharType="separate"/>
      </w:r>
      <w:r>
        <w:t>3</w:t>
      </w:r>
      <w:r>
        <w:fldChar w:fldCharType="end"/>
      </w:r>
      <w:r>
        <w:rPr>
          <w:szCs w:val="21"/>
        </w:rPr>
        <w:fldChar w:fldCharType="end"/>
      </w:r>
    </w:p>
    <w:p>
      <w:pPr>
        <w:pStyle w:val="20"/>
        <w:tabs>
          <w:tab w:val="right" w:leader="dot" w:pos="8306"/>
          <w:tab w:val="clear" w:pos="8296"/>
        </w:tabs>
      </w:pPr>
      <w:r>
        <w:rPr>
          <w:szCs w:val="21"/>
        </w:rPr>
        <w:fldChar w:fldCharType="begin"/>
      </w:r>
      <w:r>
        <w:rPr>
          <w:szCs w:val="21"/>
        </w:rPr>
        <w:instrText xml:space="preserve"> HYPERLINK \l _Toc17610 </w:instrText>
      </w:r>
      <w:r>
        <w:rPr>
          <w:szCs w:val="21"/>
        </w:rPr>
        <w:fldChar w:fldCharType="separate"/>
      </w:r>
      <w:r>
        <w:rPr>
          <w:rFonts w:hint="default" w:ascii="宋体" w:hAnsi="宋体" w:eastAsia="宋体" w:cs="宋体"/>
          <w:szCs w:val="24"/>
        </w:rPr>
        <w:t xml:space="preserve">4. </w:t>
      </w:r>
      <w:r>
        <w:rPr>
          <w:rFonts w:hint="eastAsia" w:cs="宋体"/>
          <w:szCs w:val="24"/>
        </w:rPr>
        <w:t>范围和内容</w:t>
      </w:r>
      <w:r>
        <w:tab/>
      </w:r>
      <w:r>
        <w:fldChar w:fldCharType="begin"/>
      </w:r>
      <w:r>
        <w:instrText xml:space="preserve"> PAGEREF _Toc17610 \h </w:instrText>
      </w:r>
      <w:r>
        <w:fldChar w:fldCharType="separate"/>
      </w:r>
      <w:r>
        <w:t>3</w:t>
      </w:r>
      <w:r>
        <w:fldChar w:fldCharType="end"/>
      </w:r>
      <w:r>
        <w:rPr>
          <w:szCs w:val="21"/>
        </w:rPr>
        <w:fldChar w:fldCharType="end"/>
      </w:r>
    </w:p>
    <w:p>
      <w:pPr>
        <w:pStyle w:val="20"/>
        <w:tabs>
          <w:tab w:val="right" w:leader="dot" w:pos="8306"/>
          <w:tab w:val="clear" w:pos="8296"/>
        </w:tabs>
      </w:pPr>
      <w:r>
        <w:rPr>
          <w:szCs w:val="21"/>
        </w:rPr>
        <w:fldChar w:fldCharType="begin"/>
      </w:r>
      <w:r>
        <w:rPr>
          <w:szCs w:val="21"/>
        </w:rPr>
        <w:instrText xml:space="preserve"> HYPERLINK \l _Toc31046 </w:instrText>
      </w:r>
      <w:r>
        <w:rPr>
          <w:szCs w:val="21"/>
        </w:rPr>
        <w:fldChar w:fldCharType="separate"/>
      </w:r>
      <w:r>
        <w:rPr>
          <w:rFonts w:hint="default" w:ascii="宋体" w:hAnsi="宋体" w:eastAsia="宋体" w:cs="宋体"/>
          <w:szCs w:val="24"/>
        </w:rPr>
        <w:t xml:space="preserve">5. </w:t>
      </w:r>
      <w:r>
        <w:rPr>
          <w:rFonts w:hint="eastAsia" w:cs="宋体"/>
          <w:szCs w:val="24"/>
        </w:rPr>
        <w:t>总体要求</w:t>
      </w:r>
      <w:r>
        <w:tab/>
      </w:r>
      <w:r>
        <w:fldChar w:fldCharType="begin"/>
      </w:r>
      <w:r>
        <w:instrText xml:space="preserve"> PAGEREF _Toc31046 \h </w:instrText>
      </w:r>
      <w:r>
        <w:fldChar w:fldCharType="separate"/>
      </w:r>
      <w:r>
        <w:t>6</w:t>
      </w:r>
      <w:r>
        <w:fldChar w:fldCharType="end"/>
      </w:r>
      <w:r>
        <w:rPr>
          <w:szCs w:val="21"/>
        </w:rPr>
        <w:fldChar w:fldCharType="end"/>
      </w:r>
    </w:p>
    <w:p>
      <w:pPr>
        <w:pStyle w:val="20"/>
        <w:tabs>
          <w:tab w:val="right" w:leader="dot" w:pos="8306"/>
          <w:tab w:val="clear" w:pos="8296"/>
        </w:tabs>
      </w:pPr>
      <w:r>
        <w:rPr>
          <w:szCs w:val="21"/>
        </w:rPr>
        <w:fldChar w:fldCharType="begin"/>
      </w:r>
      <w:r>
        <w:rPr>
          <w:szCs w:val="21"/>
        </w:rPr>
        <w:instrText xml:space="preserve"> HYPERLINK \l _Toc12222 </w:instrText>
      </w:r>
      <w:r>
        <w:rPr>
          <w:szCs w:val="21"/>
        </w:rPr>
        <w:fldChar w:fldCharType="separate"/>
      </w:r>
      <w:r>
        <w:rPr>
          <w:rFonts w:hint="default" w:ascii="宋体" w:hAnsi="宋体" w:eastAsia="宋体" w:cs="宋体"/>
        </w:rPr>
        <w:t xml:space="preserve">6. </w:t>
      </w:r>
      <w:r>
        <w:t>主要技术要求</w:t>
      </w:r>
      <w:r>
        <w:tab/>
      </w:r>
      <w:r>
        <w:fldChar w:fldCharType="begin"/>
      </w:r>
      <w:r>
        <w:instrText xml:space="preserve"> PAGEREF _Toc12222 \h </w:instrText>
      </w:r>
      <w:r>
        <w:fldChar w:fldCharType="separate"/>
      </w:r>
      <w:r>
        <w:t>6</w:t>
      </w:r>
      <w:r>
        <w:fldChar w:fldCharType="end"/>
      </w:r>
      <w:r>
        <w:rPr>
          <w:szCs w:val="21"/>
        </w:rPr>
        <w:fldChar w:fldCharType="end"/>
      </w:r>
    </w:p>
    <w:p>
      <w:pPr>
        <w:pStyle w:val="20"/>
        <w:tabs>
          <w:tab w:val="right" w:leader="dot" w:pos="8306"/>
          <w:tab w:val="clear" w:pos="8296"/>
        </w:tabs>
      </w:pPr>
      <w:r>
        <w:rPr>
          <w:szCs w:val="21"/>
        </w:rPr>
        <w:fldChar w:fldCharType="begin"/>
      </w:r>
      <w:r>
        <w:rPr>
          <w:szCs w:val="21"/>
        </w:rPr>
        <w:instrText xml:space="preserve"> HYPERLINK \l _Toc27904 </w:instrText>
      </w:r>
      <w:r>
        <w:rPr>
          <w:szCs w:val="21"/>
        </w:rPr>
        <w:fldChar w:fldCharType="separate"/>
      </w:r>
      <w:r>
        <w:rPr>
          <w:rFonts w:hint="default" w:ascii="宋体" w:hAnsi="宋体" w:eastAsia="宋体" w:cs="宋体"/>
          <w:szCs w:val="24"/>
        </w:rPr>
        <w:t xml:space="preserve">7. </w:t>
      </w:r>
      <w:r>
        <w:rPr>
          <w:rFonts w:hint="eastAsia" w:cs="宋体"/>
          <w:szCs w:val="24"/>
        </w:rPr>
        <w:t>其他要求</w:t>
      </w:r>
      <w:r>
        <w:tab/>
      </w:r>
      <w:r>
        <w:fldChar w:fldCharType="begin"/>
      </w:r>
      <w:r>
        <w:instrText xml:space="preserve"> PAGEREF _Toc27904 \h </w:instrText>
      </w:r>
      <w:r>
        <w:fldChar w:fldCharType="separate"/>
      </w:r>
      <w:r>
        <w:t>8</w:t>
      </w:r>
      <w:r>
        <w:fldChar w:fldCharType="end"/>
      </w:r>
      <w:r>
        <w:rPr>
          <w:szCs w:val="21"/>
        </w:rPr>
        <w:fldChar w:fldCharType="end"/>
      </w:r>
    </w:p>
    <w:p>
      <w:pPr>
        <w:pStyle w:val="20"/>
        <w:tabs>
          <w:tab w:val="right" w:leader="dot" w:pos="8306"/>
          <w:tab w:val="clear" w:pos="8296"/>
        </w:tabs>
      </w:pPr>
      <w:r>
        <w:rPr>
          <w:szCs w:val="21"/>
        </w:rPr>
        <w:fldChar w:fldCharType="begin"/>
      </w:r>
      <w:r>
        <w:rPr>
          <w:szCs w:val="21"/>
        </w:rPr>
        <w:instrText xml:space="preserve"> HYPERLINK \l _Toc15850 </w:instrText>
      </w:r>
      <w:r>
        <w:rPr>
          <w:szCs w:val="21"/>
        </w:rPr>
        <w:fldChar w:fldCharType="separate"/>
      </w:r>
      <w:r>
        <w:rPr>
          <w:rFonts w:hint="default" w:ascii="宋体" w:hAnsi="宋体" w:eastAsia="宋体" w:cs="宋体"/>
          <w:szCs w:val="24"/>
        </w:rPr>
        <w:t xml:space="preserve">8. </w:t>
      </w:r>
      <w:r>
        <w:rPr>
          <w:rFonts w:hint="eastAsia" w:cs="宋体"/>
          <w:szCs w:val="24"/>
        </w:rPr>
        <w:t>附件</w:t>
      </w:r>
      <w:r>
        <w:tab/>
      </w:r>
      <w:r>
        <w:fldChar w:fldCharType="begin"/>
      </w:r>
      <w:r>
        <w:instrText xml:space="preserve"> PAGEREF _Toc15850 \h </w:instrText>
      </w:r>
      <w:r>
        <w:fldChar w:fldCharType="separate"/>
      </w:r>
      <w:r>
        <w:t>10</w:t>
      </w:r>
      <w:r>
        <w:fldChar w:fldCharType="end"/>
      </w:r>
      <w:r>
        <w:rPr>
          <w:szCs w:val="21"/>
        </w:rPr>
        <w:fldChar w:fldCharType="end"/>
      </w:r>
    </w:p>
    <w:p>
      <w:pPr>
        <w:spacing w:line="300" w:lineRule="auto"/>
        <w:rPr>
          <w:sz w:val="21"/>
          <w:szCs w:val="21"/>
        </w:rPr>
      </w:pPr>
      <w:r>
        <w:rPr>
          <w:szCs w:val="21"/>
        </w:rPr>
        <w:fldChar w:fldCharType="end"/>
      </w:r>
    </w:p>
    <w:p>
      <w:pPr>
        <w:spacing w:line="300" w:lineRule="auto"/>
        <w:rPr>
          <w:sz w:val="21"/>
          <w:szCs w:val="21"/>
        </w:rPr>
        <w:sectPr>
          <w:footerReference r:id="rId5" w:type="default"/>
          <w:footerReference r:id="rId6" w:type="even"/>
          <w:pgSz w:w="11906" w:h="16838"/>
          <w:pgMar w:top="1440" w:right="1800" w:bottom="1440" w:left="1800" w:header="851" w:footer="992" w:gutter="0"/>
          <w:cols w:space="720" w:num="1"/>
          <w:docGrid w:type="lines" w:linePitch="312" w:charSpace="0"/>
        </w:sectPr>
      </w:pPr>
    </w:p>
    <w:p>
      <w:pPr>
        <w:pStyle w:val="4"/>
        <w:rPr>
          <w:rFonts w:cs="宋体"/>
          <w:szCs w:val="24"/>
        </w:rPr>
      </w:pPr>
      <w:bookmarkStart w:id="0" w:name="_Toc24403"/>
      <w:bookmarkStart w:id="1" w:name="_Toc16594"/>
      <w:r>
        <w:rPr>
          <w:rFonts w:hint="eastAsia" w:cs="宋体"/>
          <w:szCs w:val="24"/>
        </w:rPr>
        <w:t>总则</w:t>
      </w:r>
      <w:bookmarkEnd w:id="0"/>
      <w:bookmarkEnd w:id="1"/>
    </w:p>
    <w:p>
      <w:pPr>
        <w:pStyle w:val="5"/>
        <w:rPr>
          <w:rFonts w:hAnsi="宋体" w:cs="宋体"/>
          <w:szCs w:val="24"/>
        </w:rPr>
      </w:pPr>
      <w:r>
        <w:rPr>
          <w:rFonts w:hint="eastAsia" w:hAnsi="宋体" w:cs="宋体"/>
          <w:szCs w:val="24"/>
        </w:rPr>
        <w:t>一般要求</w:t>
      </w:r>
    </w:p>
    <w:p>
      <w:pPr>
        <w:pStyle w:val="30"/>
        <w:numPr>
          <w:ilvl w:val="2"/>
          <w:numId w:val="4"/>
        </w:numPr>
        <w:rPr>
          <w:rFonts w:cs="宋体"/>
        </w:rPr>
      </w:pPr>
      <w:r>
        <w:rPr>
          <w:rFonts w:hint="eastAsia" w:cs="宋体"/>
        </w:rPr>
        <w:t>投标方必须认真阅读本技术条款内容，以免造成投标失败。</w:t>
      </w:r>
    </w:p>
    <w:p>
      <w:pPr>
        <w:pStyle w:val="30"/>
        <w:numPr>
          <w:ilvl w:val="2"/>
          <w:numId w:val="4"/>
        </w:numPr>
        <w:rPr>
          <w:rFonts w:cs="宋体"/>
        </w:rPr>
      </w:pPr>
      <w:r>
        <w:rPr>
          <w:rFonts w:hint="eastAsia" w:cs="宋体"/>
        </w:rPr>
        <w:t>本技术规范书主要描述</w:t>
      </w:r>
      <w:r>
        <w:rPr>
          <w:rFonts w:hint="eastAsia" w:cs="宋体"/>
          <w:lang w:eastAsia="zh-CN"/>
        </w:rPr>
        <w:t>崇左供电局2025年基于智瞰的施工人员现场管控应用技术支持</w:t>
      </w:r>
      <w:r>
        <w:rPr>
          <w:rFonts w:hint="eastAsia" w:cs="宋体"/>
        </w:rPr>
        <w:t>要求有关事项。</w:t>
      </w:r>
    </w:p>
    <w:p>
      <w:pPr>
        <w:pStyle w:val="30"/>
        <w:numPr>
          <w:ilvl w:val="2"/>
          <w:numId w:val="4"/>
        </w:numPr>
        <w:rPr>
          <w:rFonts w:cs="宋体"/>
        </w:rPr>
      </w:pPr>
      <w:r>
        <w:rPr>
          <w:rFonts w:hint="eastAsia" w:cs="宋体"/>
        </w:rPr>
        <w:t>本技术规范书提出的是最低限度的技术要求，并未对一切技术细节作出规定，也未充分引述有关标准和规范的条文。投标方应提供符合本招标技术文件和工业标准的优质产品、服务，认真阅读，逐条准确回答和陈述，必须清楚地说明是否满足本技术规范书的每一项具体要求。如果不满足要求，除在逐条应答时予以说明外，还需以“差异表”的形式另外列出。</w:t>
      </w:r>
    </w:p>
    <w:p>
      <w:pPr>
        <w:pStyle w:val="30"/>
        <w:numPr>
          <w:ilvl w:val="2"/>
          <w:numId w:val="4"/>
        </w:numPr>
        <w:rPr>
          <w:rFonts w:cs="宋体"/>
        </w:rPr>
      </w:pPr>
      <w:r>
        <w:rPr>
          <w:rFonts w:hint="eastAsia" w:cs="宋体"/>
        </w:rPr>
        <w:t>投标方应提供满足本技术规范书要求的建议书、实施方案及报价，建议书、实施方案必须满足本技术规范的主要要求，否则将被认作没有回答。投标方认为需特殊说明的部分，应附详细的技术资料，否则因评标理解不同而产生的后果由投标方负责。</w:t>
      </w:r>
    </w:p>
    <w:p>
      <w:pPr>
        <w:pStyle w:val="30"/>
        <w:numPr>
          <w:ilvl w:val="2"/>
          <w:numId w:val="4"/>
        </w:numPr>
        <w:rPr>
          <w:rFonts w:cs="宋体"/>
        </w:rPr>
      </w:pPr>
      <w:r>
        <w:rPr>
          <w:rFonts w:hint="eastAsia" w:cs="宋体"/>
        </w:rPr>
        <w:t>如果投标方认为本技术条款所描述技术要求等存在不合理性或不明白的，可在响应原要求后陈述相关建议。</w:t>
      </w:r>
    </w:p>
    <w:p>
      <w:pPr>
        <w:pStyle w:val="30"/>
        <w:numPr>
          <w:ilvl w:val="2"/>
          <w:numId w:val="4"/>
        </w:numPr>
        <w:rPr>
          <w:rFonts w:cs="宋体"/>
        </w:rPr>
      </w:pPr>
      <w:r>
        <w:rPr>
          <w:rFonts w:hint="eastAsia" w:cs="宋体"/>
        </w:rPr>
        <w:t>投标方也可提出满足本技术规范书要求，且技术先进、成熟、价格合理的其他建议，供招标方选择。</w:t>
      </w:r>
    </w:p>
    <w:p>
      <w:pPr>
        <w:pStyle w:val="30"/>
        <w:numPr>
          <w:ilvl w:val="2"/>
          <w:numId w:val="4"/>
        </w:numPr>
        <w:rPr>
          <w:rFonts w:cs="宋体"/>
        </w:rPr>
      </w:pPr>
      <w:r>
        <w:rPr>
          <w:rFonts w:hint="eastAsia" w:cs="宋体"/>
        </w:rPr>
        <w:t>投标方应提供满足本技术规范书要求的完整的服务、工作产品，满足国家及用户提出的有关质量标准要求。所有工作产品必须具有在中国境内的合法使用权。</w:t>
      </w:r>
    </w:p>
    <w:p>
      <w:pPr>
        <w:pStyle w:val="30"/>
        <w:numPr>
          <w:ilvl w:val="2"/>
          <w:numId w:val="4"/>
        </w:numPr>
        <w:rPr>
          <w:rFonts w:cs="宋体"/>
        </w:rPr>
      </w:pPr>
      <w:r>
        <w:rPr>
          <w:rFonts w:hint="eastAsia" w:cs="宋体"/>
        </w:rPr>
        <w:t>本技术规范书所使用的标准如与投标方所执行的标准不一致，按较高标准执行。</w:t>
      </w:r>
    </w:p>
    <w:p>
      <w:pPr>
        <w:pStyle w:val="30"/>
        <w:numPr>
          <w:ilvl w:val="2"/>
          <w:numId w:val="4"/>
        </w:numPr>
        <w:rPr>
          <w:rFonts w:cs="宋体"/>
        </w:rPr>
      </w:pPr>
      <w:r>
        <w:rPr>
          <w:rFonts w:hint="eastAsia" w:cs="宋体"/>
        </w:rPr>
        <w:t>如果因为无法提供的原因而提供其他产品、服务，投标方应明确说明并提出质量保证承诺。</w:t>
      </w:r>
    </w:p>
    <w:p>
      <w:pPr>
        <w:pStyle w:val="30"/>
        <w:numPr>
          <w:ilvl w:val="2"/>
          <w:numId w:val="4"/>
        </w:numPr>
        <w:rPr>
          <w:rFonts w:cs="宋体"/>
        </w:rPr>
      </w:pPr>
      <w:r>
        <w:rPr>
          <w:rFonts w:hint="eastAsia" w:cs="宋体"/>
        </w:rPr>
        <w:t>投标方应对本次投标所有文件保密，不得向其他单位公布或泄漏招标项目的有关信息。</w:t>
      </w:r>
    </w:p>
    <w:p>
      <w:pPr>
        <w:pStyle w:val="30"/>
        <w:numPr>
          <w:ilvl w:val="2"/>
          <w:numId w:val="4"/>
        </w:numPr>
        <w:rPr>
          <w:rFonts w:cs="宋体"/>
        </w:rPr>
      </w:pPr>
      <w:r>
        <w:rPr>
          <w:rFonts w:hint="eastAsia" w:cs="宋体"/>
        </w:rPr>
        <w:t>在不超出本技术规范书要求的情况下，投标方应对招标方提出的所有细化要求予以满足。</w:t>
      </w:r>
    </w:p>
    <w:p>
      <w:pPr>
        <w:pStyle w:val="30"/>
        <w:numPr>
          <w:ilvl w:val="2"/>
          <w:numId w:val="4"/>
        </w:numPr>
        <w:rPr>
          <w:rFonts w:cs="宋体"/>
        </w:rPr>
      </w:pPr>
      <w:r>
        <w:rPr>
          <w:rFonts w:hint="eastAsia" w:cs="宋体"/>
        </w:rPr>
        <w:t>投标方建议书的详细要求见招标书的商务部分。投标方必须按照招标书要求提供相应文件。</w:t>
      </w:r>
    </w:p>
    <w:p>
      <w:pPr>
        <w:pStyle w:val="30"/>
        <w:numPr>
          <w:ilvl w:val="2"/>
          <w:numId w:val="4"/>
        </w:numPr>
        <w:rPr>
          <w:rFonts w:cs="宋体"/>
        </w:rPr>
      </w:pPr>
      <w:r>
        <w:rPr>
          <w:rFonts w:hint="eastAsia" w:cs="宋体"/>
        </w:rPr>
        <w:t>所有文件、图纸、通信的均使用中文。所有计算、说明、图纸文件、手册等使用国际单位制。</w:t>
      </w:r>
    </w:p>
    <w:p>
      <w:pPr>
        <w:pStyle w:val="5"/>
        <w:rPr>
          <w:rFonts w:hAnsi="宋体" w:cs="宋体"/>
          <w:szCs w:val="24"/>
        </w:rPr>
      </w:pPr>
      <w:r>
        <w:rPr>
          <w:rFonts w:hint="eastAsia" w:hAnsi="宋体" w:cs="宋体"/>
          <w:szCs w:val="24"/>
        </w:rPr>
        <w:t>投标方职责</w:t>
      </w:r>
    </w:p>
    <w:p>
      <w:pPr>
        <w:pStyle w:val="6"/>
        <w:rPr>
          <w:bCs/>
        </w:rPr>
      </w:pPr>
      <w:r>
        <w:rPr>
          <w:rFonts w:hint="eastAsia"/>
          <w:bCs/>
        </w:rPr>
        <w:t>负责本规范书内所需服务、工作产品的方案设计，并根据招标方需求细化。</w:t>
      </w:r>
    </w:p>
    <w:p>
      <w:pPr>
        <w:pStyle w:val="6"/>
        <w:rPr>
          <w:bCs/>
        </w:rPr>
      </w:pPr>
      <w:r>
        <w:rPr>
          <w:rFonts w:hint="eastAsia"/>
          <w:bCs/>
        </w:rPr>
        <w:t>负责服务、工作产品现场验收。</w:t>
      </w:r>
    </w:p>
    <w:p>
      <w:pPr>
        <w:pStyle w:val="6"/>
        <w:rPr>
          <w:bCs/>
        </w:rPr>
      </w:pPr>
      <w:r>
        <w:rPr>
          <w:rFonts w:hint="eastAsia"/>
          <w:bCs/>
        </w:rPr>
        <w:t>签订合同后为招标方提供项目管理服务。</w:t>
      </w:r>
    </w:p>
    <w:p>
      <w:pPr>
        <w:pStyle w:val="6"/>
        <w:rPr>
          <w:bCs/>
        </w:rPr>
      </w:pPr>
      <w:r>
        <w:rPr>
          <w:rFonts w:hint="eastAsia"/>
          <w:bCs/>
        </w:rPr>
        <w:t>负责提供项目内软件的光盘备份。</w:t>
      </w:r>
    </w:p>
    <w:p>
      <w:pPr>
        <w:pStyle w:val="6"/>
        <w:rPr>
          <w:bCs/>
        </w:rPr>
      </w:pPr>
      <w:r>
        <w:rPr>
          <w:rFonts w:hint="eastAsia"/>
          <w:bCs/>
        </w:rPr>
        <w:t>列出需招标方提供的数据、资料详细清单。</w:t>
      </w:r>
    </w:p>
    <w:p>
      <w:pPr>
        <w:pStyle w:val="6"/>
        <w:rPr>
          <w:bCs/>
        </w:rPr>
      </w:pPr>
      <w:r>
        <w:rPr>
          <w:rFonts w:hint="eastAsia"/>
          <w:bCs/>
        </w:rPr>
        <w:t>负责提供服务、工作产品的所有文件资料和技术资料。</w:t>
      </w:r>
    </w:p>
    <w:p>
      <w:pPr>
        <w:pStyle w:val="6"/>
        <w:rPr>
          <w:bCs/>
        </w:rPr>
      </w:pPr>
      <w:r>
        <w:rPr>
          <w:rFonts w:hint="eastAsia"/>
          <w:bCs/>
        </w:rPr>
        <w:t>负责最终提供的全部技术资料的准确性。</w:t>
      </w:r>
    </w:p>
    <w:p>
      <w:pPr>
        <w:pStyle w:val="6"/>
        <w:rPr>
          <w:bCs/>
        </w:rPr>
      </w:pPr>
      <w:r>
        <w:rPr>
          <w:rFonts w:hint="eastAsia"/>
          <w:bCs/>
        </w:rPr>
        <w:t>保证提供的所有服务、工作产品的质量及技术指标完全满足本规范书要求。</w:t>
      </w:r>
    </w:p>
    <w:p>
      <w:pPr>
        <w:pStyle w:val="6"/>
        <w:rPr>
          <w:bCs/>
        </w:rPr>
      </w:pPr>
      <w:r>
        <w:rPr>
          <w:rFonts w:hint="eastAsia"/>
          <w:bCs/>
        </w:rPr>
        <w:t>负责配合招标方有关人员在投标方地点的联络会等事宜，投标方自理投标方项目组人员的往返交通、住宿等费用等。</w:t>
      </w:r>
    </w:p>
    <w:p>
      <w:pPr>
        <w:pStyle w:val="6"/>
        <w:rPr>
          <w:bCs/>
        </w:rPr>
      </w:pPr>
      <w:r>
        <w:rPr>
          <w:rFonts w:hint="eastAsia"/>
          <w:bCs/>
        </w:rPr>
        <w:t>与招标方签订保密协议，遵守招标方的相关保密制度。</w:t>
      </w:r>
    </w:p>
    <w:p>
      <w:pPr>
        <w:pStyle w:val="6"/>
        <w:tabs>
          <w:tab w:val="clear" w:pos="6089"/>
        </w:tabs>
        <w:rPr>
          <w:bCs/>
        </w:rPr>
      </w:pPr>
      <w:r>
        <w:rPr>
          <w:rFonts w:hint="eastAsia"/>
          <w:bCs/>
        </w:rPr>
        <w:t>投标方（服务商、供应商）按照广西电网公司档案管理要求，根据归档范围负责自“项目准备”至“项目验收”阶段的项目文件收集、整理、组卷，并按规定时限向招标方项目负责人移交。投标方应明确负责档案管理的人员，开工前投标方必须向招标方提供档案管理人员名单表，经招标方确认后方可实施。</w:t>
      </w:r>
    </w:p>
    <w:p>
      <w:pPr>
        <w:pStyle w:val="5"/>
        <w:rPr>
          <w:rFonts w:hAnsi="宋体" w:cs="宋体"/>
          <w:szCs w:val="24"/>
        </w:rPr>
      </w:pPr>
      <w:r>
        <w:rPr>
          <w:rFonts w:hint="eastAsia" w:hAnsi="宋体" w:cs="宋体"/>
          <w:szCs w:val="24"/>
        </w:rPr>
        <w:t>招标方职责</w:t>
      </w:r>
    </w:p>
    <w:p>
      <w:pPr>
        <w:pStyle w:val="6"/>
        <w:rPr>
          <w:bCs/>
        </w:rPr>
      </w:pPr>
      <w:r>
        <w:rPr>
          <w:rFonts w:hint="eastAsia"/>
          <w:bCs/>
        </w:rPr>
        <w:t>负责提供与本项目有关的技术资料、参数及图纸。</w:t>
      </w:r>
    </w:p>
    <w:p>
      <w:pPr>
        <w:pStyle w:val="6"/>
        <w:rPr>
          <w:bCs/>
        </w:rPr>
      </w:pPr>
      <w:r>
        <w:rPr>
          <w:rFonts w:hint="eastAsia"/>
          <w:bCs/>
        </w:rPr>
        <w:t>确认投标方提供的服务、工作产品的文件资料和技术。</w:t>
      </w:r>
    </w:p>
    <w:p>
      <w:pPr>
        <w:pStyle w:val="6"/>
        <w:rPr>
          <w:bCs/>
        </w:rPr>
      </w:pPr>
      <w:r>
        <w:rPr>
          <w:rFonts w:hint="eastAsia"/>
          <w:bCs/>
        </w:rPr>
        <w:t>提供满足投标方开展工作的环境条件</w:t>
      </w:r>
    </w:p>
    <w:p>
      <w:pPr>
        <w:pStyle w:val="6"/>
        <w:rPr>
          <w:bCs/>
        </w:rPr>
      </w:pPr>
      <w:r>
        <w:rPr>
          <w:rFonts w:hint="eastAsia"/>
          <w:bCs/>
        </w:rPr>
        <w:t>参加相关联络会。</w:t>
      </w:r>
    </w:p>
    <w:p>
      <w:pPr>
        <w:pStyle w:val="6"/>
        <w:rPr>
          <w:bCs/>
        </w:rPr>
      </w:pPr>
      <w:r>
        <w:rPr>
          <w:rFonts w:hint="eastAsia"/>
          <w:bCs/>
        </w:rPr>
        <w:t>负责向投标方解释技术规范书中的要求。</w:t>
      </w:r>
    </w:p>
    <w:p>
      <w:pPr>
        <w:pStyle w:val="6"/>
        <w:rPr>
          <w:bCs/>
        </w:rPr>
      </w:pPr>
      <w:r>
        <w:rPr>
          <w:rFonts w:hint="eastAsia"/>
          <w:bCs/>
        </w:rPr>
        <w:t>配合投标方完成项目工作，并组织验收。</w:t>
      </w:r>
    </w:p>
    <w:p>
      <w:pPr>
        <w:pStyle w:val="4"/>
        <w:rPr>
          <w:rFonts w:cs="宋体"/>
          <w:szCs w:val="24"/>
        </w:rPr>
      </w:pPr>
      <w:bookmarkStart w:id="2" w:name="_Toc11275"/>
      <w:bookmarkStart w:id="3" w:name="_Toc351129172"/>
      <w:bookmarkStart w:id="4" w:name="_Toc12289"/>
      <w:r>
        <w:rPr>
          <w:rFonts w:hint="eastAsia" w:cs="宋体"/>
          <w:szCs w:val="24"/>
        </w:rPr>
        <w:t>应遵循的主要标准</w:t>
      </w:r>
      <w:bookmarkEnd w:id="2"/>
      <w:bookmarkEnd w:id="3"/>
      <w:bookmarkEnd w:id="4"/>
    </w:p>
    <w:p>
      <w:pPr>
        <w:ind w:firstLine="480" w:firstLineChars="200"/>
        <w:rPr>
          <w:rFonts w:cs="宋体"/>
        </w:rPr>
      </w:pPr>
      <w:r>
        <w:rPr>
          <w:rFonts w:hint="eastAsia"/>
        </w:rPr>
        <w:t>投标方在</w:t>
      </w:r>
      <w:r>
        <w:rPr>
          <w:rFonts w:hint="eastAsia" w:cs="宋体"/>
        </w:rPr>
        <w:t>服务支持</w:t>
      </w:r>
      <w:r>
        <w:rPr>
          <w:rFonts w:hint="eastAsia"/>
        </w:rPr>
        <w:t>工作过程中提供的所有服务、技术支持、工作产品，除本规范书中规定的技术参数和要求外，其余均应遵照最新版本的国际电信联盟(ITU)、国际电工委员会标准(IEC)、国际公制(SI)、国际标准化组织（ISO）、国家标准及广西电网有限责任公司的相关管理制度。如果投标方有自己的标准或规范经招标方同意方可采用，但原则上均不能低于上述标准的有关规定，特别是这些规定或规程中互相矛盾的地方，应先征得招标方同意，再开展</w:t>
      </w:r>
      <w:r>
        <w:rPr>
          <w:rFonts w:hint="eastAsia" w:cs="宋体"/>
        </w:rPr>
        <w:t>服务支持</w:t>
      </w:r>
      <w:r>
        <w:rPr>
          <w:rFonts w:hint="eastAsia"/>
        </w:rPr>
        <w:t>工作</w:t>
      </w:r>
      <w:r>
        <w:rPr>
          <w:rFonts w:hint="eastAsia" w:cs="宋体"/>
        </w:rPr>
        <w:t>。本项目的工作应遵循以下标准和文件要求：</w:t>
      </w:r>
    </w:p>
    <w:tbl>
      <w:tblPr>
        <w:tblStyle w:val="24"/>
        <w:tblW w:w="8528"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2660"/>
        <w:gridCol w:w="5868"/>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660" w:type="dxa"/>
            <w:shd w:val="clear" w:color="auto" w:fill="auto"/>
          </w:tcPr>
          <w:p>
            <w:pPr>
              <w:widowControl/>
              <w:spacing w:line="240" w:lineRule="auto"/>
              <w:jc w:val="center"/>
              <w:textAlignment w:val="center"/>
              <w:rPr>
                <w:rFonts w:hint="eastAsia" w:ascii="宋体" w:hAnsi="宋体" w:eastAsia="宋体" w:cs="宋体"/>
                <w:b/>
                <w:kern w:val="0"/>
              </w:rPr>
            </w:pPr>
            <w:r>
              <w:rPr>
                <w:rFonts w:hint="eastAsia" w:ascii="宋体" w:hAnsi="宋体" w:eastAsia="宋体" w:cs="宋体"/>
                <w:b/>
                <w:kern w:val="0"/>
              </w:rPr>
              <w:t>标准号或文号</w:t>
            </w:r>
          </w:p>
        </w:tc>
        <w:tc>
          <w:tcPr>
            <w:tcW w:w="5868" w:type="dxa"/>
            <w:shd w:val="clear" w:color="auto" w:fill="auto"/>
          </w:tcPr>
          <w:p>
            <w:pPr>
              <w:widowControl/>
              <w:spacing w:line="240" w:lineRule="auto"/>
              <w:jc w:val="center"/>
              <w:textAlignment w:val="center"/>
              <w:rPr>
                <w:rFonts w:hint="eastAsia" w:ascii="宋体" w:hAnsi="宋体" w:eastAsia="宋体" w:cs="宋体"/>
                <w:b/>
                <w:kern w:val="0"/>
              </w:rPr>
            </w:pPr>
            <w:r>
              <w:rPr>
                <w:rFonts w:hint="eastAsia" w:ascii="宋体" w:hAnsi="宋体" w:eastAsia="宋体" w:cs="宋体"/>
                <w:b/>
                <w:kern w:val="0"/>
              </w:rPr>
              <w:t>标准名称</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660" w:type="dxa"/>
            <w:shd w:val="clear" w:color="auto" w:fill="auto"/>
            <w:vAlign w:val="center"/>
          </w:tcPr>
          <w:p>
            <w:pPr>
              <w:widowControl/>
              <w:spacing w:line="240" w:lineRule="auto"/>
              <w:jc w:val="center"/>
              <w:textAlignment w:val="center"/>
              <w:rPr>
                <w:rFonts w:hint="eastAsia" w:ascii="宋体" w:hAnsi="宋体" w:eastAsia="宋体" w:cs="宋体"/>
                <w:b w:val="0"/>
                <w:bCs/>
                <w:kern w:val="0"/>
                <w:sz w:val="22"/>
                <w:szCs w:val="22"/>
              </w:rPr>
            </w:pPr>
            <w:r>
              <w:rPr>
                <w:rFonts w:hint="eastAsia" w:ascii="宋体" w:hAnsi="宋体" w:eastAsia="宋体" w:cs="宋体"/>
                <w:b w:val="0"/>
                <w:bCs/>
                <w:kern w:val="0"/>
                <w:sz w:val="22"/>
                <w:szCs w:val="22"/>
                <w:lang w:val="en-US" w:eastAsia="zh-CN"/>
              </w:rPr>
              <w:t>Q/CSG2152009-2022</w:t>
            </w:r>
          </w:p>
        </w:tc>
        <w:tc>
          <w:tcPr>
            <w:tcW w:w="5868" w:type="dxa"/>
            <w:shd w:val="clear" w:color="auto" w:fill="auto"/>
            <w:vAlign w:val="center"/>
          </w:tcPr>
          <w:p>
            <w:pPr>
              <w:widowControl/>
              <w:spacing w:line="240" w:lineRule="auto"/>
              <w:jc w:val="center"/>
              <w:textAlignment w:val="center"/>
              <w:rPr>
                <w:rFonts w:hint="eastAsia" w:ascii="宋体" w:hAnsi="宋体" w:eastAsia="宋体" w:cs="宋体"/>
                <w:b w:val="0"/>
                <w:bCs/>
                <w:kern w:val="0"/>
                <w:sz w:val="22"/>
                <w:szCs w:val="22"/>
              </w:rPr>
            </w:pPr>
            <w:r>
              <w:rPr>
                <w:rFonts w:hint="eastAsia" w:ascii="宋体" w:hAnsi="宋体" w:eastAsia="宋体" w:cs="宋体"/>
                <w:b w:val="0"/>
                <w:bCs/>
                <w:kern w:val="0"/>
                <w:sz w:val="22"/>
                <w:szCs w:val="22"/>
                <w:lang w:val="en-US" w:eastAsia="zh-CN"/>
              </w:rPr>
              <w:t>中国南方电网有限责任公司数据资产管理办法</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660" w:type="dxa"/>
            <w:shd w:val="clear" w:color="auto" w:fill="auto"/>
            <w:vAlign w:val="center"/>
          </w:tcPr>
          <w:p>
            <w:pPr>
              <w:widowControl/>
              <w:spacing w:line="240" w:lineRule="auto"/>
              <w:jc w:val="center"/>
              <w:textAlignment w:val="center"/>
              <w:rPr>
                <w:rFonts w:hint="eastAsia" w:ascii="宋体" w:hAnsi="宋体" w:eastAsia="宋体" w:cs="宋体"/>
                <w:b w:val="0"/>
                <w:bCs/>
                <w:kern w:val="0"/>
                <w:sz w:val="22"/>
                <w:szCs w:val="22"/>
              </w:rPr>
            </w:pPr>
            <w:r>
              <w:rPr>
                <w:rFonts w:hint="eastAsia" w:ascii="宋体" w:hAnsi="宋体" w:eastAsia="宋体" w:cs="宋体"/>
                <w:b w:val="0"/>
                <w:bCs/>
                <w:kern w:val="0"/>
                <w:sz w:val="22"/>
                <w:szCs w:val="22"/>
                <w:lang w:val="en-US" w:eastAsia="zh-CN"/>
              </w:rPr>
              <w:t>Q/CSG2153002-2022</w:t>
            </w:r>
          </w:p>
        </w:tc>
        <w:tc>
          <w:tcPr>
            <w:tcW w:w="5868" w:type="dxa"/>
            <w:shd w:val="clear" w:color="auto" w:fill="auto"/>
            <w:vAlign w:val="center"/>
          </w:tcPr>
          <w:p>
            <w:pPr>
              <w:widowControl/>
              <w:spacing w:line="240" w:lineRule="auto"/>
              <w:jc w:val="center"/>
              <w:textAlignment w:val="center"/>
              <w:rPr>
                <w:rFonts w:hint="eastAsia" w:ascii="宋体" w:hAnsi="宋体" w:eastAsia="宋体" w:cs="宋体"/>
                <w:b w:val="0"/>
                <w:bCs/>
                <w:kern w:val="0"/>
                <w:sz w:val="22"/>
                <w:szCs w:val="22"/>
              </w:rPr>
            </w:pPr>
            <w:r>
              <w:rPr>
                <w:rFonts w:hint="eastAsia" w:ascii="宋体" w:hAnsi="宋体" w:eastAsia="宋体" w:cs="宋体"/>
                <w:b w:val="0"/>
                <w:bCs/>
                <w:kern w:val="0"/>
                <w:sz w:val="22"/>
                <w:szCs w:val="22"/>
                <w:lang w:val="en-US" w:eastAsia="zh-CN"/>
              </w:rPr>
              <w:t>中国南方电网有限责任公司数据质量管理细则</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660" w:type="dxa"/>
            <w:shd w:val="clear" w:color="auto" w:fill="auto"/>
            <w:vAlign w:val="center"/>
          </w:tcPr>
          <w:p>
            <w:pPr>
              <w:widowControl/>
              <w:spacing w:line="240" w:lineRule="auto"/>
              <w:jc w:val="center"/>
              <w:textAlignment w:val="center"/>
              <w:rPr>
                <w:rFonts w:hint="eastAsia" w:ascii="宋体" w:hAnsi="宋体" w:eastAsia="宋体" w:cs="宋体"/>
                <w:b w:val="0"/>
                <w:bCs/>
                <w:kern w:val="0"/>
                <w:sz w:val="22"/>
                <w:szCs w:val="22"/>
              </w:rPr>
            </w:pPr>
            <w:r>
              <w:rPr>
                <w:rFonts w:hint="eastAsia" w:ascii="宋体" w:hAnsi="宋体" w:eastAsia="宋体" w:cs="宋体"/>
                <w:b w:val="0"/>
                <w:bCs/>
                <w:kern w:val="0"/>
                <w:sz w:val="22"/>
                <w:szCs w:val="22"/>
                <w:lang w:val="en-US" w:eastAsia="zh-CN"/>
              </w:rPr>
              <w:t xml:space="preserve"> Q/CSG2153088-2021</w:t>
            </w:r>
          </w:p>
        </w:tc>
        <w:tc>
          <w:tcPr>
            <w:tcW w:w="5868" w:type="dxa"/>
            <w:shd w:val="clear" w:color="auto" w:fill="auto"/>
            <w:vAlign w:val="center"/>
          </w:tcPr>
          <w:p>
            <w:pPr>
              <w:widowControl/>
              <w:spacing w:line="240" w:lineRule="auto"/>
              <w:jc w:val="center"/>
              <w:textAlignment w:val="center"/>
              <w:rPr>
                <w:rFonts w:hint="eastAsia" w:ascii="宋体" w:hAnsi="宋体" w:eastAsia="宋体" w:cs="宋体"/>
                <w:b w:val="0"/>
                <w:bCs/>
                <w:kern w:val="0"/>
                <w:sz w:val="22"/>
                <w:szCs w:val="22"/>
              </w:rPr>
            </w:pPr>
            <w:r>
              <w:rPr>
                <w:rFonts w:hint="eastAsia" w:ascii="宋体" w:hAnsi="宋体" w:eastAsia="宋体" w:cs="宋体"/>
                <w:b w:val="0"/>
                <w:bCs/>
                <w:kern w:val="0"/>
                <w:sz w:val="22"/>
                <w:szCs w:val="22"/>
                <w:lang w:val="en-US" w:eastAsia="zh-CN"/>
              </w:rPr>
              <w:t>中国南方电网有限责任公司数据应用管理细则</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660" w:type="dxa"/>
            <w:shd w:val="clear" w:color="auto" w:fill="auto"/>
            <w:vAlign w:val="center"/>
          </w:tcPr>
          <w:p>
            <w:pPr>
              <w:widowControl/>
              <w:spacing w:line="240" w:lineRule="auto"/>
              <w:jc w:val="center"/>
              <w:textAlignment w:val="center"/>
              <w:rPr>
                <w:rFonts w:hint="eastAsia" w:ascii="宋体" w:hAnsi="宋体" w:eastAsia="宋体" w:cs="宋体"/>
                <w:b w:val="0"/>
                <w:bCs/>
                <w:kern w:val="0"/>
                <w:sz w:val="22"/>
                <w:szCs w:val="22"/>
              </w:rPr>
            </w:pPr>
            <w:r>
              <w:rPr>
                <w:rFonts w:hint="eastAsia" w:ascii="宋体" w:hAnsi="宋体" w:eastAsia="宋体" w:cs="宋体"/>
                <w:b w:val="0"/>
                <w:bCs/>
                <w:kern w:val="0"/>
                <w:sz w:val="22"/>
                <w:szCs w:val="22"/>
                <w:lang w:val="en-US" w:eastAsia="zh-CN"/>
              </w:rPr>
              <w:t>Q/CSG2153006-2022</w:t>
            </w:r>
          </w:p>
        </w:tc>
        <w:tc>
          <w:tcPr>
            <w:tcW w:w="5868" w:type="dxa"/>
            <w:shd w:val="clear" w:color="auto" w:fill="auto"/>
            <w:vAlign w:val="center"/>
          </w:tcPr>
          <w:p>
            <w:pPr>
              <w:widowControl/>
              <w:spacing w:line="240" w:lineRule="auto"/>
              <w:jc w:val="center"/>
              <w:textAlignment w:val="center"/>
              <w:rPr>
                <w:rFonts w:hint="eastAsia" w:ascii="宋体" w:hAnsi="宋体" w:eastAsia="宋体" w:cs="宋体"/>
                <w:b w:val="0"/>
                <w:bCs/>
                <w:kern w:val="0"/>
                <w:sz w:val="22"/>
                <w:szCs w:val="22"/>
              </w:rPr>
            </w:pPr>
            <w:r>
              <w:rPr>
                <w:rFonts w:hint="eastAsia" w:ascii="宋体" w:hAnsi="宋体" w:eastAsia="宋体" w:cs="宋体"/>
                <w:b w:val="0"/>
                <w:bCs/>
                <w:kern w:val="0"/>
                <w:sz w:val="22"/>
                <w:szCs w:val="22"/>
                <w:lang w:val="en-US" w:eastAsia="zh-CN"/>
              </w:rPr>
              <w:t>中国南方电网有限责任公司数据共享开放管理细则</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660" w:type="dxa"/>
            <w:shd w:val="clear" w:color="auto" w:fill="auto"/>
            <w:vAlign w:val="center"/>
          </w:tcPr>
          <w:p>
            <w:pPr>
              <w:widowControl/>
              <w:spacing w:line="240" w:lineRule="auto"/>
              <w:jc w:val="center"/>
              <w:textAlignment w:val="center"/>
              <w:rPr>
                <w:rFonts w:hint="eastAsia" w:ascii="宋体" w:hAnsi="宋体" w:eastAsia="宋体" w:cs="宋体"/>
                <w:b w:val="0"/>
                <w:bCs/>
                <w:kern w:val="0"/>
                <w:sz w:val="22"/>
                <w:szCs w:val="22"/>
              </w:rPr>
            </w:pPr>
            <w:r>
              <w:rPr>
                <w:rFonts w:hint="eastAsia" w:ascii="宋体" w:hAnsi="宋体" w:eastAsia="宋体" w:cs="宋体"/>
                <w:b w:val="0"/>
                <w:bCs/>
                <w:kern w:val="0"/>
                <w:sz w:val="22"/>
                <w:szCs w:val="22"/>
                <w:lang w:val="en-US" w:eastAsia="zh-CN"/>
              </w:rPr>
              <w:t>Q/CSG2153081-2020</w:t>
            </w:r>
          </w:p>
        </w:tc>
        <w:tc>
          <w:tcPr>
            <w:tcW w:w="5868" w:type="dxa"/>
            <w:shd w:val="clear" w:color="auto" w:fill="auto"/>
            <w:vAlign w:val="center"/>
          </w:tcPr>
          <w:p>
            <w:pPr>
              <w:widowControl/>
              <w:spacing w:line="240" w:lineRule="auto"/>
              <w:jc w:val="center"/>
              <w:textAlignment w:val="center"/>
              <w:rPr>
                <w:rFonts w:hint="eastAsia" w:ascii="宋体" w:hAnsi="宋体" w:eastAsia="宋体" w:cs="宋体"/>
                <w:b w:val="0"/>
                <w:bCs/>
                <w:kern w:val="0"/>
                <w:sz w:val="22"/>
                <w:szCs w:val="22"/>
              </w:rPr>
            </w:pPr>
            <w:r>
              <w:rPr>
                <w:rFonts w:hint="eastAsia" w:ascii="宋体" w:hAnsi="宋体" w:eastAsia="宋体" w:cs="宋体"/>
                <w:b w:val="0"/>
                <w:bCs/>
                <w:kern w:val="0"/>
                <w:sz w:val="22"/>
                <w:szCs w:val="22"/>
                <w:lang w:val="en-US" w:eastAsia="zh-CN"/>
              </w:rPr>
              <w:t>中国南方电网有限责任公司数据模型管理细则</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7" w:hRule="atLeast"/>
        </w:trPr>
        <w:tc>
          <w:tcPr>
            <w:tcW w:w="2660" w:type="dxa"/>
            <w:shd w:val="clear" w:color="auto" w:fill="auto"/>
            <w:vAlign w:val="center"/>
          </w:tcPr>
          <w:p>
            <w:pPr>
              <w:widowControl/>
              <w:spacing w:line="240" w:lineRule="auto"/>
              <w:jc w:val="center"/>
              <w:textAlignment w:val="center"/>
              <w:rPr>
                <w:rFonts w:hint="eastAsia" w:ascii="宋体" w:hAnsi="宋体" w:eastAsia="宋体" w:cs="宋体"/>
                <w:b w:val="0"/>
                <w:bCs/>
                <w:kern w:val="0"/>
                <w:sz w:val="22"/>
                <w:szCs w:val="22"/>
              </w:rPr>
            </w:pPr>
            <w:r>
              <w:rPr>
                <w:rFonts w:hint="eastAsia" w:ascii="宋体" w:hAnsi="宋体" w:eastAsia="宋体" w:cs="宋体"/>
                <w:b w:val="0"/>
                <w:bCs/>
                <w:kern w:val="0"/>
                <w:sz w:val="22"/>
                <w:szCs w:val="22"/>
                <w:lang w:val="en-US" w:eastAsia="zh-CN"/>
              </w:rPr>
              <w:t>Q/CSG2153007-2022</w:t>
            </w:r>
          </w:p>
        </w:tc>
        <w:tc>
          <w:tcPr>
            <w:tcW w:w="5868" w:type="dxa"/>
            <w:shd w:val="clear" w:color="auto" w:fill="auto"/>
            <w:vAlign w:val="center"/>
          </w:tcPr>
          <w:p>
            <w:pPr>
              <w:widowControl/>
              <w:spacing w:line="240" w:lineRule="auto"/>
              <w:jc w:val="center"/>
              <w:textAlignment w:val="center"/>
              <w:rPr>
                <w:rFonts w:hint="eastAsia" w:ascii="宋体" w:hAnsi="宋体" w:eastAsia="宋体" w:cs="宋体"/>
                <w:b w:val="0"/>
                <w:bCs/>
                <w:kern w:val="0"/>
                <w:sz w:val="22"/>
                <w:szCs w:val="22"/>
              </w:rPr>
            </w:pPr>
            <w:r>
              <w:rPr>
                <w:rFonts w:hint="eastAsia" w:ascii="宋体" w:hAnsi="宋体" w:eastAsia="宋体" w:cs="宋体"/>
                <w:b w:val="0"/>
                <w:bCs/>
                <w:kern w:val="0"/>
                <w:sz w:val="22"/>
                <w:szCs w:val="22"/>
                <w:lang w:val="en-US" w:eastAsia="zh-CN"/>
              </w:rPr>
              <w:t>中国南方电网有限责任公司数据认责管理细则</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9" w:hRule="atLeast"/>
        </w:trPr>
        <w:tc>
          <w:tcPr>
            <w:tcW w:w="2660" w:type="dxa"/>
            <w:shd w:val="clear" w:color="auto" w:fill="auto"/>
            <w:vAlign w:val="center"/>
          </w:tcPr>
          <w:p>
            <w:pPr>
              <w:widowControl/>
              <w:spacing w:line="240" w:lineRule="auto"/>
              <w:jc w:val="center"/>
              <w:textAlignment w:val="center"/>
              <w:rPr>
                <w:rFonts w:hint="eastAsia" w:ascii="宋体" w:hAnsi="宋体" w:eastAsia="宋体" w:cs="宋体"/>
                <w:b w:val="0"/>
                <w:bCs/>
                <w:kern w:val="0"/>
                <w:sz w:val="22"/>
                <w:szCs w:val="22"/>
              </w:rPr>
            </w:pPr>
            <w:r>
              <w:rPr>
                <w:rFonts w:hint="eastAsia" w:ascii="宋体" w:hAnsi="宋体" w:eastAsia="宋体" w:cs="宋体"/>
                <w:b w:val="0"/>
                <w:bCs/>
                <w:kern w:val="0"/>
                <w:sz w:val="22"/>
                <w:szCs w:val="22"/>
                <w:lang w:val="en-US" w:eastAsia="zh-CN"/>
              </w:rPr>
              <w:t>Q/CSG2153004-2022</w:t>
            </w:r>
          </w:p>
        </w:tc>
        <w:tc>
          <w:tcPr>
            <w:tcW w:w="5868" w:type="dxa"/>
            <w:shd w:val="clear" w:color="auto" w:fill="auto"/>
            <w:vAlign w:val="center"/>
          </w:tcPr>
          <w:p>
            <w:pPr>
              <w:widowControl/>
              <w:spacing w:line="240" w:lineRule="auto"/>
              <w:jc w:val="center"/>
              <w:textAlignment w:val="center"/>
              <w:rPr>
                <w:rFonts w:hint="eastAsia" w:ascii="宋体" w:hAnsi="宋体" w:eastAsia="宋体" w:cs="宋体"/>
                <w:b w:val="0"/>
                <w:bCs/>
                <w:kern w:val="0"/>
                <w:sz w:val="22"/>
                <w:szCs w:val="22"/>
              </w:rPr>
            </w:pPr>
            <w:r>
              <w:rPr>
                <w:rFonts w:hint="eastAsia" w:ascii="宋体" w:hAnsi="宋体" w:eastAsia="宋体" w:cs="宋体"/>
                <w:b w:val="0"/>
                <w:bCs/>
                <w:kern w:val="0"/>
                <w:sz w:val="22"/>
                <w:szCs w:val="22"/>
                <w:lang w:val="en-US" w:eastAsia="zh-CN"/>
              </w:rPr>
              <w:t>中国南方电网有限责任公司数据采集与运维管理细则</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08" w:hRule="atLeast"/>
        </w:trPr>
        <w:tc>
          <w:tcPr>
            <w:tcW w:w="2660" w:type="dxa"/>
            <w:shd w:val="clear" w:color="auto" w:fill="auto"/>
            <w:vAlign w:val="center"/>
          </w:tcPr>
          <w:p>
            <w:pPr>
              <w:widowControl/>
              <w:spacing w:line="240" w:lineRule="auto"/>
              <w:jc w:val="center"/>
              <w:textAlignment w:val="center"/>
              <w:rPr>
                <w:rFonts w:hint="eastAsia" w:ascii="宋体" w:hAnsi="宋体" w:eastAsia="宋体" w:cs="宋体"/>
                <w:b w:val="0"/>
                <w:bCs/>
                <w:kern w:val="0"/>
                <w:sz w:val="22"/>
                <w:szCs w:val="22"/>
                <w:lang w:val="en-US" w:eastAsia="zh-CN"/>
              </w:rPr>
            </w:pPr>
            <w:r>
              <w:rPr>
                <w:rFonts w:hint="eastAsia" w:ascii="宋体" w:hAnsi="宋体" w:eastAsia="宋体" w:cs="宋体"/>
                <w:b w:val="0"/>
                <w:bCs/>
                <w:kern w:val="0"/>
                <w:sz w:val="22"/>
                <w:szCs w:val="22"/>
                <w:lang w:val="en-US" w:eastAsia="zh-CN"/>
              </w:rPr>
              <w:t>Q/CSG2152001-2022</w:t>
            </w:r>
          </w:p>
        </w:tc>
        <w:tc>
          <w:tcPr>
            <w:tcW w:w="5868" w:type="dxa"/>
            <w:shd w:val="clear" w:color="auto" w:fill="auto"/>
            <w:vAlign w:val="center"/>
          </w:tcPr>
          <w:p>
            <w:pPr>
              <w:widowControl/>
              <w:spacing w:line="240" w:lineRule="auto"/>
              <w:jc w:val="center"/>
              <w:textAlignment w:val="center"/>
              <w:rPr>
                <w:rFonts w:hint="eastAsia" w:ascii="宋体" w:hAnsi="宋体" w:eastAsia="宋体" w:cs="宋体"/>
                <w:b w:val="0"/>
                <w:bCs/>
                <w:kern w:val="0"/>
                <w:sz w:val="22"/>
                <w:szCs w:val="22"/>
              </w:rPr>
            </w:pPr>
            <w:r>
              <w:rPr>
                <w:rFonts w:hint="eastAsia" w:ascii="宋体" w:hAnsi="宋体" w:eastAsia="宋体" w:cs="宋体"/>
                <w:b w:val="0"/>
                <w:bCs/>
                <w:kern w:val="0"/>
                <w:sz w:val="22"/>
                <w:szCs w:val="22"/>
                <w:lang w:val="en-US" w:eastAsia="zh-CN"/>
              </w:rPr>
              <w:t>中国南方电网有限责任公司数据安全管理办法</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30" w:hRule="atLeast"/>
        </w:trPr>
        <w:tc>
          <w:tcPr>
            <w:tcW w:w="2660" w:type="dxa"/>
            <w:shd w:val="clear" w:color="auto" w:fill="auto"/>
            <w:vAlign w:val="center"/>
          </w:tcPr>
          <w:p>
            <w:pPr>
              <w:widowControl/>
              <w:spacing w:line="240" w:lineRule="auto"/>
              <w:jc w:val="center"/>
              <w:textAlignment w:val="center"/>
              <w:rPr>
                <w:rFonts w:hint="eastAsia" w:ascii="宋体" w:hAnsi="宋体" w:eastAsia="宋体" w:cs="宋体"/>
                <w:b w:val="0"/>
                <w:bCs/>
                <w:kern w:val="0"/>
                <w:sz w:val="22"/>
                <w:szCs w:val="22"/>
                <w:lang w:val="en-US" w:eastAsia="zh-CN"/>
              </w:rPr>
            </w:pPr>
            <w:r>
              <w:rPr>
                <w:rFonts w:hint="eastAsia" w:ascii="宋体" w:hAnsi="宋体" w:eastAsia="宋体" w:cs="宋体"/>
                <w:b w:val="0"/>
                <w:bCs/>
                <w:kern w:val="0"/>
                <w:sz w:val="22"/>
                <w:szCs w:val="22"/>
                <w:lang w:val="en-US" w:eastAsia="zh-CN"/>
              </w:rPr>
              <w:t xml:space="preserve"> Q/CSG2152010-2022 </w:t>
            </w:r>
          </w:p>
        </w:tc>
        <w:tc>
          <w:tcPr>
            <w:tcW w:w="5868" w:type="dxa"/>
            <w:shd w:val="clear" w:color="auto" w:fill="auto"/>
            <w:vAlign w:val="center"/>
          </w:tcPr>
          <w:p>
            <w:pPr>
              <w:widowControl/>
              <w:spacing w:line="240" w:lineRule="auto"/>
              <w:jc w:val="center"/>
              <w:textAlignment w:val="center"/>
              <w:rPr>
                <w:rFonts w:hint="eastAsia" w:ascii="宋体" w:hAnsi="宋体" w:eastAsia="宋体" w:cs="宋体"/>
                <w:b w:val="0"/>
                <w:bCs/>
                <w:kern w:val="0"/>
                <w:sz w:val="22"/>
                <w:szCs w:val="22"/>
                <w:lang w:val="en-US" w:eastAsia="zh-CN"/>
              </w:rPr>
            </w:pPr>
            <w:r>
              <w:rPr>
                <w:rFonts w:hint="eastAsia" w:ascii="宋体" w:hAnsi="宋体" w:eastAsia="宋体" w:cs="宋体"/>
                <w:b w:val="0"/>
                <w:bCs/>
                <w:kern w:val="0"/>
                <w:sz w:val="22"/>
                <w:szCs w:val="22"/>
                <w:lang w:val="en-US" w:eastAsia="zh-CN"/>
              </w:rPr>
              <w:t>中国南方电网有限责任公司信息系统运行管理办法</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04" w:hRule="atLeast"/>
        </w:trPr>
        <w:tc>
          <w:tcPr>
            <w:tcW w:w="2660" w:type="dxa"/>
            <w:shd w:val="clear" w:color="auto" w:fill="auto"/>
            <w:vAlign w:val="center"/>
          </w:tcPr>
          <w:p>
            <w:pPr>
              <w:widowControl/>
              <w:spacing w:line="240" w:lineRule="auto"/>
              <w:jc w:val="center"/>
              <w:textAlignment w:val="center"/>
              <w:rPr>
                <w:rFonts w:hint="eastAsia" w:ascii="宋体" w:hAnsi="宋体" w:eastAsia="宋体" w:cs="宋体"/>
                <w:b w:val="0"/>
                <w:bCs/>
                <w:kern w:val="0"/>
                <w:sz w:val="22"/>
                <w:szCs w:val="22"/>
                <w:lang w:val="en-US" w:eastAsia="zh-CN"/>
              </w:rPr>
            </w:pPr>
            <w:r>
              <w:rPr>
                <w:rFonts w:hint="eastAsia" w:ascii="宋体" w:hAnsi="宋体" w:eastAsia="宋体" w:cs="宋体"/>
                <w:b w:val="0"/>
                <w:bCs/>
                <w:kern w:val="0"/>
                <w:sz w:val="22"/>
                <w:szCs w:val="22"/>
                <w:lang w:val="en-US" w:eastAsia="zh-CN"/>
              </w:rPr>
              <w:t xml:space="preserve">Q/CSG2153078-2020  </w:t>
            </w:r>
          </w:p>
        </w:tc>
        <w:tc>
          <w:tcPr>
            <w:tcW w:w="5868" w:type="dxa"/>
            <w:shd w:val="clear" w:color="auto" w:fill="auto"/>
            <w:vAlign w:val="center"/>
          </w:tcPr>
          <w:p>
            <w:pPr>
              <w:widowControl/>
              <w:spacing w:line="240" w:lineRule="auto"/>
              <w:jc w:val="center"/>
              <w:textAlignment w:val="center"/>
              <w:rPr>
                <w:rFonts w:hint="eastAsia" w:ascii="宋体" w:hAnsi="宋体" w:eastAsia="宋体" w:cs="宋体"/>
                <w:b w:val="0"/>
                <w:bCs/>
                <w:kern w:val="0"/>
                <w:sz w:val="22"/>
                <w:szCs w:val="22"/>
                <w:lang w:val="en-US" w:eastAsia="zh-CN"/>
              </w:rPr>
            </w:pPr>
            <w:r>
              <w:rPr>
                <w:rFonts w:hint="eastAsia" w:ascii="宋体" w:hAnsi="宋体" w:eastAsia="宋体" w:cs="宋体"/>
                <w:b w:val="0"/>
                <w:bCs/>
                <w:kern w:val="0"/>
                <w:sz w:val="22"/>
                <w:szCs w:val="22"/>
                <w:lang w:val="en-US" w:eastAsia="zh-CN"/>
              </w:rPr>
              <w:t>中国南方电网有限责任公司信息化项目管理细则</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0" w:hRule="atLeast"/>
        </w:trPr>
        <w:tc>
          <w:tcPr>
            <w:tcW w:w="2660" w:type="dxa"/>
            <w:shd w:val="clear" w:color="auto" w:fill="auto"/>
            <w:vAlign w:val="center"/>
          </w:tcPr>
          <w:p>
            <w:pPr>
              <w:widowControl/>
              <w:spacing w:line="240" w:lineRule="auto"/>
              <w:jc w:val="center"/>
              <w:textAlignment w:val="center"/>
              <w:rPr>
                <w:rFonts w:hint="eastAsia" w:ascii="宋体" w:hAnsi="宋体" w:eastAsia="宋体" w:cs="宋体"/>
                <w:b w:val="0"/>
                <w:bCs/>
                <w:kern w:val="0"/>
                <w:sz w:val="22"/>
                <w:szCs w:val="22"/>
                <w:lang w:val="en-US" w:eastAsia="zh-CN"/>
              </w:rPr>
            </w:pPr>
            <w:r>
              <w:rPr>
                <w:rFonts w:hint="eastAsia" w:ascii="宋体" w:hAnsi="宋体" w:eastAsia="宋体" w:cs="宋体"/>
                <w:b w:val="0"/>
                <w:bCs/>
                <w:kern w:val="0"/>
                <w:sz w:val="22"/>
                <w:szCs w:val="22"/>
                <w:lang w:val="en-US" w:eastAsia="zh-CN"/>
              </w:rPr>
              <w:t>Q/CSG2153080-2020</w:t>
            </w:r>
          </w:p>
        </w:tc>
        <w:tc>
          <w:tcPr>
            <w:tcW w:w="5868" w:type="dxa"/>
            <w:shd w:val="clear" w:color="auto" w:fill="auto"/>
            <w:vAlign w:val="center"/>
          </w:tcPr>
          <w:p>
            <w:pPr>
              <w:widowControl/>
              <w:spacing w:line="240" w:lineRule="auto"/>
              <w:jc w:val="center"/>
              <w:textAlignment w:val="center"/>
              <w:rPr>
                <w:rFonts w:hint="eastAsia" w:ascii="宋体" w:hAnsi="宋体" w:eastAsia="宋体" w:cs="宋体"/>
                <w:b w:val="0"/>
                <w:bCs/>
                <w:kern w:val="0"/>
                <w:sz w:val="22"/>
                <w:szCs w:val="22"/>
                <w:lang w:val="en-US" w:eastAsia="zh-CN"/>
              </w:rPr>
            </w:pPr>
            <w:r>
              <w:rPr>
                <w:rFonts w:hint="eastAsia" w:ascii="宋体" w:hAnsi="宋体" w:eastAsia="宋体" w:cs="宋体"/>
                <w:b w:val="0"/>
                <w:bCs/>
                <w:kern w:val="0"/>
                <w:sz w:val="22"/>
                <w:szCs w:val="22"/>
                <w:lang w:val="en-US" w:eastAsia="zh-CN"/>
              </w:rPr>
              <w:t>中国南方电网有限责任公司信息化项目建设管理细则</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0" w:hRule="atLeast"/>
        </w:trPr>
        <w:tc>
          <w:tcPr>
            <w:tcW w:w="2660" w:type="dxa"/>
            <w:shd w:val="clear" w:color="auto" w:fill="auto"/>
            <w:vAlign w:val="center"/>
          </w:tcPr>
          <w:p>
            <w:pPr>
              <w:widowControl/>
              <w:spacing w:line="240" w:lineRule="auto"/>
              <w:jc w:val="center"/>
              <w:textAlignment w:val="center"/>
              <w:rPr>
                <w:rFonts w:hint="eastAsia" w:ascii="宋体" w:hAnsi="宋体" w:eastAsia="宋体" w:cs="宋体"/>
                <w:b w:val="0"/>
                <w:bCs/>
                <w:kern w:val="0"/>
                <w:sz w:val="22"/>
                <w:szCs w:val="22"/>
                <w:lang w:val="en-US" w:eastAsia="zh-CN"/>
              </w:rPr>
            </w:pPr>
            <w:r>
              <w:rPr>
                <w:rFonts w:hint="eastAsia" w:ascii="宋体" w:hAnsi="宋体" w:eastAsia="宋体" w:cs="宋体"/>
                <w:b w:val="0"/>
                <w:bCs/>
                <w:kern w:val="0"/>
                <w:sz w:val="22"/>
                <w:szCs w:val="22"/>
                <w:lang w:val="en-US" w:eastAsia="zh-CN"/>
              </w:rPr>
              <w:t>Q/CSG2153008-2022</w:t>
            </w:r>
          </w:p>
        </w:tc>
        <w:tc>
          <w:tcPr>
            <w:tcW w:w="5868" w:type="dxa"/>
            <w:shd w:val="clear" w:color="auto" w:fill="auto"/>
            <w:vAlign w:val="center"/>
          </w:tcPr>
          <w:p>
            <w:pPr>
              <w:widowControl/>
              <w:spacing w:line="240" w:lineRule="auto"/>
              <w:jc w:val="center"/>
              <w:textAlignment w:val="center"/>
              <w:rPr>
                <w:rFonts w:hint="eastAsia" w:ascii="宋体" w:hAnsi="宋体" w:eastAsia="宋体" w:cs="宋体"/>
                <w:b w:val="0"/>
                <w:bCs/>
                <w:kern w:val="0"/>
                <w:sz w:val="22"/>
                <w:szCs w:val="22"/>
                <w:lang w:val="en-US" w:eastAsia="zh-CN"/>
              </w:rPr>
            </w:pPr>
            <w:r>
              <w:rPr>
                <w:rFonts w:hint="eastAsia" w:ascii="宋体" w:hAnsi="宋体" w:eastAsia="宋体" w:cs="宋体"/>
                <w:b w:val="0"/>
                <w:bCs/>
                <w:kern w:val="0"/>
                <w:sz w:val="22"/>
                <w:szCs w:val="22"/>
                <w:lang w:val="en-US" w:eastAsia="zh-CN"/>
              </w:rPr>
              <w:t>中国南方电网有限责任公司主数据与数据服务管理细则</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0" w:hRule="atLeast"/>
        </w:trPr>
        <w:tc>
          <w:tcPr>
            <w:tcW w:w="2660" w:type="dxa"/>
            <w:shd w:val="clear" w:color="auto" w:fill="auto"/>
            <w:vAlign w:val="center"/>
          </w:tcPr>
          <w:p>
            <w:pPr>
              <w:widowControl/>
              <w:spacing w:line="240" w:lineRule="auto"/>
              <w:jc w:val="center"/>
              <w:textAlignment w:val="center"/>
              <w:rPr>
                <w:rFonts w:hint="eastAsia" w:ascii="宋体" w:hAnsi="宋体" w:eastAsia="宋体" w:cs="宋体"/>
                <w:b w:val="0"/>
                <w:bCs/>
                <w:kern w:val="0"/>
                <w:sz w:val="22"/>
                <w:szCs w:val="22"/>
                <w:lang w:val="en-US" w:eastAsia="zh-CN"/>
              </w:rPr>
            </w:pPr>
            <w:r>
              <w:rPr>
                <w:rFonts w:hint="eastAsia" w:ascii="宋体" w:hAnsi="宋体" w:eastAsia="宋体" w:cs="宋体"/>
                <w:b w:val="0"/>
                <w:bCs/>
                <w:kern w:val="0"/>
                <w:sz w:val="22"/>
                <w:szCs w:val="22"/>
                <w:lang w:val="en-US" w:eastAsia="zh-CN"/>
              </w:rPr>
              <w:t>Q/CSG2153005-2022</w:t>
            </w:r>
          </w:p>
        </w:tc>
        <w:tc>
          <w:tcPr>
            <w:tcW w:w="5868" w:type="dxa"/>
            <w:shd w:val="clear" w:color="auto" w:fill="auto"/>
            <w:vAlign w:val="center"/>
          </w:tcPr>
          <w:p>
            <w:pPr>
              <w:widowControl/>
              <w:spacing w:line="240" w:lineRule="auto"/>
              <w:jc w:val="center"/>
              <w:textAlignment w:val="center"/>
              <w:rPr>
                <w:rFonts w:hint="eastAsia" w:ascii="宋体" w:hAnsi="宋体" w:eastAsia="宋体" w:cs="宋体"/>
                <w:b w:val="0"/>
                <w:bCs/>
                <w:kern w:val="0"/>
                <w:sz w:val="22"/>
                <w:szCs w:val="22"/>
                <w:lang w:val="en-US" w:eastAsia="zh-CN"/>
              </w:rPr>
            </w:pPr>
            <w:r>
              <w:rPr>
                <w:rFonts w:hint="eastAsia" w:ascii="宋体" w:hAnsi="宋体" w:eastAsia="宋体" w:cs="宋体"/>
                <w:b w:val="0"/>
                <w:bCs/>
                <w:kern w:val="0"/>
                <w:sz w:val="22"/>
                <w:szCs w:val="22"/>
                <w:lang w:val="en-US" w:eastAsia="zh-CN"/>
              </w:rPr>
              <w:t>中国南方电网有限责任公司元数据与数据资产目录管理细则</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0" w:hRule="atLeast"/>
        </w:trPr>
        <w:tc>
          <w:tcPr>
            <w:tcW w:w="2660" w:type="dxa"/>
            <w:shd w:val="clear" w:color="auto" w:fill="auto"/>
            <w:vAlign w:val="center"/>
          </w:tcPr>
          <w:p>
            <w:pPr>
              <w:widowControl/>
              <w:spacing w:line="240" w:lineRule="auto"/>
              <w:jc w:val="center"/>
              <w:textAlignment w:val="center"/>
              <w:rPr>
                <w:rFonts w:hint="eastAsia" w:ascii="宋体" w:hAnsi="宋体" w:eastAsia="宋体" w:cs="宋体"/>
                <w:b w:val="0"/>
                <w:bCs/>
                <w:kern w:val="0"/>
                <w:sz w:val="22"/>
                <w:szCs w:val="22"/>
                <w:lang w:val="en-US" w:eastAsia="zh-CN"/>
              </w:rPr>
            </w:pPr>
            <w:r>
              <w:rPr>
                <w:rFonts w:hint="eastAsia" w:ascii="宋体" w:hAnsi="宋体" w:eastAsia="宋体" w:cs="宋体"/>
                <w:b w:val="0"/>
                <w:bCs/>
                <w:kern w:val="0"/>
                <w:sz w:val="22"/>
                <w:szCs w:val="22"/>
                <w:lang w:val="en-US" w:eastAsia="zh-CN"/>
              </w:rPr>
              <w:t xml:space="preserve"> Q/CSG2153084-2021  </w:t>
            </w:r>
          </w:p>
        </w:tc>
        <w:tc>
          <w:tcPr>
            <w:tcW w:w="5868" w:type="dxa"/>
            <w:shd w:val="clear" w:color="auto" w:fill="auto"/>
            <w:vAlign w:val="center"/>
          </w:tcPr>
          <w:p>
            <w:pPr>
              <w:widowControl/>
              <w:spacing w:line="240" w:lineRule="auto"/>
              <w:jc w:val="center"/>
              <w:textAlignment w:val="center"/>
              <w:rPr>
                <w:rFonts w:hint="eastAsia" w:ascii="宋体" w:hAnsi="宋体" w:eastAsia="宋体" w:cs="宋体"/>
                <w:b w:val="0"/>
                <w:bCs/>
                <w:kern w:val="0"/>
                <w:sz w:val="22"/>
                <w:szCs w:val="22"/>
                <w:lang w:val="en-US" w:eastAsia="zh-CN"/>
              </w:rPr>
            </w:pPr>
            <w:r>
              <w:rPr>
                <w:rFonts w:hint="eastAsia" w:ascii="宋体" w:hAnsi="宋体" w:eastAsia="宋体" w:cs="宋体"/>
                <w:b w:val="0"/>
                <w:bCs/>
                <w:kern w:val="0"/>
                <w:sz w:val="22"/>
                <w:szCs w:val="22"/>
                <w:lang w:val="en-US" w:eastAsia="zh-CN"/>
              </w:rPr>
              <w:t>中国南方电网有限责任公司IT资产管理细则</w:t>
            </w:r>
          </w:p>
        </w:tc>
      </w:tr>
    </w:tbl>
    <w:p>
      <w:pPr>
        <w:pStyle w:val="2"/>
      </w:pPr>
    </w:p>
    <w:p>
      <w:pPr>
        <w:pStyle w:val="4"/>
        <w:rPr>
          <w:rFonts w:cs="宋体"/>
        </w:rPr>
      </w:pPr>
      <w:bookmarkStart w:id="5" w:name="_Toc16235"/>
      <w:bookmarkStart w:id="6" w:name="_Toc12609"/>
      <w:r>
        <w:rPr>
          <w:rFonts w:hint="eastAsia" w:cs="宋体"/>
          <w:szCs w:val="24"/>
        </w:rPr>
        <w:t>项目概述</w:t>
      </w:r>
      <w:bookmarkEnd w:id="5"/>
      <w:bookmarkEnd w:id="6"/>
    </w:p>
    <w:p>
      <w:pPr>
        <w:ind w:firstLine="480" w:firstLineChars="200"/>
      </w:pPr>
      <w:r>
        <w:rPr>
          <w:rFonts w:hint="eastAsia" w:ascii="宋体" w:hAnsi="宋体" w:eastAsia="宋体" w:cs="宋体"/>
          <w:highlight w:val="none"/>
          <w:lang w:val="en-US" w:eastAsia="zh-CN"/>
        </w:rPr>
        <w:t>基于南网智瞰平台及相关技术规范</w:t>
      </w:r>
      <w:r>
        <w:rPr>
          <w:rFonts w:hint="eastAsia" w:ascii="宋体" w:hAnsi="宋体" w:cs="宋体"/>
          <w:highlight w:val="none"/>
          <w:lang w:val="en-US" w:eastAsia="zh-CN"/>
        </w:rPr>
        <w:t>，</w:t>
      </w:r>
      <w:r>
        <w:rPr>
          <w:rFonts w:hint="eastAsia" w:ascii="宋体" w:hAnsi="宋体" w:eastAsia="宋体" w:cs="宋体"/>
          <w:highlight w:val="none"/>
          <w:lang w:val="en-US" w:eastAsia="zh-CN"/>
        </w:rPr>
        <w:t>对</w:t>
      </w:r>
      <w:r>
        <w:rPr>
          <w:rFonts w:hint="eastAsia" w:ascii="宋体" w:hAnsi="宋体" w:cs="宋体"/>
          <w:highlight w:val="none"/>
          <w:lang w:val="en-US" w:eastAsia="zh-CN"/>
        </w:rPr>
        <w:t>崇左供电局2025年基于智瞰的施工人员现场管控应用技术支持</w:t>
      </w:r>
      <w:r>
        <w:rPr>
          <w:rFonts w:hint="eastAsia" w:ascii="宋体" w:hAnsi="宋体" w:eastAsia="宋体" w:cs="宋体"/>
          <w:highlight w:val="none"/>
          <w:lang w:val="en-US" w:eastAsia="zh-CN"/>
        </w:rPr>
        <w:t>开展业务需求调研，编写</w:t>
      </w:r>
      <w:r>
        <w:rPr>
          <w:rFonts w:hint="eastAsia" w:ascii="宋体" w:hAnsi="宋体" w:cs="宋体"/>
          <w:highlight w:val="none"/>
          <w:lang w:val="en-US" w:eastAsia="zh-CN"/>
        </w:rPr>
        <w:t>业务</w:t>
      </w:r>
      <w:r>
        <w:rPr>
          <w:rFonts w:hint="eastAsia" w:ascii="宋体" w:hAnsi="宋体" w:eastAsia="宋体" w:cs="宋体"/>
          <w:highlight w:val="none"/>
          <w:lang w:val="en-US" w:eastAsia="zh-CN"/>
        </w:rPr>
        <w:t>场景需求规格说明书，根据需求规格说明</w:t>
      </w:r>
      <w:r>
        <w:rPr>
          <w:rFonts w:hint="eastAsia" w:ascii="宋体" w:hAnsi="宋体" w:cs="宋体"/>
          <w:highlight w:val="none"/>
          <w:lang w:val="en-US" w:eastAsia="zh-CN"/>
        </w:rPr>
        <w:t>书</w:t>
      </w:r>
      <w:r>
        <w:rPr>
          <w:rFonts w:hint="eastAsia" w:ascii="宋体" w:hAnsi="宋体" w:eastAsia="宋体" w:cs="宋体"/>
          <w:highlight w:val="none"/>
          <w:lang w:val="en-US" w:eastAsia="zh-CN"/>
        </w:rPr>
        <w:t>的要求完成</w:t>
      </w:r>
      <w:r>
        <w:rPr>
          <w:rFonts w:hint="eastAsia" w:ascii="宋体" w:hAnsi="宋体" w:cs="宋体"/>
          <w:highlight w:val="none"/>
          <w:lang w:val="en-US" w:eastAsia="zh-CN"/>
        </w:rPr>
        <w:t>专项服务接入</w:t>
      </w:r>
      <w:r>
        <w:rPr>
          <w:rFonts w:hint="eastAsia" w:ascii="宋体" w:hAnsi="宋体" w:eastAsia="宋体" w:cs="宋体"/>
          <w:highlight w:val="none"/>
          <w:lang w:val="en-US" w:eastAsia="zh-CN"/>
        </w:rPr>
        <w:t>、</w:t>
      </w:r>
      <w:r>
        <w:rPr>
          <w:rFonts w:hint="eastAsia" w:ascii="宋体" w:hAnsi="宋体" w:cs="宋体"/>
          <w:highlight w:val="none"/>
          <w:lang w:val="en-US" w:eastAsia="zh-CN"/>
        </w:rPr>
        <w:t>页面UI设计、应用页面设计、</w:t>
      </w:r>
      <w:r>
        <w:rPr>
          <w:rFonts w:hint="eastAsia" w:ascii="宋体" w:hAnsi="宋体" w:eastAsia="宋体" w:cs="宋体"/>
          <w:highlight w:val="none"/>
          <w:lang w:val="en-US" w:eastAsia="zh-CN"/>
        </w:rPr>
        <w:t>现场终端部署、调试实施，运行维护</w:t>
      </w:r>
      <w:r>
        <w:rPr>
          <w:rFonts w:hint="eastAsia" w:ascii="宋体" w:hAnsi="宋体" w:cs="宋体"/>
          <w:highlight w:val="none"/>
          <w:lang w:val="en-US" w:eastAsia="zh-CN"/>
        </w:rPr>
        <w:t>等</w:t>
      </w:r>
      <w:r>
        <w:rPr>
          <w:rFonts w:hint="eastAsia" w:ascii="宋体" w:hAnsi="宋体" w:eastAsia="宋体" w:cs="宋体"/>
          <w:highlight w:val="none"/>
          <w:lang w:val="en-US" w:eastAsia="zh-CN"/>
        </w:rPr>
        <w:t>技术支持工作</w:t>
      </w:r>
      <w:r>
        <w:t>。</w:t>
      </w:r>
    </w:p>
    <w:p>
      <w:pPr>
        <w:pStyle w:val="4"/>
        <w:rPr>
          <w:rFonts w:cs="宋体"/>
          <w:szCs w:val="24"/>
        </w:rPr>
      </w:pPr>
      <w:bookmarkStart w:id="7" w:name="_Toc17610"/>
      <w:bookmarkStart w:id="8" w:name="_Toc14502"/>
      <w:r>
        <w:rPr>
          <w:rFonts w:hint="eastAsia" w:cs="宋体"/>
          <w:szCs w:val="24"/>
        </w:rPr>
        <w:t>范围和内容</w:t>
      </w:r>
      <w:bookmarkEnd w:id="7"/>
      <w:bookmarkEnd w:id="8"/>
    </w:p>
    <w:p>
      <w:pPr>
        <w:ind w:firstLine="482" w:firstLineChars="200"/>
        <w:rPr>
          <w:rFonts w:cs="宋体"/>
          <w:highlight w:val="yellow"/>
        </w:rPr>
      </w:pPr>
      <w:r>
        <w:rPr>
          <w:rFonts w:hint="eastAsia"/>
          <w:b/>
          <w:color w:val="000000"/>
        </w:rPr>
        <w:t>本次采购的范围和内容如下，投标方应按此进行响应并分项报价</w:t>
      </w:r>
      <w:r>
        <w:rPr>
          <w:rFonts w:hint="eastAsia" w:cs="宋体"/>
        </w:rPr>
        <w:t>：</w:t>
      </w:r>
    </w:p>
    <w:tbl>
      <w:tblPr>
        <w:tblStyle w:val="24"/>
        <w:tblW w:w="8892" w:type="dxa"/>
        <w:tblInd w:w="-15"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15" w:type="dxa"/>
          <w:left w:w="108" w:type="dxa"/>
          <w:bottom w:w="15" w:type="dxa"/>
          <w:right w:w="108" w:type="dxa"/>
        </w:tblCellMar>
      </w:tblPr>
      <w:tblGrid>
        <w:gridCol w:w="1111"/>
        <w:gridCol w:w="1864"/>
        <w:gridCol w:w="5917"/>
      </w:tblGrid>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15" w:type="dxa"/>
            <w:left w:w="108" w:type="dxa"/>
            <w:bottom w:w="15" w:type="dxa"/>
            <w:right w:w="108" w:type="dxa"/>
          </w:tblCellMar>
        </w:tblPrEx>
        <w:trPr>
          <w:trHeight w:val="555" w:hRule="atLeast"/>
        </w:trPr>
        <w:tc>
          <w:tcPr>
            <w:tcW w:w="1111" w:type="dxa"/>
            <w:vAlign w:val="center"/>
          </w:tcPr>
          <w:p>
            <w:pPr>
              <w:widowControl/>
              <w:spacing w:line="240" w:lineRule="auto"/>
              <w:jc w:val="center"/>
              <w:rPr>
                <w:rFonts w:cs="宋体"/>
                <w:b/>
                <w:bCs/>
                <w:color w:val="000000"/>
                <w:kern w:val="0"/>
              </w:rPr>
            </w:pPr>
            <w:r>
              <w:rPr>
                <w:rFonts w:hint="eastAsia" w:cs="宋体"/>
                <w:b/>
                <w:bCs/>
                <w:color w:val="000000"/>
                <w:kern w:val="0"/>
              </w:rPr>
              <w:t>序号</w:t>
            </w:r>
          </w:p>
        </w:tc>
        <w:tc>
          <w:tcPr>
            <w:tcW w:w="1864" w:type="dxa"/>
            <w:vAlign w:val="center"/>
          </w:tcPr>
          <w:p>
            <w:pPr>
              <w:widowControl/>
              <w:spacing w:line="240" w:lineRule="auto"/>
              <w:jc w:val="center"/>
              <w:rPr>
                <w:rFonts w:cs="宋体"/>
                <w:b/>
                <w:bCs/>
                <w:color w:val="000000"/>
                <w:kern w:val="0"/>
              </w:rPr>
            </w:pPr>
            <w:r>
              <w:rPr>
                <w:rFonts w:hint="eastAsia" w:cs="宋体"/>
                <w:b/>
                <w:bCs/>
                <w:color w:val="000000"/>
                <w:kern w:val="0"/>
              </w:rPr>
              <w:t>采购分项</w:t>
            </w:r>
          </w:p>
        </w:tc>
        <w:tc>
          <w:tcPr>
            <w:tcW w:w="5917" w:type="dxa"/>
            <w:vAlign w:val="center"/>
          </w:tcPr>
          <w:p>
            <w:pPr>
              <w:widowControl/>
              <w:spacing w:line="240" w:lineRule="auto"/>
              <w:jc w:val="center"/>
              <w:rPr>
                <w:rFonts w:cs="宋体"/>
                <w:b/>
                <w:bCs/>
                <w:color w:val="000000"/>
                <w:kern w:val="0"/>
              </w:rPr>
            </w:pPr>
            <w:r>
              <w:rPr>
                <w:rFonts w:hint="eastAsia" w:cs="宋体"/>
                <w:b/>
                <w:bCs/>
                <w:color w:val="000000"/>
                <w:kern w:val="0"/>
              </w:rPr>
              <w:t>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8" w:hRule="atLeast"/>
        </w:trPr>
        <w:tc>
          <w:tcPr>
            <w:tcW w:w="1111" w:type="dxa"/>
            <w:vAlign w:val="center"/>
          </w:tcPr>
          <w:p>
            <w:pPr>
              <w:spacing w:line="300" w:lineRule="auto"/>
              <w:jc w:val="center"/>
              <w:rPr>
                <w:rFonts w:cs="宋体"/>
                <w:kern w:val="0"/>
              </w:rPr>
            </w:pPr>
            <w:r>
              <w:rPr>
                <w:rFonts w:hint="eastAsia" w:cs="宋体"/>
                <w:kern w:val="0"/>
              </w:rPr>
              <w:t>1</w:t>
            </w:r>
          </w:p>
        </w:tc>
        <w:tc>
          <w:tcPr>
            <w:tcW w:w="7781" w:type="dxa"/>
            <w:gridSpan w:val="2"/>
            <w:vAlign w:val="center"/>
          </w:tcPr>
          <w:p>
            <w:pPr>
              <w:widowControl/>
              <w:jc w:val="center"/>
              <w:textAlignment w:val="center"/>
              <w:rPr>
                <w:rFonts w:hint="eastAsia" w:eastAsia="宋体" w:cs="宋体"/>
                <w:b/>
                <w:bCs/>
                <w:kern w:val="0"/>
                <w:lang w:eastAsia="zh-CN"/>
              </w:rPr>
            </w:pPr>
            <w:r>
              <w:rPr>
                <w:rFonts w:hint="eastAsia" w:cs="宋体"/>
                <w:b/>
                <w:bCs/>
                <w:kern w:val="0"/>
                <w:lang w:eastAsia="zh-CN"/>
              </w:rPr>
              <w:t>基于智瞰的施工人员现场管控应用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1" w:hRule="atLeast"/>
        </w:trPr>
        <w:tc>
          <w:tcPr>
            <w:tcW w:w="1111" w:type="dxa"/>
            <w:vAlign w:val="center"/>
          </w:tcPr>
          <w:p>
            <w:pPr>
              <w:widowControl/>
              <w:jc w:val="center"/>
              <w:textAlignment w:val="center"/>
              <w:rPr>
                <w:rFonts w:cs="宋体"/>
                <w:kern w:val="0"/>
              </w:rPr>
            </w:pPr>
            <w:r>
              <w:rPr>
                <w:rFonts w:hint="eastAsia" w:cs="宋体"/>
                <w:color w:val="000000"/>
                <w:kern w:val="0"/>
                <w:lang w:bidi="ar"/>
              </w:rPr>
              <w:t>1.1</w:t>
            </w:r>
          </w:p>
        </w:tc>
        <w:tc>
          <w:tcPr>
            <w:tcW w:w="1864" w:type="dxa"/>
            <w:vAlign w:val="center"/>
          </w:tcPr>
          <w:p>
            <w:pPr>
              <w:widowControl/>
              <w:jc w:val="left"/>
              <w:textAlignment w:val="center"/>
              <w:rPr>
                <w:rFonts w:cs="宋体"/>
                <w:kern w:val="0"/>
              </w:rPr>
            </w:pPr>
            <w:r>
              <w:rPr>
                <w:rFonts w:hint="eastAsia" w:cs="宋体"/>
                <w:color w:val="000000"/>
                <w:lang w:bidi="ar"/>
              </w:rPr>
              <w:t>协助开展业务需求分析</w:t>
            </w:r>
          </w:p>
        </w:tc>
        <w:tc>
          <w:tcPr>
            <w:tcW w:w="5917" w:type="dxa"/>
            <w:vAlign w:val="center"/>
          </w:tcPr>
          <w:p>
            <w:pPr>
              <w:widowControl/>
              <w:textAlignment w:val="center"/>
              <w:rPr>
                <w:rFonts w:cs="宋体"/>
                <w:kern w:val="0"/>
              </w:rPr>
            </w:pPr>
            <w:r>
              <w:rPr>
                <w:rFonts w:hint="eastAsia" w:hAnsi="宋体" w:cs="宋体"/>
                <w:highlight w:val="none"/>
                <w:lang w:eastAsia="zh-CN"/>
              </w:rPr>
              <w:t>协助开展</w:t>
            </w:r>
            <w:r>
              <w:rPr>
                <w:rFonts w:hint="eastAsia" w:cs="宋体"/>
                <w:highlight w:val="none"/>
                <w:lang w:eastAsia="zh-CN"/>
              </w:rPr>
              <w:t>基于智瞰的施工人员现场管控应用</w:t>
            </w:r>
            <w:r>
              <w:rPr>
                <w:rFonts w:hint="eastAsia" w:hAnsi="宋体" w:cs="宋体"/>
                <w:highlight w:val="none"/>
                <w:lang w:eastAsia="zh-CN"/>
              </w:rPr>
              <w:t>的需求调研，完成需求设计及文档编写</w:t>
            </w:r>
            <w:r>
              <w:rPr>
                <w:rFonts w:hint="eastAsia" w:ascii="宋体" w:hAnsi="宋体" w:eastAsia="宋体" w:cs="宋体"/>
                <w:color w:val="000000"/>
                <w:lang w:bidi="ar"/>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1" w:hRule="atLeast"/>
        </w:trPr>
        <w:tc>
          <w:tcPr>
            <w:tcW w:w="1111" w:type="dxa"/>
            <w:vAlign w:val="center"/>
          </w:tcPr>
          <w:p>
            <w:pPr>
              <w:widowControl/>
              <w:jc w:val="center"/>
              <w:textAlignment w:val="center"/>
              <w:rPr>
                <w:rFonts w:cs="宋体"/>
                <w:color w:val="000000"/>
                <w:kern w:val="0"/>
                <w:lang w:bidi="ar"/>
              </w:rPr>
            </w:pPr>
            <w:r>
              <w:rPr>
                <w:rFonts w:hint="eastAsia" w:cs="宋体"/>
                <w:color w:val="000000"/>
                <w:kern w:val="0"/>
                <w:lang w:bidi="ar"/>
              </w:rPr>
              <w:t>1.2</w:t>
            </w:r>
          </w:p>
        </w:tc>
        <w:tc>
          <w:tcPr>
            <w:tcW w:w="1864" w:type="dxa"/>
            <w:vAlign w:val="center"/>
          </w:tcPr>
          <w:p>
            <w:pPr>
              <w:widowControl/>
              <w:jc w:val="left"/>
              <w:textAlignment w:val="center"/>
              <w:rPr>
                <w:rFonts w:cs="宋体"/>
                <w:kern w:val="0"/>
              </w:rPr>
            </w:pPr>
            <w:r>
              <w:rPr>
                <w:rFonts w:hint="eastAsia" w:cs="宋体"/>
                <w:color w:val="000000"/>
                <w:lang w:bidi="ar"/>
              </w:rPr>
              <w:t>协助专项服务接入</w:t>
            </w:r>
          </w:p>
        </w:tc>
        <w:tc>
          <w:tcPr>
            <w:tcW w:w="5917" w:type="dxa"/>
            <w:vAlign w:val="center"/>
          </w:tcPr>
          <w:p>
            <w:pPr>
              <w:widowControl/>
              <w:ind w:firstLine="480" w:firstLineChars="200"/>
              <w:jc w:val="left"/>
              <w:textAlignment w:val="center"/>
              <w:rPr>
                <w:rFonts w:hint="eastAsia" w:hAnsi="宋体" w:cs="宋体"/>
              </w:rPr>
            </w:pPr>
            <w:r>
              <w:rPr>
                <w:rFonts w:hint="eastAsia" w:hAnsi="宋体" w:cs="宋体"/>
              </w:rPr>
              <w:t>协助按需求进行服务接入，包括服务注册、管理、监控以及服务开发和服务联调、上线支持工作。涉及人员的资质及扣分信息、施工作业分布地图、施工作业的人员数量分布及预警地图等3大类业务数据溯源与接入工作，主要工作如下：</w:t>
            </w:r>
          </w:p>
          <w:p>
            <w:pPr>
              <w:widowControl/>
              <w:ind w:firstLine="480" w:firstLineChars="200"/>
              <w:jc w:val="left"/>
              <w:textAlignment w:val="center"/>
              <w:rPr>
                <w:rFonts w:hint="eastAsia" w:hAnsi="宋体" w:cs="宋体"/>
              </w:rPr>
            </w:pPr>
            <w:r>
              <w:rPr>
                <w:rFonts w:hint="eastAsia" w:hAnsi="宋体" w:cs="宋体"/>
              </w:rPr>
              <w:t>1、数据溯源，需按照数据路径找到对应表，获取字段字段值。</w:t>
            </w:r>
          </w:p>
          <w:p>
            <w:pPr>
              <w:widowControl/>
              <w:ind w:firstLine="480" w:firstLineChars="200"/>
              <w:jc w:val="left"/>
              <w:textAlignment w:val="center"/>
              <w:rPr>
                <w:rFonts w:hint="eastAsia" w:hAnsi="宋体" w:cs="宋体"/>
              </w:rPr>
            </w:pPr>
            <w:r>
              <w:rPr>
                <w:rFonts w:hint="eastAsia" w:hAnsi="宋体" w:cs="宋体"/>
              </w:rPr>
              <w:t>2、数据申请：将溯源到的表进行申</w:t>
            </w:r>
            <w:bookmarkStart w:id="37" w:name="_GoBack"/>
            <w:bookmarkEnd w:id="37"/>
            <w:r>
              <w:rPr>
                <w:rFonts w:hint="eastAsia" w:hAnsi="宋体" w:cs="宋体"/>
              </w:rPr>
              <w:t>请，跟进数据审核流程。</w:t>
            </w:r>
          </w:p>
          <w:p>
            <w:pPr>
              <w:widowControl/>
              <w:ind w:firstLine="480" w:firstLineChars="200"/>
              <w:jc w:val="left"/>
              <w:textAlignment w:val="center"/>
              <w:rPr>
                <w:rFonts w:hint="eastAsia" w:hAnsi="宋体" w:cs="宋体"/>
              </w:rPr>
            </w:pPr>
            <w:r>
              <w:rPr>
                <w:rFonts w:hint="eastAsia" w:hAnsi="宋体" w:cs="宋体"/>
              </w:rPr>
              <w:t>3、建表申请：根据所需字段创建数据库表，跟进建表审核流程。</w:t>
            </w:r>
          </w:p>
          <w:p>
            <w:pPr>
              <w:widowControl/>
              <w:ind w:firstLine="480" w:firstLineChars="200"/>
              <w:jc w:val="left"/>
              <w:textAlignment w:val="center"/>
              <w:rPr>
                <w:rFonts w:hint="eastAsia" w:hAnsi="宋体" w:cs="宋体"/>
              </w:rPr>
            </w:pPr>
            <w:r>
              <w:rPr>
                <w:rFonts w:hint="eastAsia" w:hAnsi="宋体" w:cs="宋体"/>
              </w:rPr>
              <w:t>4、数据处理：将申请到的数据按照规则进行数据匹配以及数据处理。</w:t>
            </w:r>
          </w:p>
          <w:p>
            <w:pPr>
              <w:widowControl/>
              <w:ind w:firstLine="480" w:firstLineChars="200"/>
              <w:jc w:val="left"/>
              <w:textAlignment w:val="center"/>
              <w:rPr>
                <w:rFonts w:cs="宋体"/>
                <w:kern w:val="0"/>
              </w:rPr>
            </w:pPr>
            <w:r>
              <w:rPr>
                <w:rFonts w:hint="eastAsia" w:hAnsi="宋体" w:cs="宋体"/>
              </w:rPr>
              <w:t>5、数据连接：测试服务器数据库与自主空间数据库的连接是否成功，建立的数据表是否显示</w:t>
            </w:r>
            <w:r>
              <w:rPr>
                <w:rFonts w:hint="eastAsia" w:cs="宋体"/>
                <w:color w:val="000000"/>
                <w:lang w:bidi="ar"/>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8" w:hRule="atLeast"/>
        </w:trPr>
        <w:tc>
          <w:tcPr>
            <w:tcW w:w="1111" w:type="dxa"/>
            <w:vAlign w:val="center"/>
          </w:tcPr>
          <w:p>
            <w:pPr>
              <w:widowControl/>
              <w:jc w:val="center"/>
              <w:textAlignment w:val="center"/>
              <w:rPr>
                <w:rFonts w:cs="宋体"/>
                <w:kern w:val="0"/>
              </w:rPr>
            </w:pPr>
            <w:r>
              <w:rPr>
                <w:rFonts w:hint="eastAsia" w:cs="宋体"/>
                <w:color w:val="000000"/>
                <w:kern w:val="0"/>
                <w:lang w:bidi="ar"/>
              </w:rPr>
              <w:t>1.3</w:t>
            </w:r>
          </w:p>
        </w:tc>
        <w:tc>
          <w:tcPr>
            <w:tcW w:w="1864" w:type="dxa"/>
            <w:vAlign w:val="center"/>
          </w:tcPr>
          <w:p>
            <w:pPr>
              <w:widowControl/>
              <w:jc w:val="left"/>
              <w:textAlignment w:val="center"/>
              <w:rPr>
                <w:rFonts w:cs="宋体"/>
                <w:kern w:val="0"/>
              </w:rPr>
            </w:pPr>
            <w:r>
              <w:rPr>
                <w:rFonts w:hint="eastAsia" w:cs="宋体"/>
                <w:color w:val="000000"/>
                <w:lang w:bidi="ar"/>
              </w:rPr>
              <w:t>协助分析问题</w:t>
            </w:r>
          </w:p>
        </w:tc>
        <w:tc>
          <w:tcPr>
            <w:tcW w:w="5917" w:type="dxa"/>
            <w:vAlign w:val="center"/>
          </w:tcPr>
          <w:p>
            <w:pPr>
              <w:widowControl/>
              <w:textAlignment w:val="center"/>
              <w:rPr>
                <w:rFonts w:cs="宋体"/>
                <w:kern w:val="0"/>
              </w:rPr>
            </w:pPr>
            <w:r>
              <w:rPr>
                <w:rFonts w:hint="eastAsia" w:ascii="宋体" w:hAnsi="宋体" w:cs="宋体"/>
                <w:highlight w:val="none"/>
                <w:lang w:val="en-US" w:eastAsia="zh-CN"/>
              </w:rPr>
              <w:t>协助完成对智瞰平台承载业务运转情况数据的收集及诊断工作，针对问题形成问题诊断表，并对问题诊断表进行分析解决，跟踪处理，并反馈结果给相应管理部门，对问题进行闭环管控</w:t>
            </w:r>
            <w:r>
              <w:rPr>
                <w:rFonts w:hint="eastAsia" w:cs="宋体"/>
                <w:color w:val="000000"/>
                <w:lang w:bidi="ar"/>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8" w:hRule="atLeast"/>
        </w:trPr>
        <w:tc>
          <w:tcPr>
            <w:tcW w:w="1111" w:type="dxa"/>
            <w:vAlign w:val="center"/>
          </w:tcPr>
          <w:p>
            <w:pPr>
              <w:widowControl/>
              <w:jc w:val="center"/>
              <w:textAlignment w:val="center"/>
              <w:rPr>
                <w:rFonts w:cs="宋体"/>
                <w:color w:val="000000"/>
                <w:kern w:val="0"/>
                <w:lang w:bidi="ar"/>
              </w:rPr>
            </w:pPr>
            <w:r>
              <w:rPr>
                <w:rFonts w:hint="eastAsia" w:cs="宋体"/>
                <w:kern w:val="0"/>
              </w:rPr>
              <w:t>1.4</w:t>
            </w:r>
          </w:p>
        </w:tc>
        <w:tc>
          <w:tcPr>
            <w:tcW w:w="1864" w:type="dxa"/>
            <w:vAlign w:val="center"/>
          </w:tcPr>
          <w:p>
            <w:pPr>
              <w:widowControl/>
              <w:jc w:val="left"/>
              <w:textAlignment w:val="center"/>
              <w:rPr>
                <w:rFonts w:cs="宋体"/>
                <w:kern w:val="0"/>
              </w:rPr>
            </w:pPr>
            <w:r>
              <w:rPr>
                <w:rFonts w:hint="eastAsia" w:cs="宋体"/>
                <w:color w:val="000000"/>
                <w:lang w:bidi="ar"/>
              </w:rPr>
              <w:t>平台使用支持服务</w:t>
            </w:r>
          </w:p>
        </w:tc>
        <w:tc>
          <w:tcPr>
            <w:tcW w:w="5917" w:type="dxa"/>
            <w:vAlign w:val="center"/>
          </w:tcPr>
          <w:p>
            <w:pPr>
              <w:widowControl/>
              <w:jc w:val="left"/>
              <w:textAlignment w:val="center"/>
              <w:rPr>
                <w:rFonts w:cs="宋体"/>
                <w:kern w:val="0"/>
              </w:rPr>
            </w:pPr>
            <w:r>
              <w:rPr>
                <w:rFonts w:hint="eastAsia" w:ascii="宋体" w:hAnsi="宋体" w:eastAsia="宋体" w:cs="宋体"/>
                <w:highlight w:val="none"/>
                <w:lang w:val="en-US" w:eastAsia="zh-CN"/>
              </w:rPr>
              <w:t>提供平台使用技术服务，对用户在使用智瞰平台中遇到的问题进行指导，帮助电网公司解决系统实用化问题</w:t>
            </w:r>
            <w:r>
              <w:rPr>
                <w:rFonts w:hint="eastAsia" w:cs="宋体"/>
                <w:color w:val="000000"/>
                <w:lang w:bidi="ar"/>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8" w:hRule="atLeast"/>
        </w:trPr>
        <w:tc>
          <w:tcPr>
            <w:tcW w:w="1111" w:type="dxa"/>
            <w:vAlign w:val="center"/>
          </w:tcPr>
          <w:p>
            <w:pPr>
              <w:widowControl/>
              <w:jc w:val="center"/>
              <w:textAlignment w:val="center"/>
              <w:rPr>
                <w:rFonts w:cs="宋体"/>
                <w:color w:val="000000"/>
                <w:kern w:val="0"/>
                <w:lang w:bidi="ar"/>
              </w:rPr>
            </w:pPr>
            <w:r>
              <w:rPr>
                <w:rFonts w:cs="宋体"/>
                <w:kern w:val="0"/>
              </w:rPr>
              <w:t>1.</w:t>
            </w:r>
            <w:r>
              <w:rPr>
                <w:rFonts w:hint="eastAsia" w:cs="宋体"/>
                <w:kern w:val="0"/>
              </w:rPr>
              <w:t>5</w:t>
            </w:r>
          </w:p>
        </w:tc>
        <w:tc>
          <w:tcPr>
            <w:tcW w:w="1864" w:type="dxa"/>
            <w:vAlign w:val="center"/>
          </w:tcPr>
          <w:p>
            <w:pPr>
              <w:widowControl/>
              <w:jc w:val="left"/>
              <w:textAlignment w:val="center"/>
              <w:rPr>
                <w:rFonts w:cs="宋体"/>
                <w:kern w:val="0"/>
              </w:rPr>
            </w:pPr>
            <w:r>
              <w:rPr>
                <w:rFonts w:hint="eastAsia" w:cs="宋体"/>
                <w:color w:val="000000"/>
                <w:lang w:bidi="ar"/>
              </w:rPr>
              <w:t>协助开展页面UI设计</w:t>
            </w:r>
          </w:p>
        </w:tc>
        <w:tc>
          <w:tcPr>
            <w:tcW w:w="5917" w:type="dxa"/>
            <w:vAlign w:val="center"/>
          </w:tcPr>
          <w:p>
            <w:pPr>
              <w:widowControl/>
              <w:jc w:val="left"/>
              <w:textAlignment w:val="center"/>
              <w:rPr>
                <w:rFonts w:cs="宋体"/>
                <w:kern w:val="0"/>
              </w:rPr>
            </w:pPr>
            <w:r>
              <w:rPr>
                <w:rFonts w:hint="eastAsia"/>
                <w:highlight w:val="none"/>
                <w:lang w:eastAsia="zh-CN"/>
              </w:rPr>
              <w:t>协助开展工作票数据表、新增弹窗、编辑弹窗、</w:t>
            </w:r>
            <w:r>
              <w:rPr>
                <w:rFonts w:hint="eastAsia"/>
                <w:highlight w:val="none"/>
                <w:lang w:val="en-US" w:eastAsia="zh-CN"/>
              </w:rPr>
              <w:t>施工项目</w:t>
            </w:r>
            <w:r>
              <w:rPr>
                <w:rFonts w:hint="eastAsia"/>
                <w:highlight w:val="none"/>
                <w:lang w:eastAsia="zh-CN"/>
              </w:rPr>
              <w:t>定位图标、删除按钮、导入导出弹窗、</w:t>
            </w:r>
            <w:r>
              <w:rPr>
                <w:rFonts w:hint="eastAsia"/>
                <w:highlight w:val="none"/>
                <w:lang w:val="en-US" w:eastAsia="zh-CN"/>
              </w:rPr>
              <w:t>人员数据</w:t>
            </w:r>
            <w:r>
              <w:rPr>
                <w:rFonts w:hint="eastAsia"/>
                <w:highlight w:val="none"/>
                <w:lang w:eastAsia="zh-CN"/>
              </w:rPr>
              <w:t>定位图标、各数据详细信息弹窗等不少于</w:t>
            </w:r>
            <w:r>
              <w:rPr>
                <w:rFonts w:hint="eastAsia"/>
                <w:highlight w:val="none"/>
                <w:lang w:val="en-US" w:eastAsia="zh-CN"/>
              </w:rPr>
              <w:t>8项</w:t>
            </w:r>
            <w:r>
              <w:rPr>
                <w:rFonts w:hint="eastAsia"/>
                <w:highlight w:val="none"/>
                <w:lang w:eastAsia="zh-CN"/>
              </w:rPr>
              <w:t>UI设计工作</w:t>
            </w:r>
            <w:r>
              <w:rPr>
                <w:rFonts w:hint="eastAsia" w:cs="宋体"/>
                <w:color w:val="000000"/>
                <w:lang w:bidi="ar"/>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8" w:hRule="atLeast"/>
        </w:trPr>
        <w:tc>
          <w:tcPr>
            <w:tcW w:w="1111" w:type="dxa"/>
            <w:vAlign w:val="center"/>
          </w:tcPr>
          <w:p>
            <w:pPr>
              <w:widowControl/>
              <w:jc w:val="center"/>
              <w:textAlignment w:val="center"/>
              <w:rPr>
                <w:rFonts w:cs="宋体"/>
                <w:color w:val="000000"/>
                <w:kern w:val="0"/>
                <w:lang w:bidi="ar"/>
              </w:rPr>
            </w:pPr>
            <w:r>
              <w:rPr>
                <w:rFonts w:cs="宋体"/>
                <w:kern w:val="0"/>
              </w:rPr>
              <w:t>1.</w:t>
            </w:r>
            <w:r>
              <w:rPr>
                <w:rFonts w:hint="eastAsia" w:cs="宋体"/>
                <w:kern w:val="0"/>
              </w:rPr>
              <w:t>6</w:t>
            </w:r>
          </w:p>
        </w:tc>
        <w:tc>
          <w:tcPr>
            <w:tcW w:w="1864" w:type="dxa"/>
            <w:vAlign w:val="center"/>
          </w:tcPr>
          <w:p>
            <w:pPr>
              <w:widowControl/>
              <w:jc w:val="left"/>
              <w:textAlignment w:val="center"/>
              <w:rPr>
                <w:rFonts w:hint="eastAsia" w:eastAsia="宋体" w:cs="宋体"/>
                <w:kern w:val="0"/>
                <w:lang w:val="en-US" w:eastAsia="zh-CN"/>
              </w:rPr>
            </w:pPr>
            <w:r>
              <w:rPr>
                <w:rFonts w:hint="eastAsia" w:cs="宋体"/>
                <w:color w:val="000000"/>
                <w:lang w:bidi="ar"/>
              </w:rPr>
              <w:t>协助开展应用页面</w:t>
            </w:r>
            <w:r>
              <w:rPr>
                <w:rFonts w:hint="eastAsia" w:cs="宋体"/>
                <w:color w:val="000000"/>
                <w:lang w:val="en-US" w:eastAsia="zh-CN" w:bidi="ar"/>
              </w:rPr>
              <w:t>设计</w:t>
            </w:r>
          </w:p>
        </w:tc>
        <w:tc>
          <w:tcPr>
            <w:tcW w:w="5917" w:type="dxa"/>
            <w:vAlign w:val="center"/>
          </w:tcPr>
          <w:p>
            <w:pPr>
              <w:kinsoku/>
              <w:wordWrap/>
              <w:overflowPunct/>
              <w:bidi w:val="0"/>
              <w:spacing w:line="360" w:lineRule="auto"/>
              <w:ind w:firstLine="480"/>
              <w:rPr>
                <w:rFonts w:hint="default"/>
                <w:highlight w:val="none"/>
                <w:lang w:val="en-US" w:eastAsia="zh-CN"/>
              </w:rPr>
            </w:pPr>
            <w:r>
              <w:rPr>
                <w:rFonts w:hint="eastAsia"/>
                <w:highlight w:val="none"/>
                <w:lang w:val="en-US" w:eastAsia="zh-CN"/>
              </w:rPr>
              <w:t>协助开展不少于8项应用页面设计工作，满足业务的需求</w:t>
            </w:r>
            <w:r>
              <w:rPr>
                <w:rFonts w:hint="eastAsia" w:ascii="宋体" w:hAnsi="宋体" w:cs="宋体"/>
                <w:highlight w:val="none"/>
                <w:lang w:val="en-US" w:eastAsia="zh-CN"/>
              </w:rPr>
              <w:t>。</w:t>
            </w:r>
          </w:p>
          <w:p>
            <w:pPr>
              <w:kinsoku/>
              <w:wordWrap/>
              <w:overflowPunct/>
              <w:bidi w:val="0"/>
              <w:spacing w:line="360" w:lineRule="auto"/>
              <w:ind w:firstLine="480"/>
              <w:rPr>
                <w:rFonts w:hint="eastAsia"/>
                <w:highlight w:val="none"/>
                <w:lang w:val="en-US" w:eastAsia="zh-CN"/>
              </w:rPr>
            </w:pPr>
            <w:r>
              <w:rPr>
                <w:rFonts w:hint="eastAsia"/>
                <w:highlight w:val="none"/>
                <w:lang w:val="en-US" w:eastAsia="zh-CN"/>
              </w:rPr>
              <w:t>1、查询：可查询现场施工计划、人员资质及扣分数据表等。</w:t>
            </w:r>
          </w:p>
          <w:p>
            <w:pPr>
              <w:kinsoku/>
              <w:wordWrap/>
              <w:overflowPunct/>
              <w:bidi w:val="0"/>
              <w:spacing w:line="360" w:lineRule="auto"/>
              <w:ind w:firstLine="480"/>
              <w:rPr>
                <w:rFonts w:hint="eastAsia"/>
                <w:highlight w:val="none"/>
                <w:lang w:val="en-US" w:eastAsia="zh-CN"/>
              </w:rPr>
            </w:pPr>
            <w:r>
              <w:rPr>
                <w:rFonts w:hint="eastAsia"/>
                <w:highlight w:val="none"/>
                <w:lang w:val="en-US" w:eastAsia="zh-CN"/>
              </w:rPr>
              <w:t>2、新增：设计一个新增按钮，用户可点击新增按钮添加单条数据。</w:t>
            </w:r>
          </w:p>
          <w:p>
            <w:pPr>
              <w:kinsoku/>
              <w:wordWrap/>
              <w:overflowPunct/>
              <w:bidi w:val="0"/>
              <w:spacing w:line="360" w:lineRule="auto"/>
              <w:ind w:firstLine="480"/>
              <w:rPr>
                <w:rFonts w:hint="eastAsia"/>
                <w:highlight w:val="none"/>
                <w:lang w:val="en-US" w:eastAsia="zh-CN"/>
              </w:rPr>
            </w:pPr>
            <w:r>
              <w:rPr>
                <w:rFonts w:hint="eastAsia"/>
                <w:highlight w:val="none"/>
                <w:lang w:val="en-US" w:eastAsia="zh-CN"/>
              </w:rPr>
              <w:t>3、删除：设计一个删除按钮，用户可点击删除按钮删除单条数据。</w:t>
            </w:r>
          </w:p>
          <w:p>
            <w:pPr>
              <w:kinsoku/>
              <w:wordWrap/>
              <w:overflowPunct/>
              <w:bidi w:val="0"/>
              <w:spacing w:line="360" w:lineRule="auto"/>
              <w:ind w:firstLine="480"/>
              <w:rPr>
                <w:rFonts w:hint="eastAsia"/>
                <w:highlight w:val="none"/>
                <w:lang w:val="en-US" w:eastAsia="zh-CN"/>
              </w:rPr>
            </w:pPr>
            <w:r>
              <w:rPr>
                <w:rFonts w:hint="eastAsia"/>
                <w:highlight w:val="none"/>
                <w:lang w:val="en-US" w:eastAsia="zh-CN"/>
              </w:rPr>
              <w:t>4、批量删除：设计一个批量删除按钮，用户可点击批量删除按钮删除多条数据。</w:t>
            </w:r>
          </w:p>
          <w:p>
            <w:pPr>
              <w:kinsoku/>
              <w:wordWrap/>
              <w:overflowPunct/>
              <w:bidi w:val="0"/>
              <w:spacing w:line="360" w:lineRule="auto"/>
              <w:ind w:firstLine="480"/>
              <w:rPr>
                <w:rFonts w:hint="eastAsia"/>
                <w:highlight w:val="none"/>
                <w:lang w:val="en-US" w:eastAsia="zh-CN"/>
              </w:rPr>
            </w:pPr>
            <w:r>
              <w:rPr>
                <w:rFonts w:hint="eastAsia"/>
                <w:highlight w:val="none"/>
                <w:lang w:val="en-US" w:eastAsia="zh-CN"/>
              </w:rPr>
              <w:t>5、详细信息弹窗：设计详细信息弹窗，当用户点击地图上的坐标时即可弹出坐标详细信息。</w:t>
            </w:r>
          </w:p>
          <w:p>
            <w:pPr>
              <w:kinsoku/>
              <w:wordWrap/>
              <w:overflowPunct/>
              <w:bidi w:val="0"/>
              <w:spacing w:line="360" w:lineRule="auto"/>
              <w:ind w:firstLine="480"/>
              <w:rPr>
                <w:rFonts w:hint="eastAsia"/>
                <w:highlight w:val="none"/>
                <w:lang w:val="en-US" w:eastAsia="zh-CN"/>
              </w:rPr>
            </w:pPr>
            <w:r>
              <w:rPr>
                <w:rFonts w:hint="eastAsia"/>
                <w:highlight w:val="none"/>
                <w:lang w:val="en-US" w:eastAsia="zh-CN"/>
              </w:rPr>
              <w:t>6、</w:t>
            </w:r>
            <w:r>
              <w:rPr>
                <w:rFonts w:hint="eastAsia" w:ascii="宋体" w:hAnsi="宋体" w:cs="宋体"/>
                <w:highlight w:val="none"/>
                <w:lang w:val="en-US" w:eastAsia="zh-CN"/>
              </w:rPr>
              <w:t>施工项目分布地图</w:t>
            </w:r>
            <w:r>
              <w:rPr>
                <w:rFonts w:hint="eastAsia"/>
                <w:highlight w:val="none"/>
                <w:lang w:val="en-US" w:eastAsia="zh-CN"/>
              </w:rPr>
              <w:t>：实现根据不同图标在地图上展示施工项目定点标注。</w:t>
            </w:r>
          </w:p>
          <w:p>
            <w:pPr>
              <w:kinsoku/>
              <w:wordWrap/>
              <w:overflowPunct/>
              <w:bidi w:val="0"/>
              <w:spacing w:line="360" w:lineRule="auto"/>
              <w:ind w:firstLine="480"/>
              <w:rPr>
                <w:rFonts w:hint="eastAsia"/>
                <w:highlight w:val="none"/>
                <w:lang w:val="en-US" w:eastAsia="zh-CN"/>
              </w:rPr>
            </w:pPr>
            <w:r>
              <w:rPr>
                <w:rFonts w:hint="eastAsia"/>
                <w:highlight w:val="none"/>
                <w:lang w:val="en-US" w:eastAsia="zh-CN"/>
              </w:rPr>
              <w:t>7、导入、导出：设计导入、导出按钮，用户可点击导入按钮导入多条数据，且可根据条件对数据进行导出。</w:t>
            </w:r>
          </w:p>
          <w:p>
            <w:pPr>
              <w:widowControl/>
              <w:ind w:firstLine="480" w:firstLineChars="200"/>
              <w:textAlignment w:val="center"/>
              <w:rPr>
                <w:rFonts w:cs="宋体"/>
                <w:kern w:val="0"/>
              </w:rPr>
            </w:pPr>
            <w:r>
              <w:rPr>
                <w:rFonts w:hint="eastAsia"/>
                <w:highlight w:val="none"/>
                <w:lang w:val="en-US" w:eastAsia="zh-CN"/>
              </w:rPr>
              <w:t>8、</w:t>
            </w:r>
            <w:r>
              <w:rPr>
                <w:rFonts w:hint="eastAsia" w:ascii="宋体" w:hAnsi="宋体" w:cs="宋体"/>
                <w:highlight w:val="none"/>
                <w:lang w:val="en-US" w:eastAsia="zh-CN"/>
              </w:rPr>
              <w:t>施工项目人员数量</w:t>
            </w:r>
            <w:r>
              <w:rPr>
                <w:rFonts w:ascii="宋体" w:hAnsi="宋体" w:eastAsia="宋体" w:cs="宋体"/>
                <w:sz w:val="24"/>
                <w:szCs w:val="24"/>
                <w:highlight w:val="none"/>
              </w:rPr>
              <w:t>分布</w:t>
            </w:r>
            <w:r>
              <w:rPr>
                <w:rFonts w:hint="eastAsia" w:cs="宋体"/>
                <w:sz w:val="24"/>
                <w:szCs w:val="24"/>
                <w:highlight w:val="none"/>
                <w:lang w:val="en-US" w:eastAsia="zh-CN"/>
              </w:rPr>
              <w:t>及预警</w:t>
            </w:r>
            <w:r>
              <w:rPr>
                <w:rFonts w:ascii="宋体" w:hAnsi="宋体" w:eastAsia="宋体" w:cs="宋体"/>
                <w:sz w:val="24"/>
                <w:szCs w:val="24"/>
                <w:highlight w:val="none"/>
              </w:rPr>
              <w:t>地图</w:t>
            </w:r>
            <w:r>
              <w:rPr>
                <w:rFonts w:hint="eastAsia"/>
                <w:highlight w:val="none"/>
                <w:lang w:val="en-US" w:eastAsia="zh-CN"/>
              </w:rPr>
              <w:t>：在地图上展示施工项目对应施工人员数据定位</w:t>
            </w:r>
            <w:r>
              <w:rPr>
                <w:rFonts w:hint="eastAsia" w:cs="宋体"/>
                <w:color w:val="000000"/>
                <w:lang w:bidi="ar"/>
              </w:rPr>
              <w:t>。</w:t>
            </w:r>
          </w:p>
        </w:tc>
      </w:tr>
    </w:tbl>
    <w:p>
      <w:pPr>
        <w:pStyle w:val="21"/>
        <w:ind w:left="480"/>
        <w:rPr>
          <w:rFonts w:ascii="宋体" w:eastAsia="宋体"/>
        </w:rPr>
      </w:pPr>
    </w:p>
    <w:p>
      <w:pPr>
        <w:pStyle w:val="4"/>
        <w:rPr>
          <w:rFonts w:cs="宋体"/>
          <w:szCs w:val="24"/>
        </w:rPr>
      </w:pPr>
      <w:bookmarkStart w:id="9" w:name="_Toc31046"/>
      <w:bookmarkStart w:id="10" w:name="_Toc4885"/>
      <w:r>
        <w:rPr>
          <w:rFonts w:hint="eastAsia" w:cs="宋体"/>
          <w:szCs w:val="24"/>
        </w:rPr>
        <w:t>总体要求</w:t>
      </w:r>
      <w:bookmarkEnd w:id="9"/>
      <w:bookmarkEnd w:id="10"/>
    </w:p>
    <w:p>
      <w:pPr>
        <w:rPr>
          <w:rFonts w:cs="宋体"/>
        </w:rPr>
      </w:pPr>
      <w:r>
        <w:rPr>
          <w:rFonts w:hint="eastAsia"/>
        </w:rPr>
        <w:t>投标方必须响应并承诺下列要求：</w:t>
      </w:r>
    </w:p>
    <w:p>
      <w:pPr>
        <w:pStyle w:val="5"/>
        <w:rPr>
          <w:rFonts w:hAnsi="宋体"/>
        </w:rPr>
      </w:pPr>
      <w:r>
        <w:rPr>
          <w:rFonts w:hint="eastAsia" w:hAnsi="宋体"/>
          <w:b w:val="0"/>
          <w:bCs w:val="0"/>
        </w:rPr>
        <w:t>本规范书指标要求中，凡标有下划线或加“★”的地方均被视为重要的技术指标要求或性能要求。投标方要特别加以注意，必须完全满足这些要求。</w:t>
      </w:r>
    </w:p>
    <w:p>
      <w:pPr>
        <w:pStyle w:val="5"/>
        <w:rPr>
          <w:rFonts w:hAnsi="宋体"/>
        </w:rPr>
      </w:pPr>
      <w:r>
        <w:rPr>
          <w:rFonts w:hint="eastAsia" w:hAnsi="宋体"/>
          <w:b w:val="0"/>
          <w:bCs w:val="0"/>
        </w:rPr>
        <w:t>投标方应列出各个单项工作的报价，还应对各个单项工作的不同阶段工作进行划分，并在列出各阶段工作的详细报价。</w:t>
      </w:r>
    </w:p>
    <w:p>
      <w:pPr>
        <w:pStyle w:val="5"/>
        <w:rPr>
          <w:rFonts w:hAnsi="宋体"/>
        </w:rPr>
      </w:pPr>
      <w:r>
        <w:rPr>
          <w:rFonts w:hint="eastAsia" w:hAnsi="宋体"/>
          <w:b w:val="0"/>
          <w:bCs w:val="0"/>
        </w:rPr>
        <w:t>投标方必须提供完整的建议书，至少包含以下内容：</w:t>
      </w:r>
    </w:p>
    <w:p>
      <w:pPr>
        <w:pStyle w:val="6"/>
        <w:rPr>
          <w:bCs/>
        </w:rPr>
      </w:pPr>
      <w:r>
        <w:rPr>
          <w:rFonts w:hint="eastAsia"/>
          <w:bCs/>
        </w:rPr>
        <w:t>必须阐述本项目总体的建设思路，并提出系统的建设目标。</w:t>
      </w:r>
    </w:p>
    <w:p>
      <w:pPr>
        <w:pStyle w:val="6"/>
        <w:rPr>
          <w:bCs/>
        </w:rPr>
      </w:pPr>
      <w:r>
        <w:rPr>
          <w:rFonts w:hint="eastAsia"/>
          <w:bCs/>
        </w:rPr>
        <w:t>提供本项目的需求建议，对企业整体的需求做出实质性的评估。</w:t>
      </w:r>
    </w:p>
    <w:p>
      <w:pPr>
        <w:pStyle w:val="6"/>
        <w:rPr>
          <w:bCs/>
        </w:rPr>
      </w:pPr>
      <w:r>
        <w:rPr>
          <w:rFonts w:hint="eastAsia"/>
          <w:bCs/>
        </w:rPr>
        <w:t>确定本项目的技术手段，提供每项技术的选型依据。</w:t>
      </w:r>
    </w:p>
    <w:p>
      <w:pPr>
        <w:pStyle w:val="6"/>
      </w:pPr>
      <w:r>
        <w:rPr>
          <w:rFonts w:hint="eastAsia"/>
        </w:rPr>
        <w:t>★</w:t>
      </w:r>
      <w:r>
        <w:rPr>
          <w:rFonts w:hint="eastAsia"/>
          <w:bCs/>
        </w:rPr>
        <w:t>投标方及其产品和服务的提供者须配合招标方进行网络安全审查；投标方及其产品和服务的提供者须承诺不利用提供产品和服务的便利条件非法获取用户数据、非法控制和操纵用户设备。无正当理由不中断产品供应或必要的技术支持服务等。</w:t>
      </w:r>
    </w:p>
    <w:p>
      <w:pPr>
        <w:pStyle w:val="4"/>
      </w:pPr>
      <w:bookmarkStart w:id="11" w:name="_Toc12222"/>
      <w:bookmarkStart w:id="12" w:name="_Toc20693"/>
      <w:r>
        <w:t>主要技术要求</w:t>
      </w:r>
      <w:bookmarkEnd w:id="11"/>
      <w:bookmarkEnd w:id="12"/>
    </w:p>
    <w:p>
      <w:pPr>
        <w:pStyle w:val="5"/>
        <w:rPr>
          <w:rFonts w:hAnsi="宋体"/>
        </w:rPr>
      </w:pPr>
      <w:bookmarkStart w:id="13" w:name="_Hlk172582311"/>
      <w:bookmarkStart w:id="14" w:name="_Toc518635821"/>
      <w:bookmarkStart w:id="15" w:name="_Toc299720409"/>
      <w:bookmarkStart w:id="16" w:name="_Toc300816580"/>
      <w:r>
        <w:rPr>
          <w:rFonts w:hint="eastAsia" w:hAnsi="宋体"/>
        </w:rPr>
        <w:t>协助开展业务需求分析</w:t>
      </w:r>
    </w:p>
    <w:bookmarkEnd w:id="13"/>
    <w:p>
      <w:pPr>
        <w:ind w:firstLine="480"/>
        <w:rPr>
          <w:rFonts w:cs="宋体"/>
        </w:rPr>
      </w:pPr>
      <w:r>
        <w:rPr>
          <w:rFonts w:hint="eastAsia" w:hAnsi="宋体" w:cs="宋体"/>
          <w:highlight w:val="none"/>
          <w:lang w:eastAsia="zh-CN"/>
        </w:rPr>
        <w:t>协助开展</w:t>
      </w:r>
      <w:r>
        <w:rPr>
          <w:rFonts w:hint="eastAsia" w:cs="宋体"/>
          <w:highlight w:val="none"/>
          <w:lang w:eastAsia="zh-CN"/>
        </w:rPr>
        <w:t>基于智瞰的施工人员现场管控应用</w:t>
      </w:r>
      <w:r>
        <w:rPr>
          <w:rFonts w:hint="eastAsia" w:hAnsi="宋体" w:cs="宋体"/>
          <w:highlight w:val="none"/>
          <w:lang w:eastAsia="zh-CN"/>
        </w:rPr>
        <w:t>的需求调研，完成需求设计及文档编写。</w:t>
      </w:r>
      <w:r>
        <w:rPr>
          <w:rFonts w:hint="eastAsia" w:hAnsi="宋体" w:cs="宋体"/>
          <w:highlight w:val="none"/>
          <w:lang w:val="en-US" w:eastAsia="zh-CN"/>
        </w:rPr>
        <w:t>分析</w:t>
      </w:r>
      <w:r>
        <w:rPr>
          <w:rFonts w:hint="eastAsia" w:ascii="宋体" w:hAnsi="宋体" w:cs="宋体"/>
          <w:color w:val="auto"/>
          <w:highlight w:val="none"/>
          <w:lang w:val="en-US" w:eastAsia="zh-CN"/>
        </w:rPr>
        <w:t>人员的资质及扣分信息</w:t>
      </w:r>
      <w:r>
        <w:rPr>
          <w:rFonts w:hint="eastAsia" w:ascii="宋体" w:hAnsi="宋体" w:eastAsia="宋体" w:cs="宋体"/>
          <w:sz w:val="24"/>
          <w:szCs w:val="24"/>
          <w:highlight w:val="none"/>
          <w:lang w:eastAsia="zh-CN"/>
        </w:rPr>
        <w:t>、</w:t>
      </w:r>
      <w:r>
        <w:rPr>
          <w:rFonts w:hint="eastAsia" w:ascii="宋体" w:hAnsi="宋体" w:cs="宋体"/>
          <w:highlight w:val="none"/>
          <w:lang w:val="en-US" w:eastAsia="zh-CN"/>
        </w:rPr>
        <w:t>施工项目分布地图</w:t>
      </w:r>
      <w:r>
        <w:rPr>
          <w:rFonts w:hint="eastAsia" w:ascii="宋体" w:hAnsi="宋体" w:eastAsia="宋体" w:cs="宋体"/>
          <w:sz w:val="24"/>
          <w:szCs w:val="24"/>
          <w:highlight w:val="none"/>
          <w:lang w:eastAsia="zh-CN"/>
        </w:rPr>
        <w:t>、</w:t>
      </w:r>
      <w:r>
        <w:rPr>
          <w:rFonts w:hint="eastAsia" w:ascii="宋体" w:hAnsi="宋体" w:cs="宋体"/>
          <w:highlight w:val="none"/>
          <w:lang w:val="en-US" w:eastAsia="zh-CN"/>
        </w:rPr>
        <w:t>施工项目人员数量</w:t>
      </w:r>
      <w:r>
        <w:rPr>
          <w:rFonts w:ascii="宋体" w:hAnsi="宋体" w:eastAsia="宋体" w:cs="宋体"/>
          <w:sz w:val="24"/>
          <w:szCs w:val="24"/>
          <w:highlight w:val="none"/>
        </w:rPr>
        <w:t>分布</w:t>
      </w:r>
      <w:r>
        <w:rPr>
          <w:rFonts w:hint="eastAsia" w:cs="宋体"/>
          <w:sz w:val="24"/>
          <w:szCs w:val="24"/>
          <w:highlight w:val="none"/>
          <w:lang w:val="en-US" w:eastAsia="zh-CN"/>
        </w:rPr>
        <w:t>及预警</w:t>
      </w:r>
      <w:r>
        <w:rPr>
          <w:rFonts w:ascii="宋体" w:hAnsi="宋体" w:eastAsia="宋体" w:cs="宋体"/>
          <w:sz w:val="24"/>
          <w:szCs w:val="24"/>
          <w:highlight w:val="none"/>
        </w:rPr>
        <w:t>地图</w:t>
      </w:r>
      <w:r>
        <w:rPr>
          <w:rFonts w:hint="eastAsia" w:ascii="宋体" w:hAnsi="宋体" w:eastAsia="宋体" w:cs="宋体"/>
          <w:sz w:val="24"/>
          <w:szCs w:val="24"/>
          <w:highlight w:val="none"/>
          <w:lang w:val="en-US" w:eastAsia="zh-CN"/>
        </w:rPr>
        <w:t>等</w:t>
      </w:r>
      <w:r>
        <w:rPr>
          <w:rFonts w:hint="eastAsia" w:ascii="宋体" w:hAnsi="宋体" w:cs="宋体"/>
          <w:sz w:val="24"/>
          <w:szCs w:val="24"/>
          <w:highlight w:val="none"/>
          <w:lang w:val="en-US" w:eastAsia="zh-CN"/>
        </w:rPr>
        <w:t>3</w:t>
      </w:r>
      <w:r>
        <w:rPr>
          <w:rFonts w:hint="eastAsia" w:ascii="宋体" w:hAnsi="宋体" w:eastAsia="宋体" w:cs="宋体"/>
          <w:sz w:val="24"/>
          <w:szCs w:val="24"/>
          <w:highlight w:val="none"/>
          <w:lang w:val="en-US" w:eastAsia="zh-CN"/>
        </w:rPr>
        <w:t>个主要</w:t>
      </w:r>
      <w:r>
        <w:rPr>
          <w:rFonts w:hint="eastAsia" w:ascii="宋体" w:hAnsi="宋体" w:cs="宋体"/>
          <w:sz w:val="24"/>
          <w:szCs w:val="24"/>
          <w:highlight w:val="none"/>
          <w:lang w:val="en-US" w:eastAsia="zh-CN"/>
        </w:rPr>
        <w:t>需求</w:t>
      </w:r>
      <w:r>
        <w:rPr>
          <w:rFonts w:hint="eastAsia" w:ascii="宋体" w:hAnsi="宋体" w:eastAsia="宋体" w:cs="宋体"/>
          <w:sz w:val="24"/>
          <w:szCs w:val="24"/>
          <w:highlight w:val="none"/>
          <w:lang w:val="en-US" w:eastAsia="zh-CN"/>
        </w:rPr>
        <w:t>可行性，研究主要</w:t>
      </w:r>
      <w:r>
        <w:rPr>
          <w:rFonts w:hint="eastAsia" w:ascii="宋体" w:hAnsi="宋体" w:cs="宋体"/>
          <w:sz w:val="24"/>
          <w:szCs w:val="24"/>
          <w:highlight w:val="none"/>
          <w:lang w:val="en-US" w:eastAsia="zh-CN"/>
        </w:rPr>
        <w:t>需求</w:t>
      </w:r>
      <w:r>
        <w:rPr>
          <w:rFonts w:hint="eastAsia" w:ascii="宋体" w:hAnsi="宋体" w:eastAsia="宋体" w:cs="宋体"/>
          <w:sz w:val="24"/>
          <w:szCs w:val="24"/>
          <w:highlight w:val="none"/>
          <w:lang w:val="en-US" w:eastAsia="zh-CN"/>
        </w:rPr>
        <w:t>实现步骤、取数路径</w:t>
      </w:r>
      <w:r>
        <w:rPr>
          <w:rFonts w:hint="eastAsia" w:ascii="宋体" w:hAnsi="宋体" w:cs="宋体"/>
          <w:sz w:val="24"/>
          <w:szCs w:val="24"/>
          <w:highlight w:val="none"/>
          <w:lang w:val="en-US" w:eastAsia="zh-CN"/>
        </w:rPr>
        <w:t>等内容</w:t>
      </w:r>
      <w:r>
        <w:rPr>
          <w:rFonts w:hint="eastAsia" w:cs="宋体"/>
        </w:rPr>
        <w:t>。</w:t>
      </w:r>
    </w:p>
    <w:p>
      <w:pPr>
        <w:pStyle w:val="5"/>
        <w:rPr>
          <w:rFonts w:hAnsi="宋体"/>
        </w:rPr>
      </w:pPr>
      <w:r>
        <w:rPr>
          <w:rFonts w:hint="eastAsia" w:hAnsi="宋体"/>
        </w:rPr>
        <w:t>协助专项服务接入</w:t>
      </w:r>
    </w:p>
    <w:p>
      <w:pPr>
        <w:kinsoku/>
        <w:wordWrap/>
        <w:overflowPunct/>
        <w:autoSpaceDE w:val="0"/>
        <w:autoSpaceDN w:val="0"/>
        <w:bidi w:val="0"/>
        <w:adjustRightInd w:val="0"/>
        <w:spacing w:line="360" w:lineRule="auto"/>
        <w:ind w:firstLine="480"/>
        <w:rPr>
          <w:rFonts w:hint="eastAsia" w:hAnsi="宋体" w:cs="宋体"/>
          <w:highlight w:val="none"/>
        </w:rPr>
      </w:pPr>
      <w:r>
        <w:rPr>
          <w:rFonts w:hint="eastAsia" w:hAnsi="宋体" w:cs="宋体"/>
        </w:rPr>
        <w:t>协助按需求进行服务接入，包括服务注册、管理、监控以及服务开发和服务联调、上线支持工作。</w:t>
      </w:r>
      <w:r>
        <w:rPr>
          <w:rFonts w:hint="eastAsia" w:hAnsi="宋体" w:cs="宋体"/>
          <w:highlight w:val="none"/>
        </w:rPr>
        <w:t>涉及</w:t>
      </w:r>
      <w:r>
        <w:rPr>
          <w:rFonts w:hint="eastAsia" w:ascii="宋体" w:hAnsi="宋体" w:cs="宋体"/>
          <w:color w:val="auto"/>
          <w:highlight w:val="none"/>
          <w:lang w:val="en-US" w:eastAsia="zh-CN"/>
        </w:rPr>
        <w:t>人员的资质及扣分信息</w:t>
      </w:r>
      <w:r>
        <w:rPr>
          <w:rFonts w:hint="eastAsia" w:ascii="宋体" w:hAnsi="宋体" w:eastAsia="宋体" w:cs="宋体"/>
          <w:sz w:val="24"/>
          <w:szCs w:val="24"/>
          <w:highlight w:val="none"/>
          <w:lang w:eastAsia="zh-CN"/>
        </w:rPr>
        <w:t>、</w:t>
      </w:r>
      <w:r>
        <w:rPr>
          <w:rFonts w:hint="eastAsia" w:ascii="宋体" w:hAnsi="宋体" w:cs="宋体"/>
          <w:highlight w:val="none"/>
          <w:lang w:val="en-US" w:eastAsia="zh-CN"/>
        </w:rPr>
        <w:t>施工项目分布地图</w:t>
      </w:r>
      <w:r>
        <w:rPr>
          <w:rFonts w:hint="eastAsia" w:ascii="宋体" w:hAnsi="宋体" w:eastAsia="宋体" w:cs="宋体"/>
          <w:sz w:val="24"/>
          <w:szCs w:val="24"/>
          <w:highlight w:val="none"/>
          <w:lang w:eastAsia="zh-CN"/>
        </w:rPr>
        <w:t>、</w:t>
      </w:r>
      <w:r>
        <w:rPr>
          <w:rFonts w:hint="eastAsia" w:ascii="宋体" w:hAnsi="宋体" w:cs="宋体"/>
          <w:highlight w:val="none"/>
          <w:lang w:val="en-US" w:eastAsia="zh-CN"/>
        </w:rPr>
        <w:t>施工项目的人员数量</w:t>
      </w:r>
      <w:r>
        <w:rPr>
          <w:rFonts w:ascii="宋体" w:hAnsi="宋体" w:eastAsia="宋体" w:cs="宋体"/>
          <w:sz w:val="24"/>
          <w:szCs w:val="24"/>
          <w:highlight w:val="none"/>
        </w:rPr>
        <w:t>分布</w:t>
      </w:r>
      <w:r>
        <w:rPr>
          <w:rFonts w:hint="eastAsia" w:cs="宋体"/>
          <w:sz w:val="24"/>
          <w:szCs w:val="24"/>
          <w:highlight w:val="none"/>
          <w:lang w:val="en-US" w:eastAsia="zh-CN"/>
        </w:rPr>
        <w:t>及预警</w:t>
      </w:r>
      <w:r>
        <w:rPr>
          <w:rFonts w:ascii="宋体" w:hAnsi="宋体" w:eastAsia="宋体" w:cs="宋体"/>
          <w:sz w:val="24"/>
          <w:szCs w:val="24"/>
          <w:highlight w:val="none"/>
        </w:rPr>
        <w:t>地图</w:t>
      </w:r>
      <w:r>
        <w:rPr>
          <w:rFonts w:hint="eastAsia" w:hAnsi="宋体" w:cs="宋体"/>
          <w:highlight w:val="none"/>
        </w:rPr>
        <w:t>等</w:t>
      </w:r>
      <w:r>
        <w:rPr>
          <w:rFonts w:hint="eastAsia" w:hAnsi="宋体" w:cs="宋体"/>
          <w:highlight w:val="none"/>
          <w:lang w:val="en-US" w:eastAsia="zh-CN"/>
        </w:rPr>
        <w:t>3</w:t>
      </w:r>
      <w:r>
        <w:rPr>
          <w:rFonts w:hint="eastAsia" w:hAnsi="宋体" w:cs="宋体"/>
          <w:highlight w:val="none"/>
        </w:rPr>
        <w:t>大项</w:t>
      </w:r>
      <w:r>
        <w:rPr>
          <w:rFonts w:hint="eastAsia" w:hAnsi="宋体" w:cs="宋体"/>
          <w:highlight w:val="none"/>
          <w:lang w:val="en-US" w:eastAsia="zh-CN"/>
        </w:rPr>
        <w:t>需求</w:t>
      </w:r>
      <w:r>
        <w:rPr>
          <w:rFonts w:hint="eastAsia" w:ascii="宋体" w:hAnsi="宋体" w:cs="宋体"/>
          <w:highlight w:val="none"/>
          <w:lang w:val="en-US" w:eastAsia="zh-CN"/>
        </w:rPr>
        <w:t>。</w:t>
      </w:r>
    </w:p>
    <w:p>
      <w:pPr>
        <w:kinsoku/>
        <w:wordWrap/>
        <w:overflowPunct/>
        <w:autoSpaceDE w:val="0"/>
        <w:autoSpaceDN w:val="0"/>
        <w:bidi w:val="0"/>
        <w:adjustRightInd w:val="0"/>
        <w:spacing w:line="360" w:lineRule="auto"/>
        <w:ind w:firstLine="480"/>
        <w:rPr>
          <w:rFonts w:hint="eastAsia" w:hAnsi="宋体" w:cs="宋体"/>
          <w:highlight w:val="none"/>
          <w:lang w:val="en-US" w:eastAsia="zh-CN"/>
        </w:rPr>
      </w:pPr>
      <w:r>
        <w:rPr>
          <w:rFonts w:hint="eastAsia" w:hAnsi="宋体" w:cs="宋体"/>
          <w:highlight w:val="none"/>
          <w:lang w:val="en-US" w:eastAsia="zh-CN"/>
        </w:rPr>
        <w:t>1、数据溯源，需按照数据路径找到对应表，获取字段字段值。</w:t>
      </w:r>
    </w:p>
    <w:p>
      <w:pPr>
        <w:kinsoku/>
        <w:wordWrap/>
        <w:overflowPunct/>
        <w:autoSpaceDE w:val="0"/>
        <w:autoSpaceDN w:val="0"/>
        <w:bidi w:val="0"/>
        <w:adjustRightInd w:val="0"/>
        <w:spacing w:line="360" w:lineRule="auto"/>
        <w:ind w:firstLine="480"/>
        <w:rPr>
          <w:rFonts w:hint="eastAsia" w:hAnsi="宋体" w:cs="宋体"/>
          <w:highlight w:val="none"/>
          <w:lang w:val="en-US" w:eastAsia="zh-CN"/>
        </w:rPr>
      </w:pPr>
      <w:r>
        <w:rPr>
          <w:rFonts w:hint="eastAsia" w:hAnsi="宋体" w:cs="宋体"/>
          <w:highlight w:val="none"/>
          <w:lang w:val="en-US" w:eastAsia="zh-CN"/>
        </w:rPr>
        <w:t>2、数据申请：将溯源到的表进行申请，跟进数据审核流程。</w:t>
      </w:r>
    </w:p>
    <w:p>
      <w:pPr>
        <w:kinsoku/>
        <w:wordWrap/>
        <w:overflowPunct/>
        <w:autoSpaceDE w:val="0"/>
        <w:autoSpaceDN w:val="0"/>
        <w:bidi w:val="0"/>
        <w:adjustRightInd w:val="0"/>
        <w:spacing w:line="360" w:lineRule="auto"/>
        <w:ind w:firstLine="480"/>
        <w:rPr>
          <w:rFonts w:hint="eastAsia" w:hAnsi="宋体" w:cs="宋体"/>
          <w:highlight w:val="none"/>
          <w:lang w:val="en-US" w:eastAsia="zh-CN"/>
        </w:rPr>
      </w:pPr>
      <w:r>
        <w:rPr>
          <w:rFonts w:hint="eastAsia" w:hAnsi="宋体" w:cs="宋体"/>
          <w:highlight w:val="none"/>
          <w:lang w:val="en-US" w:eastAsia="zh-CN"/>
        </w:rPr>
        <w:t>3、建表申请：根据所需字段创建数据库表，跟进建表审核流程。</w:t>
      </w:r>
    </w:p>
    <w:p>
      <w:pPr>
        <w:kinsoku/>
        <w:wordWrap/>
        <w:overflowPunct/>
        <w:autoSpaceDE w:val="0"/>
        <w:autoSpaceDN w:val="0"/>
        <w:bidi w:val="0"/>
        <w:adjustRightInd w:val="0"/>
        <w:spacing w:line="360" w:lineRule="auto"/>
        <w:ind w:firstLine="480"/>
        <w:rPr>
          <w:rFonts w:hint="eastAsia" w:hAnsi="宋体" w:cs="宋体"/>
          <w:highlight w:val="none"/>
          <w:lang w:val="en-US" w:eastAsia="zh-CN"/>
        </w:rPr>
      </w:pPr>
      <w:r>
        <w:rPr>
          <w:rFonts w:hint="eastAsia" w:hAnsi="宋体" w:cs="宋体"/>
          <w:highlight w:val="none"/>
          <w:lang w:val="en-US" w:eastAsia="zh-CN"/>
        </w:rPr>
        <w:t>4、数据处理：将申请到的数据按照规则进行数据匹配以及数据处理。</w:t>
      </w:r>
    </w:p>
    <w:p>
      <w:pPr>
        <w:ind w:firstLine="480"/>
        <w:rPr>
          <w:rFonts w:cs="宋体"/>
        </w:rPr>
      </w:pPr>
      <w:r>
        <w:rPr>
          <w:rFonts w:hint="eastAsia" w:hAnsi="宋体" w:cs="宋体"/>
          <w:highlight w:val="none"/>
          <w:lang w:val="en-US" w:eastAsia="zh-CN"/>
        </w:rPr>
        <w:t>5、数据连接：测试服务器数据库与自主空间数据库的连接是否成功，建立的数据表是否显示</w:t>
      </w:r>
      <w:r>
        <w:rPr>
          <w:rFonts w:hint="eastAsia" w:cs="宋体"/>
        </w:rPr>
        <w:t>。</w:t>
      </w:r>
    </w:p>
    <w:p>
      <w:pPr>
        <w:pStyle w:val="5"/>
        <w:rPr>
          <w:rFonts w:hAnsi="宋体"/>
        </w:rPr>
      </w:pPr>
      <w:r>
        <w:rPr>
          <w:rFonts w:hint="eastAsia" w:hAnsi="宋体"/>
        </w:rPr>
        <w:t>协助分析问题</w:t>
      </w:r>
    </w:p>
    <w:p>
      <w:pPr>
        <w:ind w:firstLine="480"/>
        <w:rPr>
          <w:rFonts w:cs="宋体"/>
        </w:rPr>
      </w:pPr>
      <w:r>
        <w:rPr>
          <w:rFonts w:hint="eastAsia" w:ascii="宋体" w:hAnsi="宋体" w:cs="宋体"/>
          <w:highlight w:val="none"/>
          <w:lang w:val="en-US" w:eastAsia="zh-CN"/>
        </w:rPr>
        <w:t>协助完成对智瞰平台承载业务运转情况数据的收集及诊断工作，针对问题形成问题诊断表，并对问题诊断表进行分析解决，跟踪处理，并反馈结果给相应管理部门，对问题进行闭环管控</w:t>
      </w:r>
      <w:r>
        <w:rPr>
          <w:rFonts w:hint="eastAsia" w:cs="宋体"/>
        </w:rPr>
        <w:t>。</w:t>
      </w:r>
    </w:p>
    <w:p>
      <w:pPr>
        <w:pStyle w:val="5"/>
        <w:rPr>
          <w:rFonts w:hAnsi="宋体"/>
        </w:rPr>
      </w:pPr>
      <w:r>
        <w:rPr>
          <w:rFonts w:hint="eastAsia" w:hAnsi="宋体"/>
        </w:rPr>
        <w:t>平台使用支持服务</w:t>
      </w:r>
    </w:p>
    <w:p>
      <w:pPr>
        <w:ind w:firstLine="480"/>
        <w:rPr>
          <w:rFonts w:cs="宋体"/>
        </w:rPr>
      </w:pPr>
      <w:r>
        <w:rPr>
          <w:rFonts w:hint="eastAsia" w:ascii="宋体" w:hAnsi="宋体" w:eastAsia="宋体" w:cs="宋体"/>
          <w:highlight w:val="none"/>
          <w:lang w:val="en-US" w:eastAsia="zh-CN"/>
        </w:rPr>
        <w:t>提供平台使用技术服务，对用户在使用智瞰平台中遇到的问题进行指导，帮助电网公司解决系统实用化问题</w:t>
      </w:r>
      <w:r>
        <w:rPr>
          <w:rFonts w:hint="eastAsia" w:cs="宋体"/>
        </w:rPr>
        <w:t>。</w:t>
      </w:r>
    </w:p>
    <w:p>
      <w:pPr>
        <w:pStyle w:val="5"/>
        <w:rPr>
          <w:rFonts w:hAnsi="宋体"/>
        </w:rPr>
      </w:pPr>
      <w:r>
        <w:rPr>
          <w:rFonts w:hint="eastAsia" w:hAnsi="宋体"/>
        </w:rPr>
        <w:t>协助开展页面UI设计</w:t>
      </w:r>
    </w:p>
    <w:p>
      <w:pPr>
        <w:ind w:firstLine="480"/>
        <w:rPr>
          <w:rFonts w:cs="宋体"/>
        </w:rPr>
      </w:pPr>
      <w:r>
        <w:rPr>
          <w:rFonts w:hint="eastAsia"/>
          <w:highlight w:val="none"/>
          <w:lang w:eastAsia="zh-CN"/>
        </w:rPr>
        <w:t>协助开展工作票数据表、新增弹窗、编辑弹窗、</w:t>
      </w:r>
      <w:r>
        <w:rPr>
          <w:rFonts w:hint="eastAsia"/>
          <w:highlight w:val="none"/>
          <w:lang w:val="en-US" w:eastAsia="zh-CN"/>
        </w:rPr>
        <w:t>施工项目</w:t>
      </w:r>
      <w:r>
        <w:rPr>
          <w:rFonts w:hint="eastAsia"/>
          <w:highlight w:val="none"/>
          <w:lang w:eastAsia="zh-CN"/>
        </w:rPr>
        <w:t>定位图标、删除按钮、导入导出弹窗、</w:t>
      </w:r>
      <w:r>
        <w:rPr>
          <w:rFonts w:hint="eastAsia"/>
          <w:highlight w:val="none"/>
          <w:lang w:val="en-US" w:eastAsia="zh-CN"/>
        </w:rPr>
        <w:t>人员数据</w:t>
      </w:r>
      <w:r>
        <w:rPr>
          <w:rFonts w:hint="eastAsia"/>
          <w:highlight w:val="none"/>
          <w:lang w:eastAsia="zh-CN"/>
        </w:rPr>
        <w:t>定位图标、各数据详细信息弹窗等不少于</w:t>
      </w:r>
      <w:r>
        <w:rPr>
          <w:rFonts w:hint="eastAsia"/>
          <w:highlight w:val="none"/>
          <w:lang w:val="en-US" w:eastAsia="zh-CN"/>
        </w:rPr>
        <w:t>8项</w:t>
      </w:r>
      <w:r>
        <w:rPr>
          <w:rFonts w:hint="eastAsia"/>
          <w:highlight w:val="none"/>
          <w:lang w:eastAsia="zh-CN"/>
        </w:rPr>
        <w:t>UI设计工作</w:t>
      </w:r>
      <w:r>
        <w:rPr>
          <w:rFonts w:hint="eastAsia" w:cs="宋体"/>
        </w:rPr>
        <w:t>。</w:t>
      </w:r>
    </w:p>
    <w:p>
      <w:pPr>
        <w:pStyle w:val="5"/>
        <w:rPr>
          <w:rFonts w:hint="eastAsia" w:hAnsi="宋体"/>
        </w:rPr>
      </w:pPr>
      <w:r>
        <w:rPr>
          <w:rFonts w:hint="eastAsia" w:hAnsi="宋体"/>
        </w:rPr>
        <w:t>协助开展应用页面</w:t>
      </w:r>
      <w:r>
        <w:rPr>
          <w:rFonts w:hint="eastAsia" w:hAnsi="宋体"/>
          <w:lang w:val="en-US" w:eastAsia="zh-CN"/>
        </w:rPr>
        <w:t>设计</w:t>
      </w:r>
    </w:p>
    <w:p>
      <w:pPr>
        <w:kinsoku/>
        <w:wordWrap/>
        <w:overflowPunct/>
        <w:bidi w:val="0"/>
        <w:spacing w:line="360" w:lineRule="auto"/>
        <w:ind w:firstLine="480"/>
        <w:rPr>
          <w:rFonts w:hint="default"/>
          <w:highlight w:val="none"/>
          <w:lang w:val="en-US" w:eastAsia="zh-CN"/>
        </w:rPr>
      </w:pPr>
      <w:r>
        <w:rPr>
          <w:rFonts w:hint="eastAsia"/>
          <w:highlight w:val="none"/>
          <w:lang w:val="en-US" w:eastAsia="zh-CN"/>
        </w:rPr>
        <w:t>协助开展不少于8项应用页面设计工作，满足业务的需求</w:t>
      </w:r>
      <w:r>
        <w:rPr>
          <w:rFonts w:hint="eastAsia" w:ascii="宋体" w:hAnsi="宋体" w:cs="宋体"/>
          <w:highlight w:val="none"/>
          <w:lang w:val="en-US" w:eastAsia="zh-CN"/>
        </w:rPr>
        <w:t>。</w:t>
      </w:r>
    </w:p>
    <w:p>
      <w:pPr>
        <w:kinsoku/>
        <w:wordWrap/>
        <w:overflowPunct/>
        <w:bidi w:val="0"/>
        <w:spacing w:line="360" w:lineRule="auto"/>
        <w:ind w:firstLine="480"/>
        <w:rPr>
          <w:rFonts w:hint="eastAsia"/>
          <w:highlight w:val="none"/>
          <w:lang w:val="en-US" w:eastAsia="zh-CN"/>
        </w:rPr>
      </w:pPr>
      <w:r>
        <w:rPr>
          <w:rFonts w:hint="eastAsia"/>
          <w:highlight w:val="none"/>
          <w:lang w:val="en-US" w:eastAsia="zh-CN"/>
        </w:rPr>
        <w:t>1、查询：可查询现场施工计划、人员资质及扣分数据表等。。</w:t>
      </w:r>
    </w:p>
    <w:p>
      <w:pPr>
        <w:kinsoku/>
        <w:wordWrap/>
        <w:overflowPunct/>
        <w:bidi w:val="0"/>
        <w:spacing w:line="360" w:lineRule="auto"/>
        <w:ind w:firstLine="480"/>
        <w:rPr>
          <w:rFonts w:hint="eastAsia"/>
          <w:highlight w:val="none"/>
          <w:lang w:val="en-US" w:eastAsia="zh-CN"/>
        </w:rPr>
      </w:pPr>
      <w:r>
        <w:rPr>
          <w:rFonts w:hint="eastAsia"/>
          <w:highlight w:val="none"/>
          <w:lang w:val="en-US" w:eastAsia="zh-CN"/>
        </w:rPr>
        <w:t>2、新增：设计一个新增按钮，用户可点击新增按钮添加单条数据。</w:t>
      </w:r>
    </w:p>
    <w:p>
      <w:pPr>
        <w:kinsoku/>
        <w:wordWrap/>
        <w:overflowPunct/>
        <w:bidi w:val="0"/>
        <w:spacing w:line="360" w:lineRule="auto"/>
        <w:ind w:firstLine="480"/>
        <w:rPr>
          <w:rFonts w:hint="eastAsia"/>
          <w:highlight w:val="none"/>
          <w:lang w:val="en-US" w:eastAsia="zh-CN"/>
        </w:rPr>
      </w:pPr>
      <w:r>
        <w:rPr>
          <w:rFonts w:hint="eastAsia"/>
          <w:highlight w:val="none"/>
          <w:lang w:val="en-US" w:eastAsia="zh-CN"/>
        </w:rPr>
        <w:t>3、删除：设计一个删除按钮，用户可点击删除按钮删除单条数据。</w:t>
      </w:r>
    </w:p>
    <w:p>
      <w:pPr>
        <w:kinsoku/>
        <w:wordWrap/>
        <w:overflowPunct/>
        <w:bidi w:val="0"/>
        <w:spacing w:line="360" w:lineRule="auto"/>
        <w:ind w:firstLine="480"/>
        <w:rPr>
          <w:rFonts w:hint="eastAsia"/>
          <w:highlight w:val="none"/>
          <w:lang w:val="en-US" w:eastAsia="zh-CN"/>
        </w:rPr>
      </w:pPr>
      <w:r>
        <w:rPr>
          <w:rFonts w:hint="eastAsia"/>
          <w:highlight w:val="none"/>
          <w:lang w:val="en-US" w:eastAsia="zh-CN"/>
        </w:rPr>
        <w:t>4、批量删除：设计一个批量删除按钮，用户可点击批量删除按钮删除多条数据。</w:t>
      </w:r>
    </w:p>
    <w:p>
      <w:pPr>
        <w:kinsoku/>
        <w:wordWrap/>
        <w:overflowPunct/>
        <w:bidi w:val="0"/>
        <w:spacing w:line="360" w:lineRule="auto"/>
        <w:ind w:firstLine="480"/>
        <w:rPr>
          <w:rFonts w:hint="eastAsia"/>
          <w:highlight w:val="none"/>
          <w:lang w:val="en-US" w:eastAsia="zh-CN"/>
        </w:rPr>
      </w:pPr>
      <w:r>
        <w:rPr>
          <w:rFonts w:hint="eastAsia"/>
          <w:highlight w:val="none"/>
          <w:lang w:val="en-US" w:eastAsia="zh-CN"/>
        </w:rPr>
        <w:t>5、详细信息弹窗：设计详细信息弹窗，当用户点击地图上的坐标时即可弹出坐标详细信息。</w:t>
      </w:r>
    </w:p>
    <w:p>
      <w:pPr>
        <w:kinsoku/>
        <w:wordWrap/>
        <w:overflowPunct/>
        <w:bidi w:val="0"/>
        <w:spacing w:line="360" w:lineRule="auto"/>
        <w:ind w:firstLine="480"/>
        <w:rPr>
          <w:rFonts w:hint="eastAsia"/>
          <w:highlight w:val="none"/>
          <w:lang w:val="en-US" w:eastAsia="zh-CN"/>
        </w:rPr>
      </w:pPr>
      <w:r>
        <w:rPr>
          <w:rFonts w:hint="eastAsia"/>
          <w:highlight w:val="none"/>
          <w:lang w:val="en-US" w:eastAsia="zh-CN"/>
        </w:rPr>
        <w:t>6、</w:t>
      </w:r>
      <w:r>
        <w:rPr>
          <w:rFonts w:hint="eastAsia" w:ascii="宋体" w:hAnsi="宋体" w:cs="宋体"/>
          <w:highlight w:val="none"/>
          <w:lang w:val="en-US" w:eastAsia="zh-CN"/>
        </w:rPr>
        <w:t>施工项目分布地图</w:t>
      </w:r>
      <w:r>
        <w:rPr>
          <w:rFonts w:hint="eastAsia"/>
          <w:highlight w:val="none"/>
          <w:lang w:val="en-US" w:eastAsia="zh-CN"/>
        </w:rPr>
        <w:t>：实现根据不同图标在地图上展示施工项目定点标注。</w:t>
      </w:r>
    </w:p>
    <w:p>
      <w:pPr>
        <w:kinsoku/>
        <w:wordWrap/>
        <w:overflowPunct/>
        <w:bidi w:val="0"/>
        <w:spacing w:line="360" w:lineRule="auto"/>
        <w:ind w:firstLine="480"/>
        <w:rPr>
          <w:rFonts w:hint="eastAsia"/>
          <w:highlight w:val="none"/>
          <w:lang w:val="en-US" w:eastAsia="zh-CN"/>
        </w:rPr>
      </w:pPr>
      <w:r>
        <w:rPr>
          <w:rFonts w:hint="eastAsia"/>
          <w:highlight w:val="none"/>
          <w:lang w:val="en-US" w:eastAsia="zh-CN"/>
        </w:rPr>
        <w:t>7、导入、导出：设计导入、导出按钮，用户可点击导入按钮导入多条数据，且可根据条件对数据进行导出。</w:t>
      </w:r>
    </w:p>
    <w:p>
      <w:pPr>
        <w:ind w:firstLine="480"/>
      </w:pPr>
      <w:r>
        <w:rPr>
          <w:rFonts w:hint="eastAsia"/>
          <w:highlight w:val="none"/>
          <w:lang w:val="en-US" w:eastAsia="zh-CN"/>
        </w:rPr>
        <w:t>8、</w:t>
      </w:r>
      <w:r>
        <w:rPr>
          <w:rFonts w:hint="eastAsia" w:ascii="宋体" w:hAnsi="宋体" w:cs="宋体"/>
          <w:highlight w:val="none"/>
          <w:lang w:val="en-US" w:eastAsia="zh-CN"/>
        </w:rPr>
        <w:t>施工项目人员数量</w:t>
      </w:r>
      <w:r>
        <w:rPr>
          <w:rFonts w:ascii="宋体" w:hAnsi="宋体" w:eastAsia="宋体" w:cs="宋体"/>
          <w:sz w:val="24"/>
          <w:szCs w:val="24"/>
          <w:highlight w:val="none"/>
        </w:rPr>
        <w:t>分布</w:t>
      </w:r>
      <w:r>
        <w:rPr>
          <w:rFonts w:hint="eastAsia" w:cs="宋体"/>
          <w:sz w:val="24"/>
          <w:szCs w:val="24"/>
          <w:highlight w:val="none"/>
          <w:lang w:val="en-US" w:eastAsia="zh-CN"/>
        </w:rPr>
        <w:t>与预警</w:t>
      </w:r>
      <w:r>
        <w:rPr>
          <w:rFonts w:ascii="宋体" w:hAnsi="宋体" w:eastAsia="宋体" w:cs="宋体"/>
          <w:sz w:val="24"/>
          <w:szCs w:val="24"/>
          <w:highlight w:val="none"/>
        </w:rPr>
        <w:t>地图</w:t>
      </w:r>
      <w:r>
        <w:rPr>
          <w:rFonts w:hint="eastAsia"/>
          <w:highlight w:val="none"/>
          <w:lang w:val="en-US" w:eastAsia="zh-CN"/>
        </w:rPr>
        <w:t>：在地图上展示施工项目对应施工人员数据定位</w:t>
      </w:r>
      <w:r>
        <w:rPr>
          <w:rFonts w:hint="eastAsia" w:cs="宋体"/>
        </w:rPr>
        <w:t>。</w:t>
      </w:r>
    </w:p>
    <w:bookmarkEnd w:id="14"/>
    <w:bookmarkEnd w:id="15"/>
    <w:bookmarkEnd w:id="16"/>
    <w:p>
      <w:pPr>
        <w:pStyle w:val="4"/>
        <w:rPr>
          <w:rFonts w:cs="宋体"/>
          <w:szCs w:val="24"/>
        </w:rPr>
      </w:pPr>
      <w:bookmarkStart w:id="17" w:name="_Toc27904"/>
      <w:bookmarkStart w:id="18" w:name="_Toc351129175"/>
      <w:bookmarkStart w:id="19" w:name="_Toc4637"/>
      <w:r>
        <w:rPr>
          <w:rFonts w:hint="eastAsia" w:cs="宋体"/>
          <w:szCs w:val="24"/>
        </w:rPr>
        <w:t>其他要求</w:t>
      </w:r>
      <w:bookmarkEnd w:id="17"/>
      <w:bookmarkEnd w:id="18"/>
      <w:bookmarkEnd w:id="19"/>
    </w:p>
    <w:p>
      <w:pPr>
        <w:pStyle w:val="5"/>
        <w:rPr>
          <w:rFonts w:hAnsi="宋体" w:cs="宋体"/>
          <w:szCs w:val="24"/>
        </w:rPr>
      </w:pPr>
      <w:r>
        <w:rPr>
          <w:rFonts w:hint="eastAsia" w:hAnsi="宋体" w:cs="宋体"/>
          <w:szCs w:val="24"/>
        </w:rPr>
        <w:t>项目进度</w:t>
      </w:r>
    </w:p>
    <w:p>
      <w:pPr>
        <w:pStyle w:val="30"/>
        <w:numPr>
          <w:ilvl w:val="2"/>
          <w:numId w:val="5"/>
        </w:numPr>
        <w:rPr>
          <w:rFonts w:cs="宋体"/>
        </w:rPr>
      </w:pPr>
      <w:r>
        <w:rPr>
          <w:rFonts w:hint="eastAsia" w:cs="宋体"/>
        </w:rPr>
        <w:t>本技术规范书范围和内容要求自合同约定之日起</w:t>
      </w:r>
      <w:r>
        <w:rPr>
          <w:rFonts w:hint="eastAsia" w:cs="宋体"/>
          <w:lang w:val="en-US" w:eastAsia="zh-CN"/>
        </w:rPr>
        <w:t>12个月</w:t>
      </w:r>
      <w:r>
        <w:rPr>
          <w:rFonts w:hint="eastAsia" w:cs="宋体"/>
        </w:rPr>
        <w:t>内完成。</w:t>
      </w:r>
    </w:p>
    <w:p>
      <w:pPr>
        <w:pStyle w:val="30"/>
        <w:numPr>
          <w:ilvl w:val="2"/>
          <w:numId w:val="5"/>
        </w:numPr>
        <w:rPr>
          <w:rFonts w:cs="宋体"/>
        </w:rPr>
      </w:pPr>
      <w:r>
        <w:rPr>
          <w:rFonts w:hint="eastAsia" w:cs="宋体"/>
        </w:rPr>
        <w:t>投标方必须响应并承诺下列要求：投标方应在建议书中根据招标方要求的服务、工作产品交付日期，提出详细的项目进度表及工作组织安排，合同签订时将在此基础上确定最终进度。投标方应明确对最短可行项目进度的承诺。</w:t>
      </w:r>
    </w:p>
    <w:p>
      <w:pPr>
        <w:pStyle w:val="5"/>
        <w:rPr>
          <w:rFonts w:hAnsi="宋体" w:cs="宋体"/>
          <w:szCs w:val="24"/>
        </w:rPr>
      </w:pPr>
      <w:r>
        <w:rPr>
          <w:rFonts w:hint="eastAsia" w:hAnsi="宋体" w:cs="宋体"/>
          <w:szCs w:val="24"/>
        </w:rPr>
        <w:t>项目联络</w:t>
      </w:r>
    </w:p>
    <w:p>
      <w:pPr>
        <w:pStyle w:val="6"/>
        <w:rPr>
          <w:bCs/>
        </w:rPr>
      </w:pPr>
      <w:r>
        <w:rPr>
          <w:rFonts w:hint="eastAsia"/>
          <w:bCs/>
        </w:rPr>
        <w:t>为审查和确认工作进展，便于合同按期执行，在技术服务过程中投标方根据招标方要求召开联络会，协调解决项目实施中的工作。</w:t>
      </w:r>
    </w:p>
    <w:p>
      <w:pPr>
        <w:pStyle w:val="6"/>
        <w:rPr>
          <w:rFonts w:cs="宋体"/>
        </w:rPr>
      </w:pPr>
      <w:r>
        <w:rPr>
          <w:rFonts w:hint="eastAsia"/>
          <w:bCs/>
        </w:rPr>
        <w:t>联络会内容由招标方确定，包括但不限于如下内容：</w:t>
      </w:r>
    </w:p>
    <w:p>
      <w:r>
        <w:rPr>
          <w:rFonts w:hint="eastAsia"/>
        </w:rPr>
        <w:t>（1）确认服务是否满足规范书要求。</w:t>
      </w:r>
    </w:p>
    <w:p>
      <w:r>
        <w:rPr>
          <w:rFonts w:hint="eastAsia"/>
        </w:rPr>
        <w:t>（2）确认服务的实施方案。</w:t>
      </w:r>
    </w:p>
    <w:p>
      <w:r>
        <w:rPr>
          <w:rFonts w:hint="eastAsia"/>
        </w:rPr>
        <w:t>（3）检查、确认投标方提供的技术文件和图纸。</w:t>
      </w:r>
    </w:p>
    <w:p>
      <w:r>
        <w:rPr>
          <w:rFonts w:hint="eastAsia"/>
        </w:rPr>
        <w:t>（</w:t>
      </w:r>
      <w:r>
        <w:t>4</w:t>
      </w:r>
      <w:r>
        <w:rPr>
          <w:rFonts w:hint="eastAsia"/>
        </w:rPr>
        <w:t>）其他有关事项。</w:t>
      </w:r>
    </w:p>
    <w:p>
      <w:pPr>
        <w:pStyle w:val="5"/>
        <w:rPr>
          <w:rFonts w:hAnsi="宋体" w:cs="宋体"/>
          <w:szCs w:val="24"/>
        </w:rPr>
      </w:pPr>
      <w:r>
        <w:rPr>
          <w:rFonts w:hint="eastAsia" w:hAnsi="宋体" w:cs="宋体"/>
          <w:szCs w:val="24"/>
        </w:rPr>
        <w:t>实施人员素质和人数要求</w:t>
      </w:r>
    </w:p>
    <w:p>
      <w:pPr>
        <w:pStyle w:val="6"/>
        <w:numPr>
          <w:ilvl w:val="2"/>
          <w:numId w:val="0"/>
        </w:numPr>
        <w:rPr>
          <w:bCs/>
        </w:rPr>
      </w:pPr>
      <w:bookmarkStart w:id="20" w:name="_Toc477370884"/>
      <w:bookmarkStart w:id="21" w:name="_Toc477377765"/>
      <w:bookmarkStart w:id="22" w:name="_Toc477266282"/>
      <w:bookmarkStart w:id="23" w:name="_Toc477294545"/>
      <w:r>
        <w:rPr>
          <w:rFonts w:hint="eastAsia"/>
          <w:bCs/>
        </w:rPr>
        <w:t>7.3.1服务</w:t>
      </w:r>
      <w:bookmarkEnd w:id="20"/>
      <w:bookmarkEnd w:id="21"/>
      <w:bookmarkEnd w:id="22"/>
      <w:r>
        <w:rPr>
          <w:rFonts w:hint="eastAsia"/>
          <w:bCs/>
        </w:rPr>
        <w:t>人员</w:t>
      </w:r>
    </w:p>
    <w:p>
      <w:pPr>
        <w:pStyle w:val="6"/>
        <w:numPr>
          <w:ilvl w:val="2"/>
          <w:numId w:val="0"/>
        </w:numPr>
      </w:pPr>
      <w:r>
        <w:rPr>
          <w:rFonts w:hint="eastAsia"/>
        </w:rPr>
        <w:t>★投标方应在技术建议书中明确，参与技术支持服务人员及其简历。技术支持服务的人员总数不少于</w:t>
      </w:r>
      <w:r>
        <w:rPr>
          <w:rFonts w:hint="eastAsia"/>
          <w:lang w:val="en-US" w:eastAsia="zh-CN"/>
        </w:rPr>
        <w:t>5</w:t>
      </w:r>
      <w:r>
        <w:rPr>
          <w:rFonts w:hint="eastAsia"/>
        </w:rPr>
        <w:t>人，根据招标方需求，提供现场支持服务。</w:t>
      </w:r>
    </w:p>
    <w:p>
      <w:pPr>
        <w:pStyle w:val="7"/>
        <w:rPr>
          <w:rFonts w:ascii="宋体" w:hAnsi="宋体"/>
        </w:rPr>
      </w:pPr>
      <w:r>
        <w:rPr>
          <w:rFonts w:hint="eastAsia" w:ascii="宋体" w:hAnsi="宋体"/>
        </w:rPr>
        <w:t>招标方有对投标方所提供的技术支持服务人员进行面试的权力，对于不满足招标方要求的人员，招标方有权要求投标方无条件的更换人员，且不能影响项目进度。</w:t>
      </w:r>
    </w:p>
    <w:p>
      <w:pPr>
        <w:pStyle w:val="7"/>
        <w:rPr>
          <w:rFonts w:ascii="宋体" w:hAnsi="宋体"/>
        </w:rPr>
      </w:pPr>
      <w:r>
        <w:rPr>
          <w:rFonts w:hint="eastAsia" w:ascii="宋体" w:hAnsi="宋体"/>
        </w:rPr>
        <w:t>投标方必须向招标方保证人员组织的稳定性，在技术服务期间，投标方不得抽调和随意变更技术服务人员。在本项目结束前，参加本项目的技术服务人员变动必须取得招标方同意，并立即安排候补人员予以补充。招标方保留拒绝投标方人员变更要求的权利。</w:t>
      </w:r>
    </w:p>
    <w:p>
      <w:pPr>
        <w:pStyle w:val="6"/>
        <w:numPr>
          <w:ilvl w:val="2"/>
          <w:numId w:val="5"/>
        </w:numPr>
        <w:rPr>
          <w:bCs/>
        </w:rPr>
      </w:pPr>
      <w:bookmarkStart w:id="24" w:name="_Toc477294546"/>
      <w:bookmarkStart w:id="25" w:name="_Toc477370885"/>
      <w:bookmarkStart w:id="26" w:name="_Toc477377766"/>
      <w:bookmarkStart w:id="27" w:name="_Toc477266283"/>
      <w:r>
        <w:rPr>
          <w:rFonts w:hint="eastAsia"/>
          <w:bCs/>
        </w:rPr>
        <w:t>技能、资格要求</w:t>
      </w:r>
      <w:bookmarkEnd w:id="23"/>
      <w:bookmarkEnd w:id="24"/>
      <w:bookmarkEnd w:id="25"/>
      <w:bookmarkEnd w:id="26"/>
    </w:p>
    <w:p>
      <w:pPr>
        <w:pStyle w:val="7"/>
        <w:rPr>
          <w:rFonts w:ascii="宋体" w:hAnsi="宋体"/>
        </w:rPr>
      </w:pPr>
      <w:r>
        <w:rPr>
          <w:rFonts w:hint="eastAsia" w:ascii="宋体" w:hAnsi="宋体"/>
        </w:rPr>
        <w:t>服务人员须具备以下经验或资历：服务人员具备不少于1年工作经验，至少具备1个信息系统开发、实施等相关经验，能较好的完成本职工作。</w:t>
      </w:r>
    </w:p>
    <w:p>
      <w:pPr>
        <w:pStyle w:val="5"/>
        <w:rPr>
          <w:rFonts w:hAnsi="宋体" w:cs="宋体"/>
          <w:szCs w:val="24"/>
        </w:rPr>
      </w:pPr>
      <w:r>
        <w:rPr>
          <w:rFonts w:hint="eastAsia" w:hAnsi="宋体" w:cs="宋体"/>
          <w:szCs w:val="24"/>
        </w:rPr>
        <w:t>合作项目及设计确认</w:t>
      </w:r>
    </w:p>
    <w:p>
      <w:pPr>
        <w:pStyle w:val="30"/>
        <w:numPr>
          <w:ilvl w:val="2"/>
          <w:numId w:val="5"/>
        </w:numPr>
        <w:rPr>
          <w:rFonts w:cs="宋体"/>
        </w:rPr>
      </w:pPr>
      <w:r>
        <w:rPr>
          <w:rFonts w:hint="eastAsia" w:cs="宋体"/>
        </w:rPr>
        <w:t>为推进项目工作顺利开展，工作产品符合实际需要，招标方需进行全程参与合作项目。</w:t>
      </w:r>
    </w:p>
    <w:p>
      <w:pPr>
        <w:pStyle w:val="30"/>
        <w:numPr>
          <w:ilvl w:val="2"/>
          <w:numId w:val="5"/>
        </w:numPr>
        <w:rPr>
          <w:rFonts w:cs="宋体"/>
        </w:rPr>
      </w:pPr>
      <w:r>
        <w:rPr>
          <w:rFonts w:hint="eastAsia" w:cs="宋体"/>
        </w:rPr>
        <w:t>双方责任</w:t>
      </w:r>
    </w:p>
    <w:p>
      <w:pPr>
        <w:pStyle w:val="8"/>
        <w:numPr>
          <w:ilvl w:val="0"/>
          <w:numId w:val="0"/>
        </w:numPr>
        <w:rPr>
          <w:rFonts w:cs="宋体"/>
        </w:rPr>
      </w:pPr>
      <w:r>
        <w:rPr>
          <w:rFonts w:hint="eastAsia" w:cs="宋体"/>
        </w:rPr>
        <w:t>在招标方的配合下，投标方全面负责合作配合工作，并作好下述工作：制定合作项目的工作计划并由招标方确认。</w:t>
      </w:r>
    </w:p>
    <w:p>
      <w:pPr>
        <w:pStyle w:val="5"/>
        <w:rPr>
          <w:rFonts w:hAnsi="宋体" w:cs="宋体"/>
          <w:szCs w:val="24"/>
        </w:rPr>
      </w:pPr>
      <w:r>
        <w:rPr>
          <w:rFonts w:hint="eastAsia" w:hAnsi="宋体" w:cs="宋体"/>
          <w:szCs w:val="24"/>
        </w:rPr>
        <w:t>评审与验收</w:t>
      </w:r>
    </w:p>
    <w:p>
      <w:pPr>
        <w:pStyle w:val="6"/>
        <w:rPr>
          <w:bCs/>
        </w:rPr>
      </w:pPr>
      <w:r>
        <w:rPr>
          <w:rFonts w:hint="eastAsia"/>
          <w:bCs/>
        </w:rPr>
        <w:t>投标方应负责在项目验收时将项目的全部有关技术文件、资料、测试、验收报告等文档汇集成册交付给招标方。</w:t>
      </w:r>
    </w:p>
    <w:p>
      <w:pPr>
        <w:pStyle w:val="6"/>
        <w:rPr>
          <w:bCs/>
        </w:rPr>
      </w:pPr>
      <w:r>
        <w:rPr>
          <w:bCs/>
        </w:rPr>
        <w:t>招标方可根据合同及招标书和招标方的有关规定进行修改和补充,经双方确认后形成验收文件作为验收依据。验收</w:t>
      </w:r>
      <w:r>
        <w:rPr>
          <w:rFonts w:hint="eastAsia"/>
          <w:bCs/>
        </w:rPr>
        <w:t>评审</w:t>
      </w:r>
      <w:r>
        <w:rPr>
          <w:bCs/>
        </w:rPr>
        <w:t>合格后</w:t>
      </w:r>
      <w:r>
        <w:rPr>
          <w:rFonts w:hint="eastAsia"/>
          <w:bCs/>
        </w:rPr>
        <w:t>30日内，若无问题，经</w:t>
      </w:r>
      <w:r>
        <w:rPr>
          <w:bCs/>
        </w:rPr>
        <w:t>双方</w:t>
      </w:r>
      <w:r>
        <w:rPr>
          <w:rFonts w:hint="eastAsia"/>
          <w:bCs/>
        </w:rPr>
        <w:t>确认后</w:t>
      </w:r>
      <w:r>
        <w:rPr>
          <w:bCs/>
        </w:rPr>
        <w:t>，签署最终验收文件。</w:t>
      </w:r>
    </w:p>
    <w:p>
      <w:pPr>
        <w:pStyle w:val="6"/>
        <w:rPr>
          <w:bCs/>
        </w:rPr>
      </w:pPr>
      <w:r>
        <w:rPr>
          <w:rFonts w:hint="eastAsia"/>
          <w:bCs/>
        </w:rPr>
        <w:t>如果在签</w:t>
      </w:r>
      <w:r>
        <w:rPr>
          <w:bCs/>
        </w:rPr>
        <w:t>署最终验收文件</w:t>
      </w:r>
      <w:r>
        <w:rPr>
          <w:rFonts w:hint="eastAsia"/>
          <w:bCs/>
        </w:rPr>
        <w:t>后12周内，由于投标方的原因，该项目有一条或多条达不到规定的技术要求时，投标方应在附加的4周内采取有效措施，使该项目完全达到规定的技术要求，在此期间的一切费用由投标方承担，如在此期间内仍达不到规定的技术性能要求时，将按合同中相应商务条款执行。</w:t>
      </w:r>
    </w:p>
    <w:p>
      <w:pPr>
        <w:pStyle w:val="5"/>
        <w:rPr>
          <w:rFonts w:hAnsi="宋体" w:cs="宋体"/>
          <w:szCs w:val="24"/>
        </w:rPr>
      </w:pPr>
      <w:r>
        <w:rPr>
          <w:rFonts w:hint="eastAsia" w:hAnsi="宋体" w:cs="宋体"/>
          <w:szCs w:val="24"/>
        </w:rPr>
        <w:t>技术资料和文件</w:t>
      </w:r>
    </w:p>
    <w:p>
      <w:pPr>
        <w:pStyle w:val="30"/>
        <w:numPr>
          <w:ilvl w:val="2"/>
          <w:numId w:val="5"/>
        </w:numPr>
        <w:rPr>
          <w:rFonts w:cs="宋体"/>
        </w:rPr>
      </w:pPr>
      <w:r>
        <w:rPr>
          <w:rFonts w:hint="eastAsia" w:cs="宋体"/>
        </w:rPr>
        <w:t>投标方提供的文件和资料应能满足招标方进行维护和进一步完善的需要。</w:t>
      </w:r>
    </w:p>
    <w:p>
      <w:pPr>
        <w:pStyle w:val="30"/>
        <w:numPr>
          <w:ilvl w:val="2"/>
          <w:numId w:val="5"/>
        </w:numPr>
        <w:rPr>
          <w:rFonts w:cs="宋体"/>
        </w:rPr>
      </w:pPr>
      <w:r>
        <w:rPr>
          <w:rFonts w:hint="eastAsia" w:cs="宋体"/>
        </w:rPr>
        <w:t>提供的图纸应符合标准规格。</w:t>
      </w:r>
    </w:p>
    <w:p>
      <w:pPr>
        <w:pStyle w:val="30"/>
        <w:numPr>
          <w:ilvl w:val="2"/>
          <w:numId w:val="5"/>
        </w:numPr>
        <w:rPr>
          <w:rFonts w:cs="宋体"/>
        </w:rPr>
      </w:pPr>
      <w:r>
        <w:rPr>
          <w:rFonts w:cs="宋体"/>
        </w:rPr>
        <w:t>投标方应向招标方提供项目的全部过程资料的电子版。</w:t>
      </w:r>
    </w:p>
    <w:p>
      <w:pPr>
        <w:pStyle w:val="30"/>
        <w:numPr>
          <w:ilvl w:val="2"/>
          <w:numId w:val="5"/>
        </w:numPr>
        <w:rPr>
          <w:rFonts w:cs="宋体"/>
        </w:rPr>
      </w:pPr>
      <w:r>
        <w:rPr>
          <w:rFonts w:hint="eastAsia" w:cs="宋体"/>
        </w:rPr>
        <w:t>投标方应按照招标方要求，及时汇报项目进度。</w:t>
      </w:r>
    </w:p>
    <w:p>
      <w:pPr>
        <w:pStyle w:val="5"/>
        <w:rPr>
          <w:rFonts w:hAnsi="宋体" w:cs="宋体"/>
          <w:szCs w:val="24"/>
        </w:rPr>
      </w:pPr>
      <w:r>
        <w:rPr>
          <w:rFonts w:hint="eastAsia" w:hAnsi="宋体" w:cs="宋体"/>
          <w:szCs w:val="24"/>
        </w:rPr>
        <w:t>售后服务</w:t>
      </w:r>
    </w:p>
    <w:p>
      <w:pPr>
        <w:pStyle w:val="30"/>
        <w:rPr>
          <w:rFonts w:cs="宋体"/>
        </w:rPr>
      </w:pPr>
      <w:bookmarkStart w:id="28" w:name="_Toc167003829"/>
      <w:bookmarkStart w:id="29" w:name="_Toc93490630"/>
      <w:bookmarkStart w:id="30" w:name="_Toc351129176"/>
      <w:bookmarkStart w:id="31" w:name="_Toc137397828"/>
      <w:bookmarkStart w:id="32" w:name="_Toc529884811"/>
      <w:bookmarkStart w:id="33" w:name="_Toc93490580"/>
      <w:bookmarkStart w:id="34" w:name="_Toc93490801"/>
      <w:r>
        <w:rPr>
          <w:rFonts w:cs="宋体"/>
        </w:rPr>
        <w:t>7.7.1</w:t>
      </w:r>
      <w:r>
        <w:rPr>
          <w:rFonts w:hint="eastAsia" w:cs="宋体"/>
        </w:rPr>
        <w:t>项目验收通过后投标方无需继续提供免费技术咨询服务。</w:t>
      </w:r>
    </w:p>
    <w:p>
      <w:pPr>
        <w:pStyle w:val="4"/>
        <w:rPr>
          <w:rFonts w:cs="宋体"/>
          <w:szCs w:val="24"/>
        </w:rPr>
      </w:pPr>
      <w:bookmarkStart w:id="35" w:name="_Toc31128"/>
      <w:bookmarkStart w:id="36" w:name="_Toc15850"/>
      <w:r>
        <w:rPr>
          <w:rFonts w:hint="eastAsia" w:cs="宋体"/>
          <w:szCs w:val="24"/>
        </w:rPr>
        <w:t>附件</w:t>
      </w:r>
      <w:bookmarkEnd w:id="27"/>
      <w:bookmarkEnd w:id="28"/>
      <w:bookmarkEnd w:id="29"/>
      <w:bookmarkEnd w:id="30"/>
      <w:bookmarkEnd w:id="31"/>
      <w:bookmarkEnd w:id="32"/>
      <w:bookmarkEnd w:id="33"/>
      <w:bookmarkEnd w:id="35"/>
      <w:bookmarkEnd w:id="36"/>
    </w:p>
    <w:p>
      <w:pPr>
        <w:pStyle w:val="5"/>
        <w:rPr>
          <w:rFonts w:hAnsi="宋体" w:cs="宋体"/>
          <w:szCs w:val="24"/>
        </w:rPr>
      </w:pPr>
      <w:r>
        <w:rPr>
          <w:rFonts w:hint="eastAsia" w:hAnsi="宋体" w:cs="宋体"/>
          <w:szCs w:val="24"/>
        </w:rPr>
        <w:t>差异表</w:t>
      </w:r>
    </w:p>
    <w:tbl>
      <w:tblPr>
        <w:tblStyle w:val="24"/>
        <w:tblW w:w="886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9"/>
        <w:gridCol w:w="1020"/>
        <w:gridCol w:w="2835"/>
        <w:gridCol w:w="1605"/>
        <w:gridCol w:w="269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709" w:type="dxa"/>
            <w:vMerge w:val="restart"/>
            <w:tcBorders>
              <w:top w:val="single" w:color="auto" w:sz="4" w:space="0"/>
              <w:left w:val="single" w:color="auto" w:sz="4" w:space="0"/>
              <w:bottom w:val="single" w:color="auto" w:sz="4" w:space="0"/>
              <w:right w:val="single" w:color="auto" w:sz="4" w:space="0"/>
            </w:tcBorders>
            <w:vAlign w:val="center"/>
          </w:tcPr>
          <w:p>
            <w:pPr>
              <w:rPr>
                <w:rFonts w:cs="宋体"/>
              </w:rPr>
            </w:pPr>
            <w:r>
              <w:rPr>
                <w:rFonts w:hint="eastAsia" w:cs="宋体"/>
              </w:rPr>
              <w:t>序号</w:t>
            </w:r>
          </w:p>
        </w:tc>
        <w:tc>
          <w:tcPr>
            <w:tcW w:w="3855" w:type="dxa"/>
            <w:gridSpan w:val="2"/>
            <w:tcBorders>
              <w:top w:val="single" w:color="auto" w:sz="4" w:space="0"/>
              <w:left w:val="single" w:color="auto" w:sz="4" w:space="0"/>
              <w:bottom w:val="single" w:color="auto" w:sz="4" w:space="0"/>
              <w:right w:val="single" w:color="auto" w:sz="4" w:space="0"/>
            </w:tcBorders>
            <w:vAlign w:val="center"/>
          </w:tcPr>
          <w:p>
            <w:pPr>
              <w:rPr>
                <w:rFonts w:cs="宋体"/>
              </w:rPr>
            </w:pPr>
            <w:r>
              <w:rPr>
                <w:rFonts w:hint="eastAsia" w:cs="宋体"/>
              </w:rPr>
              <w:t>招标文件</w:t>
            </w:r>
          </w:p>
        </w:tc>
        <w:tc>
          <w:tcPr>
            <w:tcW w:w="4299" w:type="dxa"/>
            <w:gridSpan w:val="2"/>
            <w:tcBorders>
              <w:top w:val="single" w:color="auto" w:sz="4" w:space="0"/>
              <w:left w:val="single" w:color="auto" w:sz="4" w:space="0"/>
              <w:bottom w:val="single" w:color="auto" w:sz="4" w:space="0"/>
              <w:right w:val="single" w:color="auto" w:sz="4" w:space="0"/>
            </w:tcBorders>
            <w:vAlign w:val="center"/>
          </w:tcPr>
          <w:p>
            <w:pPr>
              <w:rPr>
                <w:rFonts w:cs="宋体"/>
              </w:rPr>
            </w:pPr>
            <w:r>
              <w:rPr>
                <w:rFonts w:hint="eastAsia" w:cs="宋体"/>
              </w:rPr>
              <w:t>投标文件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709" w:type="dxa"/>
            <w:vMerge w:val="continue"/>
            <w:tcBorders>
              <w:top w:val="single" w:color="auto" w:sz="4" w:space="0"/>
              <w:left w:val="single" w:color="auto" w:sz="4" w:space="0"/>
              <w:bottom w:val="single" w:color="auto" w:sz="4" w:space="0"/>
              <w:right w:val="single" w:color="auto" w:sz="4" w:space="0"/>
            </w:tcBorders>
            <w:vAlign w:val="center"/>
          </w:tcPr>
          <w:p>
            <w:pPr>
              <w:rPr>
                <w:rFonts w:cs="宋体"/>
              </w:rPr>
            </w:pPr>
          </w:p>
        </w:tc>
        <w:tc>
          <w:tcPr>
            <w:tcW w:w="1020" w:type="dxa"/>
            <w:tcBorders>
              <w:top w:val="single" w:color="auto" w:sz="4" w:space="0"/>
              <w:left w:val="single" w:color="auto" w:sz="4" w:space="0"/>
              <w:bottom w:val="single" w:color="auto" w:sz="4" w:space="0"/>
              <w:right w:val="single" w:color="auto" w:sz="4" w:space="0"/>
            </w:tcBorders>
            <w:vAlign w:val="center"/>
          </w:tcPr>
          <w:p>
            <w:pPr>
              <w:rPr>
                <w:rFonts w:cs="宋体"/>
              </w:rPr>
            </w:pPr>
            <w:r>
              <w:rPr>
                <w:rFonts w:hint="eastAsia" w:cs="宋体"/>
              </w:rPr>
              <w:t>条目</w:t>
            </w:r>
          </w:p>
        </w:tc>
        <w:tc>
          <w:tcPr>
            <w:tcW w:w="2835" w:type="dxa"/>
            <w:tcBorders>
              <w:top w:val="single" w:color="auto" w:sz="4" w:space="0"/>
              <w:left w:val="single" w:color="auto" w:sz="4" w:space="0"/>
              <w:bottom w:val="single" w:color="auto" w:sz="4" w:space="0"/>
              <w:right w:val="single" w:color="auto" w:sz="4" w:space="0"/>
            </w:tcBorders>
            <w:vAlign w:val="center"/>
          </w:tcPr>
          <w:p>
            <w:pPr>
              <w:rPr>
                <w:rFonts w:cs="宋体"/>
              </w:rPr>
            </w:pPr>
            <w:r>
              <w:rPr>
                <w:rFonts w:hint="eastAsia" w:cs="宋体"/>
              </w:rPr>
              <w:t>简要内容</w:t>
            </w:r>
          </w:p>
        </w:tc>
        <w:tc>
          <w:tcPr>
            <w:tcW w:w="1605" w:type="dxa"/>
            <w:tcBorders>
              <w:top w:val="single" w:color="auto" w:sz="4" w:space="0"/>
              <w:left w:val="single" w:color="auto" w:sz="4" w:space="0"/>
              <w:bottom w:val="single" w:color="auto" w:sz="4" w:space="0"/>
              <w:right w:val="single" w:color="auto" w:sz="4" w:space="0"/>
            </w:tcBorders>
            <w:vAlign w:val="center"/>
          </w:tcPr>
          <w:p>
            <w:pPr>
              <w:rPr>
                <w:rFonts w:cs="宋体"/>
              </w:rPr>
            </w:pPr>
            <w:r>
              <w:rPr>
                <w:rFonts w:hint="eastAsia" w:cs="宋体"/>
              </w:rPr>
              <w:t>条目</w:t>
            </w:r>
          </w:p>
        </w:tc>
        <w:tc>
          <w:tcPr>
            <w:tcW w:w="2694" w:type="dxa"/>
            <w:tcBorders>
              <w:top w:val="single" w:color="auto" w:sz="4" w:space="0"/>
              <w:left w:val="single" w:color="auto" w:sz="4" w:space="0"/>
              <w:bottom w:val="single" w:color="auto" w:sz="4" w:space="0"/>
              <w:right w:val="single" w:color="auto" w:sz="4" w:space="0"/>
            </w:tcBorders>
            <w:vAlign w:val="center"/>
          </w:tcPr>
          <w:p>
            <w:pPr>
              <w:rPr>
                <w:rFonts w:cs="宋体"/>
              </w:rPr>
            </w:pPr>
            <w:r>
              <w:rPr>
                <w:rFonts w:hint="eastAsia" w:cs="宋体"/>
              </w:rPr>
              <w:t>简要内容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9" w:type="dxa"/>
            <w:tcBorders>
              <w:top w:val="single" w:color="auto" w:sz="4" w:space="0"/>
              <w:left w:val="single" w:color="auto" w:sz="4" w:space="0"/>
              <w:bottom w:val="single" w:color="auto" w:sz="4" w:space="0"/>
              <w:right w:val="single" w:color="auto" w:sz="4" w:space="0"/>
            </w:tcBorders>
          </w:tcPr>
          <w:p>
            <w:pPr>
              <w:rPr>
                <w:rFonts w:cs="宋体"/>
              </w:rPr>
            </w:pPr>
          </w:p>
        </w:tc>
        <w:tc>
          <w:tcPr>
            <w:tcW w:w="1020" w:type="dxa"/>
            <w:tcBorders>
              <w:top w:val="single" w:color="auto" w:sz="4" w:space="0"/>
              <w:left w:val="single" w:color="auto" w:sz="4" w:space="0"/>
              <w:bottom w:val="single" w:color="auto" w:sz="4" w:space="0"/>
              <w:right w:val="single" w:color="auto" w:sz="4" w:space="0"/>
            </w:tcBorders>
          </w:tcPr>
          <w:p>
            <w:pPr>
              <w:rPr>
                <w:rFonts w:cs="宋体"/>
              </w:rPr>
            </w:pPr>
          </w:p>
        </w:tc>
        <w:tc>
          <w:tcPr>
            <w:tcW w:w="2835" w:type="dxa"/>
            <w:tcBorders>
              <w:top w:val="single" w:color="auto" w:sz="4" w:space="0"/>
              <w:left w:val="single" w:color="auto" w:sz="4" w:space="0"/>
              <w:bottom w:val="single" w:color="auto" w:sz="4" w:space="0"/>
              <w:right w:val="single" w:color="auto" w:sz="4" w:space="0"/>
            </w:tcBorders>
          </w:tcPr>
          <w:p>
            <w:pPr>
              <w:rPr>
                <w:rFonts w:cs="宋体"/>
              </w:rPr>
            </w:pPr>
          </w:p>
        </w:tc>
        <w:tc>
          <w:tcPr>
            <w:tcW w:w="1605" w:type="dxa"/>
            <w:tcBorders>
              <w:top w:val="single" w:color="auto" w:sz="4" w:space="0"/>
              <w:left w:val="single" w:color="auto" w:sz="4" w:space="0"/>
              <w:bottom w:val="single" w:color="auto" w:sz="4" w:space="0"/>
              <w:right w:val="single" w:color="auto" w:sz="4" w:space="0"/>
            </w:tcBorders>
          </w:tcPr>
          <w:p>
            <w:pPr>
              <w:rPr>
                <w:rFonts w:cs="宋体"/>
              </w:rPr>
            </w:pPr>
          </w:p>
        </w:tc>
        <w:tc>
          <w:tcPr>
            <w:tcW w:w="2694" w:type="dxa"/>
            <w:tcBorders>
              <w:top w:val="single" w:color="auto" w:sz="4" w:space="0"/>
              <w:left w:val="single" w:color="auto" w:sz="4" w:space="0"/>
              <w:bottom w:val="single" w:color="auto" w:sz="4" w:space="0"/>
              <w:right w:val="single" w:color="auto" w:sz="4" w:space="0"/>
            </w:tcBorders>
          </w:tcPr>
          <w:p>
            <w:pPr>
              <w:rPr>
                <w:rFonts w:cs="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9" w:type="dxa"/>
            <w:tcBorders>
              <w:top w:val="single" w:color="auto" w:sz="4" w:space="0"/>
              <w:left w:val="single" w:color="auto" w:sz="4" w:space="0"/>
              <w:bottom w:val="single" w:color="auto" w:sz="4" w:space="0"/>
              <w:right w:val="single" w:color="auto" w:sz="4" w:space="0"/>
            </w:tcBorders>
          </w:tcPr>
          <w:p>
            <w:pPr>
              <w:rPr>
                <w:rFonts w:cs="宋体"/>
              </w:rPr>
            </w:pPr>
          </w:p>
        </w:tc>
        <w:tc>
          <w:tcPr>
            <w:tcW w:w="1020" w:type="dxa"/>
            <w:tcBorders>
              <w:top w:val="single" w:color="auto" w:sz="4" w:space="0"/>
              <w:left w:val="single" w:color="auto" w:sz="4" w:space="0"/>
              <w:bottom w:val="single" w:color="auto" w:sz="4" w:space="0"/>
              <w:right w:val="single" w:color="auto" w:sz="4" w:space="0"/>
            </w:tcBorders>
          </w:tcPr>
          <w:p>
            <w:pPr>
              <w:rPr>
                <w:rFonts w:cs="宋体"/>
              </w:rPr>
            </w:pPr>
          </w:p>
        </w:tc>
        <w:tc>
          <w:tcPr>
            <w:tcW w:w="2835" w:type="dxa"/>
            <w:tcBorders>
              <w:top w:val="single" w:color="auto" w:sz="4" w:space="0"/>
              <w:left w:val="single" w:color="auto" w:sz="4" w:space="0"/>
              <w:bottom w:val="single" w:color="auto" w:sz="4" w:space="0"/>
              <w:right w:val="single" w:color="auto" w:sz="4" w:space="0"/>
            </w:tcBorders>
          </w:tcPr>
          <w:p>
            <w:pPr>
              <w:rPr>
                <w:rFonts w:cs="宋体"/>
              </w:rPr>
            </w:pPr>
          </w:p>
        </w:tc>
        <w:tc>
          <w:tcPr>
            <w:tcW w:w="1605" w:type="dxa"/>
            <w:tcBorders>
              <w:top w:val="single" w:color="auto" w:sz="4" w:space="0"/>
              <w:left w:val="single" w:color="auto" w:sz="4" w:space="0"/>
              <w:bottom w:val="single" w:color="auto" w:sz="4" w:space="0"/>
              <w:right w:val="single" w:color="auto" w:sz="4" w:space="0"/>
            </w:tcBorders>
          </w:tcPr>
          <w:p>
            <w:pPr>
              <w:rPr>
                <w:rFonts w:cs="宋体"/>
              </w:rPr>
            </w:pPr>
          </w:p>
        </w:tc>
        <w:tc>
          <w:tcPr>
            <w:tcW w:w="2694" w:type="dxa"/>
            <w:tcBorders>
              <w:top w:val="single" w:color="auto" w:sz="4" w:space="0"/>
              <w:left w:val="single" w:color="auto" w:sz="4" w:space="0"/>
              <w:bottom w:val="single" w:color="auto" w:sz="4" w:space="0"/>
              <w:right w:val="single" w:color="auto" w:sz="4" w:space="0"/>
            </w:tcBorders>
          </w:tcPr>
          <w:p>
            <w:pPr>
              <w:rPr>
                <w:rFonts w:cs="宋体"/>
              </w:rPr>
            </w:pPr>
          </w:p>
        </w:tc>
      </w:tr>
    </w:tbl>
    <w:p>
      <w:pPr>
        <w:rPr>
          <w:rFonts w:cs="宋体"/>
        </w:rPr>
      </w:pPr>
    </w:p>
    <w:p>
      <w:pPr>
        <w:pStyle w:val="5"/>
        <w:rPr>
          <w:rFonts w:hAnsi="宋体" w:cs="宋体"/>
          <w:szCs w:val="24"/>
        </w:rPr>
      </w:pPr>
      <w:r>
        <w:rPr>
          <w:rFonts w:hint="eastAsia" w:hAnsi="宋体" w:cs="宋体"/>
          <w:szCs w:val="24"/>
        </w:rPr>
        <w:t>投标方需要说明的其它问题</w:t>
      </w:r>
    </w:p>
    <w:bookmarkEnd w:id="34"/>
    <w:p/>
    <w:sectPr>
      <w:headerReference r:id="rId7" w:type="default"/>
      <w:footerReference r:id="rId8" w:type="default"/>
      <w:pgSz w:w="11906" w:h="16838"/>
      <w:pgMar w:top="1440" w:right="1797" w:bottom="1440" w:left="1797" w:header="851" w:footer="992" w:gutter="0"/>
      <w:pgNumType w:start="1"/>
      <w:cols w:space="720"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A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仿宋_GB2312">
    <w:panose1 w:val="02010609030101010101"/>
    <w:charset w:val="86"/>
    <w:family w:val="modern"/>
    <w:pitch w:val="default"/>
    <w:sig w:usb0="00000001" w:usb1="080E0000" w:usb2="00000000" w:usb3="00000000" w:csb0="00040000" w:csb1="00000000"/>
  </w:font>
  <w:font w:name="Calibri Light">
    <w:panose1 w:val="020F0302020204030204"/>
    <w:charset w:val="00"/>
    <w:family w:val="swiss"/>
    <w:pitch w:val="default"/>
    <w:sig w:usb0="E0002AFF" w:usb1="C000247B"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framePr w:wrap="around" w:vAnchor="text" w:hAnchor="margin" w:xAlign="center" w:y="1"/>
    </w:pPr>
    <w:r>
      <w:fldChar w:fldCharType="begin"/>
    </w:r>
    <w:r>
      <w:instrText xml:space="preserve">PAGE  </w:instrText>
    </w:r>
    <w:r>
      <w:fldChar w:fldCharType="end"/>
    </w:r>
  </w:p>
  <w:p>
    <w:pPr>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framePr w:wrap="around" w:vAnchor="text" w:hAnchor="margin" w:xAlign="center" w:y="1"/>
    </w:pPr>
    <w:r>
      <w:fldChar w:fldCharType="begin"/>
    </w:r>
    <w:r>
      <w:instrText xml:space="preserve">PAGE  </w:instrText>
    </w:r>
    <w:r>
      <w:fldChar w:fldCharType="separate"/>
    </w:r>
    <w:r>
      <w:t>8</w:t>
    </w:r>
    <w:r>
      <w:fldChar w:fldCharType="end"/>
    </w:r>
  </w:p>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60" w:lineRule="auto"/>
      </w:pPr>
      <w:r>
        <w:separator/>
      </w:r>
    </w:p>
  </w:footnote>
  <w:footnote w:type="continuationSeparator" w:id="1">
    <w:p>
      <w:pPr>
        <w:spacing w:line="36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jc w:val="lef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5C49747"/>
    <w:multiLevelType w:val="multilevel"/>
    <w:tmpl w:val="A5C49747"/>
    <w:lvl w:ilvl="0" w:tentative="0">
      <w:start w:val="1"/>
      <w:numFmt w:val="decimal"/>
      <w:suff w:val="space"/>
      <w:lvlText w:val="%1."/>
      <w:lvlJc w:val="left"/>
      <w:pPr>
        <w:tabs>
          <w:tab w:val="left" w:pos="0"/>
        </w:tabs>
        <w:ind w:left="0" w:firstLine="0"/>
      </w:pPr>
      <w:rPr>
        <w:rFonts w:hint="default"/>
      </w:rPr>
    </w:lvl>
    <w:lvl w:ilvl="1" w:tentative="0">
      <w:start w:val="1"/>
      <w:numFmt w:val="decimal"/>
      <w:isLgl/>
      <w:suff w:val="space"/>
      <w:lvlText w:val="%1.%2"/>
      <w:lvlJc w:val="left"/>
      <w:pPr>
        <w:ind w:left="0" w:firstLine="0"/>
      </w:pPr>
      <w:rPr>
        <w:rFonts w:hint="eastAsia"/>
        <w:lang w:val="en-US"/>
      </w:rPr>
    </w:lvl>
    <w:lvl w:ilvl="2" w:tentative="0">
      <w:start w:val="1"/>
      <w:numFmt w:val="decimal"/>
      <w:isLgl/>
      <w:suff w:val="space"/>
      <w:lvlText w:val="%1.%2.%3"/>
      <w:lvlJc w:val="left"/>
      <w:pPr>
        <w:ind w:left="0" w:firstLine="0"/>
      </w:pPr>
      <w:rPr>
        <w:rFonts w:hint="eastAsia"/>
        <w:b w:val="0"/>
        <w:i w:val="0"/>
      </w:rPr>
    </w:lvl>
    <w:lvl w:ilvl="3" w:tentative="0">
      <w:start w:val="1"/>
      <w:numFmt w:val="decimal"/>
      <w:pStyle w:val="8"/>
      <w:isLgl/>
      <w:suff w:val="space"/>
      <w:lvlText w:val="%1.%2.%3.%4"/>
      <w:lvlJc w:val="left"/>
      <w:pPr>
        <w:ind w:left="0" w:firstLine="0"/>
      </w:pPr>
      <w:rPr>
        <w:rFonts w:hint="eastAsia" w:ascii="宋体" w:hAnsi="宋体" w:eastAsia="宋体"/>
      </w:rPr>
    </w:lvl>
    <w:lvl w:ilvl="4" w:tentative="0">
      <w:start w:val="1"/>
      <w:numFmt w:val="decimal"/>
      <w:isLgl/>
      <w:lvlText w:val="%1.%2.%3.%4.%5"/>
      <w:lvlJc w:val="left"/>
      <w:pPr>
        <w:tabs>
          <w:tab w:val="left" w:pos="0"/>
        </w:tabs>
        <w:ind w:left="0" w:firstLine="0"/>
      </w:pPr>
      <w:rPr>
        <w:rFonts w:hint="eastAsia"/>
      </w:rPr>
    </w:lvl>
    <w:lvl w:ilvl="5" w:tentative="0">
      <w:start w:val="1"/>
      <w:numFmt w:val="decimal"/>
      <w:lvlText w:val="%1.%2.%3.%4.%5.%6"/>
      <w:lvlJc w:val="left"/>
      <w:pPr>
        <w:tabs>
          <w:tab w:val="left" w:pos="420"/>
        </w:tabs>
        <w:ind w:left="3260" w:hanging="1134"/>
      </w:pPr>
      <w:rPr>
        <w:rFonts w:hint="default" w:ascii="宋体" w:hAnsi="宋体" w:eastAsia="宋体" w:cs="宋体"/>
      </w:rPr>
    </w:lvl>
    <w:lvl w:ilvl="6" w:tentative="0">
      <w:start w:val="1"/>
      <w:numFmt w:val="decimal"/>
      <w:lvlText w:val="%1.%2.%3.%4.%5.%6.%7"/>
      <w:lvlJc w:val="left"/>
      <w:pPr>
        <w:tabs>
          <w:tab w:val="left" w:pos="7231"/>
        </w:tabs>
        <w:ind w:left="3827" w:hanging="1276"/>
      </w:pPr>
      <w:rPr>
        <w:rFonts w:hint="eastAsia"/>
      </w:rPr>
    </w:lvl>
    <w:lvl w:ilvl="7" w:tentative="0">
      <w:start w:val="1"/>
      <w:numFmt w:val="decimal"/>
      <w:lvlText w:val="%1.%2.%3.%4.%5.%6.%7.%8"/>
      <w:lvlJc w:val="left"/>
      <w:pPr>
        <w:tabs>
          <w:tab w:val="left" w:pos="8376"/>
        </w:tabs>
        <w:ind w:left="4394" w:hanging="1418"/>
      </w:pPr>
      <w:rPr>
        <w:rFonts w:hint="eastAsia"/>
      </w:rPr>
    </w:lvl>
    <w:lvl w:ilvl="8" w:tentative="0">
      <w:start w:val="1"/>
      <w:numFmt w:val="decimal"/>
      <w:lvlText w:val="%1.%2.%3.%4.%5.%6.%7.%8.%9"/>
      <w:lvlJc w:val="left"/>
      <w:pPr>
        <w:tabs>
          <w:tab w:val="left" w:pos="9522"/>
        </w:tabs>
        <w:ind w:left="5102" w:hanging="1700"/>
      </w:pPr>
      <w:rPr>
        <w:rFonts w:hint="eastAsia"/>
      </w:rPr>
    </w:lvl>
  </w:abstractNum>
  <w:abstractNum w:abstractNumId="1">
    <w:nsid w:val="A980E884"/>
    <w:multiLevelType w:val="multilevel"/>
    <w:tmpl w:val="A980E884"/>
    <w:lvl w:ilvl="0" w:tentative="0">
      <w:start w:val="1"/>
      <w:numFmt w:val="decimal"/>
      <w:pStyle w:val="4"/>
      <w:suff w:val="space"/>
      <w:lvlText w:val="%1."/>
      <w:lvlJc w:val="left"/>
      <w:pPr>
        <w:tabs>
          <w:tab w:val="left" w:pos="6089"/>
        </w:tabs>
        <w:ind w:left="0" w:firstLine="0"/>
      </w:pPr>
      <w:rPr>
        <w:rFonts w:hint="default" w:ascii="宋体" w:hAnsi="宋体" w:eastAsia="宋体" w:cs="宋体"/>
      </w:rPr>
    </w:lvl>
    <w:lvl w:ilvl="1" w:tentative="0">
      <w:start w:val="1"/>
      <w:numFmt w:val="decimal"/>
      <w:pStyle w:val="5"/>
      <w:isLgl/>
      <w:suff w:val="space"/>
      <w:lvlText w:val="%1.%2"/>
      <w:lvlJc w:val="left"/>
      <w:pPr>
        <w:ind w:left="0" w:firstLine="0"/>
      </w:pPr>
      <w:rPr>
        <w:rFonts w:hint="default" w:ascii="宋体" w:hAnsi="宋体" w:eastAsia="宋体" w:cs="宋体"/>
        <w:lang w:val="en-US"/>
      </w:rPr>
    </w:lvl>
    <w:lvl w:ilvl="2" w:tentative="0">
      <w:start w:val="1"/>
      <w:numFmt w:val="decimal"/>
      <w:pStyle w:val="6"/>
      <w:isLgl/>
      <w:suff w:val="space"/>
      <w:lvlText w:val="%1.%2.%3"/>
      <w:lvlJc w:val="left"/>
      <w:pPr>
        <w:ind w:left="0" w:firstLine="0"/>
      </w:pPr>
      <w:rPr>
        <w:rFonts w:hint="default" w:ascii="宋体" w:hAnsi="宋体" w:eastAsia="宋体" w:cs="宋体"/>
        <w:b w:val="0"/>
        <w:i w:val="0"/>
      </w:rPr>
    </w:lvl>
    <w:lvl w:ilvl="3" w:tentative="0">
      <w:start w:val="1"/>
      <w:numFmt w:val="decimal"/>
      <w:pStyle w:val="7"/>
      <w:isLgl/>
      <w:suff w:val="space"/>
      <w:lvlText w:val="%1.%2.%3.%4"/>
      <w:lvlJc w:val="left"/>
      <w:pPr>
        <w:ind w:left="0" w:firstLine="0"/>
      </w:pPr>
      <w:rPr>
        <w:rFonts w:hint="default" w:ascii="宋体" w:hAnsi="宋体" w:eastAsia="宋体" w:cs="宋体"/>
      </w:rPr>
    </w:lvl>
    <w:lvl w:ilvl="4" w:tentative="0">
      <w:start w:val="1"/>
      <w:numFmt w:val="decimal"/>
      <w:pStyle w:val="9"/>
      <w:isLgl/>
      <w:lvlText w:val="%1.%2.%3.%4.%5"/>
      <w:lvlJc w:val="left"/>
      <w:pPr>
        <w:tabs>
          <w:tab w:val="left" w:pos="420"/>
        </w:tabs>
        <w:ind w:left="0" w:firstLine="0"/>
      </w:pPr>
      <w:rPr>
        <w:rFonts w:hint="default" w:ascii="宋体" w:hAnsi="宋体" w:eastAsia="宋体" w:cs="宋体"/>
      </w:rPr>
    </w:lvl>
    <w:lvl w:ilvl="5" w:tentative="0">
      <w:start w:val="1"/>
      <w:numFmt w:val="decimal"/>
      <w:pStyle w:val="10"/>
      <w:isLgl/>
      <w:lvlText w:val="%1.%2.%3.%4.%5.%6"/>
      <w:lvlJc w:val="left"/>
      <w:pPr>
        <w:tabs>
          <w:tab w:val="left" w:pos="6086"/>
        </w:tabs>
        <w:ind w:left="3260" w:hanging="1563"/>
      </w:pPr>
      <w:rPr>
        <w:rFonts w:hint="default" w:ascii="宋体" w:hAnsi="宋体" w:eastAsia="宋体" w:cs="宋体"/>
      </w:rPr>
    </w:lvl>
    <w:lvl w:ilvl="6" w:tentative="0">
      <w:start w:val="1"/>
      <w:numFmt w:val="decimal"/>
      <w:lvlText w:val="%1.%2.%3.%4.%5.%6.%7"/>
      <w:lvlJc w:val="left"/>
      <w:pPr>
        <w:tabs>
          <w:tab w:val="left" w:pos="7231"/>
        </w:tabs>
        <w:ind w:left="3827" w:hanging="1276"/>
      </w:pPr>
      <w:rPr>
        <w:rFonts w:hint="eastAsia"/>
      </w:rPr>
    </w:lvl>
    <w:lvl w:ilvl="7" w:tentative="0">
      <w:start w:val="1"/>
      <w:numFmt w:val="decimal"/>
      <w:lvlText w:val="%1.%2.%3.%4.%5.%6.%7.%8"/>
      <w:lvlJc w:val="left"/>
      <w:pPr>
        <w:tabs>
          <w:tab w:val="left" w:pos="8376"/>
        </w:tabs>
        <w:ind w:left="4394" w:hanging="1418"/>
      </w:pPr>
      <w:rPr>
        <w:rFonts w:hint="eastAsia"/>
      </w:rPr>
    </w:lvl>
    <w:lvl w:ilvl="8" w:tentative="0">
      <w:start w:val="1"/>
      <w:numFmt w:val="decimal"/>
      <w:lvlText w:val="%1.%2.%3.%4.%5.%6.%7.%8.%9"/>
      <w:lvlJc w:val="left"/>
      <w:pPr>
        <w:tabs>
          <w:tab w:val="left" w:pos="9522"/>
        </w:tabs>
        <w:ind w:left="5102" w:hanging="1700"/>
      </w:pPr>
      <w:rPr>
        <w:rFonts w:hint="eastAsia"/>
      </w:rPr>
    </w:lvl>
  </w:abstractNum>
  <w:abstractNum w:abstractNumId="2">
    <w:nsid w:val="FFFFFF89"/>
    <w:multiLevelType w:val="singleLevel"/>
    <w:tmpl w:val="FFFFFF89"/>
    <w:lvl w:ilvl="0" w:tentative="0">
      <w:start w:val="1"/>
      <w:numFmt w:val="bullet"/>
      <w:pStyle w:val="14"/>
      <w:lvlText w:val=""/>
      <w:lvlJc w:val="left"/>
      <w:pPr>
        <w:tabs>
          <w:tab w:val="left" w:pos="360"/>
        </w:tabs>
        <w:ind w:left="360" w:hanging="360"/>
      </w:pPr>
      <w:rPr>
        <w:rFonts w:hint="default" w:ascii="Symbol" w:hAnsi="Symbol"/>
      </w:rPr>
    </w:lvl>
  </w:abstractNum>
  <w:abstractNum w:abstractNumId="3">
    <w:nsid w:val="0595501A"/>
    <w:multiLevelType w:val="multilevel"/>
    <w:tmpl w:val="0595501A"/>
    <w:lvl w:ilvl="0" w:tentative="0">
      <w:start w:val="1"/>
      <w:numFmt w:val="decimal"/>
      <w:suff w:val="space"/>
      <w:lvlText w:val="%1."/>
      <w:lvlJc w:val="left"/>
      <w:pPr>
        <w:ind w:left="0" w:firstLine="0"/>
      </w:pPr>
      <w:rPr>
        <w:rFonts w:hint="eastAsia"/>
      </w:rPr>
    </w:lvl>
    <w:lvl w:ilvl="1" w:tentative="0">
      <w:start w:val="1"/>
      <w:numFmt w:val="decimal"/>
      <w:isLgl/>
      <w:suff w:val="space"/>
      <w:lvlText w:val="%1.%2"/>
      <w:lvlJc w:val="left"/>
      <w:pPr>
        <w:ind w:left="0" w:firstLine="0"/>
      </w:pPr>
      <w:rPr>
        <w:rFonts w:hint="eastAsia"/>
        <w:lang w:val="en-US"/>
      </w:rPr>
    </w:lvl>
    <w:lvl w:ilvl="2" w:tentative="0">
      <w:start w:val="1"/>
      <w:numFmt w:val="decimal"/>
      <w:isLgl/>
      <w:suff w:val="space"/>
      <w:lvlText w:val="%1.%2.%3"/>
      <w:lvlJc w:val="left"/>
      <w:pPr>
        <w:ind w:left="0" w:firstLine="0"/>
      </w:pPr>
      <w:rPr>
        <w:rFonts w:hint="eastAsia"/>
        <w:b w:val="0"/>
        <w:i w:val="0"/>
      </w:rPr>
    </w:lvl>
    <w:lvl w:ilvl="3" w:tentative="0">
      <w:start w:val="1"/>
      <w:numFmt w:val="decimal"/>
      <w:isLgl/>
      <w:suff w:val="space"/>
      <w:lvlText w:val="%1.%2.%3.%4"/>
      <w:lvlJc w:val="left"/>
      <w:pPr>
        <w:ind w:left="0" w:firstLine="0"/>
      </w:pPr>
      <w:rPr>
        <w:rFonts w:hint="eastAsia" w:ascii="宋体" w:hAnsi="宋体" w:eastAsia="宋体"/>
      </w:rPr>
    </w:lvl>
    <w:lvl w:ilvl="4" w:tentative="0">
      <w:start w:val="1"/>
      <w:numFmt w:val="decimal"/>
      <w:isLgl/>
      <w:lvlText w:val="%1.%2.%3.%4.%5"/>
      <w:lvlJc w:val="left"/>
      <w:pPr>
        <w:tabs>
          <w:tab w:val="left" w:pos="0"/>
        </w:tabs>
        <w:ind w:left="0" w:firstLine="0"/>
      </w:pPr>
      <w:rPr>
        <w:rFonts w:hint="eastAsia"/>
      </w:rPr>
    </w:lvl>
    <w:lvl w:ilvl="5" w:tentative="0">
      <w:start w:val="1"/>
      <w:numFmt w:val="decimal"/>
      <w:lvlText w:val="%1.%2.%3.%4.%5.%6"/>
      <w:lvlJc w:val="left"/>
      <w:pPr>
        <w:tabs>
          <w:tab w:val="left" w:pos="6086"/>
        </w:tabs>
        <w:ind w:left="3260" w:hanging="1134"/>
      </w:pPr>
      <w:rPr>
        <w:rFonts w:hint="eastAsia"/>
      </w:rPr>
    </w:lvl>
    <w:lvl w:ilvl="6" w:tentative="0">
      <w:start w:val="1"/>
      <w:numFmt w:val="decimal"/>
      <w:lvlText w:val="%1.%2.%3.%4.%5.%6.%7"/>
      <w:lvlJc w:val="left"/>
      <w:pPr>
        <w:tabs>
          <w:tab w:val="left" w:pos="7231"/>
        </w:tabs>
        <w:ind w:left="3827" w:hanging="1276"/>
      </w:pPr>
      <w:rPr>
        <w:rFonts w:hint="eastAsia"/>
      </w:rPr>
    </w:lvl>
    <w:lvl w:ilvl="7" w:tentative="0">
      <w:start w:val="1"/>
      <w:numFmt w:val="decimal"/>
      <w:lvlText w:val="%1.%2.%3.%4.%5.%6.%7.%8"/>
      <w:lvlJc w:val="left"/>
      <w:pPr>
        <w:tabs>
          <w:tab w:val="left" w:pos="8376"/>
        </w:tabs>
        <w:ind w:left="4394" w:hanging="1418"/>
      </w:pPr>
      <w:rPr>
        <w:rFonts w:hint="eastAsia"/>
      </w:rPr>
    </w:lvl>
    <w:lvl w:ilvl="8" w:tentative="0">
      <w:start w:val="1"/>
      <w:numFmt w:val="decimal"/>
      <w:lvlText w:val="%1.%2.%3.%4.%5.%6.%7.%8.%9"/>
      <w:lvlJc w:val="left"/>
      <w:pPr>
        <w:tabs>
          <w:tab w:val="left" w:pos="9522"/>
        </w:tabs>
        <w:ind w:left="5102" w:hanging="1700"/>
      </w:pPr>
      <w:rPr>
        <w:rFonts w:hint="eastAsia"/>
      </w:rPr>
    </w:lvl>
  </w:abstractNum>
  <w:num w:numId="1">
    <w:abstractNumId w:val="1"/>
  </w:num>
  <w:num w:numId="2">
    <w:abstractNumId w:val="0"/>
  </w:num>
  <w:num w:numId="3">
    <w:abstractNumId w:val="2"/>
  </w:num>
  <w:num w:numId="4">
    <w:abstractNumId w:val="3"/>
  </w:num>
  <w:num w:numId="5">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doNotDisplayPageBoundaries w:val="1"/>
  <w:bordersDoNotSurroundHeader w:val="1"/>
  <w:bordersDoNotSurroundFooter w:val="1"/>
  <w:documentProtection w:edit="trackedChanges" w:enforcement="0"/>
  <w:defaultTabStop w:val="420"/>
  <w:drawingGridVerticalSpacing w:val="156"/>
  <w:noPunctuationKerning w:val="1"/>
  <w:characterSpacingControl w:val="compressPunctuation"/>
  <w:doNotValidateAgainstSchema/>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ZDBjMzJjNzJlMjgwOTZkYzAxYzYzNDUxNzczNTQ0NjcifQ=="/>
  </w:docVars>
  <w:rsids>
    <w:rsidRoot w:val="00172A27"/>
    <w:rsid w:val="00001680"/>
    <w:rsid w:val="00003565"/>
    <w:rsid w:val="00004664"/>
    <w:rsid w:val="00004AC8"/>
    <w:rsid w:val="00004C63"/>
    <w:rsid w:val="00005746"/>
    <w:rsid w:val="00006A58"/>
    <w:rsid w:val="000076EF"/>
    <w:rsid w:val="00010702"/>
    <w:rsid w:val="00011490"/>
    <w:rsid w:val="000117A6"/>
    <w:rsid w:val="00012140"/>
    <w:rsid w:val="000136A5"/>
    <w:rsid w:val="0001565A"/>
    <w:rsid w:val="000159C0"/>
    <w:rsid w:val="00016BBD"/>
    <w:rsid w:val="0002084D"/>
    <w:rsid w:val="00020BAE"/>
    <w:rsid w:val="00021296"/>
    <w:rsid w:val="00021BBC"/>
    <w:rsid w:val="00025267"/>
    <w:rsid w:val="00025AE8"/>
    <w:rsid w:val="00032833"/>
    <w:rsid w:val="00034BF1"/>
    <w:rsid w:val="00034F54"/>
    <w:rsid w:val="00036A40"/>
    <w:rsid w:val="00037672"/>
    <w:rsid w:val="000402C0"/>
    <w:rsid w:val="00040510"/>
    <w:rsid w:val="00040AF1"/>
    <w:rsid w:val="00040C81"/>
    <w:rsid w:val="00041B5C"/>
    <w:rsid w:val="0004511D"/>
    <w:rsid w:val="00046C9F"/>
    <w:rsid w:val="000475C1"/>
    <w:rsid w:val="000503A8"/>
    <w:rsid w:val="0005156F"/>
    <w:rsid w:val="00054F3C"/>
    <w:rsid w:val="00055224"/>
    <w:rsid w:val="000606EF"/>
    <w:rsid w:val="000612EB"/>
    <w:rsid w:val="000621FA"/>
    <w:rsid w:val="00063319"/>
    <w:rsid w:val="000638B8"/>
    <w:rsid w:val="00063B51"/>
    <w:rsid w:val="00065306"/>
    <w:rsid w:val="000669B4"/>
    <w:rsid w:val="0006701A"/>
    <w:rsid w:val="00071A4E"/>
    <w:rsid w:val="00071CBA"/>
    <w:rsid w:val="000721D3"/>
    <w:rsid w:val="00072990"/>
    <w:rsid w:val="00073525"/>
    <w:rsid w:val="00075B56"/>
    <w:rsid w:val="000778CC"/>
    <w:rsid w:val="00081569"/>
    <w:rsid w:val="00085A35"/>
    <w:rsid w:val="000865C8"/>
    <w:rsid w:val="00086F8F"/>
    <w:rsid w:val="00087F48"/>
    <w:rsid w:val="00093F4D"/>
    <w:rsid w:val="00095537"/>
    <w:rsid w:val="00095740"/>
    <w:rsid w:val="000962BE"/>
    <w:rsid w:val="000A16F7"/>
    <w:rsid w:val="000A4CC9"/>
    <w:rsid w:val="000B142D"/>
    <w:rsid w:val="000B2008"/>
    <w:rsid w:val="000B26DF"/>
    <w:rsid w:val="000B304A"/>
    <w:rsid w:val="000B3C9A"/>
    <w:rsid w:val="000B4B67"/>
    <w:rsid w:val="000B5C93"/>
    <w:rsid w:val="000B69B8"/>
    <w:rsid w:val="000B6CA3"/>
    <w:rsid w:val="000B7E70"/>
    <w:rsid w:val="000C095F"/>
    <w:rsid w:val="000C0BA9"/>
    <w:rsid w:val="000C0F9C"/>
    <w:rsid w:val="000C3567"/>
    <w:rsid w:val="000C4294"/>
    <w:rsid w:val="000C5664"/>
    <w:rsid w:val="000C74CC"/>
    <w:rsid w:val="000C7616"/>
    <w:rsid w:val="000C7A63"/>
    <w:rsid w:val="000D1B19"/>
    <w:rsid w:val="000D260C"/>
    <w:rsid w:val="000D37F5"/>
    <w:rsid w:val="000D4BD8"/>
    <w:rsid w:val="000D4EE4"/>
    <w:rsid w:val="000D5749"/>
    <w:rsid w:val="000D5AB5"/>
    <w:rsid w:val="000D6994"/>
    <w:rsid w:val="000E2B66"/>
    <w:rsid w:val="000E4401"/>
    <w:rsid w:val="000E593C"/>
    <w:rsid w:val="000E7049"/>
    <w:rsid w:val="000E74DC"/>
    <w:rsid w:val="000E7773"/>
    <w:rsid w:val="000F0103"/>
    <w:rsid w:val="000F1D2D"/>
    <w:rsid w:val="000F48DC"/>
    <w:rsid w:val="000F491A"/>
    <w:rsid w:val="000F4EBC"/>
    <w:rsid w:val="000F6910"/>
    <w:rsid w:val="000F7822"/>
    <w:rsid w:val="000F7CD5"/>
    <w:rsid w:val="0010114C"/>
    <w:rsid w:val="001012FC"/>
    <w:rsid w:val="00101802"/>
    <w:rsid w:val="00103CF6"/>
    <w:rsid w:val="00106700"/>
    <w:rsid w:val="00106CEC"/>
    <w:rsid w:val="0010739F"/>
    <w:rsid w:val="00107D5B"/>
    <w:rsid w:val="00110EDD"/>
    <w:rsid w:val="00110FEE"/>
    <w:rsid w:val="00111248"/>
    <w:rsid w:val="00112294"/>
    <w:rsid w:val="00113438"/>
    <w:rsid w:val="001139E3"/>
    <w:rsid w:val="00115167"/>
    <w:rsid w:val="001169D2"/>
    <w:rsid w:val="00117201"/>
    <w:rsid w:val="001178B4"/>
    <w:rsid w:val="00117F05"/>
    <w:rsid w:val="00120334"/>
    <w:rsid w:val="00120DDE"/>
    <w:rsid w:val="00121123"/>
    <w:rsid w:val="001230B9"/>
    <w:rsid w:val="0012434F"/>
    <w:rsid w:val="00126B8B"/>
    <w:rsid w:val="0013147E"/>
    <w:rsid w:val="001363CF"/>
    <w:rsid w:val="00136D94"/>
    <w:rsid w:val="00136E71"/>
    <w:rsid w:val="00137FA3"/>
    <w:rsid w:val="00141054"/>
    <w:rsid w:val="00141BB0"/>
    <w:rsid w:val="00142C5F"/>
    <w:rsid w:val="00143FD7"/>
    <w:rsid w:val="001446B1"/>
    <w:rsid w:val="001451C9"/>
    <w:rsid w:val="00145EC2"/>
    <w:rsid w:val="001507FD"/>
    <w:rsid w:val="00151BFF"/>
    <w:rsid w:val="00153627"/>
    <w:rsid w:val="00153DFF"/>
    <w:rsid w:val="001552AC"/>
    <w:rsid w:val="00155339"/>
    <w:rsid w:val="00160451"/>
    <w:rsid w:val="00160A72"/>
    <w:rsid w:val="00161B8C"/>
    <w:rsid w:val="00165C92"/>
    <w:rsid w:val="001710B0"/>
    <w:rsid w:val="00171E26"/>
    <w:rsid w:val="001729E7"/>
    <w:rsid w:val="00172A27"/>
    <w:rsid w:val="0017349B"/>
    <w:rsid w:val="0017529D"/>
    <w:rsid w:val="001765A7"/>
    <w:rsid w:val="001765A9"/>
    <w:rsid w:val="001811F4"/>
    <w:rsid w:val="00181FCA"/>
    <w:rsid w:val="00182CB8"/>
    <w:rsid w:val="00183A4A"/>
    <w:rsid w:val="00187378"/>
    <w:rsid w:val="00190D94"/>
    <w:rsid w:val="00191CC6"/>
    <w:rsid w:val="00192B64"/>
    <w:rsid w:val="001A10AF"/>
    <w:rsid w:val="001A1B74"/>
    <w:rsid w:val="001A2DF0"/>
    <w:rsid w:val="001A36D8"/>
    <w:rsid w:val="001A4AB2"/>
    <w:rsid w:val="001A6C98"/>
    <w:rsid w:val="001A7D2F"/>
    <w:rsid w:val="001B06D5"/>
    <w:rsid w:val="001B2ACD"/>
    <w:rsid w:val="001B524A"/>
    <w:rsid w:val="001B54AD"/>
    <w:rsid w:val="001C1889"/>
    <w:rsid w:val="001C1ED4"/>
    <w:rsid w:val="001C21C8"/>
    <w:rsid w:val="001C694F"/>
    <w:rsid w:val="001D2BF1"/>
    <w:rsid w:val="001D2D5A"/>
    <w:rsid w:val="001D3B3D"/>
    <w:rsid w:val="001D65EB"/>
    <w:rsid w:val="001E30C7"/>
    <w:rsid w:val="001E384A"/>
    <w:rsid w:val="001E3C00"/>
    <w:rsid w:val="001E5C9F"/>
    <w:rsid w:val="001E6C89"/>
    <w:rsid w:val="001E6FB8"/>
    <w:rsid w:val="001E7CC1"/>
    <w:rsid w:val="001F1127"/>
    <w:rsid w:val="001F19C7"/>
    <w:rsid w:val="001F4291"/>
    <w:rsid w:val="001F618B"/>
    <w:rsid w:val="001F68B2"/>
    <w:rsid w:val="001F68BD"/>
    <w:rsid w:val="001F6F02"/>
    <w:rsid w:val="0020139E"/>
    <w:rsid w:val="00201695"/>
    <w:rsid w:val="00203AE5"/>
    <w:rsid w:val="002044C7"/>
    <w:rsid w:val="0020578B"/>
    <w:rsid w:val="00210DC9"/>
    <w:rsid w:val="00211C85"/>
    <w:rsid w:val="00212D7C"/>
    <w:rsid w:val="00213E1C"/>
    <w:rsid w:val="0021472A"/>
    <w:rsid w:val="002154B5"/>
    <w:rsid w:val="002170F2"/>
    <w:rsid w:val="002176FE"/>
    <w:rsid w:val="00220566"/>
    <w:rsid w:val="0022071F"/>
    <w:rsid w:val="00222A63"/>
    <w:rsid w:val="00222DE4"/>
    <w:rsid w:val="002242E8"/>
    <w:rsid w:val="00226496"/>
    <w:rsid w:val="00233BCB"/>
    <w:rsid w:val="00237C6F"/>
    <w:rsid w:val="00240150"/>
    <w:rsid w:val="00241CA9"/>
    <w:rsid w:val="002424FC"/>
    <w:rsid w:val="0024281F"/>
    <w:rsid w:val="002471B2"/>
    <w:rsid w:val="00247542"/>
    <w:rsid w:val="00247FFA"/>
    <w:rsid w:val="002514DF"/>
    <w:rsid w:val="00253E33"/>
    <w:rsid w:val="0025443E"/>
    <w:rsid w:val="002545ED"/>
    <w:rsid w:val="002567B5"/>
    <w:rsid w:val="00257088"/>
    <w:rsid w:val="002577B4"/>
    <w:rsid w:val="0026093F"/>
    <w:rsid w:val="00260ACE"/>
    <w:rsid w:val="00261546"/>
    <w:rsid w:val="00262588"/>
    <w:rsid w:val="00262A68"/>
    <w:rsid w:val="00262C3E"/>
    <w:rsid w:val="00263235"/>
    <w:rsid w:val="00263C52"/>
    <w:rsid w:val="00264493"/>
    <w:rsid w:val="00265D42"/>
    <w:rsid w:val="00265F68"/>
    <w:rsid w:val="002711BE"/>
    <w:rsid w:val="002721F9"/>
    <w:rsid w:val="002729F8"/>
    <w:rsid w:val="0027482F"/>
    <w:rsid w:val="00274B89"/>
    <w:rsid w:val="00275FC8"/>
    <w:rsid w:val="002818CE"/>
    <w:rsid w:val="002858C2"/>
    <w:rsid w:val="002868A4"/>
    <w:rsid w:val="00287AE1"/>
    <w:rsid w:val="0029072F"/>
    <w:rsid w:val="00291732"/>
    <w:rsid w:val="00292B15"/>
    <w:rsid w:val="00294971"/>
    <w:rsid w:val="002949B0"/>
    <w:rsid w:val="0029513A"/>
    <w:rsid w:val="00295BA1"/>
    <w:rsid w:val="002962C7"/>
    <w:rsid w:val="002A06DE"/>
    <w:rsid w:val="002A1F4D"/>
    <w:rsid w:val="002A3C8C"/>
    <w:rsid w:val="002A4D5C"/>
    <w:rsid w:val="002A6D4B"/>
    <w:rsid w:val="002B0304"/>
    <w:rsid w:val="002B088A"/>
    <w:rsid w:val="002B0FA2"/>
    <w:rsid w:val="002B166E"/>
    <w:rsid w:val="002B2748"/>
    <w:rsid w:val="002B299C"/>
    <w:rsid w:val="002B4315"/>
    <w:rsid w:val="002B53AF"/>
    <w:rsid w:val="002B6C62"/>
    <w:rsid w:val="002B715A"/>
    <w:rsid w:val="002C0C85"/>
    <w:rsid w:val="002C2978"/>
    <w:rsid w:val="002C3412"/>
    <w:rsid w:val="002C417F"/>
    <w:rsid w:val="002C4546"/>
    <w:rsid w:val="002D2743"/>
    <w:rsid w:val="002D2E1E"/>
    <w:rsid w:val="002D375C"/>
    <w:rsid w:val="002D5779"/>
    <w:rsid w:val="002D6401"/>
    <w:rsid w:val="002D6F3B"/>
    <w:rsid w:val="002D7E1E"/>
    <w:rsid w:val="002E0005"/>
    <w:rsid w:val="002E1938"/>
    <w:rsid w:val="002E549A"/>
    <w:rsid w:val="002E65B4"/>
    <w:rsid w:val="002E72E7"/>
    <w:rsid w:val="002F03CF"/>
    <w:rsid w:val="002F0519"/>
    <w:rsid w:val="002F2C7E"/>
    <w:rsid w:val="002F746A"/>
    <w:rsid w:val="002F7A89"/>
    <w:rsid w:val="00301BBF"/>
    <w:rsid w:val="00301F67"/>
    <w:rsid w:val="00302E65"/>
    <w:rsid w:val="0030358F"/>
    <w:rsid w:val="003043C4"/>
    <w:rsid w:val="00305C47"/>
    <w:rsid w:val="0030679D"/>
    <w:rsid w:val="00306A5C"/>
    <w:rsid w:val="003077A5"/>
    <w:rsid w:val="003135D4"/>
    <w:rsid w:val="00314B5C"/>
    <w:rsid w:val="0032389A"/>
    <w:rsid w:val="00324729"/>
    <w:rsid w:val="0033176D"/>
    <w:rsid w:val="00331D00"/>
    <w:rsid w:val="0033344D"/>
    <w:rsid w:val="003340B6"/>
    <w:rsid w:val="00334AE8"/>
    <w:rsid w:val="0034011E"/>
    <w:rsid w:val="00341EEC"/>
    <w:rsid w:val="003439A0"/>
    <w:rsid w:val="0034400A"/>
    <w:rsid w:val="003444D9"/>
    <w:rsid w:val="003445D3"/>
    <w:rsid w:val="003446E9"/>
    <w:rsid w:val="00345ED8"/>
    <w:rsid w:val="00346CD4"/>
    <w:rsid w:val="0035083F"/>
    <w:rsid w:val="00352EDD"/>
    <w:rsid w:val="00354929"/>
    <w:rsid w:val="00356E5C"/>
    <w:rsid w:val="00362B75"/>
    <w:rsid w:val="003636DA"/>
    <w:rsid w:val="00364428"/>
    <w:rsid w:val="003671C7"/>
    <w:rsid w:val="00367B44"/>
    <w:rsid w:val="00373CBC"/>
    <w:rsid w:val="00373CE3"/>
    <w:rsid w:val="0038071C"/>
    <w:rsid w:val="00380785"/>
    <w:rsid w:val="0038252C"/>
    <w:rsid w:val="00383099"/>
    <w:rsid w:val="003860BC"/>
    <w:rsid w:val="003873AC"/>
    <w:rsid w:val="00390E30"/>
    <w:rsid w:val="00390F98"/>
    <w:rsid w:val="00391896"/>
    <w:rsid w:val="00395D3A"/>
    <w:rsid w:val="00397749"/>
    <w:rsid w:val="003A0F64"/>
    <w:rsid w:val="003A3B09"/>
    <w:rsid w:val="003A3E86"/>
    <w:rsid w:val="003A42BC"/>
    <w:rsid w:val="003A4838"/>
    <w:rsid w:val="003A5F8D"/>
    <w:rsid w:val="003A6C3A"/>
    <w:rsid w:val="003B0541"/>
    <w:rsid w:val="003B17D8"/>
    <w:rsid w:val="003B243A"/>
    <w:rsid w:val="003B3B16"/>
    <w:rsid w:val="003B426E"/>
    <w:rsid w:val="003B51C6"/>
    <w:rsid w:val="003B659E"/>
    <w:rsid w:val="003B669C"/>
    <w:rsid w:val="003B742F"/>
    <w:rsid w:val="003C04A4"/>
    <w:rsid w:val="003C0F01"/>
    <w:rsid w:val="003C165C"/>
    <w:rsid w:val="003C2A5A"/>
    <w:rsid w:val="003C3B79"/>
    <w:rsid w:val="003C4832"/>
    <w:rsid w:val="003C4AE7"/>
    <w:rsid w:val="003C54B9"/>
    <w:rsid w:val="003C7724"/>
    <w:rsid w:val="003D2D91"/>
    <w:rsid w:val="003D4163"/>
    <w:rsid w:val="003D5348"/>
    <w:rsid w:val="003D7283"/>
    <w:rsid w:val="003D7533"/>
    <w:rsid w:val="003D7D5A"/>
    <w:rsid w:val="003E0532"/>
    <w:rsid w:val="003E18C8"/>
    <w:rsid w:val="003E2354"/>
    <w:rsid w:val="003E2520"/>
    <w:rsid w:val="003F0A61"/>
    <w:rsid w:val="003F32EE"/>
    <w:rsid w:val="003F484F"/>
    <w:rsid w:val="003F53E8"/>
    <w:rsid w:val="003F6A9D"/>
    <w:rsid w:val="004009B0"/>
    <w:rsid w:val="00400AA2"/>
    <w:rsid w:val="00400CC6"/>
    <w:rsid w:val="00401A74"/>
    <w:rsid w:val="00401F7C"/>
    <w:rsid w:val="00402C56"/>
    <w:rsid w:val="00403223"/>
    <w:rsid w:val="004033C5"/>
    <w:rsid w:val="0040353B"/>
    <w:rsid w:val="0040397E"/>
    <w:rsid w:val="004051FB"/>
    <w:rsid w:val="00406424"/>
    <w:rsid w:val="00406690"/>
    <w:rsid w:val="00411CD1"/>
    <w:rsid w:val="004126A8"/>
    <w:rsid w:val="00413C5E"/>
    <w:rsid w:val="00413F17"/>
    <w:rsid w:val="00414B36"/>
    <w:rsid w:val="00414D80"/>
    <w:rsid w:val="0041643F"/>
    <w:rsid w:val="00420A01"/>
    <w:rsid w:val="0042152C"/>
    <w:rsid w:val="004240D6"/>
    <w:rsid w:val="00424BB8"/>
    <w:rsid w:val="00425DCE"/>
    <w:rsid w:val="00431D8E"/>
    <w:rsid w:val="0043294F"/>
    <w:rsid w:val="00432D80"/>
    <w:rsid w:val="0043379F"/>
    <w:rsid w:val="00433A4E"/>
    <w:rsid w:val="00434227"/>
    <w:rsid w:val="00436181"/>
    <w:rsid w:val="004366B8"/>
    <w:rsid w:val="004409F7"/>
    <w:rsid w:val="004419AC"/>
    <w:rsid w:val="00441AB6"/>
    <w:rsid w:val="004420E6"/>
    <w:rsid w:val="0044300F"/>
    <w:rsid w:val="00443308"/>
    <w:rsid w:val="00443370"/>
    <w:rsid w:val="00446014"/>
    <w:rsid w:val="0044629C"/>
    <w:rsid w:val="0044638A"/>
    <w:rsid w:val="00446F71"/>
    <w:rsid w:val="00455654"/>
    <w:rsid w:val="00456109"/>
    <w:rsid w:val="00457DF5"/>
    <w:rsid w:val="00460F8F"/>
    <w:rsid w:val="004638CE"/>
    <w:rsid w:val="00464936"/>
    <w:rsid w:val="00464BF1"/>
    <w:rsid w:val="00465816"/>
    <w:rsid w:val="004666C0"/>
    <w:rsid w:val="00466E21"/>
    <w:rsid w:val="00472584"/>
    <w:rsid w:val="004733AF"/>
    <w:rsid w:val="00473C0B"/>
    <w:rsid w:val="0047487D"/>
    <w:rsid w:val="00475ED9"/>
    <w:rsid w:val="00476CA0"/>
    <w:rsid w:val="00477351"/>
    <w:rsid w:val="004776B7"/>
    <w:rsid w:val="0048011B"/>
    <w:rsid w:val="00482482"/>
    <w:rsid w:val="004829D6"/>
    <w:rsid w:val="004845BB"/>
    <w:rsid w:val="00485FE9"/>
    <w:rsid w:val="0048715C"/>
    <w:rsid w:val="0049067F"/>
    <w:rsid w:val="004908C6"/>
    <w:rsid w:val="00490EF8"/>
    <w:rsid w:val="00491593"/>
    <w:rsid w:val="0049285C"/>
    <w:rsid w:val="00492D3B"/>
    <w:rsid w:val="00495301"/>
    <w:rsid w:val="00495910"/>
    <w:rsid w:val="004964CB"/>
    <w:rsid w:val="004A205D"/>
    <w:rsid w:val="004A43C1"/>
    <w:rsid w:val="004A4D97"/>
    <w:rsid w:val="004A4E80"/>
    <w:rsid w:val="004A508C"/>
    <w:rsid w:val="004A5AD1"/>
    <w:rsid w:val="004A6071"/>
    <w:rsid w:val="004A644D"/>
    <w:rsid w:val="004B1BB7"/>
    <w:rsid w:val="004B241D"/>
    <w:rsid w:val="004B7160"/>
    <w:rsid w:val="004C0C8B"/>
    <w:rsid w:val="004C4C19"/>
    <w:rsid w:val="004C5715"/>
    <w:rsid w:val="004C57E1"/>
    <w:rsid w:val="004C7CED"/>
    <w:rsid w:val="004D266B"/>
    <w:rsid w:val="004D62FA"/>
    <w:rsid w:val="004D6C59"/>
    <w:rsid w:val="004D7449"/>
    <w:rsid w:val="004D77EE"/>
    <w:rsid w:val="004E0464"/>
    <w:rsid w:val="004E168D"/>
    <w:rsid w:val="004E25D4"/>
    <w:rsid w:val="004E25DD"/>
    <w:rsid w:val="004E4C73"/>
    <w:rsid w:val="004E67B9"/>
    <w:rsid w:val="004F0F7E"/>
    <w:rsid w:val="004F1199"/>
    <w:rsid w:val="004F15DC"/>
    <w:rsid w:val="004F1AC4"/>
    <w:rsid w:val="004F1B44"/>
    <w:rsid w:val="004F311C"/>
    <w:rsid w:val="004F4988"/>
    <w:rsid w:val="004F4F99"/>
    <w:rsid w:val="004F5FED"/>
    <w:rsid w:val="004F7440"/>
    <w:rsid w:val="004F7D58"/>
    <w:rsid w:val="0050091B"/>
    <w:rsid w:val="00500D21"/>
    <w:rsid w:val="00504A16"/>
    <w:rsid w:val="00505884"/>
    <w:rsid w:val="00505911"/>
    <w:rsid w:val="0051388C"/>
    <w:rsid w:val="0051500E"/>
    <w:rsid w:val="00522D2A"/>
    <w:rsid w:val="005240A9"/>
    <w:rsid w:val="00526CF3"/>
    <w:rsid w:val="0053030B"/>
    <w:rsid w:val="00530603"/>
    <w:rsid w:val="00531CDA"/>
    <w:rsid w:val="00532AD6"/>
    <w:rsid w:val="0053361A"/>
    <w:rsid w:val="005351AB"/>
    <w:rsid w:val="0053572D"/>
    <w:rsid w:val="00536E10"/>
    <w:rsid w:val="00536F68"/>
    <w:rsid w:val="00540507"/>
    <w:rsid w:val="00542B6A"/>
    <w:rsid w:val="005445A1"/>
    <w:rsid w:val="00544E35"/>
    <w:rsid w:val="00546845"/>
    <w:rsid w:val="00552B2D"/>
    <w:rsid w:val="00552BD7"/>
    <w:rsid w:val="00553C25"/>
    <w:rsid w:val="00553DE7"/>
    <w:rsid w:val="005570C1"/>
    <w:rsid w:val="00561132"/>
    <w:rsid w:val="0056130C"/>
    <w:rsid w:val="00562162"/>
    <w:rsid w:val="005625C9"/>
    <w:rsid w:val="005635E0"/>
    <w:rsid w:val="00563B71"/>
    <w:rsid w:val="00564686"/>
    <w:rsid w:val="00566B01"/>
    <w:rsid w:val="00566C97"/>
    <w:rsid w:val="00567E6D"/>
    <w:rsid w:val="005703BB"/>
    <w:rsid w:val="00570ED7"/>
    <w:rsid w:val="0057100D"/>
    <w:rsid w:val="00571160"/>
    <w:rsid w:val="005720D7"/>
    <w:rsid w:val="00572B9B"/>
    <w:rsid w:val="005737F0"/>
    <w:rsid w:val="005741CA"/>
    <w:rsid w:val="00574961"/>
    <w:rsid w:val="0058128D"/>
    <w:rsid w:val="0058247E"/>
    <w:rsid w:val="00585929"/>
    <w:rsid w:val="00585BFF"/>
    <w:rsid w:val="0058626C"/>
    <w:rsid w:val="005871B3"/>
    <w:rsid w:val="00590C3A"/>
    <w:rsid w:val="00590F52"/>
    <w:rsid w:val="00591131"/>
    <w:rsid w:val="005923BC"/>
    <w:rsid w:val="0059264A"/>
    <w:rsid w:val="00595098"/>
    <w:rsid w:val="0059552A"/>
    <w:rsid w:val="00595B2D"/>
    <w:rsid w:val="005A055D"/>
    <w:rsid w:val="005A0895"/>
    <w:rsid w:val="005A1FE1"/>
    <w:rsid w:val="005A3339"/>
    <w:rsid w:val="005A5A38"/>
    <w:rsid w:val="005A78C1"/>
    <w:rsid w:val="005B1A98"/>
    <w:rsid w:val="005B1CEF"/>
    <w:rsid w:val="005B341A"/>
    <w:rsid w:val="005B4BBE"/>
    <w:rsid w:val="005B533D"/>
    <w:rsid w:val="005B70D5"/>
    <w:rsid w:val="005C2F32"/>
    <w:rsid w:val="005C537D"/>
    <w:rsid w:val="005C5E72"/>
    <w:rsid w:val="005D0109"/>
    <w:rsid w:val="005D2FCB"/>
    <w:rsid w:val="005D60C3"/>
    <w:rsid w:val="005E0AB2"/>
    <w:rsid w:val="005E1BDF"/>
    <w:rsid w:val="005E1C93"/>
    <w:rsid w:val="005E1F0D"/>
    <w:rsid w:val="005E36BA"/>
    <w:rsid w:val="005E39D8"/>
    <w:rsid w:val="005F00BC"/>
    <w:rsid w:val="005F1849"/>
    <w:rsid w:val="005F5A05"/>
    <w:rsid w:val="005F5AB0"/>
    <w:rsid w:val="005F700D"/>
    <w:rsid w:val="006002DE"/>
    <w:rsid w:val="0060097D"/>
    <w:rsid w:val="00601A5D"/>
    <w:rsid w:val="00601FA0"/>
    <w:rsid w:val="006024C9"/>
    <w:rsid w:val="00604A5D"/>
    <w:rsid w:val="00605826"/>
    <w:rsid w:val="00611494"/>
    <w:rsid w:val="00611BAD"/>
    <w:rsid w:val="00613486"/>
    <w:rsid w:val="00613BC1"/>
    <w:rsid w:val="006149AB"/>
    <w:rsid w:val="00614DA3"/>
    <w:rsid w:val="00614DDC"/>
    <w:rsid w:val="00615984"/>
    <w:rsid w:val="00617F48"/>
    <w:rsid w:val="006207E6"/>
    <w:rsid w:val="006228C8"/>
    <w:rsid w:val="00622AF0"/>
    <w:rsid w:val="00622E32"/>
    <w:rsid w:val="00623282"/>
    <w:rsid w:val="00623821"/>
    <w:rsid w:val="006259A2"/>
    <w:rsid w:val="006271A0"/>
    <w:rsid w:val="00627D40"/>
    <w:rsid w:val="00627E54"/>
    <w:rsid w:val="0063040E"/>
    <w:rsid w:val="00630950"/>
    <w:rsid w:val="00630BEB"/>
    <w:rsid w:val="0063179B"/>
    <w:rsid w:val="006328BC"/>
    <w:rsid w:val="0063483F"/>
    <w:rsid w:val="00635890"/>
    <w:rsid w:val="00637798"/>
    <w:rsid w:val="006416B8"/>
    <w:rsid w:val="0064260F"/>
    <w:rsid w:val="00644452"/>
    <w:rsid w:val="006456B5"/>
    <w:rsid w:val="00645AC3"/>
    <w:rsid w:val="00645FFC"/>
    <w:rsid w:val="006462B3"/>
    <w:rsid w:val="00651AA6"/>
    <w:rsid w:val="00653191"/>
    <w:rsid w:val="006543C5"/>
    <w:rsid w:val="006622B7"/>
    <w:rsid w:val="006624C7"/>
    <w:rsid w:val="00663577"/>
    <w:rsid w:val="0066401A"/>
    <w:rsid w:val="006642EF"/>
    <w:rsid w:val="006643C1"/>
    <w:rsid w:val="00664790"/>
    <w:rsid w:val="00665D53"/>
    <w:rsid w:val="00667256"/>
    <w:rsid w:val="00670FB1"/>
    <w:rsid w:val="00671126"/>
    <w:rsid w:val="006713C0"/>
    <w:rsid w:val="00673708"/>
    <w:rsid w:val="006748DA"/>
    <w:rsid w:val="006757FD"/>
    <w:rsid w:val="00675A9F"/>
    <w:rsid w:val="00676783"/>
    <w:rsid w:val="0067797E"/>
    <w:rsid w:val="0068391F"/>
    <w:rsid w:val="00683C98"/>
    <w:rsid w:val="006849B4"/>
    <w:rsid w:val="0068536B"/>
    <w:rsid w:val="00685457"/>
    <w:rsid w:val="00685737"/>
    <w:rsid w:val="00691421"/>
    <w:rsid w:val="00691674"/>
    <w:rsid w:val="006925B3"/>
    <w:rsid w:val="00695AFB"/>
    <w:rsid w:val="00697CF1"/>
    <w:rsid w:val="006A0EAC"/>
    <w:rsid w:val="006A0FA7"/>
    <w:rsid w:val="006A1DCF"/>
    <w:rsid w:val="006A40A1"/>
    <w:rsid w:val="006A4F19"/>
    <w:rsid w:val="006A57BD"/>
    <w:rsid w:val="006A7161"/>
    <w:rsid w:val="006B21A9"/>
    <w:rsid w:val="006B2B07"/>
    <w:rsid w:val="006B39DF"/>
    <w:rsid w:val="006B5341"/>
    <w:rsid w:val="006B6335"/>
    <w:rsid w:val="006B6384"/>
    <w:rsid w:val="006B6D7A"/>
    <w:rsid w:val="006B712C"/>
    <w:rsid w:val="006B7EC3"/>
    <w:rsid w:val="006C0CAE"/>
    <w:rsid w:val="006C2F0F"/>
    <w:rsid w:val="006C3CB6"/>
    <w:rsid w:val="006C515B"/>
    <w:rsid w:val="006C5979"/>
    <w:rsid w:val="006C673F"/>
    <w:rsid w:val="006D08B8"/>
    <w:rsid w:val="006D4CC2"/>
    <w:rsid w:val="006D5F43"/>
    <w:rsid w:val="006D6A89"/>
    <w:rsid w:val="006E02D1"/>
    <w:rsid w:val="006E0E29"/>
    <w:rsid w:val="006E0E90"/>
    <w:rsid w:val="006E2175"/>
    <w:rsid w:val="006E426B"/>
    <w:rsid w:val="006E5325"/>
    <w:rsid w:val="006E5CF4"/>
    <w:rsid w:val="006E6910"/>
    <w:rsid w:val="006E6A80"/>
    <w:rsid w:val="006E7801"/>
    <w:rsid w:val="006E7E4A"/>
    <w:rsid w:val="006F0029"/>
    <w:rsid w:val="006F2159"/>
    <w:rsid w:val="006F29BC"/>
    <w:rsid w:val="006F32EE"/>
    <w:rsid w:val="006F4B66"/>
    <w:rsid w:val="006F4C00"/>
    <w:rsid w:val="006F6A16"/>
    <w:rsid w:val="00702C8B"/>
    <w:rsid w:val="00704741"/>
    <w:rsid w:val="00706ED7"/>
    <w:rsid w:val="007079CC"/>
    <w:rsid w:val="007109BF"/>
    <w:rsid w:val="00711AA2"/>
    <w:rsid w:val="00712F0B"/>
    <w:rsid w:val="007145D1"/>
    <w:rsid w:val="00714626"/>
    <w:rsid w:val="007151D0"/>
    <w:rsid w:val="007151D8"/>
    <w:rsid w:val="00725564"/>
    <w:rsid w:val="00725F29"/>
    <w:rsid w:val="00731240"/>
    <w:rsid w:val="00731586"/>
    <w:rsid w:val="00731A49"/>
    <w:rsid w:val="00736580"/>
    <w:rsid w:val="00741BE3"/>
    <w:rsid w:val="007435D5"/>
    <w:rsid w:val="0074416E"/>
    <w:rsid w:val="0074597B"/>
    <w:rsid w:val="00745E2A"/>
    <w:rsid w:val="00745F17"/>
    <w:rsid w:val="00747EEA"/>
    <w:rsid w:val="00747F2E"/>
    <w:rsid w:val="0075348E"/>
    <w:rsid w:val="00753535"/>
    <w:rsid w:val="00753B35"/>
    <w:rsid w:val="0075424D"/>
    <w:rsid w:val="007565C0"/>
    <w:rsid w:val="007573C9"/>
    <w:rsid w:val="00757618"/>
    <w:rsid w:val="00757812"/>
    <w:rsid w:val="007603E5"/>
    <w:rsid w:val="00762035"/>
    <w:rsid w:val="007627CA"/>
    <w:rsid w:val="00762A60"/>
    <w:rsid w:val="0076364E"/>
    <w:rsid w:val="00763B95"/>
    <w:rsid w:val="00763C76"/>
    <w:rsid w:val="00764777"/>
    <w:rsid w:val="00765B12"/>
    <w:rsid w:val="00767C20"/>
    <w:rsid w:val="00770261"/>
    <w:rsid w:val="00776091"/>
    <w:rsid w:val="00780A52"/>
    <w:rsid w:val="007810F3"/>
    <w:rsid w:val="007835F7"/>
    <w:rsid w:val="0078647E"/>
    <w:rsid w:val="00786ABB"/>
    <w:rsid w:val="00790856"/>
    <w:rsid w:val="00790AF8"/>
    <w:rsid w:val="00792E0F"/>
    <w:rsid w:val="007946F7"/>
    <w:rsid w:val="007949D9"/>
    <w:rsid w:val="007A13C3"/>
    <w:rsid w:val="007A1D2B"/>
    <w:rsid w:val="007A224D"/>
    <w:rsid w:val="007A29C8"/>
    <w:rsid w:val="007A3AEC"/>
    <w:rsid w:val="007A660E"/>
    <w:rsid w:val="007A73CD"/>
    <w:rsid w:val="007A7559"/>
    <w:rsid w:val="007B1470"/>
    <w:rsid w:val="007B14B6"/>
    <w:rsid w:val="007B19C8"/>
    <w:rsid w:val="007B5199"/>
    <w:rsid w:val="007B6B25"/>
    <w:rsid w:val="007B6C38"/>
    <w:rsid w:val="007B6F70"/>
    <w:rsid w:val="007B7261"/>
    <w:rsid w:val="007C0D7E"/>
    <w:rsid w:val="007C1B0E"/>
    <w:rsid w:val="007C5110"/>
    <w:rsid w:val="007C5DB5"/>
    <w:rsid w:val="007C6346"/>
    <w:rsid w:val="007D0C0F"/>
    <w:rsid w:val="007D32AC"/>
    <w:rsid w:val="007D3300"/>
    <w:rsid w:val="007D3EC2"/>
    <w:rsid w:val="007D7BA3"/>
    <w:rsid w:val="007E095F"/>
    <w:rsid w:val="007E13C3"/>
    <w:rsid w:val="007E1932"/>
    <w:rsid w:val="007E1C9F"/>
    <w:rsid w:val="007E2BAF"/>
    <w:rsid w:val="007E62BD"/>
    <w:rsid w:val="007E6D4A"/>
    <w:rsid w:val="007F0F43"/>
    <w:rsid w:val="007F2B97"/>
    <w:rsid w:val="007F40F5"/>
    <w:rsid w:val="007F472D"/>
    <w:rsid w:val="007F5D26"/>
    <w:rsid w:val="007F5EC0"/>
    <w:rsid w:val="007F7847"/>
    <w:rsid w:val="007F7C25"/>
    <w:rsid w:val="008005E0"/>
    <w:rsid w:val="00800985"/>
    <w:rsid w:val="00802EBA"/>
    <w:rsid w:val="00803E0A"/>
    <w:rsid w:val="0080428E"/>
    <w:rsid w:val="00805534"/>
    <w:rsid w:val="008060D8"/>
    <w:rsid w:val="0080757D"/>
    <w:rsid w:val="00807672"/>
    <w:rsid w:val="00810CCE"/>
    <w:rsid w:val="00811F1B"/>
    <w:rsid w:val="00812465"/>
    <w:rsid w:val="008125FF"/>
    <w:rsid w:val="008132B9"/>
    <w:rsid w:val="00813DDF"/>
    <w:rsid w:val="00816273"/>
    <w:rsid w:val="008162B0"/>
    <w:rsid w:val="00816D46"/>
    <w:rsid w:val="00817322"/>
    <w:rsid w:val="00821D31"/>
    <w:rsid w:val="008245C5"/>
    <w:rsid w:val="00827D8D"/>
    <w:rsid w:val="008305EB"/>
    <w:rsid w:val="00830666"/>
    <w:rsid w:val="00832116"/>
    <w:rsid w:val="00832FFB"/>
    <w:rsid w:val="00834826"/>
    <w:rsid w:val="008356D5"/>
    <w:rsid w:val="00836CB8"/>
    <w:rsid w:val="008418A5"/>
    <w:rsid w:val="00844DBA"/>
    <w:rsid w:val="00850F4D"/>
    <w:rsid w:val="008513C9"/>
    <w:rsid w:val="008515E7"/>
    <w:rsid w:val="00852D63"/>
    <w:rsid w:val="008534A5"/>
    <w:rsid w:val="0085437F"/>
    <w:rsid w:val="008551DF"/>
    <w:rsid w:val="00855287"/>
    <w:rsid w:val="00855891"/>
    <w:rsid w:val="00856866"/>
    <w:rsid w:val="008601AE"/>
    <w:rsid w:val="00862700"/>
    <w:rsid w:val="008678B4"/>
    <w:rsid w:val="00867B14"/>
    <w:rsid w:val="008709BC"/>
    <w:rsid w:val="00871AC2"/>
    <w:rsid w:val="00871D25"/>
    <w:rsid w:val="00871DB3"/>
    <w:rsid w:val="0087399F"/>
    <w:rsid w:val="0087406B"/>
    <w:rsid w:val="0087535F"/>
    <w:rsid w:val="008761A3"/>
    <w:rsid w:val="00876F59"/>
    <w:rsid w:val="00877984"/>
    <w:rsid w:val="00880C91"/>
    <w:rsid w:val="00881940"/>
    <w:rsid w:val="00881FC1"/>
    <w:rsid w:val="008827A1"/>
    <w:rsid w:val="00882C65"/>
    <w:rsid w:val="00882C93"/>
    <w:rsid w:val="00883741"/>
    <w:rsid w:val="008845C7"/>
    <w:rsid w:val="0088475D"/>
    <w:rsid w:val="0088701F"/>
    <w:rsid w:val="00887BC5"/>
    <w:rsid w:val="008921C4"/>
    <w:rsid w:val="00892A46"/>
    <w:rsid w:val="00894205"/>
    <w:rsid w:val="008971FD"/>
    <w:rsid w:val="00897415"/>
    <w:rsid w:val="0089778F"/>
    <w:rsid w:val="008A3119"/>
    <w:rsid w:val="008A5346"/>
    <w:rsid w:val="008A5548"/>
    <w:rsid w:val="008A6BAB"/>
    <w:rsid w:val="008A71DA"/>
    <w:rsid w:val="008A71F9"/>
    <w:rsid w:val="008A73A8"/>
    <w:rsid w:val="008B1B63"/>
    <w:rsid w:val="008B2748"/>
    <w:rsid w:val="008B53CA"/>
    <w:rsid w:val="008B560F"/>
    <w:rsid w:val="008B6704"/>
    <w:rsid w:val="008C17C5"/>
    <w:rsid w:val="008C1AFD"/>
    <w:rsid w:val="008C2900"/>
    <w:rsid w:val="008C361E"/>
    <w:rsid w:val="008C5C6A"/>
    <w:rsid w:val="008C662A"/>
    <w:rsid w:val="008D31F1"/>
    <w:rsid w:val="008D415F"/>
    <w:rsid w:val="008D59F9"/>
    <w:rsid w:val="008D6848"/>
    <w:rsid w:val="008D71E0"/>
    <w:rsid w:val="008E1F65"/>
    <w:rsid w:val="008E26E3"/>
    <w:rsid w:val="008E2820"/>
    <w:rsid w:val="008E531F"/>
    <w:rsid w:val="008E64BF"/>
    <w:rsid w:val="008F1C04"/>
    <w:rsid w:val="008F3E6A"/>
    <w:rsid w:val="008F3F6A"/>
    <w:rsid w:val="008F4707"/>
    <w:rsid w:val="008F6215"/>
    <w:rsid w:val="00900CD2"/>
    <w:rsid w:val="00901560"/>
    <w:rsid w:val="00903086"/>
    <w:rsid w:val="00903377"/>
    <w:rsid w:val="00904506"/>
    <w:rsid w:val="00904695"/>
    <w:rsid w:val="00904B42"/>
    <w:rsid w:val="00906D26"/>
    <w:rsid w:val="00913363"/>
    <w:rsid w:val="009159BA"/>
    <w:rsid w:val="00915F28"/>
    <w:rsid w:val="00917929"/>
    <w:rsid w:val="009208B8"/>
    <w:rsid w:val="00921E10"/>
    <w:rsid w:val="0092258C"/>
    <w:rsid w:val="00923D82"/>
    <w:rsid w:val="00924C97"/>
    <w:rsid w:val="00925FA9"/>
    <w:rsid w:val="009269DF"/>
    <w:rsid w:val="00930F61"/>
    <w:rsid w:val="00930F8A"/>
    <w:rsid w:val="00932112"/>
    <w:rsid w:val="00933DF4"/>
    <w:rsid w:val="00933FF8"/>
    <w:rsid w:val="009347EA"/>
    <w:rsid w:val="00934B17"/>
    <w:rsid w:val="00937CE7"/>
    <w:rsid w:val="00940273"/>
    <w:rsid w:val="00941460"/>
    <w:rsid w:val="0094201D"/>
    <w:rsid w:val="00942C65"/>
    <w:rsid w:val="0094450C"/>
    <w:rsid w:val="00945FB7"/>
    <w:rsid w:val="009464F6"/>
    <w:rsid w:val="009473C7"/>
    <w:rsid w:val="009479E9"/>
    <w:rsid w:val="0095067A"/>
    <w:rsid w:val="00950D32"/>
    <w:rsid w:val="00952057"/>
    <w:rsid w:val="00952650"/>
    <w:rsid w:val="00956F20"/>
    <w:rsid w:val="00960E3C"/>
    <w:rsid w:val="00963097"/>
    <w:rsid w:val="00963F2C"/>
    <w:rsid w:val="009647FB"/>
    <w:rsid w:val="009660AB"/>
    <w:rsid w:val="00970039"/>
    <w:rsid w:val="009706C1"/>
    <w:rsid w:val="009709B1"/>
    <w:rsid w:val="00972774"/>
    <w:rsid w:val="00972F44"/>
    <w:rsid w:val="00975208"/>
    <w:rsid w:val="0097525E"/>
    <w:rsid w:val="00980750"/>
    <w:rsid w:val="0098093E"/>
    <w:rsid w:val="009821E1"/>
    <w:rsid w:val="00983770"/>
    <w:rsid w:val="009848A6"/>
    <w:rsid w:val="00985FBE"/>
    <w:rsid w:val="00987318"/>
    <w:rsid w:val="009910FD"/>
    <w:rsid w:val="00992A7A"/>
    <w:rsid w:val="00994DFA"/>
    <w:rsid w:val="00995B14"/>
    <w:rsid w:val="00995CE8"/>
    <w:rsid w:val="00995DB1"/>
    <w:rsid w:val="0099760F"/>
    <w:rsid w:val="009A0391"/>
    <w:rsid w:val="009A09CF"/>
    <w:rsid w:val="009A1B2D"/>
    <w:rsid w:val="009A3EEA"/>
    <w:rsid w:val="009A4692"/>
    <w:rsid w:val="009A48ED"/>
    <w:rsid w:val="009A57E5"/>
    <w:rsid w:val="009A6B72"/>
    <w:rsid w:val="009A6D22"/>
    <w:rsid w:val="009A6F21"/>
    <w:rsid w:val="009B2F7D"/>
    <w:rsid w:val="009B3BE1"/>
    <w:rsid w:val="009B5A6D"/>
    <w:rsid w:val="009B5C37"/>
    <w:rsid w:val="009B738D"/>
    <w:rsid w:val="009C0545"/>
    <w:rsid w:val="009C2FC5"/>
    <w:rsid w:val="009C3C13"/>
    <w:rsid w:val="009C474F"/>
    <w:rsid w:val="009C526E"/>
    <w:rsid w:val="009C5FAE"/>
    <w:rsid w:val="009C61B9"/>
    <w:rsid w:val="009C6B54"/>
    <w:rsid w:val="009C73F6"/>
    <w:rsid w:val="009C7431"/>
    <w:rsid w:val="009C76B7"/>
    <w:rsid w:val="009D01EE"/>
    <w:rsid w:val="009D0A34"/>
    <w:rsid w:val="009D2C4D"/>
    <w:rsid w:val="009D4C4F"/>
    <w:rsid w:val="009D4EF7"/>
    <w:rsid w:val="009D5ED7"/>
    <w:rsid w:val="009D64F3"/>
    <w:rsid w:val="009D7C99"/>
    <w:rsid w:val="009E0ED6"/>
    <w:rsid w:val="009E2A34"/>
    <w:rsid w:val="009E3BF5"/>
    <w:rsid w:val="009E4040"/>
    <w:rsid w:val="009E455E"/>
    <w:rsid w:val="009E4CCB"/>
    <w:rsid w:val="009E4D41"/>
    <w:rsid w:val="009E4F3C"/>
    <w:rsid w:val="009E6750"/>
    <w:rsid w:val="009E70B0"/>
    <w:rsid w:val="009E71ED"/>
    <w:rsid w:val="009F1A1B"/>
    <w:rsid w:val="009F229E"/>
    <w:rsid w:val="009F41E4"/>
    <w:rsid w:val="009F451B"/>
    <w:rsid w:val="009F76FC"/>
    <w:rsid w:val="00A0141D"/>
    <w:rsid w:val="00A0417D"/>
    <w:rsid w:val="00A041AB"/>
    <w:rsid w:val="00A061B6"/>
    <w:rsid w:val="00A06A17"/>
    <w:rsid w:val="00A06F40"/>
    <w:rsid w:val="00A07F26"/>
    <w:rsid w:val="00A10E5F"/>
    <w:rsid w:val="00A11A5D"/>
    <w:rsid w:val="00A14178"/>
    <w:rsid w:val="00A22337"/>
    <w:rsid w:val="00A23868"/>
    <w:rsid w:val="00A2535E"/>
    <w:rsid w:val="00A255DC"/>
    <w:rsid w:val="00A25803"/>
    <w:rsid w:val="00A311A9"/>
    <w:rsid w:val="00A32A76"/>
    <w:rsid w:val="00A3476C"/>
    <w:rsid w:val="00A357BB"/>
    <w:rsid w:val="00A36793"/>
    <w:rsid w:val="00A36FF6"/>
    <w:rsid w:val="00A37114"/>
    <w:rsid w:val="00A37CD6"/>
    <w:rsid w:val="00A37CE4"/>
    <w:rsid w:val="00A4118D"/>
    <w:rsid w:val="00A42323"/>
    <w:rsid w:val="00A43A91"/>
    <w:rsid w:val="00A43FF1"/>
    <w:rsid w:val="00A443DF"/>
    <w:rsid w:val="00A44412"/>
    <w:rsid w:val="00A4496C"/>
    <w:rsid w:val="00A45649"/>
    <w:rsid w:val="00A4670E"/>
    <w:rsid w:val="00A47D14"/>
    <w:rsid w:val="00A50306"/>
    <w:rsid w:val="00A507EB"/>
    <w:rsid w:val="00A546BD"/>
    <w:rsid w:val="00A55CFD"/>
    <w:rsid w:val="00A55D1B"/>
    <w:rsid w:val="00A603D7"/>
    <w:rsid w:val="00A62F20"/>
    <w:rsid w:val="00A63160"/>
    <w:rsid w:val="00A649BE"/>
    <w:rsid w:val="00A67EB2"/>
    <w:rsid w:val="00A700AA"/>
    <w:rsid w:val="00A7072F"/>
    <w:rsid w:val="00A70A45"/>
    <w:rsid w:val="00A72B43"/>
    <w:rsid w:val="00A749C5"/>
    <w:rsid w:val="00A755C8"/>
    <w:rsid w:val="00A76D9F"/>
    <w:rsid w:val="00A76DE2"/>
    <w:rsid w:val="00A772DB"/>
    <w:rsid w:val="00A77D9A"/>
    <w:rsid w:val="00A80115"/>
    <w:rsid w:val="00A8105B"/>
    <w:rsid w:val="00A8237F"/>
    <w:rsid w:val="00A8256B"/>
    <w:rsid w:val="00A82869"/>
    <w:rsid w:val="00A82ECB"/>
    <w:rsid w:val="00A83A4A"/>
    <w:rsid w:val="00A84225"/>
    <w:rsid w:val="00A852C3"/>
    <w:rsid w:val="00A85795"/>
    <w:rsid w:val="00A85A77"/>
    <w:rsid w:val="00A8624A"/>
    <w:rsid w:val="00A91BDF"/>
    <w:rsid w:val="00A9219D"/>
    <w:rsid w:val="00A926E1"/>
    <w:rsid w:val="00A933A5"/>
    <w:rsid w:val="00A934E8"/>
    <w:rsid w:val="00A94D8A"/>
    <w:rsid w:val="00A9644C"/>
    <w:rsid w:val="00A97769"/>
    <w:rsid w:val="00A97E95"/>
    <w:rsid w:val="00AA30FC"/>
    <w:rsid w:val="00AA313B"/>
    <w:rsid w:val="00AA359D"/>
    <w:rsid w:val="00AA38DF"/>
    <w:rsid w:val="00AA5451"/>
    <w:rsid w:val="00AA6411"/>
    <w:rsid w:val="00AA6ED4"/>
    <w:rsid w:val="00AA7C0B"/>
    <w:rsid w:val="00AB08AE"/>
    <w:rsid w:val="00AB2895"/>
    <w:rsid w:val="00AB35CD"/>
    <w:rsid w:val="00AB3BEB"/>
    <w:rsid w:val="00AB4228"/>
    <w:rsid w:val="00AB427C"/>
    <w:rsid w:val="00AB6FFF"/>
    <w:rsid w:val="00AB730F"/>
    <w:rsid w:val="00AB7F90"/>
    <w:rsid w:val="00AC2C8B"/>
    <w:rsid w:val="00AC3D9A"/>
    <w:rsid w:val="00AC7187"/>
    <w:rsid w:val="00AC7594"/>
    <w:rsid w:val="00AC7B2F"/>
    <w:rsid w:val="00AD31FE"/>
    <w:rsid w:val="00AD44AF"/>
    <w:rsid w:val="00AD59DB"/>
    <w:rsid w:val="00AD6720"/>
    <w:rsid w:val="00AD6D45"/>
    <w:rsid w:val="00AE0A77"/>
    <w:rsid w:val="00AE2324"/>
    <w:rsid w:val="00AE282E"/>
    <w:rsid w:val="00AE5344"/>
    <w:rsid w:val="00AE7168"/>
    <w:rsid w:val="00AF2A50"/>
    <w:rsid w:val="00AF2F05"/>
    <w:rsid w:val="00AF3F33"/>
    <w:rsid w:val="00AF4164"/>
    <w:rsid w:val="00AF5F05"/>
    <w:rsid w:val="00AF7471"/>
    <w:rsid w:val="00AF7524"/>
    <w:rsid w:val="00AF7A4E"/>
    <w:rsid w:val="00B0086A"/>
    <w:rsid w:val="00B00BAC"/>
    <w:rsid w:val="00B01589"/>
    <w:rsid w:val="00B02662"/>
    <w:rsid w:val="00B0305E"/>
    <w:rsid w:val="00B0403B"/>
    <w:rsid w:val="00B04438"/>
    <w:rsid w:val="00B05488"/>
    <w:rsid w:val="00B11B53"/>
    <w:rsid w:val="00B132CD"/>
    <w:rsid w:val="00B14C46"/>
    <w:rsid w:val="00B17F37"/>
    <w:rsid w:val="00B201CC"/>
    <w:rsid w:val="00B20383"/>
    <w:rsid w:val="00B219D2"/>
    <w:rsid w:val="00B21DD4"/>
    <w:rsid w:val="00B2206D"/>
    <w:rsid w:val="00B22B56"/>
    <w:rsid w:val="00B24AF8"/>
    <w:rsid w:val="00B24CA2"/>
    <w:rsid w:val="00B24DC0"/>
    <w:rsid w:val="00B24EB3"/>
    <w:rsid w:val="00B252CE"/>
    <w:rsid w:val="00B2572F"/>
    <w:rsid w:val="00B25892"/>
    <w:rsid w:val="00B279EB"/>
    <w:rsid w:val="00B30F7A"/>
    <w:rsid w:val="00B344A1"/>
    <w:rsid w:val="00B347C1"/>
    <w:rsid w:val="00B363E9"/>
    <w:rsid w:val="00B402E9"/>
    <w:rsid w:val="00B40E2C"/>
    <w:rsid w:val="00B42E68"/>
    <w:rsid w:val="00B43FF8"/>
    <w:rsid w:val="00B444B3"/>
    <w:rsid w:val="00B45DC9"/>
    <w:rsid w:val="00B466E1"/>
    <w:rsid w:val="00B466E6"/>
    <w:rsid w:val="00B46C10"/>
    <w:rsid w:val="00B53CC3"/>
    <w:rsid w:val="00B54F56"/>
    <w:rsid w:val="00B566D7"/>
    <w:rsid w:val="00B56A6A"/>
    <w:rsid w:val="00B57A06"/>
    <w:rsid w:val="00B57F5C"/>
    <w:rsid w:val="00B6152A"/>
    <w:rsid w:val="00B6159C"/>
    <w:rsid w:val="00B61CCD"/>
    <w:rsid w:val="00B620D9"/>
    <w:rsid w:val="00B62733"/>
    <w:rsid w:val="00B642D3"/>
    <w:rsid w:val="00B6459A"/>
    <w:rsid w:val="00B6588B"/>
    <w:rsid w:val="00B66F26"/>
    <w:rsid w:val="00B672F7"/>
    <w:rsid w:val="00B7074A"/>
    <w:rsid w:val="00B70BE1"/>
    <w:rsid w:val="00B72684"/>
    <w:rsid w:val="00B74273"/>
    <w:rsid w:val="00B74E3A"/>
    <w:rsid w:val="00B761D7"/>
    <w:rsid w:val="00B7671B"/>
    <w:rsid w:val="00B77D14"/>
    <w:rsid w:val="00B828EC"/>
    <w:rsid w:val="00B86313"/>
    <w:rsid w:val="00B878E3"/>
    <w:rsid w:val="00B91492"/>
    <w:rsid w:val="00B91986"/>
    <w:rsid w:val="00B919C9"/>
    <w:rsid w:val="00B9270F"/>
    <w:rsid w:val="00B9445A"/>
    <w:rsid w:val="00B968F2"/>
    <w:rsid w:val="00B971D7"/>
    <w:rsid w:val="00BA153E"/>
    <w:rsid w:val="00BA36F0"/>
    <w:rsid w:val="00BA3EF9"/>
    <w:rsid w:val="00BA68F0"/>
    <w:rsid w:val="00BB35A4"/>
    <w:rsid w:val="00BB5B8A"/>
    <w:rsid w:val="00BB7DE7"/>
    <w:rsid w:val="00BC0508"/>
    <w:rsid w:val="00BC0868"/>
    <w:rsid w:val="00BC13C2"/>
    <w:rsid w:val="00BC19C2"/>
    <w:rsid w:val="00BC21D6"/>
    <w:rsid w:val="00BC481D"/>
    <w:rsid w:val="00BC612E"/>
    <w:rsid w:val="00BC638A"/>
    <w:rsid w:val="00BC6871"/>
    <w:rsid w:val="00BD095B"/>
    <w:rsid w:val="00BD10B6"/>
    <w:rsid w:val="00BD12A0"/>
    <w:rsid w:val="00BD36AE"/>
    <w:rsid w:val="00BD47C8"/>
    <w:rsid w:val="00BD5945"/>
    <w:rsid w:val="00BD5EFA"/>
    <w:rsid w:val="00BD76A6"/>
    <w:rsid w:val="00BE08F4"/>
    <w:rsid w:val="00BE0EA3"/>
    <w:rsid w:val="00BE201B"/>
    <w:rsid w:val="00BE3FB8"/>
    <w:rsid w:val="00BE7C40"/>
    <w:rsid w:val="00BF0CF8"/>
    <w:rsid w:val="00BF121E"/>
    <w:rsid w:val="00BF14BE"/>
    <w:rsid w:val="00BF210E"/>
    <w:rsid w:val="00BF25D7"/>
    <w:rsid w:val="00BF393B"/>
    <w:rsid w:val="00BF3C25"/>
    <w:rsid w:val="00BF3E17"/>
    <w:rsid w:val="00BF5674"/>
    <w:rsid w:val="00BF5978"/>
    <w:rsid w:val="00BF5CB1"/>
    <w:rsid w:val="00BF66C4"/>
    <w:rsid w:val="00BF6AA8"/>
    <w:rsid w:val="00BF79BA"/>
    <w:rsid w:val="00C01459"/>
    <w:rsid w:val="00C02CB5"/>
    <w:rsid w:val="00C05B7A"/>
    <w:rsid w:val="00C05E82"/>
    <w:rsid w:val="00C06A01"/>
    <w:rsid w:val="00C07CC9"/>
    <w:rsid w:val="00C10134"/>
    <w:rsid w:val="00C11C1F"/>
    <w:rsid w:val="00C129D3"/>
    <w:rsid w:val="00C13A2B"/>
    <w:rsid w:val="00C15B9B"/>
    <w:rsid w:val="00C15E7E"/>
    <w:rsid w:val="00C15F87"/>
    <w:rsid w:val="00C17324"/>
    <w:rsid w:val="00C173E9"/>
    <w:rsid w:val="00C2004E"/>
    <w:rsid w:val="00C203D5"/>
    <w:rsid w:val="00C20596"/>
    <w:rsid w:val="00C30112"/>
    <w:rsid w:val="00C307BB"/>
    <w:rsid w:val="00C32993"/>
    <w:rsid w:val="00C33F9A"/>
    <w:rsid w:val="00C35219"/>
    <w:rsid w:val="00C35F1A"/>
    <w:rsid w:val="00C36263"/>
    <w:rsid w:val="00C41664"/>
    <w:rsid w:val="00C41A6A"/>
    <w:rsid w:val="00C42A05"/>
    <w:rsid w:val="00C45F64"/>
    <w:rsid w:val="00C46FD0"/>
    <w:rsid w:val="00C4722E"/>
    <w:rsid w:val="00C5056B"/>
    <w:rsid w:val="00C50CD2"/>
    <w:rsid w:val="00C523EE"/>
    <w:rsid w:val="00C52532"/>
    <w:rsid w:val="00C5443D"/>
    <w:rsid w:val="00C55172"/>
    <w:rsid w:val="00C55403"/>
    <w:rsid w:val="00C55453"/>
    <w:rsid w:val="00C55629"/>
    <w:rsid w:val="00C5616A"/>
    <w:rsid w:val="00C56752"/>
    <w:rsid w:val="00C56F79"/>
    <w:rsid w:val="00C57D00"/>
    <w:rsid w:val="00C61BDA"/>
    <w:rsid w:val="00C61CC8"/>
    <w:rsid w:val="00C64FB4"/>
    <w:rsid w:val="00C667CC"/>
    <w:rsid w:val="00C67883"/>
    <w:rsid w:val="00C70525"/>
    <w:rsid w:val="00C71837"/>
    <w:rsid w:val="00C7311F"/>
    <w:rsid w:val="00C75E74"/>
    <w:rsid w:val="00C778C1"/>
    <w:rsid w:val="00C77AF3"/>
    <w:rsid w:val="00C808F4"/>
    <w:rsid w:val="00C81038"/>
    <w:rsid w:val="00C833F6"/>
    <w:rsid w:val="00C848BC"/>
    <w:rsid w:val="00C84E4C"/>
    <w:rsid w:val="00C851BF"/>
    <w:rsid w:val="00C855C2"/>
    <w:rsid w:val="00C85BC9"/>
    <w:rsid w:val="00C86CDD"/>
    <w:rsid w:val="00C874C4"/>
    <w:rsid w:val="00C90CDE"/>
    <w:rsid w:val="00C92C39"/>
    <w:rsid w:val="00C93AA2"/>
    <w:rsid w:val="00C93C5D"/>
    <w:rsid w:val="00C94D69"/>
    <w:rsid w:val="00C9507F"/>
    <w:rsid w:val="00C9634A"/>
    <w:rsid w:val="00CA0118"/>
    <w:rsid w:val="00CA25A1"/>
    <w:rsid w:val="00CA3C0C"/>
    <w:rsid w:val="00CA4BEA"/>
    <w:rsid w:val="00CA7C5B"/>
    <w:rsid w:val="00CB276A"/>
    <w:rsid w:val="00CB35A7"/>
    <w:rsid w:val="00CB55C8"/>
    <w:rsid w:val="00CC0257"/>
    <w:rsid w:val="00CC08E2"/>
    <w:rsid w:val="00CC1EEE"/>
    <w:rsid w:val="00CC2C88"/>
    <w:rsid w:val="00CC2FA6"/>
    <w:rsid w:val="00CC3F82"/>
    <w:rsid w:val="00CC5934"/>
    <w:rsid w:val="00CC5D99"/>
    <w:rsid w:val="00CC62AB"/>
    <w:rsid w:val="00CC6DA0"/>
    <w:rsid w:val="00CD06BB"/>
    <w:rsid w:val="00CD0DC6"/>
    <w:rsid w:val="00CD27FC"/>
    <w:rsid w:val="00CD3AA0"/>
    <w:rsid w:val="00CD57E8"/>
    <w:rsid w:val="00CD5D77"/>
    <w:rsid w:val="00CD64F0"/>
    <w:rsid w:val="00CD6CB6"/>
    <w:rsid w:val="00CE3A59"/>
    <w:rsid w:val="00CE4160"/>
    <w:rsid w:val="00CE66B6"/>
    <w:rsid w:val="00CE72BB"/>
    <w:rsid w:val="00CF03CB"/>
    <w:rsid w:val="00CF1447"/>
    <w:rsid w:val="00CF3686"/>
    <w:rsid w:val="00CF3CA5"/>
    <w:rsid w:val="00CF464E"/>
    <w:rsid w:val="00CF4AC1"/>
    <w:rsid w:val="00CF62BF"/>
    <w:rsid w:val="00CF6D28"/>
    <w:rsid w:val="00CF6F35"/>
    <w:rsid w:val="00D00C21"/>
    <w:rsid w:val="00D01E47"/>
    <w:rsid w:val="00D026FD"/>
    <w:rsid w:val="00D057C8"/>
    <w:rsid w:val="00D0598A"/>
    <w:rsid w:val="00D07654"/>
    <w:rsid w:val="00D117EB"/>
    <w:rsid w:val="00D12AA2"/>
    <w:rsid w:val="00D162A7"/>
    <w:rsid w:val="00D16EDA"/>
    <w:rsid w:val="00D17162"/>
    <w:rsid w:val="00D236BA"/>
    <w:rsid w:val="00D237CC"/>
    <w:rsid w:val="00D23D3E"/>
    <w:rsid w:val="00D24FA0"/>
    <w:rsid w:val="00D26CCF"/>
    <w:rsid w:val="00D30A94"/>
    <w:rsid w:val="00D31455"/>
    <w:rsid w:val="00D33C63"/>
    <w:rsid w:val="00D35004"/>
    <w:rsid w:val="00D352D6"/>
    <w:rsid w:val="00D36DC4"/>
    <w:rsid w:val="00D40195"/>
    <w:rsid w:val="00D41641"/>
    <w:rsid w:val="00D41E1C"/>
    <w:rsid w:val="00D42537"/>
    <w:rsid w:val="00D5256C"/>
    <w:rsid w:val="00D52A39"/>
    <w:rsid w:val="00D54367"/>
    <w:rsid w:val="00D543AD"/>
    <w:rsid w:val="00D545B5"/>
    <w:rsid w:val="00D54F96"/>
    <w:rsid w:val="00D56D27"/>
    <w:rsid w:val="00D606E9"/>
    <w:rsid w:val="00D66D61"/>
    <w:rsid w:val="00D71679"/>
    <w:rsid w:val="00D7359D"/>
    <w:rsid w:val="00D73CD1"/>
    <w:rsid w:val="00D73DA4"/>
    <w:rsid w:val="00D74061"/>
    <w:rsid w:val="00D74C01"/>
    <w:rsid w:val="00D76398"/>
    <w:rsid w:val="00D76E06"/>
    <w:rsid w:val="00D8029A"/>
    <w:rsid w:val="00D8210C"/>
    <w:rsid w:val="00D8266D"/>
    <w:rsid w:val="00D86A53"/>
    <w:rsid w:val="00D87DBD"/>
    <w:rsid w:val="00D926AF"/>
    <w:rsid w:val="00D92C55"/>
    <w:rsid w:val="00D94755"/>
    <w:rsid w:val="00D952A4"/>
    <w:rsid w:val="00D9633D"/>
    <w:rsid w:val="00DA04D6"/>
    <w:rsid w:val="00DA3B09"/>
    <w:rsid w:val="00DA4B01"/>
    <w:rsid w:val="00DA4EB2"/>
    <w:rsid w:val="00DA5B53"/>
    <w:rsid w:val="00DA7591"/>
    <w:rsid w:val="00DA798A"/>
    <w:rsid w:val="00DB0215"/>
    <w:rsid w:val="00DB0BCA"/>
    <w:rsid w:val="00DB2355"/>
    <w:rsid w:val="00DB2E53"/>
    <w:rsid w:val="00DB37C4"/>
    <w:rsid w:val="00DB4267"/>
    <w:rsid w:val="00DB58B7"/>
    <w:rsid w:val="00DB5CB6"/>
    <w:rsid w:val="00DB7BBB"/>
    <w:rsid w:val="00DB7BED"/>
    <w:rsid w:val="00DB7FE0"/>
    <w:rsid w:val="00DC0BEF"/>
    <w:rsid w:val="00DC1CDA"/>
    <w:rsid w:val="00DC1F53"/>
    <w:rsid w:val="00DC3BC4"/>
    <w:rsid w:val="00DC5433"/>
    <w:rsid w:val="00DC7142"/>
    <w:rsid w:val="00DD0B06"/>
    <w:rsid w:val="00DD0C49"/>
    <w:rsid w:val="00DD603F"/>
    <w:rsid w:val="00DD6CC8"/>
    <w:rsid w:val="00DD7B08"/>
    <w:rsid w:val="00DD7BBA"/>
    <w:rsid w:val="00DE06C9"/>
    <w:rsid w:val="00DE15D1"/>
    <w:rsid w:val="00DE5A6F"/>
    <w:rsid w:val="00DE5EBD"/>
    <w:rsid w:val="00DE741D"/>
    <w:rsid w:val="00DF0588"/>
    <w:rsid w:val="00DF38DA"/>
    <w:rsid w:val="00DF391E"/>
    <w:rsid w:val="00DF55D5"/>
    <w:rsid w:val="00DF5F8D"/>
    <w:rsid w:val="00DF6328"/>
    <w:rsid w:val="00DF6C87"/>
    <w:rsid w:val="00E00B36"/>
    <w:rsid w:val="00E026B4"/>
    <w:rsid w:val="00E028C3"/>
    <w:rsid w:val="00E0299B"/>
    <w:rsid w:val="00E03B34"/>
    <w:rsid w:val="00E03D27"/>
    <w:rsid w:val="00E05478"/>
    <w:rsid w:val="00E0584E"/>
    <w:rsid w:val="00E13756"/>
    <w:rsid w:val="00E153E5"/>
    <w:rsid w:val="00E15EAD"/>
    <w:rsid w:val="00E1637B"/>
    <w:rsid w:val="00E16ACF"/>
    <w:rsid w:val="00E23B31"/>
    <w:rsid w:val="00E243F2"/>
    <w:rsid w:val="00E262EF"/>
    <w:rsid w:val="00E26545"/>
    <w:rsid w:val="00E3043C"/>
    <w:rsid w:val="00E30FD6"/>
    <w:rsid w:val="00E31439"/>
    <w:rsid w:val="00E3153B"/>
    <w:rsid w:val="00E317C9"/>
    <w:rsid w:val="00E3358F"/>
    <w:rsid w:val="00E343D5"/>
    <w:rsid w:val="00E348B6"/>
    <w:rsid w:val="00E402F3"/>
    <w:rsid w:val="00E40E4B"/>
    <w:rsid w:val="00E418D5"/>
    <w:rsid w:val="00E41E08"/>
    <w:rsid w:val="00E41F48"/>
    <w:rsid w:val="00E42D7F"/>
    <w:rsid w:val="00E439EF"/>
    <w:rsid w:val="00E43C90"/>
    <w:rsid w:val="00E45E66"/>
    <w:rsid w:val="00E47746"/>
    <w:rsid w:val="00E50C50"/>
    <w:rsid w:val="00E51D29"/>
    <w:rsid w:val="00E529C7"/>
    <w:rsid w:val="00E56484"/>
    <w:rsid w:val="00E57F37"/>
    <w:rsid w:val="00E62775"/>
    <w:rsid w:val="00E64EDA"/>
    <w:rsid w:val="00E65CB6"/>
    <w:rsid w:val="00E66704"/>
    <w:rsid w:val="00E701D8"/>
    <w:rsid w:val="00E705DE"/>
    <w:rsid w:val="00E72270"/>
    <w:rsid w:val="00E72B8B"/>
    <w:rsid w:val="00E74B6F"/>
    <w:rsid w:val="00E7535F"/>
    <w:rsid w:val="00E75750"/>
    <w:rsid w:val="00E75DCF"/>
    <w:rsid w:val="00E81410"/>
    <w:rsid w:val="00E8196C"/>
    <w:rsid w:val="00E81F23"/>
    <w:rsid w:val="00E82C9F"/>
    <w:rsid w:val="00E83F8F"/>
    <w:rsid w:val="00E8492E"/>
    <w:rsid w:val="00E91079"/>
    <w:rsid w:val="00E91A68"/>
    <w:rsid w:val="00E94FBD"/>
    <w:rsid w:val="00E956EF"/>
    <w:rsid w:val="00E95BA1"/>
    <w:rsid w:val="00E96248"/>
    <w:rsid w:val="00EA07FE"/>
    <w:rsid w:val="00EA2108"/>
    <w:rsid w:val="00EA5B45"/>
    <w:rsid w:val="00EB074E"/>
    <w:rsid w:val="00EB2A48"/>
    <w:rsid w:val="00EB3243"/>
    <w:rsid w:val="00EB4055"/>
    <w:rsid w:val="00EB498E"/>
    <w:rsid w:val="00EB54E6"/>
    <w:rsid w:val="00EB5911"/>
    <w:rsid w:val="00EB5E6F"/>
    <w:rsid w:val="00EB74EC"/>
    <w:rsid w:val="00EB7944"/>
    <w:rsid w:val="00EC0CC1"/>
    <w:rsid w:val="00EC15D2"/>
    <w:rsid w:val="00EC2645"/>
    <w:rsid w:val="00EC380A"/>
    <w:rsid w:val="00EC402F"/>
    <w:rsid w:val="00EC4141"/>
    <w:rsid w:val="00EC4871"/>
    <w:rsid w:val="00EC65C2"/>
    <w:rsid w:val="00EC69A8"/>
    <w:rsid w:val="00ED1DBD"/>
    <w:rsid w:val="00ED2CBA"/>
    <w:rsid w:val="00ED68AD"/>
    <w:rsid w:val="00ED6C10"/>
    <w:rsid w:val="00ED7076"/>
    <w:rsid w:val="00EE00E1"/>
    <w:rsid w:val="00EE0D94"/>
    <w:rsid w:val="00EE0E5A"/>
    <w:rsid w:val="00EE2B38"/>
    <w:rsid w:val="00EE4213"/>
    <w:rsid w:val="00EE4965"/>
    <w:rsid w:val="00EE5B03"/>
    <w:rsid w:val="00EE661A"/>
    <w:rsid w:val="00EE7C5B"/>
    <w:rsid w:val="00EF2366"/>
    <w:rsid w:val="00EF668C"/>
    <w:rsid w:val="00F00F24"/>
    <w:rsid w:val="00F020CA"/>
    <w:rsid w:val="00F0310F"/>
    <w:rsid w:val="00F03433"/>
    <w:rsid w:val="00F057E0"/>
    <w:rsid w:val="00F06C2B"/>
    <w:rsid w:val="00F105B2"/>
    <w:rsid w:val="00F116E7"/>
    <w:rsid w:val="00F13A99"/>
    <w:rsid w:val="00F13B80"/>
    <w:rsid w:val="00F247EE"/>
    <w:rsid w:val="00F25CB5"/>
    <w:rsid w:val="00F26D1B"/>
    <w:rsid w:val="00F34443"/>
    <w:rsid w:val="00F40212"/>
    <w:rsid w:val="00F40233"/>
    <w:rsid w:val="00F42998"/>
    <w:rsid w:val="00F4517F"/>
    <w:rsid w:val="00F46C34"/>
    <w:rsid w:val="00F50C4A"/>
    <w:rsid w:val="00F50D95"/>
    <w:rsid w:val="00F50DD1"/>
    <w:rsid w:val="00F50EB0"/>
    <w:rsid w:val="00F51A4E"/>
    <w:rsid w:val="00F51C1F"/>
    <w:rsid w:val="00F54B1C"/>
    <w:rsid w:val="00F5647A"/>
    <w:rsid w:val="00F56EE4"/>
    <w:rsid w:val="00F60ED3"/>
    <w:rsid w:val="00F60FE2"/>
    <w:rsid w:val="00F62BA9"/>
    <w:rsid w:val="00F63175"/>
    <w:rsid w:val="00F640AE"/>
    <w:rsid w:val="00F64C15"/>
    <w:rsid w:val="00F650BE"/>
    <w:rsid w:val="00F655CE"/>
    <w:rsid w:val="00F70777"/>
    <w:rsid w:val="00F75B12"/>
    <w:rsid w:val="00F77BDC"/>
    <w:rsid w:val="00F858E7"/>
    <w:rsid w:val="00F86036"/>
    <w:rsid w:val="00F90DAC"/>
    <w:rsid w:val="00F9129B"/>
    <w:rsid w:val="00F92D5A"/>
    <w:rsid w:val="00F94703"/>
    <w:rsid w:val="00F94FDB"/>
    <w:rsid w:val="00FA16DE"/>
    <w:rsid w:val="00FA2712"/>
    <w:rsid w:val="00FA3F40"/>
    <w:rsid w:val="00FA4197"/>
    <w:rsid w:val="00FA5095"/>
    <w:rsid w:val="00FA768D"/>
    <w:rsid w:val="00FB01CD"/>
    <w:rsid w:val="00FB2CB3"/>
    <w:rsid w:val="00FB2E98"/>
    <w:rsid w:val="00FB2F6F"/>
    <w:rsid w:val="00FB5719"/>
    <w:rsid w:val="00FC23C3"/>
    <w:rsid w:val="00FC4ADB"/>
    <w:rsid w:val="00FC5410"/>
    <w:rsid w:val="00FD00D9"/>
    <w:rsid w:val="00FD0A98"/>
    <w:rsid w:val="00FD1809"/>
    <w:rsid w:val="00FD1A90"/>
    <w:rsid w:val="00FD4887"/>
    <w:rsid w:val="00FE0CFC"/>
    <w:rsid w:val="00FE1C7E"/>
    <w:rsid w:val="00FE2A66"/>
    <w:rsid w:val="00FE7456"/>
    <w:rsid w:val="00FE7F65"/>
    <w:rsid w:val="00FF15B7"/>
    <w:rsid w:val="00FF3E9E"/>
    <w:rsid w:val="00FF57F4"/>
    <w:rsid w:val="00FF5DEA"/>
    <w:rsid w:val="00FF67A7"/>
    <w:rsid w:val="00FF7EC4"/>
    <w:rsid w:val="014D059F"/>
    <w:rsid w:val="019F3337"/>
    <w:rsid w:val="01F65FCB"/>
    <w:rsid w:val="025E15E3"/>
    <w:rsid w:val="028329F9"/>
    <w:rsid w:val="029D3FFE"/>
    <w:rsid w:val="02F25FBC"/>
    <w:rsid w:val="03943B0B"/>
    <w:rsid w:val="03A349F1"/>
    <w:rsid w:val="03CC18DB"/>
    <w:rsid w:val="04B40DC0"/>
    <w:rsid w:val="04B95381"/>
    <w:rsid w:val="04E2514F"/>
    <w:rsid w:val="04E95F50"/>
    <w:rsid w:val="050B6777"/>
    <w:rsid w:val="05136C9B"/>
    <w:rsid w:val="06495464"/>
    <w:rsid w:val="06913FF1"/>
    <w:rsid w:val="06A32C88"/>
    <w:rsid w:val="06AE712D"/>
    <w:rsid w:val="06D80B10"/>
    <w:rsid w:val="06E810D4"/>
    <w:rsid w:val="06EA09AB"/>
    <w:rsid w:val="06EC2A9D"/>
    <w:rsid w:val="074E76F0"/>
    <w:rsid w:val="07673FFB"/>
    <w:rsid w:val="081A3D1F"/>
    <w:rsid w:val="082E5425"/>
    <w:rsid w:val="08962BFA"/>
    <w:rsid w:val="0898738D"/>
    <w:rsid w:val="089C0A55"/>
    <w:rsid w:val="092A587F"/>
    <w:rsid w:val="093F263F"/>
    <w:rsid w:val="097F2422"/>
    <w:rsid w:val="0A3F6F26"/>
    <w:rsid w:val="0A750537"/>
    <w:rsid w:val="0A80214B"/>
    <w:rsid w:val="0ACE122F"/>
    <w:rsid w:val="0AF07AAF"/>
    <w:rsid w:val="0B1F7D41"/>
    <w:rsid w:val="0B5D2C28"/>
    <w:rsid w:val="0BA41798"/>
    <w:rsid w:val="0BFC5BA4"/>
    <w:rsid w:val="0C447303"/>
    <w:rsid w:val="0CB032F8"/>
    <w:rsid w:val="0CC03A2F"/>
    <w:rsid w:val="0D006B6B"/>
    <w:rsid w:val="0D0E35C5"/>
    <w:rsid w:val="0D1C254B"/>
    <w:rsid w:val="0D206FB7"/>
    <w:rsid w:val="0D6A5EFF"/>
    <w:rsid w:val="0D7935BD"/>
    <w:rsid w:val="0D921674"/>
    <w:rsid w:val="0DB24A08"/>
    <w:rsid w:val="0DCD463A"/>
    <w:rsid w:val="0DE9729A"/>
    <w:rsid w:val="0E0D501E"/>
    <w:rsid w:val="0E1B655B"/>
    <w:rsid w:val="0EFF4F50"/>
    <w:rsid w:val="0F2A17EF"/>
    <w:rsid w:val="0F3E01A7"/>
    <w:rsid w:val="0FD1565A"/>
    <w:rsid w:val="0FF74E29"/>
    <w:rsid w:val="0FF82E63"/>
    <w:rsid w:val="10577E13"/>
    <w:rsid w:val="10A53656"/>
    <w:rsid w:val="10F45C00"/>
    <w:rsid w:val="119B3EBF"/>
    <w:rsid w:val="119B6414"/>
    <w:rsid w:val="12321767"/>
    <w:rsid w:val="133857F5"/>
    <w:rsid w:val="135A5572"/>
    <w:rsid w:val="135F1102"/>
    <w:rsid w:val="14267BB9"/>
    <w:rsid w:val="145B0D2D"/>
    <w:rsid w:val="148217B1"/>
    <w:rsid w:val="14A127E5"/>
    <w:rsid w:val="15416935"/>
    <w:rsid w:val="15506597"/>
    <w:rsid w:val="157E6292"/>
    <w:rsid w:val="15934A6C"/>
    <w:rsid w:val="16B17D4F"/>
    <w:rsid w:val="16D1487C"/>
    <w:rsid w:val="171467D2"/>
    <w:rsid w:val="17D760B4"/>
    <w:rsid w:val="184A0A45"/>
    <w:rsid w:val="185F5569"/>
    <w:rsid w:val="18777296"/>
    <w:rsid w:val="18B4646E"/>
    <w:rsid w:val="18D01D1E"/>
    <w:rsid w:val="196F67FD"/>
    <w:rsid w:val="19BE5A4B"/>
    <w:rsid w:val="19DE7F45"/>
    <w:rsid w:val="19F31E6C"/>
    <w:rsid w:val="1A8D179F"/>
    <w:rsid w:val="1AB93547"/>
    <w:rsid w:val="1AC61BC0"/>
    <w:rsid w:val="1B2C557B"/>
    <w:rsid w:val="1C3154D0"/>
    <w:rsid w:val="1C3F6A0D"/>
    <w:rsid w:val="1C96116A"/>
    <w:rsid w:val="1CA4105D"/>
    <w:rsid w:val="1CD97816"/>
    <w:rsid w:val="1CFD6AEF"/>
    <w:rsid w:val="1D4D4330"/>
    <w:rsid w:val="1D74598B"/>
    <w:rsid w:val="1DB97DFB"/>
    <w:rsid w:val="1E2101FE"/>
    <w:rsid w:val="1ED10788"/>
    <w:rsid w:val="1ED72167"/>
    <w:rsid w:val="1FF46C08"/>
    <w:rsid w:val="1FF500C3"/>
    <w:rsid w:val="20746F8B"/>
    <w:rsid w:val="20AB3548"/>
    <w:rsid w:val="20C96F67"/>
    <w:rsid w:val="211A253A"/>
    <w:rsid w:val="211F252A"/>
    <w:rsid w:val="21296470"/>
    <w:rsid w:val="212E4CB8"/>
    <w:rsid w:val="21485A16"/>
    <w:rsid w:val="21B40469"/>
    <w:rsid w:val="21DF316B"/>
    <w:rsid w:val="21EE74CF"/>
    <w:rsid w:val="2273129E"/>
    <w:rsid w:val="227A1D4B"/>
    <w:rsid w:val="22E3669D"/>
    <w:rsid w:val="24676BED"/>
    <w:rsid w:val="24736B59"/>
    <w:rsid w:val="24FA4496"/>
    <w:rsid w:val="25243AD0"/>
    <w:rsid w:val="25437031"/>
    <w:rsid w:val="25820965"/>
    <w:rsid w:val="25E80E25"/>
    <w:rsid w:val="26201F3E"/>
    <w:rsid w:val="265C0805"/>
    <w:rsid w:val="265E0B0C"/>
    <w:rsid w:val="26AC1216"/>
    <w:rsid w:val="27437345"/>
    <w:rsid w:val="27543411"/>
    <w:rsid w:val="278051F5"/>
    <w:rsid w:val="279336EA"/>
    <w:rsid w:val="27B84C89"/>
    <w:rsid w:val="280A19D7"/>
    <w:rsid w:val="280B4F3E"/>
    <w:rsid w:val="28152633"/>
    <w:rsid w:val="28982A3A"/>
    <w:rsid w:val="28CF7D89"/>
    <w:rsid w:val="28D4768A"/>
    <w:rsid w:val="28FA1BD4"/>
    <w:rsid w:val="292E5E90"/>
    <w:rsid w:val="296F3E66"/>
    <w:rsid w:val="29716C81"/>
    <w:rsid w:val="297B3F00"/>
    <w:rsid w:val="297E7FB7"/>
    <w:rsid w:val="29BB480D"/>
    <w:rsid w:val="2A01372A"/>
    <w:rsid w:val="2A721FA6"/>
    <w:rsid w:val="2AAA498A"/>
    <w:rsid w:val="2ACB2954"/>
    <w:rsid w:val="2ADC4B86"/>
    <w:rsid w:val="2B9F7CD4"/>
    <w:rsid w:val="2BEF3853"/>
    <w:rsid w:val="2BF444D3"/>
    <w:rsid w:val="2C11336A"/>
    <w:rsid w:val="2C7076F9"/>
    <w:rsid w:val="2C857DBA"/>
    <w:rsid w:val="2CA32FBB"/>
    <w:rsid w:val="2CA439CC"/>
    <w:rsid w:val="2D3F5855"/>
    <w:rsid w:val="2D546474"/>
    <w:rsid w:val="2DB706BB"/>
    <w:rsid w:val="2E136A66"/>
    <w:rsid w:val="2E372A60"/>
    <w:rsid w:val="2E99041B"/>
    <w:rsid w:val="2EEA1C1B"/>
    <w:rsid w:val="2F0A108A"/>
    <w:rsid w:val="2F905B25"/>
    <w:rsid w:val="2F9B4141"/>
    <w:rsid w:val="2F9B699A"/>
    <w:rsid w:val="30995EA3"/>
    <w:rsid w:val="309A59D4"/>
    <w:rsid w:val="309F4D47"/>
    <w:rsid w:val="30A1659C"/>
    <w:rsid w:val="311346E6"/>
    <w:rsid w:val="31232385"/>
    <w:rsid w:val="312A571E"/>
    <w:rsid w:val="317E6FB5"/>
    <w:rsid w:val="319D60E6"/>
    <w:rsid w:val="31C14FCC"/>
    <w:rsid w:val="321C658C"/>
    <w:rsid w:val="3221681F"/>
    <w:rsid w:val="32812A4A"/>
    <w:rsid w:val="3299107C"/>
    <w:rsid w:val="337C6FC0"/>
    <w:rsid w:val="33CD1809"/>
    <w:rsid w:val="33F16546"/>
    <w:rsid w:val="34280137"/>
    <w:rsid w:val="348D6945"/>
    <w:rsid w:val="34AD38BA"/>
    <w:rsid w:val="352029FD"/>
    <w:rsid w:val="359D13EE"/>
    <w:rsid w:val="36327EBA"/>
    <w:rsid w:val="36852F67"/>
    <w:rsid w:val="368933F4"/>
    <w:rsid w:val="36BF2E7A"/>
    <w:rsid w:val="36E47182"/>
    <w:rsid w:val="36EA7EB1"/>
    <w:rsid w:val="386025F7"/>
    <w:rsid w:val="38C034DC"/>
    <w:rsid w:val="39CA5BD2"/>
    <w:rsid w:val="39E76736"/>
    <w:rsid w:val="3A280B24"/>
    <w:rsid w:val="3A713FA0"/>
    <w:rsid w:val="3AAA7AE0"/>
    <w:rsid w:val="3ABE36A6"/>
    <w:rsid w:val="3AE6638E"/>
    <w:rsid w:val="3B0B3BFF"/>
    <w:rsid w:val="3B213501"/>
    <w:rsid w:val="3B286032"/>
    <w:rsid w:val="3B33518F"/>
    <w:rsid w:val="3BA07B34"/>
    <w:rsid w:val="3BA349A7"/>
    <w:rsid w:val="3BB149FB"/>
    <w:rsid w:val="3C0839FD"/>
    <w:rsid w:val="3CEB3807"/>
    <w:rsid w:val="3D2539CD"/>
    <w:rsid w:val="3D8430E8"/>
    <w:rsid w:val="3E1D6DB6"/>
    <w:rsid w:val="3E653E7B"/>
    <w:rsid w:val="3EA01E45"/>
    <w:rsid w:val="3EAB079C"/>
    <w:rsid w:val="3EB949E4"/>
    <w:rsid w:val="3EBF6A19"/>
    <w:rsid w:val="3F5D444D"/>
    <w:rsid w:val="3F6046C3"/>
    <w:rsid w:val="3F605FCA"/>
    <w:rsid w:val="3F771E6F"/>
    <w:rsid w:val="3FED5566"/>
    <w:rsid w:val="3FF36BC4"/>
    <w:rsid w:val="4000156B"/>
    <w:rsid w:val="403E25EA"/>
    <w:rsid w:val="404577E6"/>
    <w:rsid w:val="406F3D87"/>
    <w:rsid w:val="40B0596E"/>
    <w:rsid w:val="40E34453"/>
    <w:rsid w:val="40EA1C0C"/>
    <w:rsid w:val="40F65D30"/>
    <w:rsid w:val="41060947"/>
    <w:rsid w:val="412E1A2A"/>
    <w:rsid w:val="414339E3"/>
    <w:rsid w:val="4163610A"/>
    <w:rsid w:val="41AD2980"/>
    <w:rsid w:val="41F14262"/>
    <w:rsid w:val="422D0CDB"/>
    <w:rsid w:val="423C170F"/>
    <w:rsid w:val="425A26D5"/>
    <w:rsid w:val="429736E7"/>
    <w:rsid w:val="42B96EC7"/>
    <w:rsid w:val="42E836F2"/>
    <w:rsid w:val="431E4FB7"/>
    <w:rsid w:val="435F780D"/>
    <w:rsid w:val="437B6846"/>
    <w:rsid w:val="43946866"/>
    <w:rsid w:val="4400509B"/>
    <w:rsid w:val="4423303D"/>
    <w:rsid w:val="448B2C24"/>
    <w:rsid w:val="44D82202"/>
    <w:rsid w:val="44F05476"/>
    <w:rsid w:val="454934CA"/>
    <w:rsid w:val="45A51D14"/>
    <w:rsid w:val="45D21141"/>
    <w:rsid w:val="46C042A0"/>
    <w:rsid w:val="46C101D0"/>
    <w:rsid w:val="46C213F6"/>
    <w:rsid w:val="47450157"/>
    <w:rsid w:val="47602379"/>
    <w:rsid w:val="47640605"/>
    <w:rsid w:val="47B240AF"/>
    <w:rsid w:val="47D3403D"/>
    <w:rsid w:val="47F108B7"/>
    <w:rsid w:val="480F3E46"/>
    <w:rsid w:val="48171BE2"/>
    <w:rsid w:val="48350F84"/>
    <w:rsid w:val="485A072D"/>
    <w:rsid w:val="487149E9"/>
    <w:rsid w:val="488B6F2B"/>
    <w:rsid w:val="48C52F78"/>
    <w:rsid w:val="496A7B44"/>
    <w:rsid w:val="4993047C"/>
    <w:rsid w:val="49C50C04"/>
    <w:rsid w:val="4A162E25"/>
    <w:rsid w:val="4A314C42"/>
    <w:rsid w:val="4A563E35"/>
    <w:rsid w:val="4A9862D9"/>
    <w:rsid w:val="4AA06862"/>
    <w:rsid w:val="4AA85A1E"/>
    <w:rsid w:val="4AF37D2B"/>
    <w:rsid w:val="4B080428"/>
    <w:rsid w:val="4B1F0FAE"/>
    <w:rsid w:val="4B2B0CAF"/>
    <w:rsid w:val="4BAE7EDE"/>
    <w:rsid w:val="4BF71122"/>
    <w:rsid w:val="4C87154F"/>
    <w:rsid w:val="4CBB2851"/>
    <w:rsid w:val="4CC3053D"/>
    <w:rsid w:val="4D7B3903"/>
    <w:rsid w:val="4DAB0B1E"/>
    <w:rsid w:val="4E000105"/>
    <w:rsid w:val="4EA46F4E"/>
    <w:rsid w:val="4EDA79F5"/>
    <w:rsid w:val="4F41354B"/>
    <w:rsid w:val="4F6D2183"/>
    <w:rsid w:val="50462B8D"/>
    <w:rsid w:val="50A637E2"/>
    <w:rsid w:val="50B16E15"/>
    <w:rsid w:val="50D92B4F"/>
    <w:rsid w:val="50E06040"/>
    <w:rsid w:val="52286D61"/>
    <w:rsid w:val="52EE7B5D"/>
    <w:rsid w:val="53995BE2"/>
    <w:rsid w:val="53A77200"/>
    <w:rsid w:val="53BB2EA7"/>
    <w:rsid w:val="53F04153"/>
    <w:rsid w:val="543F16AA"/>
    <w:rsid w:val="54A775EF"/>
    <w:rsid w:val="54D01EF2"/>
    <w:rsid w:val="54F72C5D"/>
    <w:rsid w:val="55050666"/>
    <w:rsid w:val="550751A9"/>
    <w:rsid w:val="55154643"/>
    <w:rsid w:val="55551B92"/>
    <w:rsid w:val="555F6D9E"/>
    <w:rsid w:val="55A11F41"/>
    <w:rsid w:val="55F50DA0"/>
    <w:rsid w:val="560138FE"/>
    <w:rsid w:val="56F00FFE"/>
    <w:rsid w:val="57077057"/>
    <w:rsid w:val="574602DB"/>
    <w:rsid w:val="576F5222"/>
    <w:rsid w:val="579C2146"/>
    <w:rsid w:val="57AE1554"/>
    <w:rsid w:val="57DE59B5"/>
    <w:rsid w:val="582251DD"/>
    <w:rsid w:val="58243307"/>
    <w:rsid w:val="58466C3B"/>
    <w:rsid w:val="58666156"/>
    <w:rsid w:val="58860971"/>
    <w:rsid w:val="58CE383A"/>
    <w:rsid w:val="596A32B0"/>
    <w:rsid w:val="596E4BBE"/>
    <w:rsid w:val="5A155CC7"/>
    <w:rsid w:val="5A2C537C"/>
    <w:rsid w:val="5A9442A4"/>
    <w:rsid w:val="5B0F6869"/>
    <w:rsid w:val="5BA91710"/>
    <w:rsid w:val="5BAF5017"/>
    <w:rsid w:val="5CAA0BFC"/>
    <w:rsid w:val="5CFA191D"/>
    <w:rsid w:val="5D145629"/>
    <w:rsid w:val="5D700D5D"/>
    <w:rsid w:val="5DA573E6"/>
    <w:rsid w:val="5DFF7999"/>
    <w:rsid w:val="5E243D90"/>
    <w:rsid w:val="5E3C202A"/>
    <w:rsid w:val="5F897B1B"/>
    <w:rsid w:val="5F8F38E0"/>
    <w:rsid w:val="5FF9560C"/>
    <w:rsid w:val="60456E7E"/>
    <w:rsid w:val="60CE42EB"/>
    <w:rsid w:val="613C26F4"/>
    <w:rsid w:val="61786DB6"/>
    <w:rsid w:val="61B009D1"/>
    <w:rsid w:val="61C5466D"/>
    <w:rsid w:val="61D84A31"/>
    <w:rsid w:val="62296F89"/>
    <w:rsid w:val="62795BF0"/>
    <w:rsid w:val="62BE04ED"/>
    <w:rsid w:val="62C04947"/>
    <w:rsid w:val="62FA1DC7"/>
    <w:rsid w:val="63386C0E"/>
    <w:rsid w:val="63615644"/>
    <w:rsid w:val="63DF479A"/>
    <w:rsid w:val="63F924B5"/>
    <w:rsid w:val="64022DDE"/>
    <w:rsid w:val="642B2C86"/>
    <w:rsid w:val="64624686"/>
    <w:rsid w:val="64744D5D"/>
    <w:rsid w:val="668D68D0"/>
    <w:rsid w:val="66991FF5"/>
    <w:rsid w:val="67163706"/>
    <w:rsid w:val="67451100"/>
    <w:rsid w:val="679B558A"/>
    <w:rsid w:val="684073FF"/>
    <w:rsid w:val="688E18A5"/>
    <w:rsid w:val="68A91127"/>
    <w:rsid w:val="68EC454E"/>
    <w:rsid w:val="68F80938"/>
    <w:rsid w:val="692D6500"/>
    <w:rsid w:val="69927D96"/>
    <w:rsid w:val="69C76F69"/>
    <w:rsid w:val="6A1545FF"/>
    <w:rsid w:val="6A175BAC"/>
    <w:rsid w:val="6A4152E4"/>
    <w:rsid w:val="6A5A6906"/>
    <w:rsid w:val="6ACC4D53"/>
    <w:rsid w:val="6B030D9E"/>
    <w:rsid w:val="6B2C6925"/>
    <w:rsid w:val="6B9B5203"/>
    <w:rsid w:val="6B9D6DB9"/>
    <w:rsid w:val="6BD4276B"/>
    <w:rsid w:val="6BD44C4F"/>
    <w:rsid w:val="6C1E5CE2"/>
    <w:rsid w:val="6C2910C5"/>
    <w:rsid w:val="6C30610F"/>
    <w:rsid w:val="6C33515E"/>
    <w:rsid w:val="6CD77A20"/>
    <w:rsid w:val="6CDF702A"/>
    <w:rsid w:val="6CE42A34"/>
    <w:rsid w:val="6D312146"/>
    <w:rsid w:val="6DCE5BFC"/>
    <w:rsid w:val="6E20564B"/>
    <w:rsid w:val="6E2D0B14"/>
    <w:rsid w:val="6E903EB5"/>
    <w:rsid w:val="6E9901BC"/>
    <w:rsid w:val="6F275331"/>
    <w:rsid w:val="6F741A66"/>
    <w:rsid w:val="6F7E073C"/>
    <w:rsid w:val="6F99334B"/>
    <w:rsid w:val="6FBD7F24"/>
    <w:rsid w:val="6FC975B0"/>
    <w:rsid w:val="70DF737C"/>
    <w:rsid w:val="711A34D1"/>
    <w:rsid w:val="71837483"/>
    <w:rsid w:val="718C5DA6"/>
    <w:rsid w:val="71D65A6D"/>
    <w:rsid w:val="72063304"/>
    <w:rsid w:val="726F604C"/>
    <w:rsid w:val="727A2E5D"/>
    <w:rsid w:val="72AD63B2"/>
    <w:rsid w:val="72EE4103"/>
    <w:rsid w:val="73127502"/>
    <w:rsid w:val="733957C2"/>
    <w:rsid w:val="73422B8C"/>
    <w:rsid w:val="73541D4A"/>
    <w:rsid w:val="736A15A5"/>
    <w:rsid w:val="73AD50D5"/>
    <w:rsid w:val="74031361"/>
    <w:rsid w:val="74116287"/>
    <w:rsid w:val="741268AA"/>
    <w:rsid w:val="74467602"/>
    <w:rsid w:val="74472CBF"/>
    <w:rsid w:val="74741C95"/>
    <w:rsid w:val="74AE34F5"/>
    <w:rsid w:val="74EA2FC9"/>
    <w:rsid w:val="75070D9A"/>
    <w:rsid w:val="77215877"/>
    <w:rsid w:val="77396FDF"/>
    <w:rsid w:val="77AC3489"/>
    <w:rsid w:val="788C00D4"/>
    <w:rsid w:val="78AF1F93"/>
    <w:rsid w:val="78CA1598"/>
    <w:rsid w:val="7A646987"/>
    <w:rsid w:val="7A717F7A"/>
    <w:rsid w:val="7AC4171B"/>
    <w:rsid w:val="7B294E22"/>
    <w:rsid w:val="7B3D4917"/>
    <w:rsid w:val="7B910FC6"/>
    <w:rsid w:val="7BF32BDC"/>
    <w:rsid w:val="7C4F354B"/>
    <w:rsid w:val="7C601D49"/>
    <w:rsid w:val="7CA7738F"/>
    <w:rsid w:val="7CCA0524"/>
    <w:rsid w:val="7D672CCD"/>
    <w:rsid w:val="7D74313D"/>
    <w:rsid w:val="7D757704"/>
    <w:rsid w:val="7D85496B"/>
    <w:rsid w:val="7D976FC0"/>
    <w:rsid w:val="7DAA417D"/>
    <w:rsid w:val="7DBA51DF"/>
    <w:rsid w:val="7E0908EF"/>
    <w:rsid w:val="7E81783D"/>
    <w:rsid w:val="7E867AE4"/>
    <w:rsid w:val="7F072BCD"/>
    <w:rsid w:val="7F554121"/>
    <w:rsid w:val="7F851D75"/>
    <w:rsid w:val="7F9745B4"/>
    <w:rsid w:val="7FEC6558"/>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9" w:semiHidden="0" w:name="heading 3"/>
    <w:lsdException w:qFormat="1" w:unhideWhenUsed="0" w:uiPriority="0" w:semiHidden="0" w:name="heading 4"/>
    <w:lsdException w:qFormat="1" w:unhideWhenUsed="0" w:uiPriority="0" w:semiHidden="0" w:name="heading 5"/>
    <w:lsdException w:qFormat="1" w:uiPriority="9" w:semiHidden="0" w:name="heading 6"/>
    <w:lsdException w:qFormat="1" w:uiPriority="0" w:semiHidden="0" w:name="heading 7"/>
    <w:lsdException w:qFormat="1" w:uiPriority="0" w:semiHidden="0" w:name="heading 8"/>
    <w:lsdException w:qFormat="1" w:uiPriority="0"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nhideWhenUsed="0" w:uiPriority="39" w:semiHidden="0"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qFormat="1" w:uiPriority="99" w:semiHidden="0"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qFormat="1" w:uiPriority="99" w:semiHidden="0"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spacing w:line="360" w:lineRule="auto"/>
      <w:jc w:val="both"/>
    </w:pPr>
    <w:rPr>
      <w:rFonts w:ascii="宋体" w:hAnsi="宋体" w:eastAsia="宋体" w:cs="Times New Roman"/>
      <w:kern w:val="2"/>
      <w:sz w:val="24"/>
      <w:szCs w:val="24"/>
      <w:lang w:val="en-US" w:eastAsia="zh-CN" w:bidi="ar-SA"/>
    </w:rPr>
  </w:style>
  <w:style w:type="paragraph" w:styleId="4">
    <w:name w:val="heading 1"/>
    <w:basedOn w:val="1"/>
    <w:next w:val="1"/>
    <w:link w:val="34"/>
    <w:qFormat/>
    <w:uiPriority w:val="0"/>
    <w:pPr>
      <w:keepNext/>
      <w:keepLines/>
      <w:numPr>
        <w:ilvl w:val="0"/>
        <w:numId w:val="1"/>
      </w:numPr>
      <w:tabs>
        <w:tab w:val="left" w:pos="0"/>
        <w:tab w:val="clear" w:pos="6089"/>
      </w:tabs>
      <w:outlineLvl w:val="0"/>
    </w:pPr>
    <w:rPr>
      <w:b/>
      <w:bCs/>
      <w:kern w:val="44"/>
      <w:szCs w:val="44"/>
    </w:rPr>
  </w:style>
  <w:style w:type="paragraph" w:styleId="5">
    <w:name w:val="heading 2"/>
    <w:basedOn w:val="1"/>
    <w:next w:val="1"/>
    <w:link w:val="36"/>
    <w:qFormat/>
    <w:uiPriority w:val="0"/>
    <w:pPr>
      <w:keepNext/>
      <w:keepLines/>
      <w:numPr>
        <w:ilvl w:val="1"/>
        <w:numId w:val="1"/>
      </w:numPr>
      <w:tabs>
        <w:tab w:val="left" w:pos="6089"/>
      </w:tabs>
      <w:outlineLvl w:val="1"/>
    </w:pPr>
    <w:rPr>
      <w:rFonts w:hAnsi="Arial"/>
      <w:b/>
      <w:bCs/>
      <w:kern w:val="0"/>
      <w:szCs w:val="32"/>
    </w:rPr>
  </w:style>
  <w:style w:type="paragraph" w:styleId="6">
    <w:name w:val="heading 3"/>
    <w:basedOn w:val="1"/>
    <w:next w:val="1"/>
    <w:link w:val="46"/>
    <w:qFormat/>
    <w:uiPriority w:val="9"/>
    <w:pPr>
      <w:numPr>
        <w:ilvl w:val="2"/>
        <w:numId w:val="1"/>
      </w:numPr>
      <w:tabs>
        <w:tab w:val="left" w:pos="6089"/>
      </w:tabs>
      <w:outlineLvl w:val="2"/>
    </w:pPr>
    <w:rPr>
      <w:kern w:val="0"/>
    </w:rPr>
  </w:style>
  <w:style w:type="paragraph" w:styleId="7">
    <w:name w:val="heading 4"/>
    <w:basedOn w:val="8"/>
    <w:next w:val="8"/>
    <w:link w:val="43"/>
    <w:qFormat/>
    <w:uiPriority w:val="0"/>
    <w:pPr>
      <w:keepNext/>
      <w:keepLines/>
      <w:numPr>
        <w:numId w:val="1"/>
      </w:numPr>
      <w:tabs>
        <w:tab w:val="left" w:pos="0"/>
        <w:tab w:val="left" w:pos="6089"/>
      </w:tabs>
      <w:outlineLvl w:val="3"/>
    </w:pPr>
    <w:rPr>
      <w:rFonts w:ascii="Cambria" w:hAnsi="Cambria"/>
      <w:bCs/>
      <w:szCs w:val="28"/>
    </w:rPr>
  </w:style>
  <w:style w:type="paragraph" w:styleId="9">
    <w:name w:val="heading 5"/>
    <w:basedOn w:val="1"/>
    <w:next w:val="1"/>
    <w:link w:val="29"/>
    <w:qFormat/>
    <w:uiPriority w:val="0"/>
    <w:pPr>
      <w:keepNext/>
      <w:keepLines/>
      <w:numPr>
        <w:ilvl w:val="4"/>
        <w:numId w:val="1"/>
      </w:numPr>
      <w:tabs>
        <w:tab w:val="left" w:pos="0"/>
      </w:tabs>
      <w:spacing w:before="40" w:after="50"/>
      <w:outlineLvl w:val="4"/>
    </w:pPr>
    <w:rPr>
      <w:bCs/>
      <w:szCs w:val="28"/>
    </w:rPr>
  </w:style>
  <w:style w:type="paragraph" w:styleId="10">
    <w:name w:val="heading 6"/>
    <w:basedOn w:val="1"/>
    <w:next w:val="1"/>
    <w:link w:val="50"/>
    <w:unhideWhenUsed/>
    <w:qFormat/>
    <w:uiPriority w:val="9"/>
    <w:pPr>
      <w:keepNext/>
      <w:keepLines/>
      <w:numPr>
        <w:ilvl w:val="5"/>
        <w:numId w:val="1"/>
      </w:numPr>
      <w:tabs>
        <w:tab w:val="left" w:pos="420"/>
      </w:tabs>
      <w:spacing w:before="240" w:after="64" w:line="320" w:lineRule="auto"/>
      <w:outlineLvl w:val="5"/>
    </w:pPr>
    <w:rPr>
      <w:rFonts w:asciiTheme="majorHAnsi" w:hAnsiTheme="majorHAnsi" w:eastAsiaTheme="majorEastAsia" w:cstheme="majorBidi"/>
      <w:bCs/>
    </w:rPr>
  </w:style>
  <w:style w:type="paragraph" w:styleId="11">
    <w:name w:val="heading 7"/>
    <w:basedOn w:val="1"/>
    <w:next w:val="1"/>
    <w:link w:val="51"/>
    <w:unhideWhenUsed/>
    <w:qFormat/>
    <w:uiPriority w:val="0"/>
    <w:pPr>
      <w:keepNext/>
      <w:keepLines/>
      <w:spacing w:before="240" w:after="64" w:line="320" w:lineRule="auto"/>
      <w:ind w:left="1296" w:hanging="1296"/>
      <w:outlineLvl w:val="6"/>
    </w:pPr>
    <w:rPr>
      <w:rFonts w:hAnsi="Times New Roman"/>
      <w:b/>
      <w:bCs/>
    </w:rPr>
  </w:style>
  <w:style w:type="paragraph" w:styleId="12">
    <w:name w:val="heading 8"/>
    <w:basedOn w:val="1"/>
    <w:next w:val="1"/>
    <w:link w:val="52"/>
    <w:unhideWhenUsed/>
    <w:qFormat/>
    <w:uiPriority w:val="0"/>
    <w:pPr>
      <w:keepNext/>
      <w:keepLines/>
      <w:spacing w:before="240" w:after="64" w:line="320" w:lineRule="auto"/>
      <w:ind w:left="1440" w:hanging="1440"/>
      <w:outlineLvl w:val="7"/>
    </w:pPr>
    <w:rPr>
      <w:rFonts w:asciiTheme="majorHAnsi" w:hAnsiTheme="majorHAnsi" w:eastAsiaTheme="majorEastAsia" w:cstheme="majorBidi"/>
    </w:rPr>
  </w:style>
  <w:style w:type="paragraph" w:styleId="13">
    <w:name w:val="heading 9"/>
    <w:basedOn w:val="1"/>
    <w:next w:val="1"/>
    <w:link w:val="53"/>
    <w:unhideWhenUsed/>
    <w:qFormat/>
    <w:uiPriority w:val="0"/>
    <w:pPr>
      <w:keepNext/>
      <w:keepLines/>
      <w:spacing w:before="240" w:after="64" w:line="320" w:lineRule="auto"/>
      <w:ind w:left="1584" w:hanging="1584"/>
      <w:outlineLvl w:val="8"/>
    </w:pPr>
    <w:rPr>
      <w:rFonts w:asciiTheme="majorHAnsi" w:hAnsiTheme="majorHAnsi" w:eastAsiaTheme="majorEastAsia" w:cstheme="majorBidi"/>
      <w:sz w:val="21"/>
      <w:szCs w:val="21"/>
    </w:rPr>
  </w:style>
  <w:style w:type="character" w:default="1" w:styleId="26">
    <w:name w:val="Default Paragraph Font"/>
    <w:semiHidden/>
    <w:unhideWhenUsed/>
    <w:qFormat/>
    <w:uiPriority w:val="1"/>
  </w:style>
  <w:style w:type="table" w:default="1" w:styleId="24">
    <w:name w:val="Normal Table"/>
    <w:semiHidden/>
    <w:unhideWhenUsed/>
    <w:qFormat/>
    <w:uiPriority w:val="99"/>
    <w:tblPr>
      <w:tblCellMar>
        <w:top w:w="0" w:type="dxa"/>
        <w:left w:w="108" w:type="dxa"/>
        <w:bottom w:w="0" w:type="dxa"/>
        <w:right w:w="108" w:type="dxa"/>
      </w:tblCellMar>
    </w:tblPr>
  </w:style>
  <w:style w:type="paragraph" w:styleId="2">
    <w:name w:val="Body Text"/>
    <w:basedOn w:val="1"/>
    <w:next w:val="3"/>
    <w:link w:val="42"/>
    <w:qFormat/>
    <w:uiPriority w:val="0"/>
    <w:pPr>
      <w:spacing w:after="120" w:line="300" w:lineRule="auto"/>
    </w:pPr>
    <w:rPr>
      <w:rFonts w:ascii="Calibri" w:eastAsia="仿宋_GB2312"/>
    </w:rPr>
  </w:style>
  <w:style w:type="paragraph" w:styleId="3">
    <w:name w:val="Title"/>
    <w:basedOn w:val="1"/>
    <w:next w:val="1"/>
    <w:link w:val="41"/>
    <w:qFormat/>
    <w:uiPriority w:val="10"/>
    <w:pPr>
      <w:spacing w:before="240" w:after="60"/>
      <w:jc w:val="center"/>
      <w:outlineLvl w:val="0"/>
    </w:pPr>
    <w:rPr>
      <w:rFonts w:ascii="Calibri Light" w:hAnsi="Calibri Light"/>
      <w:b/>
      <w:bCs/>
      <w:sz w:val="32"/>
      <w:szCs w:val="32"/>
    </w:rPr>
  </w:style>
  <w:style w:type="paragraph" w:customStyle="1" w:styleId="8">
    <w:name w:val="样式2"/>
    <w:basedOn w:val="1"/>
    <w:link w:val="40"/>
    <w:qFormat/>
    <w:uiPriority w:val="0"/>
    <w:pPr>
      <w:numPr>
        <w:ilvl w:val="3"/>
        <w:numId w:val="2"/>
      </w:numPr>
    </w:pPr>
    <w:rPr>
      <w:kern w:val="0"/>
    </w:rPr>
  </w:style>
  <w:style w:type="paragraph" w:styleId="14">
    <w:name w:val="List Bullet"/>
    <w:basedOn w:val="1"/>
    <w:unhideWhenUsed/>
    <w:qFormat/>
    <w:uiPriority w:val="99"/>
    <w:pPr>
      <w:widowControl/>
      <w:numPr>
        <w:ilvl w:val="0"/>
        <w:numId w:val="3"/>
      </w:numPr>
      <w:spacing w:after="200" w:line="276" w:lineRule="auto"/>
      <w:contextualSpacing/>
      <w:jc w:val="left"/>
    </w:pPr>
    <w:rPr>
      <w:rFonts w:asciiTheme="minorHAnsi" w:hAnsiTheme="minorHAnsi" w:eastAsiaTheme="minorEastAsia" w:cstheme="minorBidi"/>
      <w:kern w:val="0"/>
      <w:sz w:val="22"/>
      <w:szCs w:val="22"/>
      <w:lang w:eastAsia="en-US"/>
    </w:rPr>
  </w:style>
  <w:style w:type="paragraph" w:styleId="15">
    <w:name w:val="Document Map"/>
    <w:basedOn w:val="1"/>
    <w:link w:val="33"/>
    <w:unhideWhenUsed/>
    <w:qFormat/>
    <w:uiPriority w:val="99"/>
    <w:rPr>
      <w:kern w:val="0"/>
    </w:rPr>
  </w:style>
  <w:style w:type="paragraph" w:styleId="16">
    <w:name w:val="annotation text"/>
    <w:basedOn w:val="1"/>
    <w:link w:val="45"/>
    <w:unhideWhenUsed/>
    <w:qFormat/>
    <w:uiPriority w:val="99"/>
    <w:pPr>
      <w:jc w:val="left"/>
    </w:pPr>
    <w:rPr>
      <w:kern w:val="0"/>
    </w:rPr>
  </w:style>
  <w:style w:type="paragraph" w:styleId="17">
    <w:name w:val="Balloon Text"/>
    <w:basedOn w:val="1"/>
    <w:link w:val="44"/>
    <w:unhideWhenUsed/>
    <w:qFormat/>
    <w:uiPriority w:val="99"/>
    <w:pPr>
      <w:spacing w:line="240" w:lineRule="auto"/>
    </w:pPr>
    <w:rPr>
      <w:kern w:val="0"/>
      <w:sz w:val="18"/>
      <w:szCs w:val="18"/>
    </w:rPr>
  </w:style>
  <w:style w:type="paragraph" w:styleId="18">
    <w:name w:val="footer"/>
    <w:basedOn w:val="1"/>
    <w:link w:val="35"/>
    <w:unhideWhenUsed/>
    <w:qFormat/>
    <w:uiPriority w:val="99"/>
    <w:pPr>
      <w:tabs>
        <w:tab w:val="center" w:pos="4153"/>
        <w:tab w:val="right" w:pos="8306"/>
      </w:tabs>
      <w:snapToGrid w:val="0"/>
      <w:spacing w:line="240" w:lineRule="auto"/>
      <w:jc w:val="left"/>
    </w:pPr>
    <w:rPr>
      <w:kern w:val="0"/>
      <w:sz w:val="18"/>
      <w:szCs w:val="18"/>
    </w:rPr>
  </w:style>
  <w:style w:type="paragraph" w:styleId="19">
    <w:name w:val="header"/>
    <w:basedOn w:val="1"/>
    <w:link w:val="39"/>
    <w:unhideWhenUsed/>
    <w:qFormat/>
    <w:uiPriority w:val="99"/>
    <w:pPr>
      <w:pBdr>
        <w:bottom w:val="single" w:color="auto" w:sz="6" w:space="1"/>
      </w:pBdr>
      <w:tabs>
        <w:tab w:val="center" w:pos="4153"/>
        <w:tab w:val="right" w:pos="8306"/>
      </w:tabs>
      <w:snapToGrid w:val="0"/>
      <w:spacing w:line="240" w:lineRule="auto"/>
      <w:jc w:val="center"/>
    </w:pPr>
    <w:rPr>
      <w:kern w:val="0"/>
      <w:sz w:val="18"/>
      <w:szCs w:val="18"/>
    </w:rPr>
  </w:style>
  <w:style w:type="paragraph" w:styleId="20">
    <w:name w:val="toc 1"/>
    <w:basedOn w:val="1"/>
    <w:next w:val="1"/>
    <w:qFormat/>
    <w:uiPriority w:val="39"/>
    <w:pPr>
      <w:tabs>
        <w:tab w:val="right" w:leader="dot" w:pos="8296"/>
      </w:tabs>
    </w:pPr>
  </w:style>
  <w:style w:type="paragraph" w:styleId="21">
    <w:name w:val="toc 2"/>
    <w:basedOn w:val="1"/>
    <w:next w:val="1"/>
    <w:qFormat/>
    <w:uiPriority w:val="39"/>
    <w:pPr>
      <w:spacing w:line="300" w:lineRule="auto"/>
      <w:ind w:left="420" w:leftChars="200"/>
    </w:pPr>
    <w:rPr>
      <w:rFonts w:ascii="Times New Roman" w:eastAsia="仿宋_GB2312"/>
    </w:rPr>
  </w:style>
  <w:style w:type="paragraph" w:styleId="22">
    <w:name w:val="Normal (Web)"/>
    <w:basedOn w:val="1"/>
    <w:unhideWhenUsed/>
    <w:qFormat/>
    <w:uiPriority w:val="99"/>
  </w:style>
  <w:style w:type="paragraph" w:styleId="23">
    <w:name w:val="annotation subject"/>
    <w:basedOn w:val="16"/>
    <w:next w:val="16"/>
    <w:link w:val="37"/>
    <w:unhideWhenUsed/>
    <w:qFormat/>
    <w:uiPriority w:val="99"/>
    <w:rPr>
      <w:b/>
      <w:bCs/>
    </w:rPr>
  </w:style>
  <w:style w:type="table" w:styleId="25">
    <w:name w:val="Table Grid"/>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27">
    <w:name w:val="Hyperlink"/>
    <w:unhideWhenUsed/>
    <w:qFormat/>
    <w:uiPriority w:val="99"/>
    <w:rPr>
      <w:color w:val="0000FF"/>
      <w:u w:val="single"/>
    </w:rPr>
  </w:style>
  <w:style w:type="character" w:styleId="28">
    <w:name w:val="annotation reference"/>
    <w:unhideWhenUsed/>
    <w:qFormat/>
    <w:uiPriority w:val="99"/>
    <w:rPr>
      <w:sz w:val="21"/>
      <w:szCs w:val="21"/>
    </w:rPr>
  </w:style>
  <w:style w:type="character" w:customStyle="1" w:styleId="29">
    <w:name w:val="标题 5 字符"/>
    <w:link w:val="9"/>
    <w:semiHidden/>
    <w:qFormat/>
    <w:uiPriority w:val="9"/>
    <w:rPr>
      <w:rFonts w:ascii="宋体" w:hAnsi="宋体" w:eastAsia="宋体"/>
      <w:bCs/>
      <w:kern w:val="2"/>
      <w:sz w:val="24"/>
      <w:szCs w:val="28"/>
    </w:rPr>
  </w:style>
  <w:style w:type="paragraph" w:customStyle="1" w:styleId="30">
    <w:name w:val="样式1"/>
    <w:basedOn w:val="1"/>
    <w:qFormat/>
    <w:uiPriority w:val="0"/>
  </w:style>
  <w:style w:type="paragraph" w:customStyle="1" w:styleId="31">
    <w:name w:val="列出段落1"/>
    <w:basedOn w:val="1"/>
    <w:link w:val="32"/>
    <w:qFormat/>
    <w:uiPriority w:val="34"/>
    <w:pPr>
      <w:widowControl/>
      <w:spacing w:after="200" w:line="276" w:lineRule="auto"/>
      <w:ind w:left="720"/>
      <w:contextualSpacing/>
    </w:pPr>
    <w:rPr>
      <w:rFonts w:ascii="Calibri"/>
      <w:kern w:val="0"/>
      <w:sz w:val="20"/>
      <w:szCs w:val="20"/>
      <w:lang w:eastAsia="en-US" w:bidi="en-US"/>
    </w:rPr>
  </w:style>
  <w:style w:type="character" w:customStyle="1" w:styleId="32">
    <w:name w:val="列出段落 Char"/>
    <w:link w:val="31"/>
    <w:qFormat/>
    <w:uiPriority w:val="34"/>
    <w:rPr>
      <w:lang w:eastAsia="en-US" w:bidi="en-US"/>
    </w:rPr>
  </w:style>
  <w:style w:type="character" w:customStyle="1" w:styleId="33">
    <w:name w:val="文档结构图 字符"/>
    <w:link w:val="15"/>
    <w:semiHidden/>
    <w:qFormat/>
    <w:uiPriority w:val="99"/>
    <w:rPr>
      <w:rFonts w:ascii="宋体" w:hAnsi="Times New Roman" w:eastAsia="宋体" w:cs="Times New Roman"/>
      <w:sz w:val="24"/>
      <w:szCs w:val="24"/>
    </w:rPr>
  </w:style>
  <w:style w:type="character" w:customStyle="1" w:styleId="34">
    <w:name w:val="标题 1 字符"/>
    <w:link w:val="4"/>
    <w:qFormat/>
    <w:uiPriority w:val="0"/>
    <w:rPr>
      <w:rFonts w:ascii="宋体" w:hAnsi="Times New Roman"/>
      <w:b/>
      <w:bCs/>
      <w:kern w:val="44"/>
      <w:sz w:val="24"/>
      <w:szCs w:val="44"/>
    </w:rPr>
  </w:style>
  <w:style w:type="character" w:customStyle="1" w:styleId="35">
    <w:name w:val="页脚 字符"/>
    <w:link w:val="18"/>
    <w:qFormat/>
    <w:uiPriority w:val="99"/>
    <w:rPr>
      <w:rFonts w:ascii="宋体" w:hAnsi="Times New Roman" w:eastAsia="宋体" w:cs="Times New Roman"/>
      <w:sz w:val="18"/>
      <w:szCs w:val="18"/>
    </w:rPr>
  </w:style>
  <w:style w:type="character" w:customStyle="1" w:styleId="36">
    <w:name w:val="标题 2 字符"/>
    <w:link w:val="5"/>
    <w:qFormat/>
    <w:uiPriority w:val="0"/>
    <w:rPr>
      <w:rFonts w:ascii="宋体" w:hAnsi="Arial"/>
      <w:b/>
      <w:bCs/>
      <w:sz w:val="24"/>
      <w:szCs w:val="32"/>
    </w:rPr>
  </w:style>
  <w:style w:type="character" w:customStyle="1" w:styleId="37">
    <w:name w:val="批注主题 字符"/>
    <w:link w:val="23"/>
    <w:semiHidden/>
    <w:qFormat/>
    <w:uiPriority w:val="99"/>
    <w:rPr>
      <w:rFonts w:ascii="宋体" w:hAnsi="Times New Roman" w:eastAsia="宋体" w:cs="Times New Roman"/>
      <w:b/>
      <w:bCs/>
      <w:sz w:val="24"/>
      <w:szCs w:val="24"/>
    </w:rPr>
  </w:style>
  <w:style w:type="character" w:customStyle="1" w:styleId="38">
    <w:name w:val="标题 4 字符"/>
    <w:qFormat/>
    <w:uiPriority w:val="99"/>
    <w:rPr>
      <w:rFonts w:ascii="Cambria" w:hAnsi="Cambria"/>
      <w:b/>
      <w:bCs/>
      <w:sz w:val="28"/>
      <w:szCs w:val="28"/>
    </w:rPr>
  </w:style>
  <w:style w:type="character" w:customStyle="1" w:styleId="39">
    <w:name w:val="页眉 字符"/>
    <w:link w:val="19"/>
    <w:qFormat/>
    <w:uiPriority w:val="99"/>
    <w:rPr>
      <w:rFonts w:ascii="宋体" w:hAnsi="Times New Roman" w:eastAsia="宋体" w:cs="Times New Roman"/>
      <w:sz w:val="18"/>
      <w:szCs w:val="18"/>
    </w:rPr>
  </w:style>
  <w:style w:type="character" w:customStyle="1" w:styleId="40">
    <w:name w:val="样式2 Char"/>
    <w:link w:val="8"/>
    <w:qFormat/>
    <w:uiPriority w:val="0"/>
    <w:rPr>
      <w:rFonts w:ascii="宋体" w:hAnsi="Times New Roman"/>
      <w:sz w:val="24"/>
      <w:szCs w:val="24"/>
    </w:rPr>
  </w:style>
  <w:style w:type="character" w:customStyle="1" w:styleId="41">
    <w:name w:val="标题 字符"/>
    <w:link w:val="3"/>
    <w:qFormat/>
    <w:uiPriority w:val="10"/>
    <w:rPr>
      <w:rFonts w:ascii="Calibri Light" w:hAnsi="Calibri Light" w:cs="Times New Roman"/>
      <w:b/>
      <w:bCs/>
      <w:kern w:val="2"/>
      <w:sz w:val="32"/>
      <w:szCs w:val="32"/>
    </w:rPr>
  </w:style>
  <w:style w:type="character" w:customStyle="1" w:styleId="42">
    <w:name w:val="正文文本 字符"/>
    <w:link w:val="2"/>
    <w:qFormat/>
    <w:uiPriority w:val="0"/>
    <w:rPr>
      <w:rFonts w:eastAsia="仿宋_GB2312"/>
      <w:kern w:val="2"/>
      <w:sz w:val="24"/>
      <w:szCs w:val="24"/>
    </w:rPr>
  </w:style>
  <w:style w:type="character" w:customStyle="1" w:styleId="43">
    <w:name w:val="标题 4 字符1"/>
    <w:link w:val="7"/>
    <w:qFormat/>
    <w:uiPriority w:val="0"/>
    <w:rPr>
      <w:rFonts w:ascii="Cambria" w:hAnsi="Cambria" w:eastAsia="宋体"/>
      <w:bCs/>
      <w:sz w:val="24"/>
      <w:szCs w:val="28"/>
    </w:rPr>
  </w:style>
  <w:style w:type="character" w:customStyle="1" w:styleId="44">
    <w:name w:val="批注框文本 字符"/>
    <w:link w:val="17"/>
    <w:semiHidden/>
    <w:qFormat/>
    <w:uiPriority w:val="99"/>
    <w:rPr>
      <w:rFonts w:ascii="宋体" w:hAnsi="Times New Roman" w:eastAsia="宋体" w:cs="Times New Roman"/>
      <w:sz w:val="18"/>
      <w:szCs w:val="18"/>
    </w:rPr>
  </w:style>
  <w:style w:type="character" w:customStyle="1" w:styleId="45">
    <w:name w:val="批注文字 字符"/>
    <w:link w:val="16"/>
    <w:qFormat/>
    <w:uiPriority w:val="99"/>
    <w:rPr>
      <w:rFonts w:ascii="宋体" w:hAnsi="Times New Roman" w:eastAsia="宋体" w:cs="Times New Roman"/>
      <w:sz w:val="24"/>
      <w:szCs w:val="24"/>
    </w:rPr>
  </w:style>
  <w:style w:type="character" w:customStyle="1" w:styleId="46">
    <w:name w:val="标题 3 字符"/>
    <w:link w:val="6"/>
    <w:qFormat/>
    <w:uiPriority w:val="0"/>
    <w:rPr>
      <w:rFonts w:ascii="宋体" w:hAnsi="宋体" w:eastAsia="宋体"/>
      <w:sz w:val="24"/>
      <w:szCs w:val="24"/>
    </w:rPr>
  </w:style>
  <w:style w:type="character" w:customStyle="1" w:styleId="47">
    <w:name w:val="正文文本 Char1"/>
    <w:semiHidden/>
    <w:qFormat/>
    <w:uiPriority w:val="99"/>
    <w:rPr>
      <w:rFonts w:ascii="宋体" w:hAnsi="Times New Roman"/>
      <w:kern w:val="2"/>
      <w:sz w:val="24"/>
      <w:szCs w:val="24"/>
    </w:rPr>
  </w:style>
  <w:style w:type="paragraph" w:customStyle="1" w:styleId="48">
    <w:name w:val="列出段落2"/>
    <w:basedOn w:val="1"/>
    <w:qFormat/>
    <w:uiPriority w:val="99"/>
    <w:pPr>
      <w:ind w:firstLine="420"/>
    </w:pPr>
  </w:style>
  <w:style w:type="paragraph" w:customStyle="1" w:styleId="49">
    <w:name w:val="列出段落3"/>
    <w:basedOn w:val="1"/>
    <w:qFormat/>
    <w:uiPriority w:val="34"/>
    <w:pPr>
      <w:widowControl/>
      <w:spacing w:after="200" w:line="276" w:lineRule="auto"/>
      <w:ind w:left="720"/>
      <w:contextualSpacing/>
    </w:pPr>
    <w:rPr>
      <w:rFonts w:ascii="Calibri"/>
      <w:kern w:val="0"/>
      <w:sz w:val="20"/>
      <w:szCs w:val="20"/>
      <w:lang w:eastAsia="en-US" w:bidi="en-US"/>
    </w:rPr>
  </w:style>
  <w:style w:type="character" w:customStyle="1" w:styleId="50">
    <w:name w:val="标题 6 字符"/>
    <w:basedOn w:val="26"/>
    <w:link w:val="10"/>
    <w:semiHidden/>
    <w:qFormat/>
    <w:uiPriority w:val="9"/>
    <w:rPr>
      <w:rFonts w:asciiTheme="majorHAnsi" w:hAnsiTheme="majorHAnsi" w:eastAsiaTheme="majorEastAsia" w:cstheme="majorBidi"/>
      <w:bCs/>
      <w:kern w:val="2"/>
      <w:sz w:val="24"/>
      <w:szCs w:val="24"/>
    </w:rPr>
  </w:style>
  <w:style w:type="character" w:customStyle="1" w:styleId="51">
    <w:name w:val="标题 7 字符"/>
    <w:basedOn w:val="26"/>
    <w:link w:val="11"/>
    <w:qFormat/>
    <w:uiPriority w:val="0"/>
    <w:rPr>
      <w:rFonts w:ascii="宋体"/>
      <w:b/>
      <w:bCs/>
      <w:kern w:val="2"/>
      <w:sz w:val="24"/>
      <w:szCs w:val="24"/>
    </w:rPr>
  </w:style>
  <w:style w:type="character" w:customStyle="1" w:styleId="52">
    <w:name w:val="标题 8 字符"/>
    <w:basedOn w:val="26"/>
    <w:link w:val="12"/>
    <w:qFormat/>
    <w:uiPriority w:val="0"/>
    <w:rPr>
      <w:rFonts w:asciiTheme="majorHAnsi" w:hAnsiTheme="majorHAnsi" w:eastAsiaTheme="majorEastAsia" w:cstheme="majorBidi"/>
      <w:kern w:val="2"/>
      <w:sz w:val="24"/>
      <w:szCs w:val="24"/>
    </w:rPr>
  </w:style>
  <w:style w:type="character" w:customStyle="1" w:styleId="53">
    <w:name w:val="标题 9 字符"/>
    <w:basedOn w:val="26"/>
    <w:link w:val="13"/>
    <w:qFormat/>
    <w:uiPriority w:val="0"/>
    <w:rPr>
      <w:rFonts w:asciiTheme="majorHAnsi" w:hAnsiTheme="majorHAnsi" w:eastAsiaTheme="majorEastAsia" w:cstheme="majorBidi"/>
      <w:kern w:val="2"/>
      <w:sz w:val="21"/>
      <w:szCs w:val="21"/>
    </w:rPr>
  </w:style>
  <w:style w:type="paragraph" w:customStyle="1" w:styleId="54">
    <w:name w:val="主内容"/>
    <w:basedOn w:val="1"/>
    <w:qFormat/>
    <w:uiPriority w:val="0"/>
    <w:pPr>
      <w:ind w:firstLine="425" w:firstLineChars="177"/>
      <w:jc w:val="left"/>
    </w:pPr>
    <w:rPr>
      <w:rFonts w:cstheme="minorBidi"/>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3.xml"/><Relationship Id="rId7" Type="http://schemas.openxmlformats.org/officeDocument/2006/relationships/header" Target="header1.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customXml" Target="../customXml/item1.xml"/><Relationship Id="rId10" Type="http://schemas.openxmlformats.org/officeDocument/2006/relationships/numbering" Target="numbering.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373DE4C-B733-4864-B1CE-35EB1D6FD478}">
  <ds:schemaRefs/>
</ds:datastoreItem>
</file>

<file path=docProps/app.xml><?xml version="1.0" encoding="utf-8"?>
<Properties xmlns="http://schemas.openxmlformats.org/officeDocument/2006/extended-properties" xmlns:vt="http://schemas.openxmlformats.org/officeDocument/2006/docPropsVTypes">
  <Template>Normal.dotm</Template>
  <Company>Microsoft</Company>
  <Pages>11</Pages>
  <Words>1947</Words>
  <Characters>11102</Characters>
  <Lines>92</Lines>
  <Paragraphs>26</Paragraphs>
  <TotalTime>22</TotalTime>
  <ScaleCrop>false</ScaleCrop>
  <LinksUpToDate>false</LinksUpToDate>
  <CharactersWithSpaces>13023</CharactersWithSpaces>
  <Application>WPS Office_11.8.2.12309_F1E327BC-269C-435d-A152-05C5408002CA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2022-08-09T00:57:00Z</dcterms:created>
  <dc:creator>叶耿</dc:creator>
  <cp:lastModifiedBy>heguanghong.cz</cp:lastModifiedBy>
  <cp:lastPrinted>2016-04-29T02:57:00Z</cp:lastPrinted>
  <dcterms:modified xsi:type="dcterms:W3CDTF">2025-09-01T09:10:14Z</dcterms:modified>
  <dc:title>综合数据网管理平台数据质量治理</dc:title>
  <cp:revision>56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2052-11.8.2.12309</vt:lpwstr>
  </property>
  <property fmtid="{D5CDD505-2E9C-101B-9397-08002B2CF9AE}" pid="3" name="ICV">
    <vt:lpwstr>32473F9B0C0C4481B2A3B5877F43313A</vt:lpwstr>
  </property>
</Properties>
</file>