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1、招标/采购范围（主要是项目采购内容）：</w:t>
      </w:r>
    </w:p>
    <w:p>
      <w:pPr>
        <w:spacing w:before="156" w:beforeLines="50" w:after="156" w:afterLines="50" w:line="360" w:lineRule="auto"/>
        <w:ind w:firstLine="480" w:firstLineChars="200"/>
        <w:jc w:val="left"/>
        <w:rPr>
          <w:sz w:val="24"/>
          <w:lang w:val="en-US"/>
        </w:rPr>
      </w:pPr>
      <w:r>
        <w:rPr>
          <w:rFonts w:hint="eastAsia" w:ascii="Calibri" w:hAnsi="Calibri"/>
          <w:sz w:val="24"/>
        </w:rPr>
        <w:t>珠海供电局《一款新型安全带的研制》职工技术创新项目所需的装置材料费和加工测试费，本项目需设计制作一套“一款新型安全带的研制”。</w:t>
      </w:r>
      <w:r>
        <w:rPr>
          <w:rFonts w:hint="eastAsia"/>
          <w:sz w:val="24"/>
          <w:lang w:val="en-US" w:eastAsia="zh-CN"/>
        </w:rPr>
        <w:t>本项目设计出</w:t>
      </w:r>
      <w:r>
        <w:rPr>
          <w:rFonts w:hint="eastAsia" w:ascii="宋体" w:hAnsi="宋体"/>
          <w:sz w:val="24"/>
        </w:rPr>
        <w:t>一款新型安全带</w:t>
      </w:r>
      <w:r>
        <w:rPr>
          <w:rFonts w:hint="eastAsia"/>
          <w:sz w:val="24"/>
        </w:rPr>
        <w:t>。该装置</w:t>
      </w:r>
      <w:r>
        <w:rPr>
          <w:rFonts w:hint="eastAsia"/>
          <w:sz w:val="24"/>
          <w:lang w:val="en-US" w:eastAsia="zh-CN"/>
        </w:rPr>
        <w:t>配有语音提醒功能，当检修人员在铁塔上工作需要暂时解开安全扣时，触发一个安全提示装置，发出语音提醒：“您已解开安全带，请尽快扣好”，</w:t>
      </w:r>
      <w:r>
        <w:rPr>
          <w:rFonts w:hint="eastAsia"/>
          <w:sz w:val="24"/>
        </w:rPr>
        <w:t>提醒检修人员目前处于安全扣解开的状态，</w:t>
      </w:r>
      <w:r>
        <w:rPr>
          <w:rFonts w:hint="eastAsia"/>
          <w:sz w:val="24"/>
          <w:lang w:val="en-US" w:eastAsia="zh-CN"/>
        </w:rPr>
        <w:t>直到检修人员再次扣好安全带后，语音结束。语音不仅起到提醒检修人员的作用，同时地勤人员也能听到</w:t>
      </w:r>
      <w:r>
        <w:rPr>
          <w:rFonts w:hint="eastAsia"/>
          <w:sz w:val="24"/>
        </w:rPr>
        <w:t>安全警报</w:t>
      </w:r>
      <w:r>
        <w:rPr>
          <w:rFonts w:hint="eastAsia"/>
          <w:sz w:val="24"/>
          <w:lang w:val="en-US" w:eastAsia="zh-CN"/>
        </w:rPr>
        <w:t>，</w:t>
      </w:r>
      <w:r>
        <w:rPr>
          <w:rFonts w:hint="eastAsia"/>
          <w:sz w:val="24"/>
        </w:rPr>
        <w:t>及时监督</w:t>
      </w:r>
      <w:r>
        <w:rPr>
          <w:rFonts w:hint="eastAsia"/>
          <w:sz w:val="24"/>
          <w:lang w:val="en-US" w:eastAsia="zh-CN"/>
        </w:rPr>
        <w:t>检修人员扣好安全带，</w:t>
      </w:r>
      <w:r>
        <w:rPr>
          <w:rFonts w:hint="eastAsia"/>
          <w:sz w:val="24"/>
        </w:rPr>
        <w:t>对高空检修人员提供多一重保障</w:t>
      </w:r>
      <w:r>
        <w:rPr>
          <w:rFonts w:hint="eastAsia"/>
          <w:sz w:val="24"/>
          <w:lang w:val="en-US" w:eastAsia="zh-CN"/>
        </w:rPr>
        <w:t>。</w:t>
      </w:r>
    </w:p>
    <w:p>
      <w:pPr>
        <w:spacing w:before="156" w:beforeLines="50" w:after="156" w:afterLines="50" w:line="360" w:lineRule="auto"/>
        <w:ind w:firstLine="480" w:firstLineChars="200"/>
        <w:jc w:val="left"/>
        <w:rPr>
          <w:sz w:val="24"/>
          <w:lang w:val="en-US"/>
        </w:rPr>
      </w:pPr>
      <w:r>
        <w:rPr>
          <w:rFonts w:hint="eastAsia"/>
          <w:sz w:val="24"/>
          <w:lang w:val="en-US" w:eastAsia="zh-CN"/>
        </w:rPr>
        <w:t>技术关键点：</w:t>
      </w:r>
    </w:p>
    <w:p>
      <w:pPr>
        <w:spacing w:before="156" w:beforeLines="50" w:after="156" w:afterLines="50" w:line="360" w:lineRule="auto"/>
        <w:ind w:firstLine="480" w:firstLineChars="200"/>
        <w:jc w:val="left"/>
        <w:rPr>
          <w:sz w:val="24"/>
        </w:rPr>
      </w:pPr>
      <w:r>
        <w:rPr>
          <w:rFonts w:hint="eastAsia"/>
          <w:sz w:val="24"/>
          <w:lang w:val="en-US" w:eastAsia="zh-CN"/>
        </w:rPr>
        <w:t>本装置是一款新型</w:t>
      </w:r>
      <w:r>
        <w:rPr>
          <w:rFonts w:hint="eastAsia"/>
          <w:sz w:val="24"/>
        </w:rPr>
        <w:t>安全带，安全带包括金属配件、电池部分、电源开关、安全扣断开报警电路、无线收发模块、语音播放元件等材料组成。</w:t>
      </w:r>
    </w:p>
    <w:p>
      <w:pPr>
        <w:pStyle w:val="2"/>
        <w:spacing w:line="360" w:lineRule="auto"/>
        <w:rPr>
          <w:sz w:val="24"/>
          <w:lang w:val="en-US"/>
        </w:rPr>
      </w:pPr>
      <w:r>
        <w:rPr>
          <w:rFonts w:hint="eastAsia"/>
        </w:rPr>
        <w:t xml:space="preserve">     </w:t>
      </w:r>
      <w:r>
        <w:rPr>
          <w:rFonts w:hint="eastAsia"/>
          <w:sz w:val="24"/>
        </w:rPr>
        <w:t>首先需要在安全扣内嵌传感器，用于判断安全挂扣的开启和闭合。挂钩端安装有无线发射装置。工作人员和地勤人员分布穿戴无线接收端装置。在高塔检修人员准备上塔工作前，需要先佩戴好智能安全带，安全带内装好电池，打开电源开关。</w:t>
      </w:r>
      <w:r>
        <w:rPr>
          <w:rFonts w:hint="eastAsia"/>
          <w:sz w:val="24"/>
          <w:lang w:val="en-US" w:eastAsia="zh-CN"/>
        </w:rPr>
        <w:t>当检修人员</w:t>
      </w:r>
      <w:r>
        <w:rPr>
          <w:rFonts w:hint="eastAsia"/>
          <w:sz w:val="24"/>
        </w:rPr>
        <w:t>在高塔上</w:t>
      </w:r>
      <w:r>
        <w:rPr>
          <w:rFonts w:hint="eastAsia"/>
          <w:sz w:val="24"/>
          <w:lang w:val="en-US" w:eastAsia="zh-CN"/>
        </w:rPr>
        <w:t>解开安全扣时，</w:t>
      </w:r>
      <w:r>
        <w:rPr>
          <w:rFonts w:hint="eastAsia"/>
          <w:sz w:val="24"/>
        </w:rPr>
        <w:t>安全扣内信号检测电路测到安全扣间的连接断开时，则会</w:t>
      </w:r>
      <w:r>
        <w:rPr>
          <w:rFonts w:hint="eastAsia"/>
          <w:sz w:val="24"/>
          <w:lang w:val="en-US" w:eastAsia="zh-CN"/>
        </w:rPr>
        <w:t>触发</w:t>
      </w:r>
      <w:r>
        <w:rPr>
          <w:rFonts w:hint="eastAsia"/>
          <w:sz w:val="24"/>
        </w:rPr>
        <w:t>安全带上的</w:t>
      </w:r>
      <w:r>
        <w:rPr>
          <w:rFonts w:hint="eastAsia"/>
          <w:sz w:val="24"/>
          <w:lang w:val="en-US" w:eastAsia="zh-CN"/>
        </w:rPr>
        <w:t>一个</w:t>
      </w:r>
      <w:r>
        <w:rPr>
          <w:rFonts w:hint="eastAsia"/>
          <w:sz w:val="24"/>
        </w:rPr>
        <w:t>语音播放元件播放设置好的语音提醒检修人员</w:t>
      </w:r>
      <w:r>
        <w:rPr>
          <w:rFonts w:hint="eastAsia"/>
          <w:sz w:val="24"/>
          <w:lang w:val="en-US" w:eastAsia="zh-CN"/>
        </w:rPr>
        <w:t>，</w:t>
      </w:r>
      <w:r>
        <w:rPr>
          <w:rFonts w:hint="eastAsia"/>
          <w:sz w:val="24"/>
        </w:rPr>
        <w:t>同时通过无线收发模块将信号发送至地勤人员身上的无线收发模块上，同时触发语音提醒</w:t>
      </w:r>
      <w:r>
        <w:rPr>
          <w:rFonts w:hint="eastAsia"/>
          <w:sz w:val="24"/>
          <w:lang w:val="en-US" w:eastAsia="zh-CN"/>
        </w:rPr>
        <w:t>，直到检修人员再次扣好安全带后，</w:t>
      </w:r>
      <w:r>
        <w:rPr>
          <w:rFonts w:hint="eastAsia"/>
          <w:sz w:val="24"/>
        </w:rPr>
        <w:t>安全扣内信号检测电路测到安全扣已扣好，</w:t>
      </w:r>
      <w:r>
        <w:rPr>
          <w:rFonts w:hint="eastAsia"/>
          <w:sz w:val="24"/>
          <w:lang w:val="en-US" w:eastAsia="zh-CN"/>
        </w:rPr>
        <w:t>语音</w:t>
      </w:r>
      <w:r>
        <w:rPr>
          <w:rFonts w:hint="eastAsia"/>
          <w:sz w:val="24"/>
        </w:rPr>
        <w:t>随即</w:t>
      </w:r>
      <w:r>
        <w:rPr>
          <w:rFonts w:hint="eastAsia"/>
          <w:sz w:val="24"/>
          <w:lang w:val="en-US" w:eastAsia="zh-CN"/>
        </w:rPr>
        <w:t>结束。</w:t>
      </w:r>
    </w:p>
    <w:p>
      <w:pPr>
        <w:spacing w:before="156" w:beforeLines="50" w:after="156" w:afterLines="50" w:line="360" w:lineRule="auto"/>
        <w:ind w:firstLine="420" w:firstLineChars="200"/>
        <w:jc w:val="left"/>
        <w:rPr>
          <w:sz w:val="28"/>
          <w:szCs w:val="28"/>
          <w:lang w:val="en-US"/>
        </w:rPr>
      </w:pPr>
      <w:r>
        <w:rPr>
          <w:rFonts w:hint="eastAsia"/>
          <w:lang w:val="en-US"/>
        </w:rPr>
        <w:t xml:space="preserve">  </w:t>
      </w:r>
      <w:r>
        <w:rPr>
          <w:rFonts w:hint="eastAsia"/>
          <w:sz w:val="24"/>
          <w:lang w:val="en-US" w:eastAsia="zh-CN"/>
        </w:rPr>
        <w:t>主要技术参数：</w:t>
      </w:r>
    </w:p>
    <w:tbl>
      <w:tblPr>
        <w:tblStyle w:val="5"/>
        <w:tblW w:w="7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1628"/>
        <w:gridCol w:w="5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1</w:t>
            </w:r>
          </w:p>
        </w:tc>
        <w:tc>
          <w:tcPr>
            <w:tcW w:w="1628" w:type="dxa"/>
            <w:vAlign w:val="center"/>
          </w:tcPr>
          <w:p>
            <w:pPr>
              <w:spacing w:line="300" w:lineRule="auto"/>
              <w:jc w:val="left"/>
              <w:rPr>
                <w:rFonts w:hAnsi="宋体"/>
                <w:szCs w:val="21"/>
              </w:rPr>
            </w:pPr>
            <w:r>
              <w:rPr>
                <w:rFonts w:hint="eastAsia" w:hAnsi="宋体"/>
                <w:szCs w:val="21"/>
              </w:rPr>
              <w:t>无线通信模块</w:t>
            </w:r>
          </w:p>
        </w:tc>
        <w:tc>
          <w:tcPr>
            <w:tcW w:w="5183" w:type="dxa"/>
            <w:vAlign w:val="center"/>
          </w:tcPr>
          <w:p>
            <w:pPr>
              <w:numPr>
                <w:ilvl w:val="0"/>
                <w:numId w:val="1"/>
              </w:numPr>
              <w:spacing w:line="300" w:lineRule="auto"/>
              <w:jc w:val="left"/>
              <w:rPr>
                <w:rFonts w:hAnsi="宋体" w:cs="微?雅?"/>
                <w:color w:val="000000"/>
                <w:w w:val="0"/>
                <w:kern w:val="0"/>
                <w:szCs w:val="21"/>
              </w:rPr>
            </w:pPr>
            <w:r>
              <w:rPr>
                <w:rFonts w:hint="eastAsia" w:hAnsi="宋体" w:cs="微?雅?"/>
                <w:color w:val="000000"/>
                <w:w w:val="0"/>
                <w:kern w:val="0"/>
                <w:szCs w:val="21"/>
              </w:rPr>
              <w:t>无线频率：410M-520M及</w:t>
            </w:r>
            <w:r>
              <w:rPr>
                <w:rFonts w:hAnsi="宋体" w:cs="微?雅?"/>
                <w:color w:val="000000"/>
                <w:w w:val="0"/>
                <w:kern w:val="0"/>
                <w:szCs w:val="21"/>
              </w:rPr>
              <w:t>从800MHz到2.6GHz</w:t>
            </w:r>
            <w:r>
              <w:rPr>
                <w:rFonts w:hint="eastAsia" w:hAnsi="宋体" w:cs="微?雅?"/>
                <w:color w:val="000000"/>
                <w:w w:val="0"/>
                <w:kern w:val="0"/>
                <w:szCs w:val="21"/>
              </w:rPr>
              <w:t>双模组</w:t>
            </w:r>
            <w:r>
              <w:rPr>
                <w:rFonts w:hAnsi="宋体" w:cs="微?雅?"/>
                <w:color w:val="000000"/>
                <w:w w:val="0"/>
                <w:kern w:val="0"/>
                <w:szCs w:val="21"/>
              </w:rPr>
              <w:t xml:space="preserve"> </w:t>
            </w:r>
          </w:p>
          <w:p>
            <w:pPr>
              <w:numPr>
                <w:ilvl w:val="0"/>
                <w:numId w:val="1"/>
              </w:numPr>
              <w:spacing w:line="300" w:lineRule="auto"/>
              <w:jc w:val="left"/>
              <w:rPr>
                <w:rFonts w:hAnsi="宋体" w:cs="微?雅?"/>
                <w:color w:val="000000"/>
                <w:w w:val="0"/>
                <w:kern w:val="0"/>
                <w:szCs w:val="21"/>
              </w:rPr>
            </w:pPr>
            <w:r>
              <w:rPr>
                <w:rFonts w:hint="eastAsia" w:hAnsi="宋体" w:cs="微?雅?"/>
                <w:color w:val="000000"/>
                <w:w w:val="0"/>
                <w:kern w:val="0"/>
                <w:szCs w:val="21"/>
              </w:rPr>
              <w:t>发射功率:</w:t>
            </w:r>
            <w:r>
              <w:t xml:space="preserve"> </w:t>
            </w:r>
            <w:r>
              <w:rPr>
                <w:rFonts w:hAnsi="宋体" w:cs="微?雅?"/>
                <w:color w:val="000000"/>
                <w:w w:val="0"/>
                <w:kern w:val="0"/>
                <w:szCs w:val="21"/>
              </w:rPr>
              <w:t>1-22dBm</w:t>
            </w:r>
          </w:p>
          <w:p>
            <w:pPr>
              <w:numPr>
                <w:ilvl w:val="0"/>
                <w:numId w:val="1"/>
              </w:numPr>
              <w:spacing w:line="300" w:lineRule="auto"/>
              <w:jc w:val="left"/>
              <w:rPr>
                <w:rFonts w:hint="eastAsia" w:hAnsi="宋体" w:cs="微?雅?"/>
                <w:color w:val="000000"/>
                <w:w w:val="0"/>
                <w:kern w:val="0"/>
                <w:szCs w:val="21"/>
              </w:rPr>
            </w:pPr>
            <w:r>
              <w:rPr>
                <w:rFonts w:hint="eastAsia" w:hAnsi="宋体" w:cs="微?雅?"/>
                <w:color w:val="000000"/>
                <w:w w:val="0"/>
                <w:kern w:val="0"/>
                <w:szCs w:val="21"/>
              </w:rPr>
              <w:t>无线速率:</w:t>
            </w:r>
            <w:r>
              <w:t xml:space="preserve"> </w:t>
            </w:r>
            <w:r>
              <w:rPr>
                <w:rFonts w:hAnsi="宋体" w:cs="微?雅?"/>
                <w:color w:val="000000"/>
                <w:w w:val="0"/>
                <w:kern w:val="0"/>
                <w:szCs w:val="21"/>
              </w:rPr>
              <w:t>0.6kbps-62.5kbps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2</w:t>
            </w:r>
          </w:p>
        </w:tc>
        <w:tc>
          <w:tcPr>
            <w:tcW w:w="1628" w:type="dxa"/>
            <w:vAlign w:val="center"/>
          </w:tcPr>
          <w:p>
            <w:pPr>
              <w:spacing w:line="300" w:lineRule="auto"/>
              <w:jc w:val="left"/>
              <w:rPr>
                <w:rFonts w:hint="eastAsia" w:hAnsi="宋体"/>
                <w:szCs w:val="21"/>
              </w:rPr>
            </w:pPr>
            <w:r>
              <w:rPr>
                <w:rFonts w:hint="eastAsia" w:hAnsi="宋体"/>
                <w:szCs w:val="21"/>
              </w:rPr>
              <w:t>3D外壳</w:t>
            </w:r>
          </w:p>
        </w:tc>
        <w:tc>
          <w:tcPr>
            <w:tcW w:w="5183" w:type="dxa"/>
            <w:vAlign w:val="center"/>
          </w:tcPr>
          <w:p>
            <w:pPr>
              <w:spacing w:line="300" w:lineRule="auto"/>
              <w:jc w:val="left"/>
              <w:rPr>
                <w:rFonts w:hAnsi="宋体" w:cs="微?雅?"/>
                <w:color w:val="000000"/>
                <w:w w:val="0"/>
                <w:kern w:val="0"/>
                <w:szCs w:val="21"/>
              </w:rPr>
            </w:pPr>
            <w:r>
              <w:rPr>
                <w:rFonts w:hint="eastAsia" w:hAnsi="宋体" w:cs="微?雅?"/>
                <w:color w:val="000000"/>
                <w:w w:val="0"/>
                <w:kern w:val="0"/>
                <w:szCs w:val="21"/>
              </w:rPr>
              <w:t>根据主要元件定制设计，加工要求需精细至mm级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3</w:t>
            </w:r>
          </w:p>
        </w:tc>
        <w:tc>
          <w:tcPr>
            <w:tcW w:w="1628" w:type="dxa"/>
            <w:vAlign w:val="center"/>
          </w:tcPr>
          <w:p>
            <w:pPr>
              <w:spacing w:line="300" w:lineRule="auto"/>
              <w:jc w:val="left"/>
              <w:rPr>
                <w:rFonts w:hint="eastAsia" w:hAnsi="宋体"/>
                <w:szCs w:val="21"/>
              </w:rPr>
            </w:pPr>
            <w:r>
              <w:rPr>
                <w:rFonts w:hint="eastAsia" w:hAnsi="宋体" w:cs="宋体"/>
                <w:color w:val="000000"/>
                <w:kern w:val="0"/>
                <w:sz w:val="22"/>
                <w:szCs w:val="22"/>
                <w:lang w:bidi="ar"/>
              </w:rPr>
              <w:t>高速AD处理模块</w:t>
            </w:r>
          </w:p>
        </w:tc>
        <w:tc>
          <w:tcPr>
            <w:tcW w:w="5183" w:type="dxa"/>
            <w:vAlign w:val="center"/>
          </w:tcPr>
          <w:p>
            <w:pPr>
              <w:numPr>
                <w:ilvl w:val="0"/>
                <w:numId w:val="2"/>
              </w:numPr>
              <w:spacing w:line="300" w:lineRule="auto"/>
              <w:jc w:val="left"/>
              <w:rPr>
                <w:rFonts w:hAnsi="宋体" w:cs="微?雅?"/>
                <w:color w:val="000000"/>
                <w:w w:val="0"/>
                <w:kern w:val="0"/>
                <w:szCs w:val="21"/>
              </w:rPr>
            </w:pPr>
            <w:r>
              <w:rPr>
                <w:rFonts w:hAnsi="宋体" w:cs="微?雅?"/>
                <w:color w:val="000000"/>
                <w:w w:val="0"/>
                <w:kern w:val="0"/>
                <w:szCs w:val="21"/>
              </w:rPr>
              <w:t>ADC的位数</w:t>
            </w:r>
            <w:r>
              <w:rPr>
                <w:rFonts w:ascii="Times New Roman"/>
                <w:color w:val="000000"/>
                <w:w w:val="0"/>
                <w:kern w:val="0"/>
                <w:szCs w:val="21"/>
              </w:rPr>
              <w:t>‌</w:t>
            </w:r>
            <w:r>
              <w:rPr>
                <w:rFonts w:hint="eastAsia" w:hAnsi="宋体" w:cs="微?雅?"/>
                <w:color w:val="000000"/>
                <w:w w:val="0"/>
                <w:kern w:val="0"/>
                <w:szCs w:val="21"/>
              </w:rPr>
              <w:t>：16位</w:t>
            </w:r>
          </w:p>
          <w:p>
            <w:pPr>
              <w:numPr>
                <w:ilvl w:val="0"/>
                <w:numId w:val="2"/>
              </w:numPr>
              <w:spacing w:line="300" w:lineRule="auto"/>
              <w:jc w:val="left"/>
              <w:rPr>
                <w:rFonts w:hAnsi="宋体" w:cs="微?雅?"/>
                <w:color w:val="000000"/>
                <w:w w:val="0"/>
                <w:kern w:val="0"/>
                <w:szCs w:val="21"/>
              </w:rPr>
            </w:pPr>
            <w:r>
              <w:rPr>
                <w:rFonts w:hint="eastAsia" w:hAnsi="宋体" w:cs="微?雅?"/>
                <w:color w:val="000000"/>
                <w:w w:val="0"/>
                <w:kern w:val="0"/>
                <w:szCs w:val="21"/>
              </w:rPr>
              <w:t>最大采集率：500K</w:t>
            </w:r>
          </w:p>
          <w:p>
            <w:pPr>
              <w:numPr>
                <w:ilvl w:val="0"/>
                <w:numId w:val="2"/>
              </w:numPr>
              <w:spacing w:line="300" w:lineRule="auto"/>
              <w:jc w:val="left"/>
              <w:rPr>
                <w:rFonts w:hAnsi="宋体" w:cs="微?雅?"/>
                <w:color w:val="000000"/>
                <w:w w:val="0"/>
                <w:kern w:val="0"/>
                <w:szCs w:val="21"/>
              </w:rPr>
            </w:pPr>
            <w:r>
              <w:rPr>
                <w:rFonts w:hint="eastAsia" w:hAnsi="宋体" w:cs="微?雅?"/>
                <w:color w:val="000000"/>
                <w:w w:val="0"/>
                <w:kern w:val="0"/>
                <w:szCs w:val="21"/>
              </w:rPr>
              <w:t>通道数：4差分</w:t>
            </w:r>
          </w:p>
          <w:p>
            <w:pPr>
              <w:numPr>
                <w:ilvl w:val="0"/>
                <w:numId w:val="2"/>
              </w:numPr>
              <w:spacing w:line="300" w:lineRule="auto"/>
              <w:jc w:val="left"/>
              <w:rPr>
                <w:rFonts w:hint="eastAsia" w:hAnsi="宋体" w:cs="微?雅?"/>
                <w:color w:val="000000"/>
                <w:w w:val="0"/>
                <w:kern w:val="0"/>
                <w:szCs w:val="21"/>
              </w:rPr>
            </w:pPr>
            <w:r>
              <w:rPr>
                <w:rFonts w:hint="eastAsia" w:hAnsi="宋体" w:cs="微?雅?"/>
                <w:color w:val="000000"/>
                <w:w w:val="0"/>
                <w:kern w:val="0"/>
                <w:szCs w:val="21"/>
              </w:rPr>
              <w:t>通信模块：并行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4</w:t>
            </w:r>
          </w:p>
        </w:tc>
        <w:tc>
          <w:tcPr>
            <w:tcW w:w="1628" w:type="dxa"/>
            <w:vAlign w:val="center"/>
          </w:tcPr>
          <w:p>
            <w:p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报警触发模块</w:t>
            </w:r>
          </w:p>
        </w:tc>
        <w:tc>
          <w:tcPr>
            <w:tcW w:w="5183" w:type="dxa"/>
            <w:vAlign w:val="center"/>
          </w:tcPr>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IWDG,WWDG双重看门狗</w:t>
            </w:r>
          </w:p>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具备防反接、过压保护、过流保护、短路保护</w:t>
            </w:r>
          </w:p>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高性能32位ARM处理器，主频高达140MHZ</w:t>
            </w:r>
          </w:p>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内置BUCK同步整流电源电路</w:t>
            </w:r>
          </w:p>
          <w:p>
            <w:pPr>
              <w:numPr>
                <w:ilvl w:val="0"/>
                <w:numId w:val="3"/>
              </w:num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支持同时输出4路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int="eastAsia" w:hAnsi="宋体"/>
                <w:szCs w:val="21"/>
              </w:rPr>
            </w:pPr>
            <w:r>
              <w:rPr>
                <w:rFonts w:hint="eastAsia" w:hAnsi="宋体"/>
                <w:szCs w:val="21"/>
              </w:rPr>
              <w:t>5</w:t>
            </w:r>
          </w:p>
        </w:tc>
        <w:tc>
          <w:tcPr>
            <w:tcW w:w="1628" w:type="dxa"/>
            <w:vAlign w:val="center"/>
          </w:tcPr>
          <w:p>
            <w:p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网络架构</w:t>
            </w:r>
          </w:p>
        </w:tc>
        <w:tc>
          <w:tcPr>
            <w:tcW w:w="5183" w:type="dxa"/>
            <w:vAlign w:val="center"/>
          </w:tcPr>
          <w:p>
            <w:pPr>
              <w:spacing w:line="300" w:lineRule="auto"/>
              <w:jc w:val="left"/>
              <w:rPr>
                <w:rFonts w:hint="eastAsia" w:hAnsi="宋体" w:cs="宋体"/>
                <w:color w:val="000000"/>
                <w:kern w:val="0"/>
                <w:sz w:val="22"/>
                <w:szCs w:val="22"/>
                <w:lang w:bidi="ar"/>
              </w:rPr>
            </w:pPr>
            <w:r>
              <w:rPr>
                <w:rFonts w:hint="eastAsia"/>
                <w:szCs w:val="21"/>
              </w:rPr>
              <w:t>采用mesh网络采用算法加密，可以设定时间窗口，采集时间窗口内mesh网络的运行时序数据和业务请求时序数据，网络运行时序数据包括每个mesh网络节点的剩余能量、节点间的链路质量和各链路的当前带宽使用率数据，业务请求时序数据包括所有业务的数据量。确保一个发射端信号同时到达多个接收端</w:t>
            </w:r>
          </w:p>
        </w:tc>
      </w:tr>
    </w:tbl>
    <w:p>
      <w:pPr>
        <w:pStyle w:val="2"/>
        <w:rPr>
          <w:rFonts w:hint="eastAsia"/>
          <w:lang w:val="en-US"/>
        </w:rPr>
      </w:pPr>
    </w:p>
    <w:p>
      <w:pPr>
        <w:rPr>
          <w:rFonts w:hint="eastAsia"/>
          <w:lang w:val="en-US"/>
        </w:rPr>
      </w:pPr>
      <w:r>
        <w:rPr>
          <w:rFonts w:hint="eastAsia"/>
          <w:lang w:val="en-US"/>
        </w:rPr>
        <w:t xml:space="preserve">     </w:t>
      </w:r>
    </w:p>
    <w:p>
      <w:pPr>
        <w:spacing w:before="156" w:beforeLines="50" w:after="156" w:afterLines="50" w:line="360" w:lineRule="auto"/>
        <w:ind w:firstLine="480" w:firstLineChars="200"/>
        <w:jc w:val="left"/>
        <w:rPr>
          <w:rFonts w:hint="eastAsia"/>
          <w:sz w:val="24"/>
        </w:rPr>
      </w:pPr>
      <w:r>
        <w:rPr>
          <w:rFonts w:hint="eastAsia" w:ascii="Calibri" w:hAnsi="Calibri"/>
          <w:sz w:val="24"/>
          <w:u w:val="single"/>
        </w:rPr>
        <w:t>预计采购金额材料费0.7万元，加工测试费2.3万元，服务期限自合同</w:t>
      </w:r>
      <w:r>
        <w:rPr>
          <w:rFonts w:hint="eastAsia" w:ascii="宋体" w:hAnsi="宋体" w:cs="宋体"/>
          <w:bCs/>
          <w:sz w:val="24"/>
          <w:u w:val="single"/>
        </w:rPr>
        <w:t>生效之日起3个月。</w:t>
      </w:r>
    </w:p>
    <w:p/>
    <w:p>
      <w:pPr>
        <w:numPr>
          <w:ilvl w:val="0"/>
          <w:numId w:val="4"/>
        </w:numPr>
        <w:rPr>
          <w:rFonts w:ascii="仿宋_GB2312" w:hAnsi="仿宋_GB2312" w:eastAsia="仿宋_GB2312" w:cs="仿宋_GB2312"/>
          <w:sz w:val="28"/>
          <w:szCs w:val="36"/>
        </w:rPr>
      </w:pPr>
      <w:r>
        <w:rPr>
          <w:rFonts w:hint="eastAsia" w:ascii="仿宋_GB2312" w:hAnsi="仿宋_GB2312" w:eastAsia="仿宋_GB2312" w:cs="仿宋_GB2312"/>
          <w:sz w:val="28"/>
          <w:szCs w:val="36"/>
        </w:rPr>
        <w:t>公开内容</w:t>
      </w:r>
    </w:p>
    <w:p>
      <w:pPr>
        <w:pStyle w:val="2"/>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2.1  项目概况</w:t>
      </w:r>
    </w:p>
    <w:p>
      <w:pPr>
        <w:pStyle w:val="2"/>
        <w:ind w:firstLine="480" w:firstLineChars="200"/>
        <w:rPr>
          <w:sz w:val="24"/>
          <w:szCs w:val="24"/>
        </w:rPr>
      </w:pPr>
      <w:r>
        <w:rPr>
          <w:rFonts w:hint="eastAsia"/>
          <w:sz w:val="24"/>
          <w:szCs w:val="24"/>
        </w:rPr>
        <w:t>本项目需设计制作一套“</w:t>
      </w:r>
      <w:r>
        <w:rPr>
          <w:rFonts w:hint="eastAsia"/>
          <w:sz w:val="24"/>
        </w:rPr>
        <w:t>一款新型安全带的研制</w:t>
      </w:r>
      <w:r>
        <w:rPr>
          <w:rFonts w:hint="eastAsia"/>
          <w:sz w:val="24"/>
          <w:szCs w:val="24"/>
        </w:rPr>
        <w:t>”</w:t>
      </w:r>
    </w:p>
    <w:p>
      <w:pPr>
        <w:spacing w:before="156" w:beforeLines="50" w:after="156" w:afterLines="50" w:line="360" w:lineRule="auto"/>
        <w:ind w:firstLine="480" w:firstLineChars="200"/>
        <w:jc w:val="left"/>
        <w:rPr>
          <w:sz w:val="24"/>
          <w:lang w:val="en-US"/>
        </w:rPr>
      </w:pPr>
      <w:r>
        <w:rPr>
          <w:rFonts w:hint="eastAsia"/>
          <w:sz w:val="24"/>
          <w:lang w:val="en-US" w:eastAsia="zh-CN"/>
        </w:rPr>
        <w:t>技术关键点：</w:t>
      </w:r>
    </w:p>
    <w:p>
      <w:pPr>
        <w:spacing w:before="156" w:beforeLines="50" w:after="156" w:afterLines="50" w:line="360" w:lineRule="auto"/>
        <w:ind w:firstLine="480" w:firstLineChars="200"/>
        <w:jc w:val="left"/>
        <w:rPr>
          <w:sz w:val="24"/>
        </w:rPr>
      </w:pPr>
      <w:r>
        <w:rPr>
          <w:rFonts w:hint="eastAsia"/>
          <w:sz w:val="24"/>
          <w:lang w:val="en-US" w:eastAsia="zh-CN"/>
        </w:rPr>
        <w:t>本装置是一款新型</w:t>
      </w:r>
      <w:r>
        <w:rPr>
          <w:rFonts w:hint="eastAsia"/>
          <w:sz w:val="24"/>
        </w:rPr>
        <w:t>安全带，安全带包括金属配件、电池部分、电源开关、安全扣断开报警电路、无线收发模块、语音播放元件等材料组成。</w:t>
      </w:r>
    </w:p>
    <w:p>
      <w:pPr>
        <w:pStyle w:val="2"/>
        <w:spacing w:line="360" w:lineRule="auto"/>
        <w:rPr>
          <w:sz w:val="24"/>
          <w:lang w:val="en-US"/>
        </w:rPr>
      </w:pPr>
      <w:r>
        <w:rPr>
          <w:rFonts w:hint="eastAsia"/>
        </w:rPr>
        <w:t xml:space="preserve">     </w:t>
      </w:r>
      <w:r>
        <w:rPr>
          <w:rFonts w:hint="eastAsia"/>
          <w:sz w:val="24"/>
        </w:rPr>
        <w:t>首先需要在安全扣内嵌传感器，用于判断安全挂扣的开启和闭合。挂钩端安装有无线发射装置。工作人员和地勤人员分布穿戴无线接收端装置。在高塔检修人员准备上塔工作前，需要先佩戴好智能安全带，安全带内装好电池，打开电源开关。</w:t>
      </w:r>
      <w:r>
        <w:rPr>
          <w:rFonts w:hint="eastAsia"/>
          <w:sz w:val="24"/>
          <w:lang w:val="en-US" w:eastAsia="zh-CN"/>
        </w:rPr>
        <w:t>当检修人员</w:t>
      </w:r>
      <w:r>
        <w:rPr>
          <w:rFonts w:hint="eastAsia"/>
          <w:sz w:val="24"/>
        </w:rPr>
        <w:t>在高塔上</w:t>
      </w:r>
      <w:r>
        <w:rPr>
          <w:rFonts w:hint="eastAsia"/>
          <w:sz w:val="24"/>
          <w:lang w:val="en-US" w:eastAsia="zh-CN"/>
        </w:rPr>
        <w:t>解开安全扣时，</w:t>
      </w:r>
      <w:r>
        <w:rPr>
          <w:rFonts w:hint="eastAsia"/>
          <w:sz w:val="24"/>
        </w:rPr>
        <w:t>安全扣内信号检测电路测到安全扣间的连接断开时，则会</w:t>
      </w:r>
      <w:r>
        <w:rPr>
          <w:rFonts w:hint="eastAsia"/>
          <w:sz w:val="24"/>
          <w:lang w:val="en-US" w:eastAsia="zh-CN"/>
        </w:rPr>
        <w:t>触发</w:t>
      </w:r>
      <w:r>
        <w:rPr>
          <w:rFonts w:hint="eastAsia"/>
          <w:sz w:val="24"/>
        </w:rPr>
        <w:t>安全带上的</w:t>
      </w:r>
      <w:r>
        <w:rPr>
          <w:rFonts w:hint="eastAsia"/>
          <w:sz w:val="24"/>
          <w:lang w:val="en-US" w:eastAsia="zh-CN"/>
        </w:rPr>
        <w:t>一个</w:t>
      </w:r>
      <w:r>
        <w:rPr>
          <w:rFonts w:hint="eastAsia"/>
          <w:sz w:val="24"/>
        </w:rPr>
        <w:t>语音播放元件播放设置好的语音提醒检修人员</w:t>
      </w:r>
      <w:r>
        <w:rPr>
          <w:rFonts w:hint="eastAsia"/>
          <w:sz w:val="24"/>
          <w:lang w:val="en-US" w:eastAsia="zh-CN"/>
        </w:rPr>
        <w:t>，</w:t>
      </w:r>
      <w:r>
        <w:rPr>
          <w:rFonts w:hint="eastAsia"/>
          <w:sz w:val="24"/>
        </w:rPr>
        <w:t>同时通过无线收发模块将信号发送至地勤人员身上的无线收发模块上，同时触发语音提醒</w:t>
      </w:r>
      <w:r>
        <w:rPr>
          <w:rFonts w:hint="eastAsia"/>
          <w:sz w:val="24"/>
          <w:lang w:val="en-US" w:eastAsia="zh-CN"/>
        </w:rPr>
        <w:t>，直到检修人员再次扣好安全带后，</w:t>
      </w:r>
      <w:r>
        <w:rPr>
          <w:rFonts w:hint="eastAsia"/>
          <w:sz w:val="24"/>
        </w:rPr>
        <w:t>安全扣内信号检测电路测到安全扣已扣好，</w:t>
      </w:r>
      <w:r>
        <w:rPr>
          <w:rFonts w:hint="eastAsia"/>
          <w:sz w:val="24"/>
          <w:lang w:val="en-US" w:eastAsia="zh-CN"/>
        </w:rPr>
        <w:t>语音</w:t>
      </w:r>
      <w:r>
        <w:rPr>
          <w:rFonts w:hint="eastAsia"/>
          <w:sz w:val="24"/>
        </w:rPr>
        <w:t>随即</w:t>
      </w:r>
      <w:r>
        <w:rPr>
          <w:rFonts w:hint="eastAsia"/>
          <w:sz w:val="24"/>
          <w:lang w:val="en-US" w:eastAsia="zh-CN"/>
        </w:rPr>
        <w:t>结束。</w:t>
      </w:r>
    </w:p>
    <w:p>
      <w:pPr>
        <w:spacing w:before="156" w:beforeLines="50" w:after="156" w:afterLines="50" w:line="360" w:lineRule="auto"/>
        <w:ind w:firstLine="420" w:firstLineChars="200"/>
        <w:jc w:val="left"/>
        <w:rPr>
          <w:sz w:val="28"/>
          <w:szCs w:val="28"/>
          <w:lang w:val="en-US"/>
        </w:rPr>
      </w:pPr>
      <w:r>
        <w:rPr>
          <w:rFonts w:hint="eastAsia"/>
          <w:lang w:val="en-US"/>
        </w:rPr>
        <w:t xml:space="preserve">  </w:t>
      </w:r>
      <w:r>
        <w:rPr>
          <w:rFonts w:hint="eastAsia"/>
          <w:sz w:val="24"/>
          <w:lang w:val="en-US" w:eastAsia="zh-CN"/>
        </w:rPr>
        <w:t>主要技术参数：</w:t>
      </w:r>
    </w:p>
    <w:tbl>
      <w:tblPr>
        <w:tblStyle w:val="5"/>
        <w:tblW w:w="7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1628"/>
        <w:gridCol w:w="5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1</w:t>
            </w:r>
          </w:p>
        </w:tc>
        <w:tc>
          <w:tcPr>
            <w:tcW w:w="1628" w:type="dxa"/>
            <w:vAlign w:val="center"/>
          </w:tcPr>
          <w:p>
            <w:pPr>
              <w:spacing w:line="300" w:lineRule="auto"/>
              <w:jc w:val="left"/>
              <w:rPr>
                <w:rFonts w:hAnsi="宋体"/>
                <w:szCs w:val="21"/>
              </w:rPr>
            </w:pPr>
            <w:r>
              <w:rPr>
                <w:rFonts w:hint="eastAsia" w:hAnsi="宋体"/>
                <w:szCs w:val="21"/>
              </w:rPr>
              <w:t>无线通信模块</w:t>
            </w:r>
          </w:p>
        </w:tc>
        <w:tc>
          <w:tcPr>
            <w:tcW w:w="5183" w:type="dxa"/>
            <w:vAlign w:val="center"/>
          </w:tcPr>
          <w:p>
            <w:pPr>
              <w:numPr>
                <w:ilvl w:val="0"/>
                <w:numId w:val="1"/>
              </w:numPr>
              <w:spacing w:line="300" w:lineRule="auto"/>
              <w:jc w:val="left"/>
              <w:rPr>
                <w:rFonts w:hAnsi="宋体" w:cs="微?雅?"/>
                <w:color w:val="000000"/>
                <w:w w:val="0"/>
                <w:kern w:val="0"/>
                <w:szCs w:val="21"/>
              </w:rPr>
            </w:pPr>
            <w:r>
              <w:rPr>
                <w:rFonts w:hint="eastAsia" w:hAnsi="宋体" w:cs="微?雅?"/>
                <w:color w:val="000000"/>
                <w:w w:val="0"/>
                <w:kern w:val="0"/>
                <w:szCs w:val="21"/>
              </w:rPr>
              <w:t>无线频率：410M-520M及</w:t>
            </w:r>
            <w:r>
              <w:rPr>
                <w:rFonts w:hAnsi="宋体" w:cs="微?雅?"/>
                <w:color w:val="000000"/>
                <w:w w:val="0"/>
                <w:kern w:val="0"/>
                <w:szCs w:val="21"/>
              </w:rPr>
              <w:t>从800MHz到2.6GHz</w:t>
            </w:r>
            <w:r>
              <w:rPr>
                <w:rFonts w:hint="eastAsia" w:hAnsi="宋体" w:cs="微?雅?"/>
                <w:color w:val="000000"/>
                <w:w w:val="0"/>
                <w:kern w:val="0"/>
                <w:szCs w:val="21"/>
              </w:rPr>
              <w:t>双模组</w:t>
            </w:r>
            <w:r>
              <w:rPr>
                <w:rFonts w:hAnsi="宋体" w:cs="微?雅?"/>
                <w:color w:val="000000"/>
                <w:w w:val="0"/>
                <w:kern w:val="0"/>
                <w:szCs w:val="21"/>
              </w:rPr>
              <w:t xml:space="preserve"> </w:t>
            </w:r>
          </w:p>
          <w:p>
            <w:pPr>
              <w:numPr>
                <w:ilvl w:val="0"/>
                <w:numId w:val="1"/>
              </w:numPr>
              <w:spacing w:line="300" w:lineRule="auto"/>
              <w:jc w:val="left"/>
              <w:rPr>
                <w:rFonts w:hAnsi="宋体" w:cs="微?雅?"/>
                <w:color w:val="000000"/>
                <w:w w:val="0"/>
                <w:kern w:val="0"/>
                <w:szCs w:val="21"/>
              </w:rPr>
            </w:pPr>
            <w:r>
              <w:rPr>
                <w:rFonts w:hint="eastAsia" w:hAnsi="宋体" w:cs="微?雅?"/>
                <w:color w:val="000000"/>
                <w:w w:val="0"/>
                <w:kern w:val="0"/>
                <w:szCs w:val="21"/>
              </w:rPr>
              <w:t>发射功率:</w:t>
            </w:r>
            <w:r>
              <w:t xml:space="preserve"> </w:t>
            </w:r>
            <w:r>
              <w:rPr>
                <w:rFonts w:hAnsi="宋体" w:cs="微?雅?"/>
                <w:color w:val="000000"/>
                <w:w w:val="0"/>
                <w:kern w:val="0"/>
                <w:szCs w:val="21"/>
              </w:rPr>
              <w:t>1-22dBm</w:t>
            </w:r>
          </w:p>
          <w:p>
            <w:pPr>
              <w:numPr>
                <w:ilvl w:val="0"/>
                <w:numId w:val="1"/>
              </w:numPr>
              <w:spacing w:line="300" w:lineRule="auto"/>
              <w:jc w:val="left"/>
              <w:rPr>
                <w:rFonts w:hint="eastAsia" w:hAnsi="宋体" w:cs="微?雅?"/>
                <w:color w:val="000000"/>
                <w:w w:val="0"/>
                <w:kern w:val="0"/>
                <w:szCs w:val="21"/>
              </w:rPr>
            </w:pPr>
            <w:r>
              <w:rPr>
                <w:rFonts w:hint="eastAsia" w:hAnsi="宋体" w:cs="微?雅?"/>
                <w:color w:val="000000"/>
                <w:w w:val="0"/>
                <w:kern w:val="0"/>
                <w:szCs w:val="21"/>
              </w:rPr>
              <w:t>无线速率:</w:t>
            </w:r>
            <w:r>
              <w:t xml:space="preserve"> </w:t>
            </w:r>
            <w:r>
              <w:rPr>
                <w:rFonts w:hAnsi="宋体" w:cs="微?雅?"/>
                <w:color w:val="000000"/>
                <w:w w:val="0"/>
                <w:kern w:val="0"/>
                <w:szCs w:val="21"/>
              </w:rPr>
              <w:t>0.6kbps-62.5kbps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2</w:t>
            </w:r>
          </w:p>
        </w:tc>
        <w:tc>
          <w:tcPr>
            <w:tcW w:w="1628" w:type="dxa"/>
            <w:vAlign w:val="center"/>
          </w:tcPr>
          <w:p>
            <w:pPr>
              <w:spacing w:line="300" w:lineRule="auto"/>
              <w:jc w:val="left"/>
              <w:rPr>
                <w:rFonts w:hint="eastAsia" w:hAnsi="宋体"/>
                <w:szCs w:val="21"/>
              </w:rPr>
            </w:pPr>
            <w:r>
              <w:rPr>
                <w:rFonts w:hint="eastAsia" w:hAnsi="宋体"/>
                <w:szCs w:val="21"/>
              </w:rPr>
              <w:t>3D外壳</w:t>
            </w:r>
          </w:p>
        </w:tc>
        <w:tc>
          <w:tcPr>
            <w:tcW w:w="5183" w:type="dxa"/>
            <w:vAlign w:val="center"/>
          </w:tcPr>
          <w:p>
            <w:pPr>
              <w:spacing w:line="300" w:lineRule="auto"/>
              <w:jc w:val="left"/>
              <w:rPr>
                <w:rFonts w:hAnsi="宋体" w:cs="微?雅?"/>
                <w:color w:val="000000"/>
                <w:w w:val="0"/>
                <w:kern w:val="0"/>
                <w:szCs w:val="21"/>
              </w:rPr>
            </w:pPr>
            <w:r>
              <w:rPr>
                <w:rFonts w:hint="eastAsia" w:hAnsi="宋体" w:cs="微?雅?"/>
                <w:color w:val="000000"/>
                <w:w w:val="0"/>
                <w:kern w:val="0"/>
                <w:szCs w:val="21"/>
              </w:rPr>
              <w:t>根据主要元件定制设计，加工要求需精细至mm级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3</w:t>
            </w:r>
          </w:p>
        </w:tc>
        <w:tc>
          <w:tcPr>
            <w:tcW w:w="1628" w:type="dxa"/>
            <w:vAlign w:val="center"/>
          </w:tcPr>
          <w:p>
            <w:pPr>
              <w:spacing w:line="300" w:lineRule="auto"/>
              <w:jc w:val="left"/>
              <w:rPr>
                <w:rFonts w:hint="eastAsia" w:hAnsi="宋体"/>
                <w:szCs w:val="21"/>
              </w:rPr>
            </w:pPr>
            <w:r>
              <w:rPr>
                <w:rFonts w:hint="eastAsia" w:hAnsi="宋体" w:cs="宋体"/>
                <w:color w:val="000000"/>
                <w:kern w:val="0"/>
                <w:sz w:val="22"/>
                <w:szCs w:val="22"/>
                <w:lang w:bidi="ar"/>
              </w:rPr>
              <w:t>高速AD处理模块</w:t>
            </w:r>
          </w:p>
        </w:tc>
        <w:tc>
          <w:tcPr>
            <w:tcW w:w="5183" w:type="dxa"/>
            <w:vAlign w:val="center"/>
          </w:tcPr>
          <w:p>
            <w:pPr>
              <w:numPr>
                <w:ilvl w:val="0"/>
                <w:numId w:val="2"/>
              </w:numPr>
              <w:spacing w:line="300" w:lineRule="auto"/>
              <w:jc w:val="left"/>
              <w:rPr>
                <w:rFonts w:hAnsi="宋体" w:cs="微?雅?"/>
                <w:color w:val="000000"/>
                <w:w w:val="0"/>
                <w:kern w:val="0"/>
                <w:szCs w:val="21"/>
              </w:rPr>
            </w:pPr>
            <w:r>
              <w:rPr>
                <w:rFonts w:hAnsi="宋体" w:cs="微?雅?"/>
                <w:color w:val="000000"/>
                <w:w w:val="0"/>
                <w:kern w:val="0"/>
                <w:szCs w:val="21"/>
              </w:rPr>
              <w:t>ADC的位数</w:t>
            </w:r>
            <w:r>
              <w:rPr>
                <w:rFonts w:ascii="Times New Roman"/>
                <w:color w:val="000000"/>
                <w:w w:val="0"/>
                <w:kern w:val="0"/>
                <w:szCs w:val="21"/>
              </w:rPr>
              <w:t>‌</w:t>
            </w:r>
            <w:r>
              <w:rPr>
                <w:rFonts w:hint="eastAsia" w:hAnsi="宋体" w:cs="微?雅?"/>
                <w:color w:val="000000"/>
                <w:w w:val="0"/>
                <w:kern w:val="0"/>
                <w:szCs w:val="21"/>
              </w:rPr>
              <w:t>：16位</w:t>
            </w:r>
          </w:p>
          <w:p>
            <w:pPr>
              <w:numPr>
                <w:ilvl w:val="0"/>
                <w:numId w:val="2"/>
              </w:numPr>
              <w:spacing w:line="300" w:lineRule="auto"/>
              <w:jc w:val="left"/>
              <w:rPr>
                <w:rFonts w:hAnsi="宋体" w:cs="微?雅?"/>
                <w:color w:val="000000"/>
                <w:w w:val="0"/>
                <w:kern w:val="0"/>
                <w:szCs w:val="21"/>
              </w:rPr>
            </w:pPr>
            <w:r>
              <w:rPr>
                <w:rFonts w:hint="eastAsia" w:hAnsi="宋体" w:cs="微?雅?"/>
                <w:color w:val="000000"/>
                <w:w w:val="0"/>
                <w:kern w:val="0"/>
                <w:szCs w:val="21"/>
              </w:rPr>
              <w:t>最大采集率：500K</w:t>
            </w:r>
          </w:p>
          <w:p>
            <w:pPr>
              <w:numPr>
                <w:ilvl w:val="0"/>
                <w:numId w:val="2"/>
              </w:numPr>
              <w:spacing w:line="300" w:lineRule="auto"/>
              <w:jc w:val="left"/>
              <w:rPr>
                <w:rFonts w:hAnsi="宋体" w:cs="微?雅?"/>
                <w:color w:val="000000"/>
                <w:w w:val="0"/>
                <w:kern w:val="0"/>
                <w:szCs w:val="21"/>
              </w:rPr>
            </w:pPr>
            <w:r>
              <w:rPr>
                <w:rFonts w:hint="eastAsia" w:hAnsi="宋体" w:cs="微?雅?"/>
                <w:color w:val="000000"/>
                <w:w w:val="0"/>
                <w:kern w:val="0"/>
                <w:szCs w:val="21"/>
              </w:rPr>
              <w:t>通道数：4差分</w:t>
            </w:r>
          </w:p>
          <w:p>
            <w:pPr>
              <w:numPr>
                <w:ilvl w:val="0"/>
                <w:numId w:val="2"/>
              </w:numPr>
              <w:spacing w:line="300" w:lineRule="auto"/>
              <w:jc w:val="left"/>
              <w:rPr>
                <w:rFonts w:hint="eastAsia" w:hAnsi="宋体" w:cs="微?雅?"/>
                <w:color w:val="000000"/>
                <w:w w:val="0"/>
                <w:kern w:val="0"/>
                <w:szCs w:val="21"/>
              </w:rPr>
            </w:pPr>
            <w:r>
              <w:rPr>
                <w:rFonts w:hint="eastAsia" w:hAnsi="宋体" w:cs="微?雅?"/>
                <w:color w:val="000000"/>
                <w:w w:val="0"/>
                <w:kern w:val="0"/>
                <w:szCs w:val="21"/>
              </w:rPr>
              <w:t>通信模块：并行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Ansi="宋体"/>
                <w:szCs w:val="21"/>
              </w:rPr>
            </w:pPr>
            <w:r>
              <w:rPr>
                <w:rFonts w:hint="eastAsia" w:hAnsi="宋体"/>
                <w:szCs w:val="21"/>
              </w:rPr>
              <w:t>4</w:t>
            </w:r>
          </w:p>
        </w:tc>
        <w:tc>
          <w:tcPr>
            <w:tcW w:w="1628" w:type="dxa"/>
            <w:vAlign w:val="center"/>
          </w:tcPr>
          <w:p>
            <w:p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语音报警触发模块</w:t>
            </w:r>
          </w:p>
        </w:tc>
        <w:tc>
          <w:tcPr>
            <w:tcW w:w="5183" w:type="dxa"/>
            <w:vAlign w:val="center"/>
          </w:tcPr>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IWDG,WWDG双重看门狗</w:t>
            </w:r>
          </w:p>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高性能32位ARM处理器，主频高达140MHZ</w:t>
            </w:r>
          </w:p>
          <w:p>
            <w:pPr>
              <w:numPr>
                <w:ilvl w:val="0"/>
                <w:numId w:val="3"/>
              </w:numPr>
              <w:spacing w:line="300" w:lineRule="auto"/>
              <w:jc w:val="left"/>
              <w:rPr>
                <w:rFonts w:hAnsi="宋体" w:cs="宋体"/>
                <w:color w:val="000000"/>
                <w:kern w:val="0"/>
                <w:sz w:val="22"/>
                <w:szCs w:val="22"/>
                <w:lang w:bidi="ar"/>
              </w:rPr>
            </w:pPr>
            <w:r>
              <w:rPr>
                <w:rFonts w:hint="eastAsia" w:hAnsi="宋体" w:cs="宋体"/>
                <w:color w:val="000000"/>
                <w:kern w:val="0"/>
                <w:sz w:val="22"/>
                <w:szCs w:val="22"/>
                <w:lang w:bidi="ar"/>
              </w:rPr>
              <w:t>内置BUCK同步整流电源电路</w:t>
            </w:r>
          </w:p>
          <w:p>
            <w:pPr>
              <w:numPr>
                <w:ilvl w:val="0"/>
                <w:numId w:val="3"/>
              </w:num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支持同时输出4路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pPr>
              <w:spacing w:line="300" w:lineRule="auto"/>
              <w:jc w:val="center"/>
              <w:rPr>
                <w:rFonts w:hint="eastAsia" w:hAnsi="宋体"/>
                <w:szCs w:val="21"/>
              </w:rPr>
            </w:pPr>
            <w:r>
              <w:rPr>
                <w:rFonts w:hint="eastAsia" w:hAnsi="宋体"/>
                <w:szCs w:val="21"/>
              </w:rPr>
              <w:t>5</w:t>
            </w:r>
          </w:p>
        </w:tc>
        <w:tc>
          <w:tcPr>
            <w:tcW w:w="1628" w:type="dxa"/>
            <w:vAlign w:val="center"/>
          </w:tcPr>
          <w:p>
            <w:pPr>
              <w:spacing w:line="300" w:lineRule="auto"/>
              <w:jc w:val="left"/>
              <w:rPr>
                <w:rFonts w:hint="eastAsia" w:hAnsi="宋体" w:cs="宋体"/>
                <w:color w:val="000000"/>
                <w:kern w:val="0"/>
                <w:sz w:val="22"/>
                <w:szCs w:val="22"/>
                <w:lang w:bidi="ar"/>
              </w:rPr>
            </w:pPr>
            <w:r>
              <w:rPr>
                <w:rFonts w:hint="eastAsia" w:hAnsi="宋体" w:cs="宋体"/>
                <w:color w:val="000000"/>
                <w:kern w:val="0"/>
                <w:sz w:val="22"/>
                <w:szCs w:val="22"/>
                <w:lang w:bidi="ar"/>
              </w:rPr>
              <w:t>网络架构</w:t>
            </w:r>
          </w:p>
        </w:tc>
        <w:tc>
          <w:tcPr>
            <w:tcW w:w="5183" w:type="dxa"/>
            <w:vAlign w:val="center"/>
          </w:tcPr>
          <w:p>
            <w:pPr>
              <w:spacing w:line="300" w:lineRule="auto"/>
              <w:jc w:val="left"/>
              <w:rPr>
                <w:rFonts w:hint="eastAsia" w:hAnsi="宋体" w:cs="宋体"/>
                <w:color w:val="000000"/>
                <w:kern w:val="0"/>
                <w:sz w:val="22"/>
                <w:szCs w:val="22"/>
                <w:lang w:bidi="ar"/>
              </w:rPr>
            </w:pPr>
            <w:r>
              <w:rPr>
                <w:rFonts w:hint="eastAsia"/>
                <w:szCs w:val="21"/>
              </w:rPr>
              <w:t>采用mesh网络采用算法加密，可以设定时间窗口，采集时间窗口内mesh网络的运行时序数据和业务请求时序数据，网络运行时序数据包括每个mesh网络节点的剩余能量、节点间的链路质量和各链路的当前带宽使用率数据，业务请求时序数据包括所有业务的数据量。确保一个发射端信号同时到达多个接收端</w:t>
            </w:r>
          </w:p>
        </w:tc>
      </w:tr>
    </w:tbl>
    <w:p>
      <w:pPr>
        <w:rPr>
          <w:rFonts w:hint="eastAsia"/>
          <w:lang w:val="en-US"/>
        </w:rPr>
      </w:pPr>
      <w:r>
        <w:rPr>
          <w:rFonts w:hint="eastAsia"/>
          <w:lang w:val="en-US"/>
        </w:rPr>
        <w:t xml:space="preserve">     </w:t>
      </w:r>
    </w:p>
    <w:p>
      <w:pPr>
        <w:spacing w:before="156" w:beforeLines="50" w:after="156" w:afterLines="50" w:line="360" w:lineRule="auto"/>
        <w:ind w:firstLine="480" w:firstLineChars="200"/>
        <w:jc w:val="left"/>
        <w:rPr>
          <w:rFonts w:hint="eastAsia"/>
          <w:sz w:val="24"/>
        </w:rPr>
      </w:pPr>
      <w:r>
        <w:rPr>
          <w:rFonts w:hint="eastAsia" w:ascii="Calibri" w:hAnsi="Calibri"/>
          <w:sz w:val="24"/>
          <w:u w:val="single"/>
        </w:rPr>
        <w:t>预计采购金额材料费0.7万元，加工测试费2.3万元，服务期限自合同</w:t>
      </w:r>
      <w:r>
        <w:rPr>
          <w:rFonts w:hint="eastAsia" w:ascii="宋体" w:hAnsi="宋体" w:cs="宋体"/>
          <w:bCs/>
          <w:sz w:val="24"/>
          <w:u w:val="single"/>
        </w:rPr>
        <w:t>生效之日起3个月。</w:t>
      </w:r>
    </w:p>
    <w:p>
      <w:pPr>
        <w:spacing w:line="360" w:lineRule="auto"/>
        <w:ind w:firstLine="239" w:firstLineChars="99"/>
        <w:rPr>
          <w:rFonts w:hint="eastAsia" w:ascii="宋体" w:hAnsi="宋体" w:eastAsia="宋体" w:cs="宋体"/>
          <w:b/>
          <w:bCs/>
          <w:kern w:val="0"/>
          <w:sz w:val="24"/>
        </w:rPr>
      </w:pPr>
      <w:r>
        <w:rPr>
          <w:rFonts w:hint="eastAsia" w:ascii="宋体" w:hAnsi="宋体" w:eastAsia="宋体" w:cs="宋体"/>
          <w:b/>
          <w:bCs/>
          <w:kern w:val="0"/>
          <w:sz w:val="24"/>
        </w:rPr>
        <w:t>2.2</w:t>
      </w:r>
      <w:r>
        <w:rPr>
          <w:rFonts w:ascii="宋体" w:hAnsi="宋体" w:eastAsia="宋体" w:cs="宋体"/>
          <w:b/>
          <w:bCs/>
          <w:kern w:val="0"/>
          <w:sz w:val="24"/>
        </w:rPr>
        <w:t>期限要求</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2025年10月30日前，完成全部内容，并送到指定地点。</w:t>
      </w:r>
    </w:p>
    <w:p>
      <w:pPr>
        <w:spacing w:line="360" w:lineRule="auto"/>
        <w:ind w:firstLine="239" w:firstLineChars="99"/>
        <w:rPr>
          <w:rFonts w:hint="eastAsia" w:ascii="宋体" w:hAnsi="宋体" w:eastAsia="宋体" w:cs="宋体"/>
          <w:b/>
          <w:bCs/>
          <w:kern w:val="0"/>
          <w:sz w:val="24"/>
        </w:rPr>
      </w:pPr>
      <w:r>
        <w:rPr>
          <w:rFonts w:hint="eastAsia" w:ascii="宋体" w:hAnsi="宋体" w:eastAsia="宋体" w:cs="宋体"/>
          <w:b/>
          <w:bCs/>
          <w:kern w:val="0"/>
          <w:sz w:val="24"/>
        </w:rPr>
        <w:t>2.3现场调试服务</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现场必要的调试、测试、试验技术服务、包括不限于功能测试、性能验证、现场技术服务支持等。</w:t>
      </w:r>
    </w:p>
    <w:p>
      <w:pPr>
        <w:spacing w:line="360" w:lineRule="auto"/>
        <w:ind w:firstLine="239" w:firstLineChars="99"/>
        <w:rPr>
          <w:rFonts w:ascii="宋体" w:hAnsi="宋体" w:eastAsia="宋体" w:cs="宋体"/>
          <w:b/>
          <w:bCs/>
          <w:kern w:val="0"/>
          <w:sz w:val="24"/>
        </w:rPr>
      </w:pPr>
      <w:r>
        <w:rPr>
          <w:rFonts w:hint="eastAsia" w:ascii="宋体" w:hAnsi="宋体" w:eastAsia="宋体" w:cs="宋体"/>
          <w:b/>
          <w:bCs/>
          <w:kern w:val="0"/>
          <w:sz w:val="24"/>
        </w:rPr>
        <w:t>2.4</w:t>
      </w:r>
      <w:r>
        <w:rPr>
          <w:rFonts w:ascii="宋体" w:hAnsi="宋体" w:eastAsia="宋体" w:cs="宋体"/>
          <w:b/>
          <w:bCs/>
          <w:kern w:val="0"/>
          <w:sz w:val="24"/>
        </w:rPr>
        <w:t>其他要求</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1、供应商需配合甲方在测试加工期内至少完成1项发明专利底稿撰写，直至申请受理和实审、回复专利答疑等；</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 xml:space="preserve"> 2、供应商须承诺安排正式员工专职与甲方对接跟进项目工作，并配合项目开展试点应用工作，进行现场交流、确认实施方案、现场测试、项目验收等。</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 xml:space="preserve"> 3、供应商需配合完成项目相关技术资料编写，包含但不限于整套图纸设计、材料采购、加工、测试、技术总结报告、工作总结报告、项目验收资料等；</w:t>
      </w:r>
    </w:p>
    <w:p>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 xml:space="preserve"> 4、甲方会结合现场应用场景，综合评估技术方案、设计图，可能会做适当合理调整项目设计方案、功能软件、零部件模块加工测试等，最终以甲方审核确定的方案为准。</w:t>
      </w:r>
    </w:p>
    <w:p>
      <w:pPr>
        <w:spacing w:line="360" w:lineRule="auto"/>
        <w:ind w:firstLine="237" w:firstLineChars="99"/>
        <w:rPr>
          <w:rFonts w:ascii="宋体" w:hAnsi="宋体" w:eastAsia="宋体" w:cs="宋体"/>
          <w:kern w:val="0"/>
          <w:sz w:val="24"/>
        </w:rPr>
      </w:pPr>
      <w:r>
        <w:rPr>
          <w:rFonts w:hint="eastAsia" w:ascii="宋体" w:hAnsi="宋体" w:eastAsia="宋体" w:cs="宋体"/>
          <w:kern w:val="0"/>
          <w:sz w:val="24"/>
        </w:rPr>
        <w:t>5、供应商如果不能按时按质完成，将按照南方电网公司相关规定对供应商采取相关处罚。</w:t>
      </w:r>
    </w:p>
    <w:p>
      <w:pPr>
        <w:pStyle w:val="2"/>
        <w:spacing w:line="360" w:lineRule="auto"/>
        <w:rPr>
          <w:rFonts w:hint="eastAsia"/>
        </w:rPr>
      </w:pPr>
    </w:p>
    <w:p>
      <w:pPr>
        <w:spacing w:line="360" w:lineRule="auto"/>
        <w:outlineLvl w:val="1"/>
        <w:rPr>
          <w:rFonts w:ascii="宋体" w:hAnsi="宋体" w:cs="宋体"/>
          <w:sz w:val="24"/>
        </w:rPr>
      </w:pPr>
      <w:r>
        <w:rPr>
          <w:rFonts w:hint="eastAsia" w:cs="宋体" w:asciiTheme="minorEastAsia" w:hAnsiTheme="minorEastAsia"/>
          <w:sz w:val="24"/>
        </w:rPr>
        <w:t>★</w:t>
      </w:r>
      <w:r>
        <w:rPr>
          <w:rFonts w:hint="eastAsia" w:ascii="宋体" w:hAnsi="宋体" w:cs="宋体"/>
          <w:sz w:val="24"/>
        </w:rPr>
        <w:t>资格条件：</w:t>
      </w:r>
    </w:p>
    <w:p>
      <w:pPr>
        <w:spacing w:line="360" w:lineRule="auto"/>
        <w:outlineLvl w:val="1"/>
        <w:rPr>
          <w:rFonts w:ascii="宋体" w:hAnsi="宋体" w:cs="宋体"/>
          <w:sz w:val="24"/>
        </w:rPr>
      </w:pPr>
      <w:r>
        <w:rPr>
          <w:rFonts w:hint="eastAsia" w:ascii="宋体" w:hAnsi="宋体" w:cs="宋体"/>
          <w:sz w:val="24"/>
        </w:rPr>
        <w:t xml:space="preserve">1.供应商注册资金不能低于500万  </w:t>
      </w:r>
    </w:p>
    <w:p>
      <w:pPr>
        <w:spacing w:line="360" w:lineRule="auto"/>
        <w:outlineLvl w:val="1"/>
        <w:rPr>
          <w:rFonts w:hint="eastAsia" w:ascii="宋体" w:hAnsi="宋体" w:cs="宋体"/>
          <w:sz w:val="24"/>
        </w:rPr>
      </w:pPr>
      <w:r>
        <w:rPr>
          <w:rFonts w:hint="eastAsia" w:ascii="宋体" w:hAnsi="宋体" w:cs="宋体"/>
          <w:sz w:val="24"/>
        </w:rPr>
        <w:t>2.提供至少一份南网职创合同或者中标通知书。</w:t>
      </w:r>
    </w:p>
    <w:p>
      <w:pPr>
        <w:rPr>
          <w:rFonts w:hint="eastAsia"/>
        </w:rPr>
      </w:pPr>
      <w:r>
        <w:rPr>
          <w:rFonts w:hint="eastAsia"/>
        </w:rPr>
        <w:t>3.提交项目方案。</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雅?">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2F2C90"/>
    <w:multiLevelType w:val="singleLevel"/>
    <w:tmpl w:val="A02F2C90"/>
    <w:lvl w:ilvl="0" w:tentative="0">
      <w:start w:val="2"/>
      <w:numFmt w:val="decimal"/>
      <w:suff w:val="nothing"/>
      <w:lvlText w:val="%1、"/>
      <w:lvlJc w:val="left"/>
    </w:lvl>
  </w:abstractNum>
  <w:abstractNum w:abstractNumId="1">
    <w:nsid w:val="0A922524"/>
    <w:multiLevelType w:val="multilevel"/>
    <w:tmpl w:val="0A92252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250153B5"/>
    <w:multiLevelType w:val="multilevel"/>
    <w:tmpl w:val="250153B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43751D60"/>
    <w:multiLevelType w:val="multilevel"/>
    <w:tmpl w:val="43751D60"/>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D260B"/>
    <w:rsid w:val="000807F1"/>
    <w:rsid w:val="000B13DA"/>
    <w:rsid w:val="000B19F3"/>
    <w:rsid w:val="000E5272"/>
    <w:rsid w:val="00182443"/>
    <w:rsid w:val="00191F36"/>
    <w:rsid w:val="002074F9"/>
    <w:rsid w:val="002352B2"/>
    <w:rsid w:val="00252126"/>
    <w:rsid w:val="00321492"/>
    <w:rsid w:val="00327814"/>
    <w:rsid w:val="00397762"/>
    <w:rsid w:val="00401CEA"/>
    <w:rsid w:val="00404E3D"/>
    <w:rsid w:val="004E2A11"/>
    <w:rsid w:val="006A5053"/>
    <w:rsid w:val="00875F95"/>
    <w:rsid w:val="009C4223"/>
    <w:rsid w:val="009D01E1"/>
    <w:rsid w:val="00A122E4"/>
    <w:rsid w:val="00AA400E"/>
    <w:rsid w:val="00B46C07"/>
    <w:rsid w:val="00CA3F5C"/>
    <w:rsid w:val="00D21F36"/>
    <w:rsid w:val="00D43BB9"/>
    <w:rsid w:val="00D668F3"/>
    <w:rsid w:val="00D70CE6"/>
    <w:rsid w:val="00D9069E"/>
    <w:rsid w:val="00DA60B1"/>
    <w:rsid w:val="00DF29F7"/>
    <w:rsid w:val="00F1739E"/>
    <w:rsid w:val="00F4640E"/>
    <w:rsid w:val="114933F8"/>
    <w:rsid w:val="224B3501"/>
    <w:rsid w:val="380D260B"/>
    <w:rsid w:val="3BCC06B4"/>
    <w:rsid w:val="3E8C68AA"/>
    <w:rsid w:val="4C2547C3"/>
    <w:rsid w:val="50B5644D"/>
    <w:rsid w:val="5668464E"/>
    <w:rsid w:val="5FF3530B"/>
    <w:rsid w:val="6B890516"/>
    <w:rsid w:val="76994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next w:val="1"/>
    <w:uiPriority w:val="0"/>
    <w:pPr>
      <w:spacing w:after="120"/>
    </w:pPr>
    <w:rPr>
      <w:rFonts w:ascii="Calibri" w:hAnsi="Calibri"/>
      <w:kern w:val="0"/>
      <w:sz w:val="20"/>
      <w:szCs w:val="20"/>
    </w:r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link w:val="7"/>
    <w:qFormat/>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1131</Words>
  <Characters>1211</Characters>
  <Lines>63</Lines>
  <Paragraphs>65</Paragraphs>
  <TotalTime>1452</TotalTime>
  <ScaleCrop>false</ScaleCrop>
  <LinksUpToDate>false</LinksUpToDate>
  <CharactersWithSpaces>2277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2025-06-30T02:16:00Z</dcterms:created>
  <dc:creator>范姝仪</dc:creator>
  <cp:lastModifiedBy>liuyang1</cp:lastModifiedBy>
  <dcterms:modified xsi:type="dcterms:W3CDTF">2025-08-21T06:15:34Z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76BAFFCDB2114EE590A757E0DC6F8542</vt:lpwstr>
  </property>
</Properties>
</file>