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387C44">
      <w:pPr>
        <w:spacing w:line="440" w:lineRule="exact"/>
        <w:jc w:val="center"/>
        <w:rPr>
          <w:rFonts w:hint="eastAsia" w:ascii="方正小标宋_GBK" w:hAnsi="方正小标宋_GBK" w:eastAsia="方正小标宋_GBK" w:cs="方正小标宋_GBK"/>
          <w:b/>
          <w:bCs/>
          <w:sz w:val="36"/>
          <w:szCs w:val="36"/>
          <w:lang w:val="en-US" w:eastAsia="zh-CN"/>
        </w:rPr>
      </w:pPr>
      <w:r>
        <w:rPr>
          <w:rFonts w:hint="eastAsia" w:ascii="方正小标宋_GBK" w:hAnsi="方正小标宋_GBK" w:eastAsia="方正小标宋_GBK" w:cs="方正小标宋_GBK"/>
          <w:b/>
          <w:bCs/>
          <w:sz w:val="36"/>
          <w:szCs w:val="36"/>
          <w:lang w:val="en-US" w:eastAsia="zh-CN"/>
        </w:rPr>
        <w:t>广州新致力能源科技有限公司2025年团体人身意外伤害保险</w:t>
      </w:r>
      <w:r>
        <w:rPr>
          <w:rFonts w:hint="eastAsia" w:ascii="方正小标宋_GBK" w:hAnsi="方正小标宋_GBK" w:eastAsia="方正小标宋_GBK" w:cs="方正小标宋_GBK"/>
          <w:b/>
          <w:bCs/>
          <w:sz w:val="36"/>
          <w:szCs w:val="36"/>
        </w:rPr>
        <w:t>零星采购</w:t>
      </w:r>
      <w:r>
        <w:rPr>
          <w:rFonts w:hint="eastAsia" w:ascii="方正小标宋_GBK" w:hAnsi="方正小标宋_GBK" w:eastAsia="方正小标宋_GBK" w:cs="方正小标宋_GBK"/>
          <w:b/>
          <w:bCs/>
          <w:sz w:val="36"/>
          <w:szCs w:val="36"/>
          <w:lang w:val="en-US" w:eastAsia="zh-CN"/>
        </w:rPr>
        <w:t>技术要求</w:t>
      </w:r>
    </w:p>
    <w:tbl>
      <w:tblPr>
        <w:tblStyle w:val="7"/>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448"/>
        <w:gridCol w:w="787"/>
        <w:gridCol w:w="2740"/>
        <w:gridCol w:w="2312"/>
        <w:gridCol w:w="782"/>
        <w:gridCol w:w="782"/>
      </w:tblGrid>
      <w:tr w14:paraId="627B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10" w:hRule="atLeast"/>
          <w:jc w:val="center"/>
        </w:trPr>
        <w:tc>
          <w:tcPr>
            <w:tcW w:w="1448" w:type="dxa"/>
            <w:vMerge w:val="restart"/>
            <w:tcBorders>
              <w:tl2br w:val="nil"/>
              <w:tr2bl w:val="nil"/>
            </w:tcBorders>
            <w:shd w:val="clear" w:color="auto" w:fill="FFFFFF" w:themeFill="background1"/>
            <w:vAlign w:val="center"/>
          </w:tcPr>
          <w:p w14:paraId="001933B0">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787" w:type="dxa"/>
            <w:tcBorders>
              <w:tl2br w:val="nil"/>
              <w:tr2bl w:val="nil"/>
            </w:tcBorders>
            <w:shd w:val="clear" w:color="auto" w:fill="FFFFFF" w:themeFill="background1"/>
            <w:vAlign w:val="center"/>
          </w:tcPr>
          <w:p w14:paraId="1B5ED6B9">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2740" w:type="dxa"/>
            <w:tcBorders>
              <w:tl2br w:val="nil"/>
              <w:tr2bl w:val="nil"/>
            </w:tcBorders>
            <w:shd w:val="clear" w:color="auto" w:fill="FFFFFF" w:themeFill="background1"/>
            <w:vAlign w:val="center"/>
          </w:tcPr>
          <w:p w14:paraId="6858F475">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2312" w:type="dxa"/>
            <w:tcBorders>
              <w:tl2br w:val="nil"/>
              <w:tr2bl w:val="nil"/>
            </w:tcBorders>
            <w:shd w:val="clear" w:color="auto" w:fill="FFFFFF" w:themeFill="background1"/>
            <w:vAlign w:val="center"/>
          </w:tcPr>
          <w:p w14:paraId="227B8483">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w:t>
            </w:r>
          </w:p>
        </w:tc>
        <w:tc>
          <w:tcPr>
            <w:tcW w:w="782" w:type="dxa"/>
            <w:tcBorders>
              <w:tl2br w:val="nil"/>
              <w:tr2bl w:val="nil"/>
            </w:tcBorders>
            <w:shd w:val="clear" w:color="auto" w:fill="FFFFFF" w:themeFill="background1"/>
            <w:vAlign w:val="center"/>
          </w:tcPr>
          <w:p w14:paraId="654593DC">
            <w:pPr>
              <w:spacing w:line="200" w:lineRule="exact"/>
              <w:jc w:val="center"/>
              <w:rPr>
                <w:rFonts w:hint="eastAsia" w:asciiTheme="minorEastAsia" w:hAnsiTheme="minorEastAsia" w:eastAsiaTheme="minorEastAsia" w:cstheme="minorEastAsia"/>
                <w:b/>
                <w:bCs/>
                <w:sz w:val="18"/>
                <w:szCs w:val="18"/>
                <w:lang w:eastAsia="zh-CN"/>
              </w:rPr>
            </w:pPr>
            <w:r>
              <w:rPr>
                <w:rFonts w:hint="eastAsia" w:asciiTheme="minorEastAsia" w:hAnsiTheme="minorEastAsia" w:eastAsiaTheme="minorEastAsia" w:cstheme="minorEastAsia"/>
                <w:b/>
                <w:bCs/>
                <w:sz w:val="18"/>
                <w:szCs w:val="18"/>
                <w:lang w:val="en-US" w:eastAsia="zh-CN"/>
              </w:rPr>
              <w:t>人数</w:t>
            </w:r>
          </w:p>
        </w:tc>
        <w:tc>
          <w:tcPr>
            <w:tcW w:w="782" w:type="dxa"/>
            <w:tcBorders>
              <w:tl2br w:val="nil"/>
              <w:tr2bl w:val="nil"/>
            </w:tcBorders>
            <w:shd w:val="clear" w:color="auto" w:fill="FFFFFF" w:themeFill="background1"/>
            <w:vAlign w:val="center"/>
          </w:tcPr>
          <w:p w14:paraId="6497FC5E">
            <w:pPr>
              <w:spacing w:line="200" w:lineRule="exact"/>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color w:val="000000" w:themeColor="text1"/>
                <w:sz w:val="18"/>
                <w:szCs w:val="18"/>
                <w:lang w:val="en-US" w:eastAsia="zh-CN"/>
                <w14:textFill>
                  <w14:solidFill>
                    <w14:schemeClr w14:val="tx1"/>
                  </w14:solidFill>
                </w14:textFill>
              </w:rPr>
              <w:t>投保时长</w:t>
            </w:r>
          </w:p>
        </w:tc>
      </w:tr>
      <w:tr w14:paraId="1194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48" w:type="dxa"/>
            <w:vMerge w:val="continue"/>
            <w:tcBorders>
              <w:tl2br w:val="nil"/>
              <w:tr2bl w:val="nil"/>
            </w:tcBorders>
            <w:shd w:val="clear" w:color="auto" w:fill="FFFFFF" w:themeFill="background1"/>
            <w:vAlign w:val="center"/>
          </w:tcPr>
          <w:p w14:paraId="433C4FC4">
            <w:pPr>
              <w:snapToGrid w:val="0"/>
              <w:spacing w:line="200" w:lineRule="exact"/>
              <w:jc w:val="center"/>
              <w:rPr>
                <w:rFonts w:asciiTheme="minorEastAsia" w:hAnsiTheme="minorEastAsia" w:eastAsiaTheme="minorEastAsia" w:cstheme="minorEastAsia"/>
                <w:sz w:val="18"/>
                <w:szCs w:val="18"/>
              </w:rPr>
            </w:pPr>
          </w:p>
        </w:tc>
        <w:tc>
          <w:tcPr>
            <w:tcW w:w="787" w:type="dxa"/>
            <w:tcBorders>
              <w:tl2br w:val="nil"/>
              <w:tr2bl w:val="nil"/>
            </w:tcBorders>
            <w:shd w:val="clear" w:color="auto" w:fill="FFFFFF" w:themeFill="background1"/>
            <w:vAlign w:val="center"/>
          </w:tcPr>
          <w:p w14:paraId="0B8D27EE">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1</w:t>
            </w:r>
          </w:p>
        </w:tc>
        <w:tc>
          <w:tcPr>
            <w:tcW w:w="2740" w:type="dxa"/>
            <w:tcBorders>
              <w:tl2br w:val="nil"/>
              <w:tr2bl w:val="nil"/>
            </w:tcBorders>
            <w:shd w:val="clear" w:color="auto" w:fill="FFFFFF" w:themeFill="background1"/>
            <w:vAlign w:val="center"/>
          </w:tcPr>
          <w:p w14:paraId="2A2B6B7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广州新致力能源科技有限公司2025年团体人身意外伤害保险</w:t>
            </w:r>
          </w:p>
        </w:tc>
        <w:tc>
          <w:tcPr>
            <w:tcW w:w="2312" w:type="dxa"/>
            <w:tcBorders>
              <w:tl2br w:val="nil"/>
              <w:tr2bl w:val="nil"/>
            </w:tcBorders>
            <w:shd w:val="clear" w:color="auto" w:fill="FFFFFF" w:themeFill="background1"/>
            <w:vAlign w:val="center"/>
          </w:tcPr>
          <w:p w14:paraId="61B9346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eastAsia"/>
                <w:lang w:val="en-US" w:eastAsia="zh-CN"/>
              </w:rPr>
            </w:pPr>
          </w:p>
          <w:p w14:paraId="08E280D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eastAsia"/>
                <w:lang w:val="en-US" w:eastAsia="zh-CN"/>
              </w:rPr>
            </w:pPr>
            <w:r>
              <w:rPr>
                <w:rFonts w:hint="eastAsia"/>
                <w:lang w:val="en-US" w:eastAsia="zh-CN"/>
              </w:rPr>
              <w:t>1.团体人身意外伤害保险：100万元/人。</w:t>
            </w:r>
          </w:p>
          <w:p w14:paraId="5E75418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eastAsia"/>
                <w:lang w:val="en-US" w:eastAsia="zh-CN"/>
              </w:rPr>
            </w:pPr>
            <w:r>
              <w:rPr>
                <w:rFonts w:hint="eastAsia"/>
                <w:lang w:val="en-US" w:eastAsia="zh-CN"/>
              </w:rPr>
              <w:t>2.附加突发疾病身故：100万元/人。</w:t>
            </w:r>
          </w:p>
          <w:p w14:paraId="2B861AF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3.附加企事业体育运动100</w:t>
            </w:r>
            <w:r>
              <w:rPr>
                <w:rFonts w:hint="default" w:ascii="Times New Roman" w:hAnsi="Times New Roman" w:eastAsia="宋体" w:cs="Times New Roman"/>
                <w:lang w:val="en-US" w:eastAsia="zh-CN"/>
              </w:rPr>
              <w:t>万元</w:t>
            </w:r>
            <w:r>
              <w:rPr>
                <w:rFonts w:hint="eastAsia" w:ascii="Times New Roman" w:hAnsi="Times New Roman" w:eastAsia="宋体" w:cs="Times New Roman"/>
                <w:lang w:val="en-US" w:eastAsia="zh-CN"/>
              </w:rPr>
              <w:t>/</w:t>
            </w:r>
            <w:r>
              <w:rPr>
                <w:rFonts w:hint="default" w:ascii="Times New Roman" w:hAnsi="Times New Roman" w:eastAsia="宋体" w:cs="Times New Roman"/>
                <w:lang w:val="en-US" w:eastAsia="zh-CN"/>
              </w:rPr>
              <w:t>人</w:t>
            </w:r>
          </w:p>
          <w:p w14:paraId="6A58866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4.附加意外伤害住院津贴：300元/天（免赔天数0天，累计不超过180天）。</w:t>
            </w:r>
          </w:p>
          <w:p w14:paraId="5C211D1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left="0" w:leftChars="0" w:right="0" w:rightChars="0" w:firstLine="0" w:firstLineChars="0"/>
              <w:jc w:val="both"/>
              <w:textAlignment w:val="auto"/>
              <w:outlineLvl w:val="9"/>
              <w:rPr>
                <w:rFonts w:hint="default"/>
                <w:lang w:val="en-US" w:eastAsia="zh-CN"/>
              </w:rPr>
            </w:pPr>
            <w:r>
              <w:rPr>
                <w:rFonts w:hint="eastAsia" w:ascii="Times New Roman" w:hAnsi="Times New Roman" w:eastAsia="宋体" w:cs="Times New Roman"/>
                <w:lang w:val="en-US" w:eastAsia="zh-CN"/>
              </w:rPr>
              <w:t>5.</w:t>
            </w:r>
            <w:r>
              <w:rPr>
                <w:rFonts w:hint="default" w:ascii="Times New Roman" w:hAnsi="Times New Roman" w:eastAsia="宋体" w:cs="Times New Roman"/>
                <w:lang w:val="en-US" w:eastAsia="zh-CN"/>
              </w:rPr>
              <w:t>附加传染病身故：50万元</w:t>
            </w:r>
            <w:r>
              <w:rPr>
                <w:rFonts w:hint="eastAsia" w:ascii="Times New Roman" w:hAnsi="Times New Roman" w:eastAsia="宋体" w:cs="Times New Roman"/>
                <w:lang w:val="en-US" w:eastAsia="zh-CN"/>
              </w:rPr>
              <w:t>/</w:t>
            </w:r>
            <w:r>
              <w:rPr>
                <w:rFonts w:hint="default" w:ascii="Times New Roman" w:hAnsi="Times New Roman" w:eastAsia="宋体" w:cs="Times New Roman"/>
                <w:lang w:val="en-US" w:eastAsia="zh-CN"/>
              </w:rPr>
              <w:t>人</w:t>
            </w:r>
          </w:p>
        </w:tc>
        <w:tc>
          <w:tcPr>
            <w:tcW w:w="782" w:type="dxa"/>
            <w:tcBorders>
              <w:tl2br w:val="nil"/>
              <w:tr2bl w:val="nil"/>
            </w:tcBorders>
            <w:shd w:val="clear" w:color="auto" w:fill="FFFFFF" w:themeFill="background1"/>
            <w:vAlign w:val="center"/>
          </w:tcPr>
          <w:p w14:paraId="77DF7F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right="0" w:rightChars="0"/>
              <w:jc w:val="both"/>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预计25人</w:t>
            </w:r>
          </w:p>
        </w:tc>
        <w:tc>
          <w:tcPr>
            <w:tcW w:w="782" w:type="dxa"/>
            <w:tcBorders>
              <w:tl2br w:val="nil"/>
              <w:tr2bl w:val="nil"/>
            </w:tcBorders>
            <w:shd w:val="clear" w:color="auto" w:fill="FFFFFF" w:themeFill="background1"/>
            <w:vAlign w:val="center"/>
          </w:tcPr>
          <w:p w14:paraId="018B75C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exact"/>
              <w:ind w:right="0" w:right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预计</w:t>
            </w:r>
            <w:r>
              <w:rPr>
                <w:rFonts w:hint="eastAsia" w:asciiTheme="minorEastAsia" w:hAnsiTheme="minorEastAsia" w:eastAsiaTheme="minorEastAsia" w:cstheme="minorEastAsia"/>
                <w:b w:val="0"/>
                <w:bCs w:val="0"/>
                <w:color w:val="000000" w:themeColor="text1"/>
                <w:kern w:val="2"/>
                <w:sz w:val="18"/>
                <w:szCs w:val="18"/>
                <w:highlight w:val="none"/>
                <w:lang w:val="en-US" w:eastAsia="zh-CN" w:bidi="ar-SA"/>
                <w14:textFill>
                  <w14:solidFill>
                    <w14:schemeClr w14:val="tx1"/>
                  </w14:solidFill>
                </w14:textFill>
              </w:rPr>
              <w:t>5个月</w:t>
            </w:r>
          </w:p>
        </w:tc>
      </w:tr>
    </w:tbl>
    <w:p w14:paraId="4FD910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val="en-US" w:eastAsia="zh-CN"/>
        </w:rPr>
        <w:t>一、保险服务相关要求</w:t>
      </w:r>
    </w:p>
    <w:p w14:paraId="0D5FA5A1">
      <w:pPr>
        <w:pStyle w:val="2"/>
        <w:keepNext w:val="0"/>
        <w:keepLines w:val="0"/>
        <w:pageBreakBefore w:val="0"/>
        <w:widowControl w:val="0"/>
        <w:kinsoku/>
        <w:wordWrap/>
        <w:overflowPunct/>
        <w:topLinePunct w:val="0"/>
        <w:autoSpaceDE/>
        <w:autoSpaceDN/>
        <w:bidi w:val="0"/>
        <w:adjustRightInd/>
        <w:snapToGrid/>
        <w:spacing w:before="0" w:after="0" w:line="560" w:lineRule="exact"/>
        <w:ind w:leftChars="0" w:firstLine="619" w:firstLineChars="200"/>
        <w:jc w:val="both"/>
        <w:textAlignment w:val="auto"/>
        <w:outlineLvl w:val="9"/>
        <w:rPr>
          <w:rStyle w:val="10"/>
          <w:rFonts w:hint="eastAsia" w:ascii="楷体_GB2312" w:hAnsi="楷体_GB2312" w:eastAsia="楷体_GB2312" w:cs="楷体_GB2312"/>
          <w:b/>
          <w:bCs/>
          <w:spacing w:val="-6"/>
          <w:kern w:val="0"/>
          <w:sz w:val="32"/>
          <w:szCs w:val="32"/>
          <w:lang w:val="en-US" w:eastAsia="zh-CN" w:bidi="ar-SA"/>
        </w:rPr>
      </w:pPr>
      <w:r>
        <w:rPr>
          <w:rFonts w:hint="eastAsia" w:ascii="楷体_GB2312" w:hAnsi="楷体_GB2312" w:eastAsia="楷体_GB2312" w:cs="楷体_GB2312"/>
          <w:b/>
          <w:bCs/>
          <w:spacing w:val="-6"/>
          <w:sz w:val="32"/>
          <w:szCs w:val="32"/>
          <w:lang w:val="en-US" w:eastAsia="zh-CN"/>
        </w:rPr>
        <w:t>（一）</w:t>
      </w:r>
      <w:r>
        <w:rPr>
          <w:rStyle w:val="10"/>
          <w:rFonts w:hint="eastAsia" w:ascii="楷体_GB2312" w:hAnsi="楷体_GB2312" w:eastAsia="楷体_GB2312" w:cs="楷体_GB2312"/>
          <w:b/>
          <w:bCs/>
          <w:spacing w:val="-6"/>
          <w:kern w:val="0"/>
          <w:sz w:val="32"/>
          <w:szCs w:val="32"/>
          <w:lang w:val="en-US" w:eastAsia="zh-CN" w:bidi="ar-SA"/>
        </w:rPr>
        <w:t>保险险种（每人份中包含）</w:t>
      </w:r>
    </w:p>
    <w:p w14:paraId="06A77A5F">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Fonts w:hint="eastAsia" w:ascii="仿宋_GB2312" w:hAnsi="仿宋_GB2312" w:eastAsia="仿宋_GB2312" w:cs="仿宋_GB2312"/>
          <w:spacing w:val="-6"/>
          <w:kern w:val="2"/>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1.</w:t>
      </w:r>
      <w:r>
        <w:rPr>
          <w:rFonts w:hint="eastAsia" w:ascii="仿宋_GB2312" w:hAnsi="仿宋_GB2312" w:eastAsia="仿宋_GB2312" w:cs="仿宋_GB2312"/>
          <w:spacing w:val="-6"/>
          <w:kern w:val="2"/>
          <w:sz w:val="32"/>
          <w:szCs w:val="32"/>
          <w:lang w:val="en-US" w:eastAsia="zh-CN" w:bidi="ar-SA"/>
        </w:rPr>
        <w:t>团体人身意外伤害保险</w:t>
      </w:r>
    </w:p>
    <w:p w14:paraId="45C37BE0">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2.附加突发疾病身故保险</w:t>
      </w:r>
    </w:p>
    <w:p w14:paraId="56FB5359">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Fonts w:hint="eastAsia" w:ascii="仿宋_GB2312" w:hAnsi="仿宋_GB2312" w:eastAsia="仿宋_GB2312" w:cs="仿宋_GB2312"/>
          <w:spacing w:val="-6"/>
          <w:kern w:val="2"/>
          <w:sz w:val="32"/>
          <w:szCs w:val="32"/>
          <w:lang w:val="en-US" w:eastAsia="zh-CN" w:bidi="ar-SA"/>
        </w:rPr>
      </w:pPr>
      <w:r>
        <w:rPr>
          <w:rFonts w:hint="eastAsia" w:ascii="仿宋_GB2312" w:hAnsi="仿宋_GB2312" w:eastAsia="仿宋_GB2312" w:cs="仿宋_GB2312"/>
          <w:spacing w:val="-6"/>
          <w:kern w:val="2"/>
          <w:sz w:val="32"/>
          <w:szCs w:val="32"/>
          <w:lang w:val="en-US" w:eastAsia="zh-CN" w:bidi="ar-SA"/>
        </w:rPr>
        <w:t>3.附加企事业单位体育运动意外伤害保险</w:t>
      </w:r>
    </w:p>
    <w:p w14:paraId="300F1C11">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Fonts w:hint="default" w:ascii="仿宋_GB2312" w:hAnsi="仿宋_GB2312" w:eastAsia="仿宋_GB2312" w:cs="仿宋_GB2312"/>
          <w:spacing w:val="-6"/>
          <w:kern w:val="2"/>
          <w:sz w:val="32"/>
          <w:szCs w:val="32"/>
          <w:lang w:val="en-US" w:eastAsia="zh-CN" w:bidi="ar-SA"/>
        </w:rPr>
      </w:pPr>
      <w:r>
        <w:rPr>
          <w:rFonts w:hint="eastAsia" w:ascii="仿宋_GB2312" w:hAnsi="仿宋_GB2312" w:eastAsia="仿宋_GB2312" w:cs="仿宋_GB2312"/>
          <w:spacing w:val="-6"/>
          <w:kern w:val="2"/>
          <w:sz w:val="32"/>
          <w:szCs w:val="32"/>
          <w:lang w:val="en-US" w:eastAsia="zh-CN" w:bidi="ar-SA"/>
        </w:rPr>
        <w:t>4.</w:t>
      </w:r>
      <w:r>
        <w:rPr>
          <w:rFonts w:hint="default" w:ascii="仿宋_GB2312" w:hAnsi="仿宋_GB2312" w:eastAsia="仿宋_GB2312" w:cs="仿宋_GB2312"/>
          <w:spacing w:val="-6"/>
          <w:kern w:val="2"/>
          <w:sz w:val="32"/>
          <w:szCs w:val="32"/>
          <w:lang w:val="en-US" w:eastAsia="zh-CN" w:bidi="ar-SA"/>
        </w:rPr>
        <w:t>附加意外伤害住院津贴保险</w:t>
      </w:r>
    </w:p>
    <w:p w14:paraId="321D64D9">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Fonts w:hint="default" w:ascii="仿宋_GB2312" w:hAnsi="仿宋_GB2312" w:eastAsia="仿宋_GB2312" w:cs="仿宋_GB2312"/>
          <w:spacing w:val="-6"/>
          <w:kern w:val="2"/>
          <w:sz w:val="32"/>
          <w:szCs w:val="32"/>
          <w:lang w:val="en-US" w:eastAsia="zh-CN" w:bidi="ar-SA"/>
        </w:rPr>
      </w:pPr>
      <w:r>
        <w:rPr>
          <w:rFonts w:hint="eastAsia" w:ascii="仿宋_GB2312" w:hAnsi="仿宋_GB2312" w:eastAsia="仿宋_GB2312" w:cs="仿宋_GB2312"/>
          <w:spacing w:val="-6"/>
          <w:kern w:val="2"/>
          <w:sz w:val="32"/>
          <w:szCs w:val="32"/>
          <w:lang w:val="en-US" w:eastAsia="zh-CN" w:bidi="ar-SA"/>
        </w:rPr>
        <w:t>5.附加传染病身故和伤残保险</w:t>
      </w:r>
    </w:p>
    <w:p w14:paraId="7AAB668B">
      <w:pPr>
        <w:pStyle w:val="2"/>
        <w:keepNext w:val="0"/>
        <w:keepLines w:val="0"/>
        <w:pageBreakBefore w:val="0"/>
        <w:widowControl w:val="0"/>
        <w:kinsoku/>
        <w:wordWrap/>
        <w:overflowPunct/>
        <w:topLinePunct w:val="0"/>
        <w:autoSpaceDE/>
        <w:autoSpaceDN/>
        <w:bidi w:val="0"/>
        <w:adjustRightInd/>
        <w:snapToGrid/>
        <w:spacing w:before="0" w:after="0" w:line="560" w:lineRule="exact"/>
        <w:ind w:leftChars="0" w:firstLine="619" w:firstLineChars="200"/>
        <w:jc w:val="both"/>
        <w:textAlignment w:val="auto"/>
        <w:outlineLvl w:val="9"/>
        <w:rPr>
          <w:rFonts w:hint="eastAsia" w:ascii="楷体_GB2312" w:hAnsi="楷体_GB2312" w:eastAsia="楷体_GB2312" w:cs="楷体_GB2312"/>
          <w:b/>
          <w:bCs/>
          <w:spacing w:val="-6"/>
          <w:sz w:val="32"/>
          <w:szCs w:val="32"/>
          <w:lang w:val="en-US" w:eastAsia="zh-CN"/>
        </w:rPr>
      </w:pPr>
      <w:r>
        <w:rPr>
          <w:rFonts w:hint="eastAsia" w:ascii="楷体_GB2312" w:hAnsi="楷体_GB2312" w:eastAsia="楷体_GB2312" w:cs="楷体_GB2312"/>
          <w:b/>
          <w:bCs/>
          <w:spacing w:val="-6"/>
          <w:sz w:val="32"/>
          <w:szCs w:val="32"/>
          <w:lang w:val="en-US" w:eastAsia="zh-CN"/>
        </w:rPr>
        <w:t>（二）保险金额</w:t>
      </w:r>
    </w:p>
    <w:p w14:paraId="3D0110CB">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1.团体人身意外伤害保险：100万元/人。</w:t>
      </w:r>
    </w:p>
    <w:p w14:paraId="0DB39546">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2.附加突发疾病身故保险：100万元/人。</w:t>
      </w:r>
    </w:p>
    <w:p w14:paraId="7C1A88D8">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3.附加企事业单位体育运动意外伤害保险：10</w:t>
      </w:r>
      <w:r>
        <w:rPr>
          <w:rStyle w:val="10"/>
          <w:rFonts w:hint="default" w:ascii="仿宋_GB2312" w:hAnsi="仿宋_GB2312" w:eastAsia="仿宋_GB2312" w:cs="仿宋_GB2312"/>
          <w:b w:val="0"/>
          <w:bCs w:val="0"/>
          <w:spacing w:val="-6"/>
          <w:kern w:val="0"/>
          <w:sz w:val="32"/>
          <w:szCs w:val="32"/>
          <w:lang w:val="en-US" w:eastAsia="zh-CN" w:bidi="ar-SA"/>
        </w:rPr>
        <w:t>0万元</w:t>
      </w:r>
      <w:r>
        <w:rPr>
          <w:rStyle w:val="10"/>
          <w:rFonts w:hint="eastAsia" w:ascii="仿宋_GB2312" w:hAnsi="仿宋_GB2312" w:eastAsia="仿宋_GB2312" w:cs="仿宋_GB2312"/>
          <w:b w:val="0"/>
          <w:bCs w:val="0"/>
          <w:spacing w:val="-6"/>
          <w:kern w:val="0"/>
          <w:sz w:val="32"/>
          <w:szCs w:val="32"/>
          <w:lang w:val="en-US" w:eastAsia="zh-CN" w:bidi="ar-SA"/>
        </w:rPr>
        <w:t>/</w:t>
      </w:r>
      <w:r>
        <w:rPr>
          <w:rStyle w:val="10"/>
          <w:rFonts w:hint="default" w:ascii="仿宋_GB2312" w:hAnsi="仿宋_GB2312" w:eastAsia="仿宋_GB2312" w:cs="仿宋_GB2312"/>
          <w:b w:val="0"/>
          <w:bCs w:val="0"/>
          <w:spacing w:val="-6"/>
          <w:kern w:val="0"/>
          <w:sz w:val="32"/>
          <w:szCs w:val="32"/>
          <w:lang w:val="en-US" w:eastAsia="zh-CN" w:bidi="ar-SA"/>
        </w:rPr>
        <w:t>人</w:t>
      </w:r>
      <w:r>
        <w:rPr>
          <w:rStyle w:val="10"/>
          <w:rFonts w:hint="eastAsia" w:ascii="仿宋_GB2312" w:hAnsi="仿宋_GB2312" w:eastAsia="仿宋_GB2312" w:cs="仿宋_GB2312"/>
          <w:b w:val="0"/>
          <w:bCs w:val="0"/>
          <w:spacing w:val="-6"/>
          <w:kern w:val="0"/>
          <w:sz w:val="32"/>
          <w:szCs w:val="32"/>
          <w:lang w:val="en-US" w:eastAsia="zh-CN" w:bidi="ar-SA"/>
        </w:rPr>
        <w:t>。</w:t>
      </w:r>
    </w:p>
    <w:p w14:paraId="74F18F35">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4.附加意外伤害住院津贴保险：300元/天（免赔天数0天，累计不超过180天）。</w:t>
      </w:r>
    </w:p>
    <w:p w14:paraId="5E33E798">
      <w:pPr>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default"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5.附加传染病身故和伤残保险：50万元/人。</w:t>
      </w:r>
    </w:p>
    <w:p w14:paraId="6B4D2A6F">
      <w:pPr>
        <w:pStyle w:val="3"/>
        <w:rPr>
          <w:rFonts w:hint="default"/>
          <w:lang w:val="en-US" w:eastAsia="zh-CN"/>
        </w:rPr>
      </w:pPr>
    </w:p>
    <w:p w14:paraId="5116F073">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9" w:firstLineChars="200"/>
        <w:jc w:val="both"/>
        <w:textAlignment w:val="auto"/>
        <w:outlineLvl w:val="9"/>
        <w:rPr>
          <w:rFonts w:hint="eastAsia" w:ascii="楷体_GB2312" w:hAnsi="楷体_GB2312" w:eastAsia="楷体_GB2312" w:cs="楷体_GB2312"/>
          <w:b/>
          <w:bCs w:val="0"/>
          <w:spacing w:val="-6"/>
          <w:sz w:val="32"/>
          <w:szCs w:val="32"/>
          <w:lang w:val="en-US" w:eastAsia="zh-CN"/>
        </w:rPr>
      </w:pPr>
      <w:r>
        <w:rPr>
          <w:rFonts w:hint="eastAsia" w:ascii="楷体_GB2312" w:hAnsi="楷体_GB2312" w:eastAsia="楷体_GB2312" w:cs="楷体_GB2312"/>
          <w:b/>
          <w:bCs w:val="0"/>
          <w:spacing w:val="-6"/>
          <w:sz w:val="32"/>
          <w:szCs w:val="32"/>
          <w:lang w:val="en-US" w:eastAsia="zh-CN"/>
        </w:rPr>
        <w:t>（三）保险责任</w:t>
      </w:r>
    </w:p>
    <w:p w14:paraId="5C8C7452">
      <w:pPr>
        <w:pStyle w:val="5"/>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rPr>
          <w:rFonts w:hint="eastAsia" w:ascii="仿宋_GB2312" w:hAnsi="仿宋_GB2312" w:eastAsia="仿宋_GB2312" w:cs="仿宋_GB2312"/>
          <w:spacing w:val="-6"/>
          <w:kern w:val="2"/>
          <w:sz w:val="32"/>
          <w:szCs w:val="32"/>
          <w:lang w:val="en-US" w:eastAsia="zh-CN" w:bidi="ar-SA"/>
        </w:rPr>
      </w:pPr>
      <w:r>
        <w:rPr>
          <w:rFonts w:hint="eastAsia" w:hAnsi="仿宋_GB2312" w:cs="仿宋_GB2312"/>
          <w:spacing w:val="-6"/>
          <w:kern w:val="2"/>
          <w:sz w:val="32"/>
          <w:szCs w:val="32"/>
          <w:lang w:val="en-US" w:eastAsia="zh-CN" w:bidi="ar-SA"/>
        </w:rPr>
        <w:t>1.</w:t>
      </w:r>
      <w:r>
        <w:rPr>
          <w:rFonts w:hint="eastAsia" w:ascii="仿宋_GB2312" w:hAnsi="仿宋_GB2312" w:eastAsia="仿宋_GB2312" w:cs="仿宋_GB2312"/>
          <w:spacing w:val="-6"/>
          <w:kern w:val="2"/>
          <w:sz w:val="32"/>
          <w:szCs w:val="32"/>
          <w:lang w:val="en-US" w:eastAsia="zh-CN" w:bidi="ar-SA"/>
        </w:rPr>
        <w:t>团体人身意外伤害保险</w:t>
      </w:r>
    </w:p>
    <w:p w14:paraId="03FF3AD6">
      <w:pPr>
        <w:pStyle w:val="5"/>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rPr>
          <w:rFonts w:hint="eastAsia" w:ascii="仿宋_GB2312" w:hAnsi="仿宋_GB2312" w:eastAsia="仿宋_GB2312" w:cs="仿宋_GB2312"/>
          <w:spacing w:val="-6"/>
          <w:kern w:val="2"/>
          <w:sz w:val="32"/>
          <w:szCs w:val="32"/>
          <w:lang w:val="en-US" w:eastAsia="zh-CN" w:bidi="ar-SA"/>
        </w:rPr>
      </w:pPr>
      <w:r>
        <w:rPr>
          <w:rFonts w:hint="eastAsia" w:ascii="仿宋_GB2312" w:hAnsi="仿宋_GB2312" w:eastAsia="仿宋_GB2312" w:cs="仿宋_GB2312"/>
          <w:spacing w:val="-6"/>
          <w:kern w:val="2"/>
          <w:sz w:val="32"/>
          <w:szCs w:val="32"/>
          <w:lang w:val="en-US" w:eastAsia="zh-CN" w:bidi="ar-SA"/>
        </w:rPr>
        <w:t>在保险期间内，被保险人因遭受意外伤害事故导致身故、伤残的，保险人依照约定给付保险金</w:t>
      </w:r>
      <w:r>
        <w:rPr>
          <w:rFonts w:hint="eastAsia" w:hAnsi="仿宋_GB2312" w:cs="仿宋_GB2312"/>
          <w:spacing w:val="-6"/>
          <w:kern w:val="2"/>
          <w:sz w:val="32"/>
          <w:szCs w:val="32"/>
          <w:lang w:val="en-US" w:eastAsia="zh-CN" w:bidi="ar-SA"/>
        </w:rPr>
        <w:t>，</w:t>
      </w:r>
      <w:r>
        <w:rPr>
          <w:rFonts w:hint="eastAsia" w:ascii="仿宋_GB2312" w:hAnsi="仿宋_GB2312" w:eastAsia="仿宋_GB2312" w:cs="仿宋_GB2312"/>
          <w:spacing w:val="-6"/>
          <w:kern w:val="2"/>
          <w:sz w:val="32"/>
          <w:szCs w:val="32"/>
          <w:lang w:val="en-US" w:eastAsia="zh-CN" w:bidi="ar-SA"/>
        </w:rPr>
        <w:t>且对每一被保险人给付的各项保险金之和不超过该被保险人的保险金额。</w:t>
      </w:r>
    </w:p>
    <w:p w14:paraId="68FF6516">
      <w:pPr>
        <w:pStyle w:val="5"/>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rPr>
          <w:rFonts w:hint="eastAsia" w:hAnsi="仿宋_GB2312" w:cs="仿宋_GB2312"/>
          <w:spacing w:val="-6"/>
          <w:kern w:val="2"/>
          <w:sz w:val="32"/>
          <w:szCs w:val="32"/>
          <w:lang w:val="en-US" w:eastAsia="zh-CN" w:bidi="ar-SA"/>
        </w:rPr>
      </w:pPr>
      <w:r>
        <w:rPr>
          <w:rFonts w:hint="eastAsia" w:hAnsi="仿宋_GB2312" w:cs="仿宋_GB2312"/>
          <w:spacing w:val="-6"/>
          <w:kern w:val="2"/>
          <w:sz w:val="32"/>
          <w:szCs w:val="32"/>
          <w:lang w:val="en-US" w:eastAsia="zh-CN" w:bidi="ar-SA"/>
        </w:rPr>
        <w:t>2.附加突发疾病身故保险</w:t>
      </w:r>
    </w:p>
    <w:p w14:paraId="5979D7DE">
      <w:pPr>
        <w:pStyle w:val="5"/>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rPr>
          <w:rFonts w:hint="eastAsia" w:hAnsi="仿宋_GB2312" w:cs="仿宋_GB2312"/>
          <w:spacing w:val="-6"/>
          <w:kern w:val="2"/>
          <w:sz w:val="32"/>
          <w:szCs w:val="32"/>
          <w:lang w:val="en-US" w:eastAsia="zh-CN" w:bidi="ar-SA"/>
        </w:rPr>
      </w:pPr>
      <w:r>
        <w:rPr>
          <w:rFonts w:hint="eastAsia" w:hAnsi="仿宋_GB2312" w:cs="仿宋_GB2312"/>
          <w:spacing w:val="-6"/>
          <w:kern w:val="2"/>
          <w:sz w:val="32"/>
          <w:szCs w:val="32"/>
          <w:lang w:val="en-US" w:eastAsia="zh-CN" w:bidi="ar-SA"/>
        </w:rPr>
        <w:t>保险期间内，被保险人突发疾病身故的，保险人按照保险单中载明的突发疾病身故保险金额给付突发疾病身故保险金。突发疾病身故是指因疾病突然发作在送往医院救治之前已经身故或送到医院之后48小时之内经抢救无效身故。其中，“48小时”计算是以医院的初次诊断时间作为突发疾病的起算时间。</w:t>
      </w:r>
    </w:p>
    <w:p w14:paraId="00EBFB67">
      <w:pPr>
        <w:pStyle w:val="5"/>
        <w:keepNext w:val="0"/>
        <w:keepLines w:val="0"/>
        <w:pageBreakBefore w:val="0"/>
        <w:widowControl w:val="0"/>
        <w:kinsoku/>
        <w:wordWrap/>
        <w:overflowPunct/>
        <w:topLinePunct w:val="0"/>
        <w:autoSpaceDE/>
        <w:autoSpaceDN/>
        <w:bidi w:val="0"/>
        <w:adjustRightInd/>
        <w:snapToGrid/>
        <w:spacing w:line="560" w:lineRule="exact"/>
        <w:ind w:leftChars="0" w:firstLine="616" w:firstLineChars="200"/>
        <w:jc w:val="both"/>
        <w:textAlignment w:val="auto"/>
        <w:rPr>
          <w:rFonts w:hint="eastAsia" w:hAnsi="仿宋_GB2312" w:cs="仿宋_GB2312"/>
          <w:spacing w:val="-6"/>
          <w:kern w:val="2"/>
          <w:sz w:val="32"/>
          <w:szCs w:val="32"/>
          <w:lang w:val="en-US" w:eastAsia="zh-CN" w:bidi="ar-SA"/>
        </w:rPr>
      </w:pPr>
      <w:r>
        <w:rPr>
          <w:rFonts w:hint="eastAsia" w:hAnsi="仿宋_GB2312" w:cs="仿宋_GB2312"/>
          <w:spacing w:val="-6"/>
          <w:kern w:val="2"/>
          <w:sz w:val="32"/>
          <w:szCs w:val="32"/>
          <w:lang w:val="en-US" w:eastAsia="zh-CN" w:bidi="ar-SA"/>
        </w:rPr>
        <w:t>3.附加企事业单位体育运动意外伤害保险</w:t>
      </w:r>
    </w:p>
    <w:p w14:paraId="3FFB683A">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jc w:val="both"/>
        <w:textAlignment w:val="auto"/>
        <w:outlineLvl w:val="9"/>
        <w:rPr>
          <w:rFonts w:hint="eastAsia" w:ascii="仿宋_GB2312" w:hAnsi="仿宋_GB2312" w:eastAsia="仿宋_GB2312" w:cs="仿宋_GB2312"/>
          <w:spacing w:val="-6"/>
          <w:kern w:val="2"/>
          <w:sz w:val="32"/>
          <w:szCs w:val="32"/>
          <w:lang w:val="en-US" w:eastAsia="zh-CN" w:bidi="ar-SA"/>
        </w:rPr>
      </w:pPr>
      <w:r>
        <w:rPr>
          <w:rFonts w:hint="eastAsia" w:ascii="仿宋_GB2312" w:hAnsi="仿宋_GB2312" w:eastAsia="仿宋_GB2312" w:cs="仿宋_GB2312"/>
          <w:spacing w:val="-6"/>
          <w:kern w:val="2"/>
          <w:sz w:val="32"/>
          <w:szCs w:val="32"/>
          <w:lang w:val="en-US" w:eastAsia="zh-CN" w:bidi="ar-SA"/>
        </w:rPr>
        <w:t>经投保人申请并经保险人同意，在保险期间内，被保险人在所属企事业单位组织的体育活动、体育比赛过程中发生主险合同及其附加险合同中约定的保险事故，保险人根据主险合同及其附加险合同的约定承担给付保险金责任。</w:t>
      </w:r>
    </w:p>
    <w:p w14:paraId="6D2BFB77">
      <w:pPr>
        <w:pStyle w:val="5"/>
        <w:keepNext w:val="0"/>
        <w:keepLines w:val="0"/>
        <w:pageBreakBefore w:val="0"/>
        <w:widowControl w:val="0"/>
        <w:numPr>
          <w:ilvl w:val="0"/>
          <w:numId w:val="1"/>
        </w:numPr>
        <w:kinsoku/>
        <w:wordWrap/>
        <w:overflowPunct/>
        <w:topLinePunct w:val="0"/>
        <w:autoSpaceDE/>
        <w:autoSpaceDN/>
        <w:bidi w:val="0"/>
        <w:adjustRightInd/>
        <w:snapToGrid/>
        <w:spacing w:line="560" w:lineRule="exact"/>
        <w:ind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附加意外伤害住院津贴保险</w:t>
      </w:r>
    </w:p>
    <w:p w14:paraId="766EA1A8">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jc w:val="both"/>
        <w:textAlignment w:val="auto"/>
        <w:outlineLvl w:val="9"/>
        <w:rPr>
          <w:rFonts w:hint="eastAsia" w:hAnsi="仿宋_GB2312" w:cs="仿宋_GB2312"/>
          <w:spacing w:val="-6"/>
          <w:kern w:val="2"/>
          <w:sz w:val="32"/>
          <w:szCs w:val="32"/>
          <w:lang w:val="en-US" w:eastAsia="zh-CN" w:bidi="ar-SA"/>
        </w:rPr>
      </w:pPr>
      <w:r>
        <w:rPr>
          <w:rFonts w:hint="eastAsia" w:ascii="仿宋_GB2312" w:hAnsi="仿宋_GB2312" w:eastAsia="仿宋_GB2312" w:cs="仿宋_GB2312"/>
          <w:spacing w:val="-6"/>
          <w:kern w:val="2"/>
          <w:sz w:val="32"/>
          <w:szCs w:val="32"/>
          <w:lang w:val="en-US" w:eastAsia="zh-CN" w:bidi="ar-SA"/>
        </w:rPr>
        <w:t>保险期间内，被保险人因遭受主险合同保险责任范围内的意外伤害事故，并自该意外伤害事故发生之日起180日内因该意外伤害事故在中华人民共和国境内（不包括港澳台地区）二级以上（含二级）医院或者保险人指定或认可的医院进行住院治疗，保险人就被保险人的合理住院天数，在扣除本附加险合同载明的免赔天数后，按照本附加险合同约定的每人每天住院津贴金额给付意外伤害住院津贴保险金</w:t>
      </w:r>
      <w:r>
        <w:rPr>
          <w:rFonts w:hint="eastAsia" w:hAnsi="仿宋_GB2312" w:cs="仿宋_GB2312"/>
          <w:spacing w:val="-6"/>
          <w:kern w:val="2"/>
          <w:sz w:val="32"/>
          <w:szCs w:val="32"/>
          <w:lang w:val="en-US" w:eastAsia="zh-CN" w:bidi="ar-SA"/>
        </w:rPr>
        <w:t>。</w:t>
      </w:r>
    </w:p>
    <w:p w14:paraId="78D5CD0F">
      <w:pPr>
        <w:pStyle w:val="5"/>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16" w:firstLineChars="200"/>
        <w:jc w:val="both"/>
        <w:textAlignment w:val="auto"/>
        <w:outlineLvl w:val="9"/>
        <w:rPr>
          <w:rStyle w:val="10"/>
          <w:rFonts w:hint="eastAsia" w:ascii="仿宋_GB2312" w:hAnsi="仿宋_GB2312" w:eastAsia="仿宋_GB2312" w:cs="仿宋_GB2312"/>
          <w:b w:val="0"/>
          <w:bCs w:val="0"/>
          <w:spacing w:val="-6"/>
          <w:kern w:val="0"/>
          <w:sz w:val="32"/>
          <w:szCs w:val="32"/>
          <w:lang w:val="en-US" w:eastAsia="zh-CN" w:bidi="ar-SA"/>
        </w:rPr>
      </w:pPr>
      <w:r>
        <w:rPr>
          <w:rStyle w:val="10"/>
          <w:rFonts w:hint="eastAsia" w:ascii="仿宋_GB2312" w:hAnsi="仿宋_GB2312" w:eastAsia="仿宋_GB2312" w:cs="仿宋_GB2312"/>
          <w:b w:val="0"/>
          <w:bCs w:val="0"/>
          <w:spacing w:val="-6"/>
          <w:kern w:val="0"/>
          <w:sz w:val="32"/>
          <w:szCs w:val="32"/>
          <w:lang w:val="en-US" w:eastAsia="zh-CN" w:bidi="ar-SA"/>
        </w:rPr>
        <w:t>附加传染病身故和伤残保险</w:t>
      </w:r>
    </w:p>
    <w:p w14:paraId="54DCE524">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jc w:val="both"/>
        <w:textAlignment w:val="auto"/>
        <w:outlineLvl w:val="9"/>
        <w:rPr>
          <w:rFonts w:hint="default" w:ascii="仿宋_GB2312" w:hAnsi="仿宋_GB2312" w:eastAsia="仿宋_GB2312" w:cs="仿宋_GB2312"/>
          <w:spacing w:val="-6"/>
          <w:kern w:val="2"/>
          <w:sz w:val="32"/>
          <w:szCs w:val="32"/>
          <w:lang w:val="en-US" w:eastAsia="zh-CN" w:bidi="ar-SA"/>
        </w:rPr>
      </w:pPr>
      <w:r>
        <w:rPr>
          <w:rFonts w:hint="default" w:ascii="仿宋_GB2312" w:hAnsi="仿宋_GB2312" w:eastAsia="仿宋_GB2312" w:cs="仿宋_GB2312"/>
          <w:spacing w:val="-6"/>
          <w:kern w:val="2"/>
          <w:sz w:val="32"/>
          <w:szCs w:val="32"/>
          <w:lang w:val="en-US" w:eastAsia="zh-CN" w:bidi="ar-SA"/>
        </w:rPr>
        <w:t>在保险期间内，被保险人在经保险人认可的医疗机构或疾病预防控制中心确诊罹患COVID-19新型冠状病毒肺炎传染病，并因该传染病导致身故或伤残的，保险人依照约定承担给付保险金责任。</w:t>
      </w:r>
    </w:p>
    <w:p w14:paraId="1ECF221A">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9" w:firstLineChars="200"/>
        <w:jc w:val="both"/>
        <w:textAlignment w:val="auto"/>
        <w:outlineLvl w:val="9"/>
        <w:rPr>
          <w:rFonts w:hint="eastAsia" w:ascii="楷体_GB2312" w:hAnsi="楷体_GB2312" w:eastAsia="楷体_GB2312" w:cs="楷体_GB2312"/>
          <w:b/>
          <w:bCs w:val="0"/>
          <w:spacing w:val="-6"/>
          <w:sz w:val="32"/>
          <w:szCs w:val="32"/>
          <w:lang w:val="en-US" w:eastAsia="zh-CN"/>
        </w:rPr>
      </w:pPr>
      <w:r>
        <w:rPr>
          <w:rFonts w:hint="eastAsia" w:ascii="楷体_GB2312" w:hAnsi="楷体_GB2312" w:eastAsia="楷体_GB2312" w:cs="楷体_GB2312"/>
          <w:b/>
          <w:bCs w:val="0"/>
          <w:spacing w:val="-6"/>
          <w:sz w:val="32"/>
          <w:szCs w:val="32"/>
          <w:lang w:val="en-US" w:eastAsia="zh-CN"/>
        </w:rPr>
        <w:t>（四）组织保障</w:t>
      </w:r>
    </w:p>
    <w:p w14:paraId="60B86034">
      <w:pPr>
        <w:pStyle w:val="4"/>
        <w:keepNext w:val="0"/>
        <w:keepLines w:val="0"/>
        <w:pageBreakBefore w:val="0"/>
        <w:widowControl w:val="0"/>
        <w:kinsoku/>
        <w:wordWrap/>
        <w:overflowPunct/>
        <w:topLinePunct w:val="0"/>
        <w:autoSpaceDE/>
        <w:autoSpaceDN/>
        <w:bidi w:val="0"/>
        <w:adjustRightInd/>
        <w:snapToGrid/>
        <w:spacing w:line="560" w:lineRule="exact"/>
        <w:ind w:left="0" w:leftChars="0" w:firstLine="616" w:firstLineChars="200"/>
        <w:jc w:val="both"/>
        <w:textAlignment w:val="auto"/>
        <w:outlineLvl w:val="9"/>
        <w:rPr>
          <w:rFonts w:hint="eastAsia" w:ascii="仿宋_GB2312" w:hAnsi="仿宋_GB2312" w:eastAsia="仿宋_GB2312" w:cs="仿宋_GB2312"/>
          <w:b w:val="0"/>
          <w:bCs/>
          <w:spacing w:val="-6"/>
          <w:kern w:val="2"/>
          <w:sz w:val="32"/>
          <w:szCs w:val="32"/>
          <w:lang w:val="en-US" w:eastAsia="zh-CN" w:bidi="ar-SA"/>
        </w:rPr>
      </w:pPr>
      <w:r>
        <w:rPr>
          <w:rFonts w:hint="eastAsia" w:ascii="仿宋_GB2312" w:hAnsi="仿宋_GB2312" w:eastAsia="仿宋_GB2312" w:cs="仿宋_GB2312"/>
          <w:b w:val="0"/>
          <w:bCs/>
          <w:spacing w:val="-6"/>
          <w:kern w:val="2"/>
          <w:sz w:val="32"/>
          <w:szCs w:val="32"/>
          <w:lang w:val="en-US" w:eastAsia="zh-CN" w:bidi="ar-SA"/>
        </w:rPr>
        <w:t>投标人保证有充足的、配备丰富经验的专业人员为采购人提供高效而完善的保险服务，专责处理团体人身意外伤害保险统保的各项日常事务，包括业务拓展、承保出单、统计分析、安排业务培训、处理各类赔案、进行风险评估等。</w:t>
      </w:r>
    </w:p>
    <w:p w14:paraId="14F4E6E6">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9" w:firstLineChars="200"/>
        <w:jc w:val="both"/>
        <w:textAlignment w:val="auto"/>
        <w:outlineLvl w:val="9"/>
        <w:rPr>
          <w:rFonts w:hint="eastAsia" w:ascii="楷体_GB2312" w:hAnsi="楷体_GB2312" w:eastAsia="楷体_GB2312" w:cs="楷体_GB2312"/>
          <w:b/>
          <w:bCs w:val="0"/>
          <w:spacing w:val="-6"/>
          <w:sz w:val="32"/>
          <w:szCs w:val="32"/>
          <w:lang w:val="en-US" w:eastAsia="zh-CN"/>
        </w:rPr>
      </w:pPr>
      <w:r>
        <w:rPr>
          <w:rFonts w:hint="eastAsia" w:ascii="楷体_GB2312" w:hAnsi="楷体_GB2312" w:eastAsia="楷体_GB2312" w:cs="楷体_GB2312"/>
          <w:b/>
          <w:bCs w:val="0"/>
          <w:spacing w:val="-6"/>
          <w:sz w:val="32"/>
          <w:szCs w:val="32"/>
          <w:lang w:val="en-US" w:eastAsia="zh-CN"/>
        </w:rPr>
        <w:t>（五）先于责任方赔偿的承诺</w:t>
      </w:r>
    </w:p>
    <w:p w14:paraId="61F29B06">
      <w:pPr>
        <w:pStyle w:val="6"/>
        <w:keepNext w:val="0"/>
        <w:keepLines w:val="0"/>
        <w:pageBreakBefore w:val="0"/>
        <w:widowControl w:val="0"/>
        <w:kinsoku/>
        <w:wordWrap/>
        <w:overflowPunct/>
        <w:topLinePunct w:val="0"/>
        <w:autoSpaceDE/>
        <w:autoSpaceDN/>
        <w:bidi w:val="0"/>
        <w:adjustRightInd/>
        <w:snapToGrid/>
        <w:spacing w:before="0" w:after="0" w:line="560" w:lineRule="exact"/>
        <w:ind w:leftChars="0" w:firstLine="616" w:firstLineChars="200"/>
        <w:jc w:val="both"/>
        <w:textAlignment w:val="auto"/>
        <w:outlineLvl w:val="9"/>
        <w:rPr>
          <w:rFonts w:hint="eastAsia" w:ascii="仿宋_GB2312" w:hAnsi="仿宋_GB2312" w:eastAsia="仿宋_GB2312" w:cs="仿宋_GB2312"/>
          <w:b w:val="0"/>
          <w:bCs/>
          <w:spacing w:val="-6"/>
          <w:sz w:val="32"/>
          <w:szCs w:val="32"/>
          <w:lang w:val="en-US" w:eastAsia="zh-CN"/>
        </w:rPr>
      </w:pPr>
      <w:r>
        <w:rPr>
          <w:rFonts w:hint="eastAsia" w:ascii="仿宋_GB2312" w:hAnsi="仿宋_GB2312" w:eastAsia="仿宋_GB2312" w:cs="仿宋_GB2312"/>
          <w:b w:val="0"/>
          <w:bCs/>
          <w:spacing w:val="-6"/>
          <w:kern w:val="2"/>
          <w:sz w:val="32"/>
          <w:szCs w:val="32"/>
          <w:lang w:val="en-US" w:eastAsia="zh-CN" w:bidi="ar-SA"/>
        </w:rPr>
        <w:t>保险标的发生保险责任范围的损失，依法应由第三方负责赔偿的，被保险人也无须等待其赔偿资金，由投标人先行支付赔款，但被保险人必须将追偿权移交投标人，并协助保险人处理追偿事宜。</w:t>
      </w:r>
    </w:p>
    <w:p w14:paraId="2ACBDF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val="en-US" w:eastAsia="zh-CN"/>
        </w:rPr>
        <w:t>二、投标人资格要求</w:t>
      </w:r>
    </w:p>
    <w:p w14:paraId="22317A5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仿宋_GB2312" w:hAnsi="仿宋_GB2312" w:eastAsia="仿宋_GB2312" w:cs="仿宋_GB2312"/>
          <w:b w:val="0"/>
          <w:bCs/>
          <w:spacing w:val="-6"/>
          <w:kern w:val="2"/>
          <w:sz w:val="32"/>
          <w:szCs w:val="32"/>
          <w:highlight w:val="none"/>
          <w:lang w:val="en-US" w:eastAsia="zh-CN" w:bidi="ar-SA"/>
        </w:rPr>
      </w:pPr>
      <w:r>
        <w:rPr>
          <w:rFonts w:hint="eastAsia" w:ascii="仿宋_GB2312" w:hAnsi="仿宋_GB2312" w:eastAsia="仿宋_GB2312" w:cs="仿宋_GB2312"/>
          <w:b w:val="0"/>
          <w:bCs/>
          <w:spacing w:val="-6"/>
          <w:kern w:val="2"/>
          <w:sz w:val="32"/>
          <w:szCs w:val="32"/>
          <w:highlight w:val="none"/>
          <w:lang w:val="en-US" w:eastAsia="zh-CN" w:bidi="ar-SA"/>
        </w:rPr>
        <w:t>1.投标人持有合法有效的营业执照；</w:t>
      </w:r>
    </w:p>
    <w:p w14:paraId="4D6C8A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仿宋_GB2312" w:hAnsi="仿宋_GB2312" w:eastAsia="仿宋_GB2312" w:cs="仿宋_GB2312"/>
          <w:b w:val="0"/>
          <w:bCs/>
          <w:spacing w:val="-6"/>
          <w:kern w:val="2"/>
          <w:sz w:val="32"/>
          <w:szCs w:val="32"/>
          <w:highlight w:val="none"/>
          <w:lang w:val="en-US" w:eastAsia="zh-CN" w:bidi="ar-SA"/>
        </w:rPr>
      </w:pPr>
      <w:r>
        <w:rPr>
          <w:rFonts w:hint="eastAsia" w:ascii="仿宋_GB2312" w:hAnsi="仿宋_GB2312" w:eastAsia="仿宋_GB2312" w:cs="仿宋_GB2312"/>
          <w:b w:val="0"/>
          <w:bCs/>
          <w:spacing w:val="-6"/>
          <w:kern w:val="2"/>
          <w:sz w:val="32"/>
          <w:szCs w:val="32"/>
          <w:highlight w:val="none"/>
          <w:lang w:val="en-US" w:eastAsia="zh-CN" w:bidi="ar-SA"/>
        </w:rPr>
        <w:t>2.投标人具有有效的《保险许可证》，《保险许可证》业务范围应包含意外伤害险或健康保险；</w:t>
      </w:r>
    </w:p>
    <w:p w14:paraId="44E08B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仿宋_GB2312" w:hAnsi="仿宋_GB2312" w:eastAsia="仿宋_GB2312" w:cs="仿宋_GB2312"/>
          <w:b w:val="0"/>
          <w:bCs/>
          <w:spacing w:val="-6"/>
          <w:kern w:val="2"/>
          <w:sz w:val="32"/>
          <w:szCs w:val="32"/>
          <w:highlight w:val="none"/>
          <w:lang w:val="en-US" w:eastAsia="zh-CN" w:bidi="ar-SA"/>
        </w:rPr>
      </w:pPr>
      <w:r>
        <w:rPr>
          <w:rFonts w:hint="eastAsia" w:ascii="仿宋_GB2312" w:hAnsi="仿宋_GB2312" w:eastAsia="仿宋_GB2312" w:cs="仿宋_GB2312"/>
          <w:b w:val="0"/>
          <w:bCs/>
          <w:spacing w:val="-6"/>
          <w:kern w:val="2"/>
          <w:sz w:val="32"/>
          <w:szCs w:val="32"/>
          <w:highlight w:val="none"/>
          <w:lang w:val="en-US" w:eastAsia="zh-CN" w:bidi="ar-SA"/>
        </w:rPr>
        <w:t>3.投标截止之日前36个月，至少具有一项同类项目业绩，需提供合同扫描件或保单等有效证明材料。</w:t>
      </w:r>
    </w:p>
    <w:p w14:paraId="3C7E73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val="en-US" w:eastAsia="zh-CN"/>
        </w:rPr>
        <w:t>三、报价要求</w:t>
      </w:r>
    </w:p>
    <w:p w14:paraId="0CD45B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spacing w:val="-6"/>
          <w:sz w:val="32"/>
          <w:szCs w:val="32"/>
          <w:lang w:val="en-US" w:eastAsia="zh-CN"/>
        </w:rPr>
        <w:t>总报价按预估25人、投保5个月报价</w:t>
      </w:r>
      <w:bookmarkStart w:id="0" w:name="_GoBack"/>
      <w:bookmarkEnd w:id="0"/>
      <w:r>
        <w:rPr>
          <w:rFonts w:hint="eastAsia" w:ascii="仿宋_GB2312" w:hAnsi="仿宋_GB2312" w:eastAsia="仿宋_GB2312" w:cs="仿宋_GB2312"/>
          <w:spacing w:val="-6"/>
          <w:sz w:val="32"/>
          <w:szCs w:val="32"/>
          <w:lang w:val="en-US" w:eastAsia="zh-CN"/>
        </w:rPr>
        <w:t>。《报价文件》需报单价、总报价，报价为含税报价。</w:t>
      </w:r>
    </w:p>
    <w:p w14:paraId="221D79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val="en-US" w:eastAsia="zh-CN"/>
        </w:rPr>
        <w:t>四、结算方式</w:t>
      </w:r>
    </w:p>
    <w:p w14:paraId="074A90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b w:val="0"/>
          <w:bCs/>
          <w:spacing w:val="-6"/>
          <w:kern w:val="2"/>
          <w:sz w:val="32"/>
          <w:szCs w:val="32"/>
          <w:lang w:val="en-US" w:eastAsia="zh-CN" w:bidi="ar-SA"/>
        </w:rPr>
        <w:t>投标人</w:t>
      </w:r>
      <w:r>
        <w:rPr>
          <w:rFonts w:hint="eastAsia" w:ascii="仿宋_GB2312" w:hAnsi="仿宋_GB2312" w:eastAsia="仿宋_GB2312" w:cs="仿宋_GB2312"/>
          <w:spacing w:val="-6"/>
          <w:sz w:val="32"/>
          <w:szCs w:val="32"/>
          <w:lang w:val="en-US" w:eastAsia="zh-CN"/>
        </w:rPr>
        <w:t>按照中标结果与广州新致力能源科技有限公司签订合同，并按实际投保人数、投保月数（按自然月算，从每个人实际投保月算起，不足一个月按一个月算）据实结算。本项目总报价金额仅作为参考。</w:t>
      </w:r>
    </w:p>
    <w:p w14:paraId="4F1DC2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default" w:ascii="仿宋_GB2312" w:hAnsi="仿宋_GB2312" w:eastAsia="仿宋_GB2312" w:cs="仿宋_GB2312"/>
          <w:spacing w:val="-6"/>
          <w:sz w:val="32"/>
          <w:szCs w:val="32"/>
          <w:lang w:val="en-US" w:eastAsia="zh-CN"/>
        </w:rPr>
      </w:pPr>
      <w:r>
        <w:rPr>
          <w:rFonts w:hint="eastAsia" w:ascii="仿宋_GB2312" w:hAnsi="仿宋_GB2312" w:eastAsia="仿宋_GB2312" w:cs="仿宋_GB2312"/>
          <w:spacing w:val="-6"/>
          <w:sz w:val="32"/>
          <w:szCs w:val="32"/>
          <w:lang w:val="en-US" w:eastAsia="zh-CN"/>
        </w:rPr>
        <w:t>保险结算金额=每人每月保费单价×实际投保人数×实际投保月数</w:t>
      </w:r>
    </w:p>
    <w:p w14:paraId="09CF41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16" w:firstLineChars="200"/>
        <w:textAlignment w:val="auto"/>
        <w:rPr>
          <w:rFonts w:hint="eastAsia" w:ascii="仿宋_GB2312" w:hAnsi="仿宋_GB2312" w:eastAsia="仿宋_GB2312" w:cs="仿宋_GB2312"/>
          <w:spacing w:val="-6"/>
          <w:sz w:val="32"/>
          <w:szCs w:val="32"/>
          <w:lang w:val="en-US" w:eastAsia="zh-CN"/>
        </w:rPr>
      </w:pPr>
    </w:p>
    <w:p w14:paraId="5C5B643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5ABC3"/>
    <w:multiLevelType w:val="singleLevel"/>
    <w:tmpl w:val="9305ABC3"/>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46A9E"/>
    <w:rsid w:val="076A2AF4"/>
    <w:rsid w:val="11534237"/>
    <w:rsid w:val="370A666C"/>
    <w:rsid w:val="47A44A59"/>
    <w:rsid w:val="50B46A9E"/>
    <w:rsid w:val="51F06601"/>
    <w:rsid w:val="6508503C"/>
    <w:rsid w:val="69877444"/>
    <w:rsid w:val="701F08A0"/>
    <w:rsid w:val="721F0505"/>
    <w:rsid w:val="797F2AEA"/>
    <w:rsid w:val="7A5335DB"/>
    <w:rsid w:val="7E943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List 2"/>
    <w:basedOn w:val="1"/>
    <w:qFormat/>
    <w:uiPriority w:val="0"/>
    <w:pPr>
      <w:ind w:left="840" w:hanging="420"/>
    </w:pPr>
    <w:rPr>
      <w:rFonts w:ascii="Times New Roman" w:hAnsi="Times New Roman" w:eastAsia="宋体" w:cs="Times New Roman"/>
      <w:szCs w:val="20"/>
    </w:rPr>
  </w:style>
  <w:style w:type="paragraph" w:styleId="5">
    <w:name w:val="Body Text Indent 2"/>
    <w:basedOn w:val="1"/>
    <w:qFormat/>
    <w:uiPriority w:val="0"/>
    <w:pPr>
      <w:ind w:firstLine="570"/>
    </w:pPr>
    <w:rPr>
      <w:rFonts w:ascii="仿宋_GB2312" w:hAnsi="Times New Roman" w:eastAsia="仿宋_GB2312" w:cs="Times New Roman"/>
      <w:sz w:val="24"/>
      <w:szCs w:val="20"/>
    </w:rPr>
  </w:style>
  <w:style w:type="paragraph" w:styleId="6">
    <w:name w:val="Body Text First Indent"/>
    <w:basedOn w:val="2"/>
    <w:qFormat/>
    <w:uiPriority w:val="0"/>
    <w:pPr>
      <w:ind w:firstLine="420" w:firstLineChars="100"/>
    </w:pPr>
    <w:rPr>
      <w:rFonts w:ascii="Times New Roman" w:hAnsi="Times New Roman"/>
      <w:szCs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2025-07-21T10:48:00Z</dcterms:created>
  <dc:creator>36742</dc:creator>
  <cp:lastModifiedBy>新致力文书</cp:lastModifiedBy>
  <dcterms:modified xsi:type="dcterms:W3CDTF">2025-07-31T10:10:36Z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221A918D7A9946EEA2A5EA05D06608A4</vt:lpwstr>
  </property>
</Properties>
</file>