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="仿宋_GB2312" w:hAnsi="仿宋_GB2312" w:eastAsia="仿宋_GB2312" w:cs="仿宋_GB2312"/>
          <w:sz w:val="28"/>
          <w:szCs w:val="36"/>
        </w:rPr>
      </w:pPr>
      <w:r>
        <w:rPr>
          <w:rFonts w:hint="eastAsia" w:ascii="仿宋_GB2312" w:hAnsi="仿宋_GB2312" w:eastAsia="仿宋_GB2312" w:cs="仿宋_GB2312"/>
          <w:sz w:val="28"/>
          <w:szCs w:val="36"/>
        </w:rPr>
        <w:t>1、招标/采购范围（主要是项目采购内容）：</w:t>
      </w:r>
    </w:p>
    <w:p>
      <w:pPr>
        <w:spacing w:before="156" w:beforeLines="50" w:after="156" w:afterLines="50" w:line="360" w:lineRule="auto"/>
        <w:ind w:firstLine="480" w:firstLineChars="200"/>
        <w:jc w:val="left"/>
        <w:rPr>
          <w:rFonts w:ascii="Calibri" w:hAnsi="Calibri"/>
          <w:sz w:val="24"/>
        </w:rPr>
      </w:pPr>
      <w:r>
        <w:rPr>
          <w:rFonts w:hint="eastAsia" w:ascii="Calibri" w:hAnsi="Calibri"/>
          <w:sz w:val="24"/>
        </w:rPr>
        <w:t>珠海供电局《一款新型清除电缆上鸟巢的辅助工具》职工技术创新项目所需的装置材料费和加工测试费，本项目需设计制作一套“一款新型清除电缆上鸟巢的辅助工具”。本项目主要为了防止清除过程中鸟巢掉落到下面的变压器上，避免线路短路故障。辅助工具包含绝缘杆、绝缘布、4条绝缘布支撑杆、滑动结构、电动推杆、电机驱动、无线控制模块、电池组、充电模块和遥控终端等组成。绝缘布为长方形，4条支撑杆分别连接绝缘布4个角，另一个连接一个滑动环，滑动环套在一条比较粗的支撑杆上可以上下滑动，滑动环下面连接电动推杆。遥控终端通过发送命名到无线控制模块，无线控制模块控制电机驱动，电机驱动发送命令给电机，控制电动推杆的伸缩带动滑动环运动，从而带动绝缘布支撑杆动作，当滑动环升高时绝缘布可以向四周张开，现成一张最大面积为1500mm</w:t>
      </w:r>
      <w:r>
        <w:rPr>
          <w:rFonts w:ascii="Calibri" w:hAnsi="Calibri"/>
          <w:sz w:val="24"/>
        </w:rPr>
        <w:t>*80</w:t>
      </w:r>
      <w:r>
        <w:rPr>
          <w:rFonts w:hint="eastAsia" w:ascii="Calibri" w:hAnsi="Calibri"/>
          <w:sz w:val="24"/>
        </w:rPr>
        <w:t>0m</w:t>
      </w:r>
      <w:r>
        <w:rPr>
          <w:rFonts w:ascii="Calibri" w:hAnsi="Calibri"/>
          <w:sz w:val="24"/>
        </w:rPr>
        <w:t>m</w:t>
      </w:r>
      <w:r>
        <w:rPr>
          <w:rFonts w:hint="eastAsia" w:ascii="Calibri" w:hAnsi="Calibri"/>
          <w:sz w:val="24"/>
        </w:rPr>
        <w:t>凹面布，当滑动环升高下降是绝缘布可以收起来。检修人员可以现场的实际情况来控制绝缘展开面积，从而有效接着被清除的鸟巢。</w:t>
      </w:r>
    </w:p>
    <w:p>
      <w:pPr>
        <w:spacing w:before="156" w:beforeLines="50" w:after="156" w:afterLines="50" w:line="360" w:lineRule="auto"/>
        <w:ind w:firstLine="480" w:firstLineChars="200"/>
        <w:jc w:val="left"/>
        <w:rPr>
          <w:sz w:val="24"/>
        </w:rPr>
      </w:pPr>
      <w:r>
        <w:rPr>
          <w:rFonts w:hint="eastAsia"/>
          <w:sz w:val="24"/>
        </w:rPr>
        <w:t>技术关键点：</w:t>
      </w:r>
    </w:p>
    <w:p>
      <w:pPr>
        <w:numPr>
          <w:ilvl w:val="0"/>
          <w:numId w:val="1"/>
        </w:numPr>
        <w:spacing w:line="360" w:lineRule="auto"/>
        <w:jc w:val="left"/>
        <w:rPr>
          <w:rFonts w:ascii="宋体" w:hAnsi="宋体" w:cs="宋体"/>
          <w:kern w:val="0"/>
          <w:sz w:val="24"/>
        </w:rPr>
      </w:pPr>
      <w:r>
        <w:rPr>
          <w:rFonts w:hint="eastAsia" w:ascii="宋体" w:hAnsi="宋体" w:cs="宋体"/>
          <w:kern w:val="0"/>
          <w:sz w:val="24"/>
        </w:rPr>
        <w:t>绝缘布支撑杆采用塑料材料制作，滑动结构、电动推杆、电机驱动、无线控制模块、电池组、充电模块等组件也采用绝缘材料包裹，确保设备不受电磁干扰。</w:t>
      </w:r>
    </w:p>
    <w:p>
      <w:pPr>
        <w:numPr>
          <w:ilvl w:val="0"/>
          <w:numId w:val="1"/>
        </w:numPr>
        <w:spacing w:line="360" w:lineRule="auto"/>
        <w:jc w:val="left"/>
        <w:rPr>
          <w:rFonts w:ascii="宋体" w:hAnsi="宋体" w:cs="宋体"/>
          <w:kern w:val="0"/>
          <w:sz w:val="24"/>
        </w:rPr>
      </w:pPr>
      <w:r>
        <w:rPr>
          <w:rFonts w:hint="eastAsia" w:ascii="宋体" w:hAnsi="宋体" w:cs="宋体"/>
          <w:kern w:val="0"/>
          <w:sz w:val="24"/>
        </w:rPr>
        <w:t>4条支撑杆分别连接绝缘布4个角，这样设计可以给绝缘布更大的支撑力。</w:t>
      </w:r>
    </w:p>
    <w:p>
      <w:pPr>
        <w:numPr>
          <w:ilvl w:val="0"/>
          <w:numId w:val="1"/>
        </w:numPr>
        <w:spacing w:line="360" w:lineRule="auto"/>
        <w:jc w:val="left"/>
        <w:rPr>
          <w:rFonts w:ascii="宋体" w:hAnsi="宋体" w:cs="宋体"/>
          <w:kern w:val="0"/>
          <w:sz w:val="24"/>
        </w:rPr>
      </w:pPr>
      <w:r>
        <w:rPr>
          <w:rFonts w:hint="eastAsia" w:ascii="宋体" w:hAnsi="宋体" w:cs="宋体"/>
          <w:kern w:val="0"/>
          <w:sz w:val="24"/>
        </w:rPr>
        <w:t>电机控制信号的控制信号输入模块和供电模块、针对驱动电压的输出进行闭环反馈的驱动电压反馈模块、对输入信号及反馈信号进行计算处理的控制模块、对控制模块输出的电压信号进行处理与保护的电机驱动输出模块，供电模块给其它模块进行供电，驱动电压反馈模块分别与控制信号输入模块、控制模块和电机驱动输出模块信号连接。此款直流电机控制器有效抑制高频PWM导致电机具有明显的电磁干扰以及对其他控制造成干扰，可在电机全运行范围内调速，能使电机转速控制更加平稳、转速控制更加精确、误差控制较好，能实时调整负载变化而引起的波动，实时反馈控制信号，控制简单。</w:t>
      </w:r>
    </w:p>
    <w:p>
      <w:pPr>
        <w:numPr>
          <w:ilvl w:val="0"/>
          <w:numId w:val="1"/>
        </w:numPr>
        <w:spacing w:line="360" w:lineRule="auto"/>
        <w:jc w:val="left"/>
        <w:rPr>
          <w:rFonts w:hint="eastAsia" w:ascii="宋体" w:hAnsi="宋体" w:cs="宋体"/>
          <w:kern w:val="0"/>
          <w:sz w:val="24"/>
        </w:rPr>
      </w:pPr>
      <w:r>
        <w:rPr>
          <w:rFonts w:hint="eastAsia" w:ascii="宋体" w:hAnsi="宋体" w:cs="宋体"/>
          <w:kern w:val="0"/>
          <w:sz w:val="24"/>
        </w:rPr>
        <w:t>无线通信模块采4</w:t>
      </w:r>
      <w:r>
        <w:rPr>
          <w:rFonts w:ascii="宋体" w:hAnsi="宋体" w:cs="宋体"/>
          <w:kern w:val="0"/>
          <w:sz w:val="24"/>
        </w:rPr>
        <w:t>33Mhz</w:t>
      </w:r>
      <w:r>
        <w:rPr>
          <w:rFonts w:hint="eastAsia" w:ascii="宋体" w:hAnsi="宋体" w:cs="宋体"/>
          <w:kern w:val="0"/>
          <w:sz w:val="24"/>
        </w:rPr>
        <w:t xml:space="preserve">频率，无线通信模块单元用以无线接收指令封包,控制单元由无线通信模块单元接收并处理指令封包而产生控制信号。控制单元根据控制信号以对电子装置进行控制,而使电子装置执行功能。由控制单元接收控制信号,计时单元根据控制信号以产生并传送致能信号至控制单元,再由控制单元是根据致能信号以开启或关闭功能。在结构上,保护单元电性耦接于蓝牙单元。于操作上,保护单元用以对电子装置进行监控,当电子装置的参数大于预设参数时,产生并传送致能信号至控制单元,确保通信稳定性。 </w:t>
      </w:r>
    </w:p>
    <w:p>
      <w:r>
        <w:rPr>
          <w:rFonts w:hint="eastAsia"/>
        </w:rPr>
        <w:t xml:space="preserve">     </w:t>
      </w:r>
    </w:p>
    <w:p/>
    <w:p>
      <w:pPr>
        <w:numPr>
          <w:ilvl w:val="0"/>
          <w:numId w:val="2"/>
        </w:numPr>
        <w:rPr>
          <w:rFonts w:hint="eastAsia" w:ascii="仿宋_GB2312" w:hAnsi="仿宋_GB2312" w:eastAsia="仿宋_GB2312" w:cs="仿宋_GB2312"/>
          <w:sz w:val="28"/>
          <w:szCs w:val="36"/>
        </w:rPr>
      </w:pPr>
      <w:r>
        <w:rPr>
          <w:rFonts w:hint="eastAsia" w:ascii="仿宋_GB2312" w:hAnsi="仿宋_GB2312" w:eastAsia="仿宋_GB2312" w:cs="仿宋_GB2312"/>
          <w:sz w:val="28"/>
          <w:szCs w:val="36"/>
        </w:rPr>
        <w:t>公开内容</w:t>
      </w:r>
    </w:p>
    <w:p>
      <w:pPr>
        <w:pStyle w:val="2"/>
        <w:rPr>
          <w:rFonts w:hint="eastAsia" w:ascii="仿宋_GB2312" w:hAnsi="仿宋_GB2312" w:eastAsia="仿宋_GB2312" w:cs="仿宋_GB2312"/>
          <w:b/>
          <w:bCs/>
          <w:kern w:val="2"/>
          <w:sz w:val="24"/>
          <w:szCs w:val="24"/>
        </w:rPr>
      </w:pPr>
      <w:r>
        <w:rPr>
          <w:rFonts w:hint="eastAsia" w:ascii="仿宋_GB2312" w:hAnsi="仿宋_GB2312" w:eastAsia="仿宋_GB2312" w:cs="仿宋_GB2312"/>
          <w:b/>
          <w:bCs/>
          <w:kern w:val="2"/>
          <w:sz w:val="24"/>
          <w:szCs w:val="24"/>
        </w:rPr>
        <w:t>2.1  项目概况</w:t>
      </w:r>
    </w:p>
    <w:p>
      <w:pPr>
        <w:pStyle w:val="2"/>
        <w:ind w:firstLine="480" w:firstLineChars="200"/>
        <w:rPr>
          <w:sz w:val="24"/>
          <w:szCs w:val="24"/>
        </w:rPr>
      </w:pPr>
      <w:r>
        <w:rPr>
          <w:rFonts w:hint="eastAsia"/>
          <w:sz w:val="24"/>
          <w:szCs w:val="24"/>
        </w:rPr>
        <w:t>本项目需设计制作一套“</w:t>
      </w:r>
      <w:r>
        <w:rPr>
          <w:rFonts w:hint="eastAsia"/>
          <w:sz w:val="24"/>
        </w:rPr>
        <w:t>一款新型清除电缆上鸟巢的辅助工具</w:t>
      </w:r>
      <w:r>
        <w:rPr>
          <w:rFonts w:hint="eastAsia"/>
          <w:sz w:val="24"/>
          <w:szCs w:val="24"/>
        </w:rPr>
        <w:t>”</w:t>
      </w:r>
    </w:p>
    <w:p>
      <w:pPr>
        <w:spacing w:before="156" w:beforeLines="50" w:after="156" w:afterLines="50" w:line="360" w:lineRule="auto"/>
        <w:ind w:firstLine="480" w:firstLineChars="200"/>
        <w:jc w:val="left"/>
        <w:rPr>
          <w:sz w:val="24"/>
        </w:rPr>
      </w:pPr>
      <w:r>
        <w:rPr>
          <w:rFonts w:hint="eastAsia"/>
          <w:sz w:val="24"/>
        </w:rPr>
        <w:t>技术关键点：</w:t>
      </w:r>
    </w:p>
    <w:p>
      <w:pPr>
        <w:spacing w:line="360" w:lineRule="auto"/>
        <w:jc w:val="left"/>
        <w:rPr>
          <w:rFonts w:ascii="宋体" w:hAnsi="宋体" w:cs="宋体"/>
          <w:kern w:val="0"/>
          <w:sz w:val="24"/>
        </w:rPr>
      </w:pPr>
      <w:r>
        <w:rPr>
          <w:rFonts w:hint="eastAsia" w:ascii="宋体" w:hAnsi="宋体" w:cs="宋体"/>
          <w:kern w:val="0"/>
          <w:sz w:val="24"/>
        </w:rPr>
        <w:t>2.2.1绝缘布支撑杆采用塑料材料制作，滑动结构、电动推杆、电机驱动、无线控制模块、电池组、充电模块等组件也采用绝缘材料包裹，确保设备不受电磁干扰。</w:t>
      </w:r>
    </w:p>
    <w:p>
      <w:pPr>
        <w:pStyle w:val="9"/>
        <w:numPr>
          <w:ilvl w:val="2"/>
          <w:numId w:val="3"/>
        </w:numPr>
        <w:spacing w:line="360" w:lineRule="auto"/>
        <w:ind w:firstLineChars="0"/>
        <w:jc w:val="left"/>
        <w:rPr>
          <w:rFonts w:ascii="宋体" w:hAnsi="宋体" w:cs="宋体"/>
          <w:kern w:val="0"/>
          <w:sz w:val="24"/>
        </w:rPr>
      </w:pPr>
      <w:r>
        <w:rPr>
          <w:rFonts w:hint="eastAsia" w:ascii="宋体" w:hAnsi="宋体" w:cs="宋体"/>
          <w:kern w:val="0"/>
          <w:sz w:val="24"/>
        </w:rPr>
        <w:t>4条支撑杆分别连接绝缘布4个角，这样设计可以给绝缘布更大的支撑力。</w:t>
      </w:r>
    </w:p>
    <w:p>
      <w:pPr>
        <w:spacing w:line="360" w:lineRule="auto"/>
        <w:jc w:val="left"/>
        <w:rPr>
          <w:rFonts w:ascii="宋体" w:hAnsi="宋体" w:cs="宋体"/>
          <w:kern w:val="0"/>
          <w:sz w:val="24"/>
        </w:rPr>
      </w:pPr>
      <w:r>
        <w:rPr>
          <w:rFonts w:hint="eastAsia" w:ascii="宋体" w:hAnsi="宋体" w:cs="宋体"/>
          <w:kern w:val="0"/>
          <w:sz w:val="24"/>
        </w:rPr>
        <w:t>2.2.3电机控制信号的控制信号输入模块和供电模块、针对驱动电压的输出进行闭环反馈的驱动电压反馈模块、对输入信号及反馈信号进行计算处理的控制模块、对控制模块输出的电压信号进行处理与保护的电机驱动输出模块，供电模块给其它模块进行供电，驱动电压反馈模块分别与控制信号输入模块、控制模块和电机驱动输出模块信号连接。此款直流电机控制器有效抑制高频PWM导致电机具有明显的电磁干扰以及对其他控制造成干扰，可在电机全运行范围内调速，能使电机转速控制更加平稳、转速控制更加精确、误差控制较好，能实时调整负载变化而引起的波动，实时反馈控制信号，控制简单。</w:t>
      </w:r>
    </w:p>
    <w:p>
      <w:pPr>
        <w:spacing w:line="360" w:lineRule="auto"/>
        <w:jc w:val="left"/>
        <w:rPr>
          <w:rFonts w:hint="eastAsia" w:ascii="宋体" w:hAnsi="宋体" w:cs="宋体"/>
          <w:kern w:val="0"/>
          <w:sz w:val="24"/>
        </w:rPr>
      </w:pPr>
      <w:r>
        <w:rPr>
          <w:rFonts w:hint="eastAsia" w:ascii="宋体" w:hAnsi="宋体" w:cs="宋体"/>
          <w:kern w:val="0"/>
          <w:sz w:val="24"/>
        </w:rPr>
        <w:t>2.2.4无线通信模块采4</w:t>
      </w:r>
      <w:r>
        <w:rPr>
          <w:rFonts w:ascii="宋体" w:hAnsi="宋体" w:cs="宋体"/>
          <w:kern w:val="0"/>
          <w:sz w:val="24"/>
        </w:rPr>
        <w:t>33Mhz</w:t>
      </w:r>
      <w:r>
        <w:rPr>
          <w:rFonts w:hint="eastAsia" w:ascii="宋体" w:hAnsi="宋体" w:cs="宋体"/>
          <w:kern w:val="0"/>
          <w:sz w:val="24"/>
        </w:rPr>
        <w:t xml:space="preserve">频率，无线通信模块单元用以无线接收指令封包,控制单元由无线通信模块单元接收并处理指令封包而产生控制信号。控制单元根据控制信号以对电子装置进行控制,而使电子装置执行功能。由控制单元接收控制信号,计时单元根据控制信号以产生并传送致能信号至控制单元,再由控制单元是根据致能信号以开启或关闭功能。在结构上,保护单元电性耦接于蓝牙单元。于操作上,保护单元用以对电子装置进行监控,当电子装置的参数大于预设参数时,产生并传送致能信号至控制单元,确保通信稳定性。 </w:t>
      </w:r>
    </w:p>
    <w:p>
      <w:pPr>
        <w:spacing w:line="360" w:lineRule="auto"/>
        <w:rPr>
          <w:sz w:val="24"/>
        </w:rPr>
      </w:pPr>
      <w:r>
        <w:rPr>
          <w:rFonts w:hint="eastAsia"/>
        </w:rPr>
        <w:t xml:space="preserve">     </w:t>
      </w:r>
    </w:p>
    <w:p>
      <w:pPr>
        <w:spacing w:line="360" w:lineRule="auto"/>
        <w:ind w:firstLine="239" w:firstLineChars="99"/>
        <w:rPr>
          <w:rFonts w:hint="eastAsia" w:ascii="宋体" w:hAnsi="宋体" w:eastAsia="宋体" w:cs="宋体"/>
          <w:b/>
          <w:bCs/>
          <w:kern w:val="0"/>
          <w:sz w:val="24"/>
        </w:rPr>
      </w:pPr>
      <w:r>
        <w:rPr>
          <w:rFonts w:hint="eastAsia" w:ascii="宋体" w:hAnsi="宋体" w:eastAsia="宋体" w:cs="宋体"/>
          <w:b/>
          <w:bCs/>
          <w:kern w:val="0"/>
          <w:sz w:val="24"/>
        </w:rPr>
        <w:t>2.2</w:t>
      </w:r>
      <w:r>
        <w:rPr>
          <w:rFonts w:ascii="宋体" w:hAnsi="宋体" w:eastAsia="宋体" w:cs="宋体"/>
          <w:b/>
          <w:bCs/>
          <w:kern w:val="0"/>
          <w:sz w:val="24"/>
        </w:rPr>
        <w:t>期限要求</w:t>
      </w:r>
    </w:p>
    <w:p>
      <w:pPr>
        <w:spacing w:line="360" w:lineRule="auto"/>
        <w:ind w:firstLine="237" w:firstLineChars="99"/>
        <w:rPr>
          <w:rFonts w:hint="eastAsia" w:ascii="宋体" w:hAnsi="宋体" w:eastAsia="宋体" w:cs="宋体"/>
          <w:kern w:val="0"/>
          <w:sz w:val="24"/>
        </w:rPr>
      </w:pPr>
      <w:r>
        <w:rPr>
          <w:rFonts w:hint="eastAsia" w:ascii="宋体" w:hAnsi="宋体" w:eastAsia="宋体" w:cs="宋体"/>
          <w:kern w:val="0"/>
          <w:sz w:val="24"/>
        </w:rPr>
        <w:t>2025年10月30日前，完成全部内容，并送到指定地点。</w:t>
      </w:r>
    </w:p>
    <w:p>
      <w:pPr>
        <w:spacing w:line="360" w:lineRule="auto"/>
        <w:ind w:firstLine="239" w:firstLineChars="99"/>
        <w:rPr>
          <w:rFonts w:hint="eastAsia" w:ascii="宋体" w:hAnsi="宋体" w:eastAsia="宋体" w:cs="宋体"/>
          <w:b/>
          <w:bCs/>
          <w:kern w:val="0"/>
          <w:sz w:val="24"/>
        </w:rPr>
      </w:pPr>
      <w:r>
        <w:rPr>
          <w:rFonts w:hint="eastAsia" w:ascii="宋体" w:hAnsi="宋体" w:eastAsia="宋体" w:cs="宋体"/>
          <w:b/>
          <w:bCs/>
          <w:kern w:val="0"/>
          <w:sz w:val="24"/>
        </w:rPr>
        <w:t>2.3现场调试服务</w:t>
      </w:r>
    </w:p>
    <w:p>
      <w:pPr>
        <w:spacing w:line="360" w:lineRule="auto"/>
        <w:ind w:firstLine="237" w:firstLineChars="99"/>
        <w:rPr>
          <w:rFonts w:hint="eastAsia" w:ascii="宋体" w:hAnsi="宋体" w:eastAsia="宋体" w:cs="宋体"/>
          <w:kern w:val="0"/>
          <w:sz w:val="24"/>
        </w:rPr>
      </w:pPr>
      <w:r>
        <w:rPr>
          <w:rFonts w:hint="eastAsia" w:ascii="宋体" w:hAnsi="宋体" w:eastAsia="宋体" w:cs="宋体"/>
          <w:kern w:val="0"/>
          <w:sz w:val="24"/>
        </w:rPr>
        <w:t>现场必要的调试、测试、试验技术服务、包括不限于功能测试、性能验证、现场技术服务支持等。</w:t>
      </w:r>
    </w:p>
    <w:p>
      <w:pPr>
        <w:spacing w:line="360" w:lineRule="auto"/>
        <w:ind w:firstLine="239" w:firstLineChars="99"/>
        <w:rPr>
          <w:rFonts w:hint="eastAsia" w:ascii="宋体" w:hAnsi="宋体" w:eastAsia="宋体" w:cs="宋体"/>
          <w:b/>
          <w:bCs/>
          <w:kern w:val="0"/>
          <w:sz w:val="24"/>
        </w:rPr>
      </w:pPr>
      <w:r>
        <w:rPr>
          <w:rFonts w:hint="eastAsia" w:ascii="宋体" w:hAnsi="宋体" w:eastAsia="宋体" w:cs="宋体"/>
          <w:b/>
          <w:bCs/>
          <w:kern w:val="0"/>
          <w:sz w:val="24"/>
        </w:rPr>
        <w:t>2.4</w:t>
      </w:r>
      <w:r>
        <w:rPr>
          <w:rFonts w:ascii="宋体" w:hAnsi="宋体" w:eastAsia="宋体" w:cs="宋体"/>
          <w:b/>
          <w:bCs/>
          <w:kern w:val="0"/>
          <w:sz w:val="24"/>
        </w:rPr>
        <w:t>其他要求</w:t>
      </w:r>
    </w:p>
    <w:p>
      <w:pPr>
        <w:spacing w:line="360" w:lineRule="auto"/>
        <w:ind w:firstLine="237" w:firstLineChars="99"/>
        <w:rPr>
          <w:rFonts w:hint="eastAsia" w:ascii="宋体" w:hAnsi="宋体" w:eastAsia="宋体" w:cs="宋体"/>
          <w:kern w:val="0"/>
          <w:sz w:val="24"/>
        </w:rPr>
      </w:pPr>
      <w:r>
        <w:rPr>
          <w:rFonts w:hint="eastAsia" w:ascii="宋体" w:hAnsi="宋体" w:eastAsia="宋体" w:cs="宋体"/>
          <w:kern w:val="0"/>
          <w:sz w:val="24"/>
        </w:rPr>
        <w:t>1、供应商需配合甲方在测试加工期内至少完成1项发明专利底稿撰写，直至申请受理和实审、回复专利答疑等；</w:t>
      </w:r>
    </w:p>
    <w:p>
      <w:pPr>
        <w:spacing w:line="360" w:lineRule="auto"/>
        <w:ind w:firstLine="237" w:firstLineChars="99"/>
        <w:rPr>
          <w:rFonts w:hint="eastAsia" w:ascii="宋体" w:hAnsi="宋体" w:eastAsia="宋体" w:cs="宋体"/>
          <w:kern w:val="0"/>
          <w:sz w:val="24"/>
        </w:rPr>
      </w:pPr>
      <w:r>
        <w:rPr>
          <w:rFonts w:hint="eastAsia" w:ascii="宋体" w:hAnsi="宋体" w:eastAsia="宋体" w:cs="宋体"/>
          <w:kern w:val="0"/>
          <w:sz w:val="24"/>
        </w:rPr>
        <w:t xml:space="preserve"> 2、供应商须承诺安排正式员工专职与甲方对接跟进项目工作，并配合项目开展试点应用工作，进行现场交流、确认实施方案、现场测试、项目验收等。</w:t>
      </w:r>
    </w:p>
    <w:p>
      <w:pPr>
        <w:spacing w:line="360" w:lineRule="auto"/>
        <w:ind w:firstLine="237" w:firstLineChars="99"/>
        <w:rPr>
          <w:rFonts w:hint="eastAsia" w:ascii="宋体" w:hAnsi="宋体" w:eastAsia="宋体" w:cs="宋体"/>
          <w:kern w:val="0"/>
          <w:sz w:val="24"/>
        </w:rPr>
      </w:pPr>
      <w:r>
        <w:rPr>
          <w:rFonts w:hint="eastAsia" w:ascii="宋体" w:hAnsi="宋体" w:eastAsia="宋体" w:cs="宋体"/>
          <w:kern w:val="0"/>
          <w:sz w:val="24"/>
        </w:rPr>
        <w:t xml:space="preserve"> 3、供应商需配合完成项目相关技术资料编写，包含但不限于整套图纸设计、材料采购、加工、测试、技术总结报告、工作总结报告、项目验收资料等；</w:t>
      </w:r>
    </w:p>
    <w:p>
      <w:pPr>
        <w:spacing w:line="360" w:lineRule="auto"/>
        <w:ind w:firstLine="237" w:firstLineChars="99"/>
        <w:rPr>
          <w:rFonts w:hint="eastAsia" w:ascii="宋体" w:hAnsi="宋体" w:eastAsia="宋体" w:cs="宋体"/>
          <w:kern w:val="0"/>
          <w:sz w:val="24"/>
        </w:rPr>
      </w:pPr>
      <w:r>
        <w:rPr>
          <w:rFonts w:hint="eastAsia" w:ascii="宋体" w:hAnsi="宋体" w:eastAsia="宋体" w:cs="宋体"/>
          <w:kern w:val="0"/>
          <w:sz w:val="24"/>
        </w:rPr>
        <w:t xml:space="preserve"> 4、甲方会结合现场应用场景，综合评估技术方案、设计图，可能会做适当合理调整项目设计方案、功能软件、零部件模块加工测试等，最终以甲方审核确定的方案为准。</w:t>
      </w:r>
    </w:p>
    <w:p>
      <w:pPr>
        <w:spacing w:line="360" w:lineRule="auto"/>
        <w:ind w:firstLine="237" w:firstLineChars="99"/>
        <w:rPr>
          <w:rFonts w:hint="eastAsia" w:ascii="宋体" w:hAnsi="宋体" w:eastAsia="宋体" w:cs="宋体"/>
          <w:kern w:val="0"/>
          <w:sz w:val="24"/>
        </w:rPr>
      </w:pPr>
      <w:r>
        <w:rPr>
          <w:rFonts w:hint="eastAsia" w:ascii="宋体" w:hAnsi="宋体" w:eastAsia="宋体" w:cs="宋体"/>
          <w:kern w:val="0"/>
          <w:sz w:val="24"/>
        </w:rPr>
        <w:t>5、供应商如果不能按时按质完成，将按照南方电网公司相关规定对供应商采取相关处罚。</w:t>
      </w:r>
    </w:p>
    <w:p>
      <w:pPr>
        <w:pStyle w:val="2"/>
        <w:spacing w:line="360" w:lineRule="auto"/>
      </w:pPr>
    </w:p>
    <w:p>
      <w:pPr>
        <w:spacing w:line="360" w:lineRule="auto"/>
        <w:outlineLvl w:val="1"/>
        <w:rPr>
          <w:rFonts w:hint="eastAsia" w:ascii="宋体" w:hAnsi="宋体" w:cs="宋体"/>
          <w:sz w:val="24"/>
        </w:rPr>
      </w:pPr>
      <w:r>
        <w:rPr>
          <w:rFonts w:hint="eastAsia" w:cs="宋体" w:asciiTheme="minorEastAsia" w:hAnsiTheme="minorEastAsia"/>
          <w:sz w:val="24"/>
        </w:rPr>
        <w:t>★</w:t>
      </w:r>
      <w:r>
        <w:rPr>
          <w:rFonts w:hint="eastAsia" w:ascii="宋体" w:hAnsi="宋体" w:cs="宋体"/>
          <w:sz w:val="24"/>
        </w:rPr>
        <w:t>资格条件：</w:t>
      </w:r>
    </w:p>
    <w:p>
      <w:pPr>
        <w:spacing w:line="360" w:lineRule="auto"/>
        <w:outlineLvl w:val="1"/>
        <w:rPr>
          <w:rFonts w:hint="eastAsia" w:ascii="宋体" w:hAnsi="宋体" w:cs="宋体"/>
          <w:sz w:val="24"/>
        </w:rPr>
      </w:pPr>
      <w:bookmarkStart w:id="0" w:name="_GoBack"/>
      <w:r>
        <w:rPr>
          <w:rFonts w:hint="eastAsia" w:ascii="宋体" w:hAnsi="宋体" w:cs="宋体"/>
          <w:sz w:val="24"/>
        </w:rPr>
        <w:t xml:space="preserve">1.供应商注册资金不能低于500万  </w:t>
      </w:r>
    </w:p>
    <w:p>
      <w:pPr>
        <w:spacing w:line="360" w:lineRule="auto"/>
        <w:outlineLvl w:val="1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2.提供至少一份南网职创合同或者中标通知书。</w:t>
      </w:r>
    </w:p>
    <w:bookmarkEnd w:id="0"/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02F2C90"/>
    <w:multiLevelType w:val="singleLevel"/>
    <w:tmpl w:val="A02F2C90"/>
    <w:lvl w:ilvl="0" w:tentative="0">
      <w:start w:val="2"/>
      <w:numFmt w:val="decimal"/>
      <w:suff w:val="nothing"/>
      <w:lvlText w:val="%1、"/>
      <w:lvlJc w:val="left"/>
    </w:lvl>
  </w:abstractNum>
  <w:abstractNum w:abstractNumId="1">
    <w:nsid w:val="4F332B2D"/>
    <w:multiLevelType w:val="multilevel"/>
    <w:tmpl w:val="4F332B2D"/>
    <w:lvl w:ilvl="0" w:tentative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 w:tentative="0">
      <w:start w:val="2"/>
      <w:numFmt w:val="decimal"/>
      <w:lvlText w:val="%1.%2"/>
      <w:lvlJc w:val="left"/>
      <w:pPr>
        <w:ind w:left="600" w:hanging="600"/>
      </w:pPr>
      <w:rPr>
        <w:rFonts w:hint="default"/>
      </w:rPr>
    </w:lvl>
    <w:lvl w:ilvl="2" w:tentative="0">
      <w:start w:val="2"/>
      <w:numFmt w:val="decimal"/>
      <w:lvlText w:val="%1.%2.%3"/>
      <w:lvlJc w:val="left"/>
      <w:pPr>
        <w:ind w:left="720" w:hanging="720"/>
      </w:pPr>
      <w:rPr>
        <w:rFonts w:hint="default"/>
      </w:rPr>
    </w:lvl>
    <w:lvl w:ilvl="3" w:tentative="0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 w:tentative="0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 w:tentative="0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 w:tentative="0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 w:tentative="0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 w:tentative="0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2">
    <w:nsid w:val="5D0C4C63"/>
    <w:multiLevelType w:val="multilevel"/>
    <w:tmpl w:val="5D0C4C63"/>
    <w:lvl w:ilvl="0" w:tentative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80" w:hanging="440"/>
      </w:pPr>
    </w:lvl>
    <w:lvl w:ilvl="2" w:tentative="0">
      <w:start w:val="1"/>
      <w:numFmt w:val="lowerRoman"/>
      <w:lvlText w:val="%3."/>
      <w:lvlJc w:val="right"/>
      <w:pPr>
        <w:ind w:left="1320" w:hanging="440"/>
      </w:pPr>
    </w:lvl>
    <w:lvl w:ilvl="3" w:tentative="0">
      <w:start w:val="1"/>
      <w:numFmt w:val="decimal"/>
      <w:lvlText w:val="%4."/>
      <w:lvlJc w:val="left"/>
      <w:pPr>
        <w:ind w:left="1760" w:hanging="440"/>
      </w:pPr>
    </w:lvl>
    <w:lvl w:ilvl="4" w:tentative="0">
      <w:start w:val="1"/>
      <w:numFmt w:val="lowerLetter"/>
      <w:lvlText w:val="%5)"/>
      <w:lvlJc w:val="left"/>
      <w:pPr>
        <w:ind w:left="2200" w:hanging="440"/>
      </w:pPr>
    </w:lvl>
    <w:lvl w:ilvl="5" w:tentative="0">
      <w:start w:val="1"/>
      <w:numFmt w:val="lowerRoman"/>
      <w:lvlText w:val="%6."/>
      <w:lvlJc w:val="right"/>
      <w:pPr>
        <w:ind w:left="2640" w:hanging="440"/>
      </w:pPr>
    </w:lvl>
    <w:lvl w:ilvl="6" w:tentative="0">
      <w:start w:val="1"/>
      <w:numFmt w:val="decimal"/>
      <w:lvlText w:val="%7."/>
      <w:lvlJc w:val="left"/>
      <w:pPr>
        <w:ind w:left="3080" w:hanging="440"/>
      </w:pPr>
    </w:lvl>
    <w:lvl w:ilvl="7" w:tentative="0">
      <w:start w:val="1"/>
      <w:numFmt w:val="lowerLetter"/>
      <w:lvlText w:val="%8)"/>
      <w:lvlJc w:val="left"/>
      <w:pPr>
        <w:ind w:left="3520" w:hanging="440"/>
      </w:pPr>
    </w:lvl>
    <w:lvl w:ilvl="8" w:tentative="0">
      <w:start w:val="1"/>
      <w:numFmt w:val="lowerRoman"/>
      <w:lvlText w:val="%9."/>
      <w:lvlJc w:val="right"/>
      <w:pPr>
        <w:ind w:left="3960" w:hanging="44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80D260B"/>
    <w:rsid w:val="0000391A"/>
    <w:rsid w:val="000807F1"/>
    <w:rsid w:val="000B13DA"/>
    <w:rsid w:val="000B19F3"/>
    <w:rsid w:val="000E5272"/>
    <w:rsid w:val="00182443"/>
    <w:rsid w:val="00191F36"/>
    <w:rsid w:val="002074F9"/>
    <w:rsid w:val="002352B2"/>
    <w:rsid w:val="00252126"/>
    <w:rsid w:val="00281BC7"/>
    <w:rsid w:val="0030010C"/>
    <w:rsid w:val="00321492"/>
    <w:rsid w:val="00327814"/>
    <w:rsid w:val="00397762"/>
    <w:rsid w:val="003F4772"/>
    <w:rsid w:val="00401CEA"/>
    <w:rsid w:val="00404E3D"/>
    <w:rsid w:val="00431E77"/>
    <w:rsid w:val="004E2A11"/>
    <w:rsid w:val="00595423"/>
    <w:rsid w:val="006707EE"/>
    <w:rsid w:val="0068531C"/>
    <w:rsid w:val="006A5053"/>
    <w:rsid w:val="00875F95"/>
    <w:rsid w:val="00933939"/>
    <w:rsid w:val="009C4223"/>
    <w:rsid w:val="009D01E1"/>
    <w:rsid w:val="00A122E4"/>
    <w:rsid w:val="00AA400E"/>
    <w:rsid w:val="00B46C07"/>
    <w:rsid w:val="00CA3F5C"/>
    <w:rsid w:val="00D21F36"/>
    <w:rsid w:val="00D43BB9"/>
    <w:rsid w:val="00D668F3"/>
    <w:rsid w:val="00D70CE6"/>
    <w:rsid w:val="00D9069E"/>
    <w:rsid w:val="00DA60B1"/>
    <w:rsid w:val="00DF29F7"/>
    <w:rsid w:val="00EA5870"/>
    <w:rsid w:val="00EF14A7"/>
    <w:rsid w:val="00F1739E"/>
    <w:rsid w:val="00F4640E"/>
    <w:rsid w:val="114933F8"/>
    <w:rsid w:val="1BC46F75"/>
    <w:rsid w:val="224B3501"/>
    <w:rsid w:val="380D260B"/>
    <w:rsid w:val="3BCC06B4"/>
    <w:rsid w:val="3E8C68AA"/>
    <w:rsid w:val="50B5644D"/>
    <w:rsid w:val="5668464E"/>
    <w:rsid w:val="5FF3530B"/>
    <w:rsid w:val="6B890516"/>
    <w:rsid w:val="76994A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5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uiPriority w:val="0"/>
    <w:pPr>
      <w:spacing w:after="120"/>
    </w:pPr>
    <w:rPr>
      <w:rFonts w:ascii="Calibri" w:hAnsi="Calibri"/>
      <w:kern w:val="0"/>
      <w:sz w:val="20"/>
      <w:szCs w:val="20"/>
    </w:rPr>
  </w:style>
  <w:style w:type="paragraph" w:styleId="3">
    <w:name w:val="footer"/>
    <w:basedOn w:val="1"/>
    <w:link w:val="8"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7"/>
    <w:uiPriority w:val="0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7">
    <w:name w:val="页眉 字符"/>
    <w:basedOn w:val="6"/>
    <w:link w:val="4"/>
    <w:uiPriority w:val="0"/>
    <w:rPr>
      <w:kern w:val="2"/>
      <w:sz w:val="18"/>
      <w:szCs w:val="18"/>
    </w:rPr>
  </w:style>
  <w:style w:type="character" w:customStyle="1" w:styleId="8">
    <w:name w:val="页脚 字符"/>
    <w:basedOn w:val="6"/>
    <w:link w:val="3"/>
    <w:uiPriority w:val="0"/>
    <w:rPr>
      <w:kern w:val="2"/>
      <w:sz w:val="18"/>
      <w:szCs w:val="18"/>
    </w:rPr>
  </w:style>
  <w:style w:type="paragraph" w:styleId="9">
    <w:name w:val="List Paragraph"/>
    <w:basedOn w:val="1"/>
    <w:unhideWhenUsed/>
    <w:uiPriority w:val="99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1106</Words>
  <Characters>1174</Characters>
  <Lines>234</Lines>
  <Paragraphs>134</Paragraphs>
  <TotalTime>52</TotalTime>
  <ScaleCrop>false</ScaleCrop>
  <LinksUpToDate>false</LinksUpToDate>
  <CharactersWithSpaces>2146</CharactersWithSpaces>
  <Application>WPS Office_11.8.2.11739_F1E327BC-269C-435d-A152-05C5408002CA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2025-06-30T02:16:00Z</dcterms:created>
  <dc:creator>范姝仪</dc:creator>
  <cp:lastModifiedBy>6CD38CE0210C44DDA71D65A6FEF2EFD6</cp:lastModifiedBy>
  <dcterms:modified xsi:type="dcterms:W3CDTF">2025-09-02T13:22:59Z</dcterms:modified>
  <cp:revision>39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2052-11.8.2.11739</vt:lpwstr>
  </property>
  <property fmtid="{D5CDD505-2E9C-101B-9397-08002B2CF9AE}" pid="3" name="ICV">
    <vt:lpwstr>2624AA36E0F84BA7A595FE95F1AEEA72</vt:lpwstr>
  </property>
</Properties>
</file>