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2F3C30">
      <w:pPr>
        <w:spacing w:line="200" w:lineRule="exact"/>
      </w:pPr>
      <w:bookmarkStart w:id="0" w:name="page1"/>
      <w:bookmarkEnd w:id="0"/>
      <w: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43815</wp:posOffset>
            </wp:positionH>
            <wp:positionV relativeFrom="page">
              <wp:posOffset>31750</wp:posOffset>
            </wp:positionV>
            <wp:extent cx="7548245" cy="6268085"/>
            <wp:effectExtent l="0" t="0" r="14605" b="18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626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C63BE31">
      <w:pPr>
        <w:spacing w:line="200" w:lineRule="exact"/>
      </w:pPr>
    </w:p>
    <w:p w14:paraId="6B310DD6">
      <w:pPr>
        <w:spacing w:line="200" w:lineRule="exact"/>
      </w:pPr>
    </w:p>
    <w:p w14:paraId="3966E219">
      <w:pPr>
        <w:spacing w:line="200" w:lineRule="exact"/>
      </w:pPr>
    </w:p>
    <w:p w14:paraId="33EA178F">
      <w:pPr>
        <w:spacing w:line="200" w:lineRule="exact"/>
      </w:pPr>
    </w:p>
    <w:p w14:paraId="4F460627">
      <w:pPr>
        <w:spacing w:line="200" w:lineRule="exact"/>
      </w:pPr>
    </w:p>
    <w:p w14:paraId="42391F65">
      <w:pPr>
        <w:spacing w:line="200" w:lineRule="exact"/>
      </w:pPr>
    </w:p>
    <w:p w14:paraId="35632964">
      <w:pPr>
        <w:spacing w:line="200" w:lineRule="exact"/>
      </w:pPr>
    </w:p>
    <w:p w14:paraId="2F456CC3">
      <w:pPr>
        <w:spacing w:line="200" w:lineRule="exact"/>
      </w:pPr>
    </w:p>
    <w:p w14:paraId="22521A92">
      <w:pPr>
        <w:spacing w:line="200" w:lineRule="exact"/>
      </w:pPr>
    </w:p>
    <w:p w14:paraId="225078F3">
      <w:pPr>
        <w:spacing w:line="200" w:lineRule="exact"/>
      </w:pPr>
    </w:p>
    <w:p w14:paraId="7FC927AC">
      <w:pPr>
        <w:spacing w:line="200" w:lineRule="exact"/>
      </w:pPr>
    </w:p>
    <w:p w14:paraId="1C88D46C">
      <w:pPr>
        <w:spacing w:line="200" w:lineRule="exact"/>
      </w:pPr>
    </w:p>
    <w:p w14:paraId="13795B38">
      <w:pPr>
        <w:spacing w:line="200" w:lineRule="exact"/>
      </w:pPr>
    </w:p>
    <w:p w14:paraId="51DC1D75">
      <w:pPr>
        <w:spacing w:line="200" w:lineRule="exact"/>
      </w:pPr>
    </w:p>
    <w:p w14:paraId="32CDB50B">
      <w:pPr>
        <w:spacing w:line="200" w:lineRule="exact"/>
      </w:pPr>
    </w:p>
    <w:p w14:paraId="67ED2C1B">
      <w:pPr>
        <w:spacing w:line="209" w:lineRule="exact"/>
      </w:pPr>
    </w:p>
    <w:p w14:paraId="34543AA4">
      <w:pPr>
        <w:spacing w:line="751" w:lineRule="exact"/>
        <w:jc w:val="both"/>
        <w:rPr>
          <w:rFonts w:hint="eastAsia"/>
          <w:w w:val="90"/>
          <w:sz w:val="20"/>
          <w:szCs w:val="20"/>
          <w:lang w:val="en-US" w:eastAsia="zh-CN"/>
        </w:rPr>
      </w:pPr>
      <w:r>
        <w:rPr>
          <w:rFonts w:hint="eastAsia"/>
          <w:w w:val="90"/>
          <w:sz w:val="20"/>
          <w:szCs w:val="20"/>
          <w:lang w:val="en-US" w:eastAsia="zh-CN"/>
        </w:rPr>
        <w:t xml:space="preserve">  </w:t>
      </w:r>
    </w:p>
    <w:p w14:paraId="09F8A582">
      <w:pPr>
        <w:spacing w:line="751" w:lineRule="exact"/>
        <w:jc w:val="both"/>
        <w:rPr>
          <w:rFonts w:hint="default"/>
          <w:w w:val="90"/>
          <w:sz w:val="20"/>
          <w:szCs w:val="20"/>
          <w:lang w:val="en-US" w:eastAsia="zh-CN"/>
        </w:rPr>
      </w:pPr>
    </w:p>
    <w:p w14:paraId="454EFD4B">
      <w:pPr>
        <w:spacing w:line="200" w:lineRule="exact"/>
        <w:rPr>
          <w:lang w:eastAsia="zh-CN"/>
        </w:rPr>
      </w:pPr>
    </w:p>
    <w:p w14:paraId="64219B3F">
      <w:pPr>
        <w:spacing w:line="751" w:lineRule="exact"/>
        <w:ind w:left="1454" w:leftChars="216" w:hanging="936" w:hangingChars="200"/>
        <w:jc w:val="both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南方电网贵州电动汽车服务有限公司2025年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运维车辆整备物料采购项目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技术规范书</w:t>
      </w:r>
    </w:p>
    <w:p w14:paraId="72FB0842">
      <w:pPr>
        <w:spacing w:line="200" w:lineRule="exact"/>
        <w:rPr>
          <w:lang w:eastAsia="zh-CN"/>
        </w:rPr>
      </w:pPr>
    </w:p>
    <w:p w14:paraId="5C7E3A32">
      <w:pPr>
        <w:spacing w:line="200" w:lineRule="exact"/>
        <w:rPr>
          <w:lang w:eastAsia="zh-CN"/>
        </w:rPr>
      </w:pPr>
    </w:p>
    <w:p w14:paraId="0CCF9E3C">
      <w:pPr>
        <w:spacing w:line="200" w:lineRule="exact"/>
        <w:rPr>
          <w:lang w:eastAsia="zh-CN"/>
        </w:rPr>
      </w:pPr>
    </w:p>
    <w:p w14:paraId="20EAA3F4">
      <w:pPr>
        <w:spacing w:line="200" w:lineRule="exact"/>
        <w:rPr>
          <w:lang w:eastAsia="zh-CN"/>
        </w:rPr>
      </w:pPr>
    </w:p>
    <w:p w14:paraId="622B3A4A">
      <w:pPr>
        <w:spacing w:line="200" w:lineRule="exact"/>
        <w:rPr>
          <w:lang w:eastAsia="zh-CN"/>
        </w:rPr>
      </w:pPr>
    </w:p>
    <w:p w14:paraId="15FE2BB2">
      <w:pPr>
        <w:spacing w:line="200" w:lineRule="exact"/>
        <w:rPr>
          <w:lang w:eastAsia="zh-CN"/>
        </w:rPr>
      </w:pPr>
    </w:p>
    <w:p w14:paraId="223D4F77">
      <w:pPr>
        <w:spacing w:line="200" w:lineRule="exact"/>
        <w:rPr>
          <w:lang w:eastAsia="zh-CN"/>
        </w:rPr>
      </w:pPr>
    </w:p>
    <w:p w14:paraId="08648CBA">
      <w:pPr>
        <w:spacing w:line="200" w:lineRule="exact"/>
        <w:rPr>
          <w:lang w:eastAsia="zh-CN"/>
        </w:rPr>
      </w:pPr>
    </w:p>
    <w:p w14:paraId="1F49B6DC">
      <w:pPr>
        <w:spacing w:line="200" w:lineRule="exact"/>
        <w:rPr>
          <w:lang w:eastAsia="zh-CN"/>
        </w:rPr>
      </w:pPr>
    </w:p>
    <w:p w14:paraId="093F72A1">
      <w:pPr>
        <w:spacing w:line="200" w:lineRule="exact"/>
        <w:rPr>
          <w:lang w:eastAsia="zh-CN"/>
        </w:rPr>
      </w:pPr>
    </w:p>
    <w:p w14:paraId="59BF7738">
      <w:pPr>
        <w:spacing w:line="200" w:lineRule="exact"/>
        <w:rPr>
          <w:lang w:eastAsia="zh-CN"/>
        </w:rPr>
      </w:pPr>
    </w:p>
    <w:p w14:paraId="5B3118ED">
      <w:pPr>
        <w:spacing w:line="200" w:lineRule="exact"/>
        <w:rPr>
          <w:lang w:eastAsia="zh-CN"/>
        </w:rPr>
      </w:pPr>
    </w:p>
    <w:p w14:paraId="48B42931">
      <w:pPr>
        <w:spacing w:line="200" w:lineRule="exact"/>
        <w:rPr>
          <w:lang w:eastAsia="zh-CN"/>
        </w:rPr>
      </w:pPr>
    </w:p>
    <w:p w14:paraId="09ED3B7D">
      <w:pPr>
        <w:spacing w:line="200" w:lineRule="exact"/>
        <w:rPr>
          <w:lang w:eastAsia="zh-CN"/>
        </w:rPr>
      </w:pPr>
    </w:p>
    <w:p w14:paraId="41D54AE2">
      <w:pPr>
        <w:spacing w:line="200" w:lineRule="exact"/>
        <w:rPr>
          <w:lang w:eastAsia="zh-CN"/>
        </w:rPr>
      </w:pPr>
    </w:p>
    <w:p w14:paraId="7CD7B0DB">
      <w:pPr>
        <w:spacing w:line="200" w:lineRule="exact"/>
        <w:rPr>
          <w:lang w:eastAsia="zh-CN"/>
        </w:rPr>
      </w:pPr>
    </w:p>
    <w:p w14:paraId="463A1D3A">
      <w:pPr>
        <w:spacing w:line="200" w:lineRule="exact"/>
        <w:rPr>
          <w:lang w:eastAsia="zh-CN"/>
        </w:rPr>
      </w:pPr>
    </w:p>
    <w:p w14:paraId="5DF75AE7">
      <w:pPr>
        <w:spacing w:line="200" w:lineRule="exact"/>
        <w:rPr>
          <w:rFonts w:eastAsia="宋体"/>
          <w:lang w:eastAsia="zh-CN"/>
        </w:rPr>
      </w:pPr>
      <w:r>
        <w:rPr>
          <w:rFonts w:hint="eastAsia" w:eastAsia="宋体"/>
          <w:lang w:eastAsia="zh-CN"/>
        </w:rPr>
        <w:t xml:space="preserve">                   </w:t>
      </w:r>
    </w:p>
    <w:p w14:paraId="0D9B6DCF">
      <w:pPr>
        <w:spacing w:line="200" w:lineRule="exact"/>
        <w:rPr>
          <w:rFonts w:eastAsia="宋体"/>
          <w:lang w:eastAsia="zh-CN"/>
        </w:rPr>
      </w:pPr>
    </w:p>
    <w:p w14:paraId="1FB60D4D">
      <w:pPr>
        <w:spacing w:line="200" w:lineRule="exact"/>
        <w:rPr>
          <w:lang w:eastAsia="zh-CN"/>
        </w:rPr>
      </w:pPr>
    </w:p>
    <w:p w14:paraId="3AD807A5">
      <w:pPr>
        <w:spacing w:line="200" w:lineRule="exact"/>
        <w:rPr>
          <w:lang w:eastAsia="zh-CN"/>
        </w:rPr>
      </w:pPr>
    </w:p>
    <w:p w14:paraId="43555A9E">
      <w:pPr>
        <w:spacing w:line="200" w:lineRule="exact"/>
        <w:rPr>
          <w:lang w:eastAsia="zh-CN"/>
        </w:rPr>
      </w:pPr>
    </w:p>
    <w:p w14:paraId="68289FD4">
      <w:pPr>
        <w:spacing w:line="200" w:lineRule="exact"/>
        <w:rPr>
          <w:lang w:eastAsia="zh-CN"/>
        </w:rPr>
      </w:pPr>
    </w:p>
    <w:p w14:paraId="40F1395F">
      <w:pPr>
        <w:spacing w:line="200" w:lineRule="exact"/>
        <w:rPr>
          <w:lang w:eastAsia="zh-CN"/>
        </w:rPr>
      </w:pPr>
    </w:p>
    <w:p w14:paraId="6054668D">
      <w:pPr>
        <w:spacing w:line="200" w:lineRule="exact"/>
        <w:rPr>
          <w:lang w:eastAsia="zh-CN"/>
        </w:rPr>
      </w:pPr>
    </w:p>
    <w:p w14:paraId="3C17451A">
      <w:pPr>
        <w:spacing w:line="200" w:lineRule="exact"/>
        <w:rPr>
          <w:lang w:eastAsia="zh-CN"/>
        </w:rPr>
      </w:pPr>
    </w:p>
    <w:p w14:paraId="15018E12">
      <w:pPr>
        <w:spacing w:line="200" w:lineRule="exact"/>
        <w:rPr>
          <w:lang w:eastAsia="zh-CN"/>
        </w:rPr>
      </w:pPr>
    </w:p>
    <w:p w14:paraId="18876B1A">
      <w:pPr>
        <w:spacing w:line="257" w:lineRule="exact"/>
        <w:rPr>
          <w:lang w:eastAsia="zh-CN"/>
        </w:rPr>
      </w:pPr>
    </w:p>
    <w:p w14:paraId="6B3D3660">
      <w:pPr>
        <w:spacing w:line="320" w:lineRule="exact"/>
        <w:ind w:firstLine="3080" w:firstLineChars="11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南方电网贵州电动汽车服务有限公司</w:t>
      </w:r>
    </w:p>
    <w:p w14:paraId="53E8C562">
      <w:pPr>
        <w:spacing w:line="305" w:lineRule="exact"/>
        <w:rPr>
          <w:rFonts w:ascii="黑体" w:hAnsi="黑体" w:eastAsia="黑体" w:cs="黑体"/>
          <w:lang w:eastAsia="zh-CN"/>
        </w:rPr>
      </w:pPr>
    </w:p>
    <w:p w14:paraId="01F9A470">
      <w:pPr>
        <w:spacing w:line="320" w:lineRule="exact"/>
        <w:ind w:left="47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202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5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9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月</w:t>
      </w:r>
    </w:p>
    <w:p w14:paraId="0936E71D">
      <w:pPr>
        <w:rPr>
          <w:sz w:val="22"/>
          <w:szCs w:val="22"/>
          <w:lang w:eastAsia="zh-CN"/>
        </w:rPr>
        <w:sectPr>
          <w:pgSz w:w="11900" w:h="16838"/>
          <w:pgMar w:top="1440" w:right="1306" w:bottom="1440" w:left="800" w:header="0" w:footer="0" w:gutter="0"/>
          <w:cols w:equalWidth="0" w:num="1">
            <w:col w:w="9800"/>
          </w:cols>
        </w:sectPr>
      </w:pPr>
    </w:p>
    <w:p w14:paraId="4D368DFF">
      <w:pPr>
        <w:spacing w:line="229" w:lineRule="exact"/>
        <w:rPr>
          <w:sz w:val="20"/>
          <w:szCs w:val="20"/>
          <w:lang w:eastAsia="zh-CN"/>
        </w:rPr>
      </w:pPr>
      <w:bookmarkStart w:id="1" w:name="page2"/>
      <w:bookmarkEnd w:id="1"/>
    </w:p>
    <w:p w14:paraId="4A75C64D">
      <w:pPr>
        <w:spacing w:line="502" w:lineRule="exact"/>
        <w:ind w:left="3560"/>
        <w:rPr>
          <w:rFonts w:ascii="宋体" w:hAnsi="宋体" w:eastAsia="宋体" w:cs="宋体"/>
          <w:sz w:val="44"/>
          <w:szCs w:val="44"/>
          <w:lang w:eastAsia="zh-CN"/>
        </w:rPr>
      </w:pPr>
    </w:p>
    <w:p w14:paraId="1772ECC6">
      <w:pPr>
        <w:spacing w:line="502" w:lineRule="exact"/>
        <w:ind w:left="356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44"/>
          <w:szCs w:val="44"/>
          <w:lang w:eastAsia="zh-CN"/>
        </w:rPr>
        <w:t>目 录</w:t>
      </w:r>
    </w:p>
    <w:p w14:paraId="6A74231E">
      <w:pPr>
        <w:spacing w:line="200" w:lineRule="exact"/>
        <w:rPr>
          <w:sz w:val="20"/>
          <w:szCs w:val="20"/>
          <w:lang w:eastAsia="zh-CN"/>
        </w:rPr>
      </w:pPr>
    </w:p>
    <w:p w14:paraId="234053F6">
      <w:pPr>
        <w:spacing w:line="200" w:lineRule="exact"/>
        <w:rPr>
          <w:sz w:val="20"/>
          <w:szCs w:val="20"/>
          <w:lang w:eastAsia="zh-CN"/>
        </w:rPr>
      </w:pPr>
    </w:p>
    <w:p w14:paraId="753888CC">
      <w:pPr>
        <w:spacing w:line="200" w:lineRule="exact"/>
        <w:rPr>
          <w:sz w:val="20"/>
          <w:szCs w:val="20"/>
          <w:lang w:eastAsia="zh-CN"/>
        </w:rPr>
      </w:pPr>
    </w:p>
    <w:p w14:paraId="432F8C64">
      <w:pPr>
        <w:spacing w:line="390" w:lineRule="exact"/>
        <w:rPr>
          <w:sz w:val="20"/>
          <w:szCs w:val="20"/>
          <w:lang w:eastAsia="zh-CN"/>
        </w:rPr>
      </w:pPr>
    </w:p>
    <w:p w14:paraId="38677B5D"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一、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总则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18B701EF">
      <w:pPr>
        <w:spacing w:line="305" w:lineRule="exact"/>
        <w:rPr>
          <w:sz w:val="20"/>
          <w:szCs w:val="20"/>
          <w:lang w:eastAsia="zh-CN"/>
        </w:rPr>
      </w:pPr>
    </w:p>
    <w:p w14:paraId="39F9A463"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二、适用范围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21F99111">
      <w:pPr>
        <w:spacing w:line="305" w:lineRule="exact"/>
        <w:rPr>
          <w:sz w:val="20"/>
          <w:szCs w:val="20"/>
          <w:lang w:eastAsia="zh-CN"/>
        </w:rPr>
      </w:pPr>
    </w:p>
    <w:p w14:paraId="4F6649BE"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、项目概况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5F57E6A3">
      <w:pPr>
        <w:spacing w:line="305" w:lineRule="exact"/>
        <w:rPr>
          <w:sz w:val="20"/>
          <w:szCs w:val="20"/>
          <w:lang w:eastAsia="zh-CN"/>
        </w:rPr>
      </w:pPr>
    </w:p>
    <w:p w14:paraId="7AC4B772">
      <w:pPr>
        <w:tabs>
          <w:tab w:val="left" w:leader="dot" w:pos="8500"/>
        </w:tabs>
        <w:spacing w:line="320" w:lineRule="exact"/>
        <w:ind w:left="360" w:firstLine="280" w:firstLineChars="100"/>
        <w:rPr>
          <w:rFonts w:eastAsiaTheme="minorEastAsia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、相关要求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4213CF14">
      <w:pPr>
        <w:spacing w:line="305" w:lineRule="exact"/>
        <w:rPr>
          <w:sz w:val="20"/>
          <w:szCs w:val="20"/>
          <w:lang w:eastAsia="zh-CN"/>
        </w:rPr>
      </w:pPr>
    </w:p>
    <w:p w14:paraId="626B49FB"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（一）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采购范围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01EFA5E9">
      <w:pPr>
        <w:tabs>
          <w:tab w:val="left" w:leader="dot" w:pos="8500"/>
        </w:tabs>
        <w:spacing w:line="320" w:lineRule="atLeast"/>
        <w:ind w:left="360"/>
        <w:rPr>
          <w:rFonts w:ascii="黑体" w:hAnsi="黑体" w:eastAsia="黑体" w:cs="黑体"/>
          <w:sz w:val="28"/>
          <w:szCs w:val="28"/>
          <w:lang w:eastAsia="zh-CN"/>
        </w:rPr>
      </w:pPr>
    </w:p>
    <w:p w14:paraId="24D7EECE"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二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报价方式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5A8F1161">
      <w:pPr>
        <w:spacing w:line="320" w:lineRule="atLeast"/>
        <w:rPr>
          <w:rFonts w:eastAsiaTheme="minorEastAsia"/>
          <w:lang w:eastAsia="zh-CN"/>
        </w:rPr>
      </w:pPr>
      <w:bookmarkStart w:id="2" w:name="page1_0"/>
      <w:bookmarkEnd w:id="2"/>
    </w:p>
    <w:p w14:paraId="6F9BA935"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服务地址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40A55DA6">
      <w:pPr>
        <w:spacing w:line="320" w:lineRule="atLeast"/>
        <w:rPr>
          <w:sz w:val="20"/>
          <w:szCs w:val="20"/>
          <w:lang w:eastAsia="zh-CN"/>
        </w:rPr>
      </w:pPr>
    </w:p>
    <w:p w14:paraId="60598A94">
      <w:pPr>
        <w:tabs>
          <w:tab w:val="left" w:leader="dot" w:pos="8500"/>
        </w:tabs>
        <w:spacing w:line="320" w:lineRule="atLeast"/>
        <w:ind w:left="36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运维车辆整备采购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</w:t>
      </w:r>
    </w:p>
    <w:p w14:paraId="1A0A0E30">
      <w:pPr>
        <w:spacing w:line="320" w:lineRule="atLeast"/>
        <w:rPr>
          <w:rFonts w:eastAsiaTheme="minorEastAsia"/>
          <w:lang w:eastAsia="zh-CN"/>
        </w:rPr>
      </w:pPr>
    </w:p>
    <w:p w14:paraId="400ADAF4">
      <w:pPr>
        <w:spacing w:line="200" w:lineRule="exact"/>
        <w:rPr>
          <w:rFonts w:eastAsiaTheme="minorEastAsia"/>
          <w:lang w:eastAsia="zh-CN"/>
        </w:rPr>
      </w:pPr>
    </w:p>
    <w:p w14:paraId="2DD04C36">
      <w:pPr>
        <w:spacing w:line="411" w:lineRule="exact"/>
        <w:ind w:right="6"/>
        <w:jc w:val="both"/>
        <w:rPr>
          <w:rFonts w:ascii="宋体" w:hAnsi="宋体" w:eastAsia="宋体" w:cs="宋体"/>
          <w:sz w:val="36"/>
          <w:szCs w:val="36"/>
          <w:lang w:eastAsia="zh-CN"/>
        </w:rPr>
      </w:pPr>
    </w:p>
    <w:p w14:paraId="104B0FFF">
      <w:pPr>
        <w:spacing w:line="411" w:lineRule="exact"/>
        <w:ind w:right="6"/>
        <w:jc w:val="center"/>
        <w:rPr>
          <w:rFonts w:ascii="宋体" w:hAnsi="宋体" w:eastAsia="宋体" w:cs="宋体"/>
          <w:sz w:val="36"/>
          <w:szCs w:val="36"/>
          <w:lang w:eastAsia="zh-CN"/>
        </w:rPr>
      </w:pPr>
    </w:p>
    <w:p w14:paraId="79B0CD79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7E9332DE">
      <w:pPr>
        <w:spacing w:line="520" w:lineRule="exact"/>
        <w:ind w:right="6"/>
        <w:jc w:val="both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18C295B2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3DCFCA8E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23B1FA4A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3F2FCBD7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105297AA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7F44C01D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506CCA83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02AE9A82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585F1B6A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1388F37C">
      <w:pPr>
        <w:spacing w:line="520" w:lineRule="exact"/>
        <w:ind w:right="6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04A20AB8">
      <w:pPr>
        <w:spacing w:line="520" w:lineRule="exact"/>
        <w:ind w:right="6"/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2D24B71E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  <w:t>技术规范书</w:t>
      </w:r>
    </w:p>
    <w:p w14:paraId="1EBDAF2B">
      <w:pPr>
        <w:spacing w:line="20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 w14:paraId="2AEF78E4">
      <w:pPr>
        <w:spacing w:line="205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 w14:paraId="5FE84282">
      <w:pPr>
        <w:spacing w:line="336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 w14:paraId="53390CA4"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一、总则</w:t>
      </w:r>
    </w:p>
    <w:p w14:paraId="4A4321FD">
      <w:pPr>
        <w:spacing w:line="520" w:lineRule="exact"/>
        <w:ind w:left="360" w:right="22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为了规范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南方电网贵州电动汽车服务有限公司2025年运维车辆整备物料采购项目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技术规范书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（以下简称“项目”）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质量，保证项目正常运行，特制定本规范。</w:t>
      </w:r>
    </w:p>
    <w:p w14:paraId="326009E7"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二、适用范围</w:t>
      </w:r>
    </w:p>
    <w:p w14:paraId="06826CE7">
      <w:pPr>
        <w:spacing w:line="520" w:lineRule="exact"/>
        <w:ind w:left="360" w:right="36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适用于采购编号：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南方电网贵州电动汽车服务有限公司2025年运维车辆整备物料采购项目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07E4764E"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三、项目概况</w:t>
      </w:r>
    </w:p>
    <w:p w14:paraId="1A32AE40">
      <w:pPr>
        <w:spacing w:line="520" w:lineRule="exact"/>
        <w:ind w:left="278" w:leftChars="116" w:firstLine="800" w:firstLineChars="250"/>
        <w:jc w:val="both"/>
        <w:textAlignment w:val="baseline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为保障南方电网贵州电动汽车服务有限公司(以下简称:贵州电动公司)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充电设施安全稳定运行，规范运维车辆使用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针对贵州电动公司所辖充电桩的运维需求，对所需运维车辆整备物料及附属服务进行采购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0A16986">
      <w:pPr>
        <w:numPr>
          <w:ilvl w:val="0"/>
          <w:numId w:val="1"/>
        </w:numPr>
        <w:spacing w:line="520" w:lineRule="exact"/>
        <w:ind w:firstLine="964" w:firstLineChars="3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相关要求</w:t>
      </w:r>
    </w:p>
    <w:p w14:paraId="6038A8F6"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（一）采购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明细</w:t>
      </w:r>
    </w:p>
    <w:tbl>
      <w:tblPr>
        <w:tblStyle w:val="3"/>
        <w:tblpPr w:leftFromText="180" w:rightFromText="180" w:vertAnchor="text" w:tblpXSpec="center" w:tblpY="52"/>
        <w:tblOverlap w:val="never"/>
        <w:tblW w:w="85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4144"/>
        <w:gridCol w:w="1643"/>
        <w:gridCol w:w="1643"/>
      </w:tblGrid>
      <w:tr w14:paraId="1EAE4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1121" w:type="dxa"/>
            <w:vAlign w:val="center"/>
          </w:tcPr>
          <w:p w14:paraId="11773F5D"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4144" w:type="dxa"/>
            <w:vAlign w:val="center"/>
          </w:tcPr>
          <w:p w14:paraId="2C89D142"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标的名称</w:t>
            </w:r>
          </w:p>
        </w:tc>
        <w:tc>
          <w:tcPr>
            <w:tcW w:w="1643" w:type="dxa"/>
            <w:vAlign w:val="center"/>
          </w:tcPr>
          <w:p w14:paraId="419C6368"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采购明细</w:t>
            </w:r>
          </w:p>
        </w:tc>
        <w:tc>
          <w:tcPr>
            <w:tcW w:w="1643" w:type="dxa"/>
            <w:vAlign w:val="center"/>
          </w:tcPr>
          <w:p w14:paraId="66AEA84F"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最高限价（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含税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）</w:t>
            </w:r>
          </w:p>
        </w:tc>
      </w:tr>
      <w:tr w14:paraId="69F82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  <w:jc w:val="center"/>
        </w:trPr>
        <w:tc>
          <w:tcPr>
            <w:tcW w:w="1121" w:type="dxa"/>
            <w:vAlign w:val="center"/>
          </w:tcPr>
          <w:p w14:paraId="30B18BCE"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4144" w:type="dxa"/>
            <w:vAlign w:val="center"/>
          </w:tcPr>
          <w:p w14:paraId="5A282E99"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南方电网贵州电动汽车服务有限公司2025年运维车辆整备物料采购项目</w:t>
            </w:r>
          </w:p>
        </w:tc>
        <w:tc>
          <w:tcPr>
            <w:tcW w:w="1643" w:type="dxa"/>
            <w:vAlign w:val="center"/>
          </w:tcPr>
          <w:p w14:paraId="0E19C62A"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见附件1《运维车辆整备物料采购清单》</w:t>
            </w:r>
          </w:p>
        </w:tc>
        <w:tc>
          <w:tcPr>
            <w:tcW w:w="1643" w:type="dxa"/>
            <w:vAlign w:val="center"/>
          </w:tcPr>
          <w:p w14:paraId="03C92991"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49980</w:t>
            </w:r>
            <w:bookmarkStart w:id="3" w:name="_GoBack"/>
            <w:bookmarkEnd w:id="3"/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元</w:t>
            </w:r>
          </w:p>
        </w:tc>
      </w:tr>
    </w:tbl>
    <w:p w14:paraId="08DA2B6B">
      <w:pPr>
        <w:numPr>
          <w:ilvl w:val="0"/>
          <w:numId w:val="2"/>
        </w:num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报价方式</w:t>
      </w:r>
    </w:p>
    <w:p w14:paraId="6C99EEDE"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总价报价，最低价中标。</w:t>
      </w:r>
    </w:p>
    <w:p w14:paraId="3E28E3D3"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）服务地址</w:t>
      </w:r>
    </w:p>
    <w:p w14:paraId="7E60FAE6"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贵阳市南明区物资大厦。</w:t>
      </w:r>
    </w:p>
    <w:p w14:paraId="4F562247"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运维车辆整备物料采购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要求</w:t>
      </w:r>
    </w:p>
    <w:p w14:paraId="0B142CB3"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供应商需提供GPS安装服务、汽车车膜设计与贴膜服务等。</w:t>
      </w:r>
    </w:p>
    <w:p w14:paraId="053DCE29"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供应商需在贵阳有办事处及服务点，售后服务响应需在24小时内完成。</w:t>
      </w:r>
    </w:p>
    <w:p w14:paraId="0CCEE67A"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供应商需在中标后10个工作日内完成发货并整备完成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0B0197B3">
      <w:pPr>
        <w:spacing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供应商所提供行车记录仪及GPS，在质保期内非人为损坏免费更换。</w:t>
      </w:r>
    </w:p>
    <w:p w14:paraId="0417CCE7"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5.供应商所提供GPS需提供至少10年物联网卡服务。</w:t>
      </w:r>
    </w:p>
    <w:p w14:paraId="51512868">
      <w:pPr>
        <w:spacing w:line="52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 w14:paraId="45AFDAF2">
      <w:pPr>
        <w:bidi w:val="0"/>
        <w:rPr>
          <w:rFonts w:ascii="Times New Roman" w:hAnsi="Times New Roman" w:eastAsia="Times New Roman" w:cs="Times New Roman"/>
          <w:sz w:val="24"/>
          <w:szCs w:val="24"/>
          <w:lang w:val="en-US" w:eastAsia="zh-CN" w:bidi="ar-SA"/>
        </w:rPr>
      </w:pPr>
    </w:p>
    <w:p w14:paraId="3E22EE6D">
      <w:pPr>
        <w:bidi w:val="0"/>
        <w:rPr>
          <w:lang w:val="en-US" w:eastAsia="zh-CN"/>
        </w:rPr>
      </w:pPr>
    </w:p>
    <w:p w14:paraId="44FF978D">
      <w:pPr>
        <w:bidi w:val="0"/>
        <w:rPr>
          <w:lang w:val="en-US" w:eastAsia="zh-CN"/>
        </w:rPr>
      </w:pPr>
    </w:p>
    <w:p w14:paraId="2465DA5D">
      <w:pPr>
        <w:tabs>
          <w:tab w:val="left" w:pos="5252"/>
        </w:tabs>
        <w:bidi w:val="0"/>
        <w:jc w:val="left"/>
        <w:rPr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3AC8D0"/>
    <w:multiLevelType w:val="singleLevel"/>
    <w:tmpl w:val="0A3AC8D0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B7C6B35"/>
    <w:multiLevelType w:val="singleLevel"/>
    <w:tmpl w:val="3B7C6B3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documentProtection w:enforcement="0"/>
  <w:defaultTabStop w:val="7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015BD"/>
    <w:rsid w:val="00A77B3E"/>
    <w:rsid w:val="00B93C2A"/>
    <w:rsid w:val="00BB1461"/>
    <w:rsid w:val="00C9241A"/>
    <w:rsid w:val="00CA2A55"/>
    <w:rsid w:val="013B3F63"/>
    <w:rsid w:val="025A6C04"/>
    <w:rsid w:val="037262BA"/>
    <w:rsid w:val="05B74771"/>
    <w:rsid w:val="068E3B66"/>
    <w:rsid w:val="06FC21E7"/>
    <w:rsid w:val="072764A5"/>
    <w:rsid w:val="07DE7D68"/>
    <w:rsid w:val="08D46A3F"/>
    <w:rsid w:val="091273FA"/>
    <w:rsid w:val="0ADB7398"/>
    <w:rsid w:val="0B1B4E9F"/>
    <w:rsid w:val="0B3E3A9A"/>
    <w:rsid w:val="0B830474"/>
    <w:rsid w:val="0CB3217A"/>
    <w:rsid w:val="0CC63922"/>
    <w:rsid w:val="0D1302A2"/>
    <w:rsid w:val="0D3005FB"/>
    <w:rsid w:val="0E02296D"/>
    <w:rsid w:val="0F870469"/>
    <w:rsid w:val="0F8971C2"/>
    <w:rsid w:val="0FBB392A"/>
    <w:rsid w:val="10A75CBA"/>
    <w:rsid w:val="116E08FD"/>
    <w:rsid w:val="11C80677"/>
    <w:rsid w:val="11CF1B67"/>
    <w:rsid w:val="127C300E"/>
    <w:rsid w:val="13C12381"/>
    <w:rsid w:val="14FD0079"/>
    <w:rsid w:val="15164580"/>
    <w:rsid w:val="15E8637F"/>
    <w:rsid w:val="160B17F4"/>
    <w:rsid w:val="16B46750"/>
    <w:rsid w:val="16BE50DE"/>
    <w:rsid w:val="18536E78"/>
    <w:rsid w:val="19994B83"/>
    <w:rsid w:val="1A722BCA"/>
    <w:rsid w:val="1C4F189B"/>
    <w:rsid w:val="1CA478F2"/>
    <w:rsid w:val="1CBA0934"/>
    <w:rsid w:val="1CF45589"/>
    <w:rsid w:val="1DAF24FC"/>
    <w:rsid w:val="1E373BC3"/>
    <w:rsid w:val="1E7B3D90"/>
    <w:rsid w:val="1FB57A3A"/>
    <w:rsid w:val="20F416FE"/>
    <w:rsid w:val="213D3949"/>
    <w:rsid w:val="21924A2D"/>
    <w:rsid w:val="22017E7D"/>
    <w:rsid w:val="245709E2"/>
    <w:rsid w:val="246057D0"/>
    <w:rsid w:val="25673754"/>
    <w:rsid w:val="256911D0"/>
    <w:rsid w:val="263404C4"/>
    <w:rsid w:val="26A45974"/>
    <w:rsid w:val="27420C7A"/>
    <w:rsid w:val="27DE7716"/>
    <w:rsid w:val="28670FF6"/>
    <w:rsid w:val="28ED6E43"/>
    <w:rsid w:val="292827B1"/>
    <w:rsid w:val="296F777A"/>
    <w:rsid w:val="2AAE5541"/>
    <w:rsid w:val="2BAB03D4"/>
    <w:rsid w:val="2DE051B2"/>
    <w:rsid w:val="2E786DAF"/>
    <w:rsid w:val="2EBB13D0"/>
    <w:rsid w:val="2F0F0A9F"/>
    <w:rsid w:val="2F996FA3"/>
    <w:rsid w:val="303B7C0D"/>
    <w:rsid w:val="306F461B"/>
    <w:rsid w:val="30883239"/>
    <w:rsid w:val="335740A1"/>
    <w:rsid w:val="33E1511F"/>
    <w:rsid w:val="346A38C2"/>
    <w:rsid w:val="3479276E"/>
    <w:rsid w:val="34BE64CC"/>
    <w:rsid w:val="351A453A"/>
    <w:rsid w:val="368A2987"/>
    <w:rsid w:val="377A733E"/>
    <w:rsid w:val="37A3652C"/>
    <w:rsid w:val="38F33B5D"/>
    <w:rsid w:val="39D266CC"/>
    <w:rsid w:val="3A1E01E9"/>
    <w:rsid w:val="3A622E5E"/>
    <w:rsid w:val="3A9A5EF5"/>
    <w:rsid w:val="3ADC2450"/>
    <w:rsid w:val="3AEA378B"/>
    <w:rsid w:val="3B5D2396"/>
    <w:rsid w:val="3B6A7F86"/>
    <w:rsid w:val="3C593E8B"/>
    <w:rsid w:val="3D157D0E"/>
    <w:rsid w:val="3D7B4329"/>
    <w:rsid w:val="3E053F6B"/>
    <w:rsid w:val="3ED55C68"/>
    <w:rsid w:val="3EDB2255"/>
    <w:rsid w:val="40256E36"/>
    <w:rsid w:val="40C34785"/>
    <w:rsid w:val="413C1A66"/>
    <w:rsid w:val="415B1C43"/>
    <w:rsid w:val="42BF630F"/>
    <w:rsid w:val="44191A5F"/>
    <w:rsid w:val="443E2003"/>
    <w:rsid w:val="44890DFE"/>
    <w:rsid w:val="45280308"/>
    <w:rsid w:val="459D0CC6"/>
    <w:rsid w:val="4650193A"/>
    <w:rsid w:val="46684A41"/>
    <w:rsid w:val="46F179F6"/>
    <w:rsid w:val="48030BB8"/>
    <w:rsid w:val="48FD4B4F"/>
    <w:rsid w:val="49A61540"/>
    <w:rsid w:val="4A2E1CF6"/>
    <w:rsid w:val="4AA74645"/>
    <w:rsid w:val="4B542EFC"/>
    <w:rsid w:val="4B652E77"/>
    <w:rsid w:val="4B826E8C"/>
    <w:rsid w:val="4D940C96"/>
    <w:rsid w:val="4D9F28D5"/>
    <w:rsid w:val="4DFC10F3"/>
    <w:rsid w:val="4F545534"/>
    <w:rsid w:val="500320DD"/>
    <w:rsid w:val="509A6463"/>
    <w:rsid w:val="518A3749"/>
    <w:rsid w:val="51C32D2F"/>
    <w:rsid w:val="53066D20"/>
    <w:rsid w:val="53247FF4"/>
    <w:rsid w:val="53963229"/>
    <w:rsid w:val="539E4BBE"/>
    <w:rsid w:val="57D1104A"/>
    <w:rsid w:val="57D34F8E"/>
    <w:rsid w:val="58263B33"/>
    <w:rsid w:val="587924FF"/>
    <w:rsid w:val="597B335B"/>
    <w:rsid w:val="59E146C5"/>
    <w:rsid w:val="59FF13B5"/>
    <w:rsid w:val="5ADB2963"/>
    <w:rsid w:val="5C642423"/>
    <w:rsid w:val="5CAE368D"/>
    <w:rsid w:val="5E1D57DC"/>
    <w:rsid w:val="5ED81A8D"/>
    <w:rsid w:val="601A502E"/>
    <w:rsid w:val="602760F8"/>
    <w:rsid w:val="607362D2"/>
    <w:rsid w:val="60DF3EFC"/>
    <w:rsid w:val="613278D8"/>
    <w:rsid w:val="61AA75FB"/>
    <w:rsid w:val="629D1A5E"/>
    <w:rsid w:val="62F0280B"/>
    <w:rsid w:val="63CF6D0D"/>
    <w:rsid w:val="64D13754"/>
    <w:rsid w:val="64EA6203"/>
    <w:rsid w:val="65DA53F3"/>
    <w:rsid w:val="66664CDC"/>
    <w:rsid w:val="66D71736"/>
    <w:rsid w:val="679715F1"/>
    <w:rsid w:val="67C831C2"/>
    <w:rsid w:val="68346129"/>
    <w:rsid w:val="6AE622DC"/>
    <w:rsid w:val="6CBC13F4"/>
    <w:rsid w:val="6CE15CFC"/>
    <w:rsid w:val="6D271805"/>
    <w:rsid w:val="6D2B1985"/>
    <w:rsid w:val="6D9143ED"/>
    <w:rsid w:val="6DC53E25"/>
    <w:rsid w:val="6F6B5B5E"/>
    <w:rsid w:val="708C1A0F"/>
    <w:rsid w:val="70E055B2"/>
    <w:rsid w:val="71920D35"/>
    <w:rsid w:val="72345596"/>
    <w:rsid w:val="72B8133A"/>
    <w:rsid w:val="737F6B89"/>
    <w:rsid w:val="74CF5D3A"/>
    <w:rsid w:val="76BE75C4"/>
    <w:rsid w:val="77132317"/>
    <w:rsid w:val="798930D3"/>
    <w:rsid w:val="7B865FEC"/>
    <w:rsid w:val="7C122E07"/>
    <w:rsid w:val="7C3F770A"/>
    <w:rsid w:val="7E304914"/>
    <w:rsid w:val="7ED042FB"/>
    <w:rsid w:val="7F8E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611</Words>
  <Characters>642</Characters>
  <Lines>7</Lines>
  <Paragraphs>2</Paragraphs>
  <TotalTime>100</TotalTime>
  <ScaleCrop>false</ScaleCrop>
  <LinksUpToDate>false</LinksUpToDate>
  <CharactersWithSpaces>673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Ethan</cp:lastModifiedBy>
  <dcterms:modified xsi:type="dcterms:W3CDTF">2025-09-01T08:33:54Z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AFB31278361A4EAFB952A87F695CC666</vt:lpwstr>
  </property>
  <property fmtid="{D5CDD505-2E9C-101B-9397-08002B2CF9AE}" pid="4" name="KSOTemplateDocerSaveRecord">
    <vt:lpwstr>eyJoZGlkIjoiMjExZjEyYTU4NzgwYzRjOTI2YjI3M2VjOTVkYzUwYWQiLCJ1c2VySWQiOiIxMTA1MzcwODg0In0=</vt:lpwstr>
  </property>
</Properties>
</file>