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547B2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贵州送变电无人机培训技术要求</w:t>
      </w:r>
    </w:p>
    <w:p w14:paraId="47657582">
      <w:pPr>
        <w:rPr>
          <w:rFonts w:hint="eastAsia"/>
        </w:rPr>
      </w:pPr>
    </w:p>
    <w:p w14:paraId="707801BC">
      <w:pPr>
        <w:pStyle w:val="3"/>
        <w:bidi w:val="0"/>
        <w:rPr>
          <w:rFonts w:hint="eastAsia"/>
        </w:rPr>
      </w:pPr>
      <w:r>
        <w:rPr>
          <w:rFonts w:hint="eastAsia"/>
        </w:rPr>
        <w:t>一、培训内容</w:t>
      </w:r>
    </w:p>
    <w:p w14:paraId="190EB475">
      <w:pPr>
        <w:rPr>
          <w:rFonts w:hint="eastAsia"/>
        </w:rPr>
      </w:pPr>
      <w:r>
        <w:rPr>
          <w:rFonts w:hint="eastAsia"/>
        </w:rPr>
        <w:t>理论课程：</w:t>
      </w:r>
    </w:p>
    <w:p w14:paraId="301E3CFD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必须涵盖无人机相关的基础航空理论知识、法律法规、空域安全、无人机的系统特性及操控技术的讲解。</w:t>
      </w:r>
    </w:p>
    <w:p w14:paraId="4FB2CBB2">
      <w:pPr>
        <w:rPr>
          <w:rFonts w:hint="eastAsia"/>
        </w:rPr>
      </w:pPr>
      <w:r>
        <w:rPr>
          <w:rFonts w:hint="eastAsia"/>
        </w:rPr>
        <w:t>实操课程：</w:t>
      </w:r>
    </w:p>
    <w:p w14:paraId="44FFFC06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无人机的基本操作：起飞、飞行、悬停、转向、着陆等技能的实操训练。</w:t>
      </w:r>
    </w:p>
    <w:p w14:paraId="60F13492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应包括紧急情况下的应急处理技能训练，如设备故障、气象突变等。</w:t>
      </w:r>
    </w:p>
    <w:p w14:paraId="629CC79C">
      <w:pPr>
        <w:rPr>
          <w:rFonts w:hint="eastAsia"/>
        </w:rPr>
      </w:pPr>
    </w:p>
    <w:p w14:paraId="4C12322F">
      <w:pPr>
        <w:pStyle w:val="3"/>
        <w:bidi w:val="0"/>
        <w:rPr>
          <w:rFonts w:hint="eastAsia"/>
        </w:rPr>
      </w:pPr>
      <w:r>
        <w:rPr>
          <w:rFonts w:hint="eastAsia"/>
        </w:rPr>
        <w:t>二、技术要求</w:t>
      </w:r>
    </w:p>
    <w:p w14:paraId="4692F98E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乙方需提供培训所需无人机设备，确保所有设备符合国家及行业安全标准。必须提供专门的飞行场地，且该场地应符合民航局的规定，并具备合法的飞行空域批文。</w:t>
      </w:r>
    </w:p>
    <w:p w14:paraId="1C7AACDF">
      <w:pPr>
        <w:rPr>
          <w:rFonts w:hint="eastAsia"/>
        </w:rPr>
      </w:pPr>
    </w:p>
    <w:p w14:paraId="4E818A38">
      <w:pPr>
        <w:pStyle w:val="3"/>
        <w:bidi w:val="0"/>
        <w:rPr>
          <w:rFonts w:hint="eastAsia"/>
        </w:rPr>
      </w:pPr>
      <w:r>
        <w:rPr>
          <w:rFonts w:hint="eastAsia"/>
        </w:rPr>
        <w:t>三、质量要求</w:t>
      </w:r>
    </w:p>
    <w:p w14:paraId="4B00D2EA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乙方应配备具有丰富经验和CAAC教员资质的教员，保证理论讲解和实操训练的质量。</w:t>
      </w:r>
    </w:p>
    <w:p w14:paraId="3D328950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培训课程内容必须符合民航局及相关部门的最新要求，确保培训内容的时效性和规范性。</w:t>
      </w:r>
    </w:p>
    <w:p w14:paraId="0FACBDC3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飞行器设备应定期检查和维护，确保设备在培训过程中能正常使用，且具备足够的备用设备以应对突发情况。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A3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2025-08-29T02:50:38Z</dcterms:created>
  <dc:creator>95122</dc:creator>
  <cp:lastModifiedBy>95122</cp:lastModifiedBy>
  <dcterms:modified xsi:type="dcterms:W3CDTF">2025-08-29T02:52:18Z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eyJoZGlkIjoiNzIwMDFmMmFiNjMwMzdiOGFkZmI4NzhkYTY4OGZiMTEifQ==</vt:lpwstr>
  </property>
  <property fmtid="{D5CDD505-2E9C-101B-9397-08002B2CF9AE}" pid="4" name="ICV">
    <vt:lpwstr>6F2E98E3B0484F859F2A7F887786D6E1_12</vt:lpwstr>
  </property>
</Properties>
</file>