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广东电网能源投资有限公司2025年专利代理业务项目</w:t>
      </w:r>
      <w:r>
        <w:rPr>
          <w:rFonts w:hint="default" w:ascii="Times New Roman" w:hAnsi="Times New Roman" w:cs="Times New Roman"/>
          <w:b/>
          <w:bCs/>
          <w:sz w:val="32"/>
          <w:szCs w:val="32"/>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b/>
          <w:bCs/>
          <w:sz w:val="28"/>
          <w:szCs w:val="28"/>
          <w:lang w:val="en-US" w:eastAsia="zh-CN"/>
        </w:rPr>
      </w:pPr>
      <w:r>
        <w:rPr>
          <w:rFonts w:hint="eastAsia"/>
          <w:b/>
          <w:bCs/>
          <w:sz w:val="28"/>
          <w:szCs w:val="28"/>
          <w:lang w:val="en-US" w:eastAsia="zh-CN"/>
        </w:rPr>
        <w:t>一、技术服务内容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1、服务内容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cs="Times New Roman"/>
          <w:sz w:val="28"/>
          <w:szCs w:val="28"/>
          <w:lang w:val="en-US" w:eastAsia="zh-CN"/>
        </w:rPr>
      </w:pPr>
      <w:r>
        <w:rPr>
          <w:rFonts w:hint="eastAsia"/>
          <w:sz w:val="28"/>
          <w:szCs w:val="28"/>
          <w:lang w:val="en-US" w:eastAsia="zh-CN"/>
        </w:rPr>
        <w:t>代理广东电网能源投资有限公司委托的专利的申请文件撰写、申请及审批程序办理、变更程序办理、快速预审程序办理、授权程序办理等业务，直至此部分专利全部结案为止。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2、报价清单</w:t>
      </w:r>
    </w:p>
    <w:tbl>
      <w:tblPr>
        <w:tblStyle w:val="6"/>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14"/>
        <w:gridCol w:w="1870"/>
        <w:gridCol w:w="1501"/>
        <w:gridCol w:w="899"/>
        <w:gridCol w:w="1280"/>
        <w:gridCol w:w="1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序号</w:t>
            </w:r>
          </w:p>
        </w:tc>
        <w:tc>
          <w:tcPr>
            <w:tcW w:w="731"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类型</w:t>
            </w:r>
          </w:p>
        </w:tc>
        <w:tc>
          <w:tcPr>
            <w:tcW w:w="1124"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采购品种</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最高限价（元/件（次））</w:t>
            </w:r>
          </w:p>
        </w:tc>
        <w:tc>
          <w:tcPr>
            <w:tcW w:w="54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价格权重（%）</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报价（元/件（次））</w:t>
            </w:r>
          </w:p>
        </w:tc>
        <w:tc>
          <w:tcPr>
            <w:tcW w:w="673"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小计</w:t>
            </w:r>
            <w:r>
              <w:rPr>
                <w:rFonts w:hint="default" w:ascii="Times New Roman" w:hAnsi="Times New Roman" w:eastAsia="宋体" w:cs="Times New Roman"/>
                <w:b w:val="0"/>
                <w:bCs w:val="0"/>
                <w:kern w:val="2"/>
                <w:sz w:val="21"/>
                <w:szCs w:val="21"/>
                <w:vertAlign w:val="baseline"/>
                <w:lang w:val="en-US" w:eastAsia="zh-CN" w:bidi="ar-SA"/>
              </w:rPr>
              <w:t>=报价*价格权重（元）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lang w:val="en-US" w:eastAsia="zh-CN"/>
              </w:rPr>
              <w:t>1</w:t>
            </w:r>
          </w:p>
        </w:tc>
        <w:tc>
          <w:tcPr>
            <w:tcW w:w="731"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申请文件撰写及申请、审批程序办理</w:t>
            </w:r>
          </w:p>
        </w:tc>
        <w:tc>
          <w:tcPr>
            <w:tcW w:w="1124"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发明专利</w:t>
            </w:r>
            <w:r>
              <w:rPr>
                <w:rFonts w:hint="eastAsia" w:ascii="Times New Roman" w:hAnsi="Times New Roman" w:cs="Times New Roman"/>
                <w:b w:val="0"/>
                <w:bCs w:val="0"/>
                <w:sz w:val="21"/>
                <w:szCs w:val="21"/>
                <w:vertAlign w:val="baseline"/>
                <w:lang w:val="en-US" w:eastAsia="zh-CN"/>
              </w:rPr>
              <w:t>申请代理</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6900</w:t>
            </w:r>
          </w:p>
        </w:tc>
        <w:tc>
          <w:tcPr>
            <w:tcW w:w="540" w:type="pct"/>
            <w:vAlign w:val="center"/>
          </w:tcPr>
          <w:p>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cs="Times New Roman"/>
                <w:b w:val="0"/>
                <w:bCs w:val="0"/>
                <w:i w:val="0"/>
                <w:iCs w:val="0"/>
                <w:color w:val="000000"/>
                <w:kern w:val="0"/>
                <w:sz w:val="21"/>
                <w:szCs w:val="21"/>
                <w:u w:val="none"/>
                <w:lang w:val="en-US" w:eastAsia="zh-CN" w:bidi="ar"/>
              </w:rPr>
              <w:t>9</w:t>
            </w:r>
            <w:r>
              <w:rPr>
                <w:rFonts w:hint="eastAsia" w:ascii="Times New Roman" w:hAnsi="Times New Roman" w:cs="Times New Roman"/>
                <w:b w:val="0"/>
                <w:bCs w:val="0"/>
                <w:i w:val="0"/>
                <w:iCs w:val="0"/>
                <w:color w:val="000000"/>
                <w:kern w:val="0"/>
                <w:sz w:val="21"/>
                <w:szCs w:val="21"/>
                <w:u w:val="none"/>
                <w:lang w:val="en-US" w:eastAsia="zh-CN" w:bidi="ar"/>
              </w:rPr>
              <w:t>4</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sz w:val="21"/>
                <w:szCs w:val="21"/>
                <w:vertAlign w:val="baseline"/>
                <w:lang w:val="en-US" w:eastAsia="zh-CN"/>
              </w:rPr>
              <w:t>2</w:t>
            </w:r>
          </w:p>
        </w:tc>
        <w:tc>
          <w:tcPr>
            <w:tcW w:w="731"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实用新型专利</w:t>
            </w:r>
            <w:r>
              <w:rPr>
                <w:rFonts w:hint="eastAsia" w:ascii="Times New Roman" w:hAnsi="Times New Roman" w:cs="Times New Roman"/>
                <w:b w:val="0"/>
                <w:bCs w:val="0"/>
                <w:sz w:val="21"/>
                <w:szCs w:val="21"/>
                <w:vertAlign w:val="baseline"/>
                <w:lang w:val="en-US" w:eastAsia="zh-CN"/>
              </w:rPr>
              <w:t>申请代理</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3414</w:t>
            </w:r>
          </w:p>
        </w:tc>
        <w:tc>
          <w:tcPr>
            <w:tcW w:w="540" w:type="pct"/>
            <w:vAlign w:val="center"/>
          </w:tcPr>
          <w:p>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2</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3</w:t>
            </w:r>
          </w:p>
        </w:tc>
        <w:tc>
          <w:tcPr>
            <w:tcW w:w="731"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发明专利申请优先审查代理（含检索费）</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2214</w:t>
            </w:r>
          </w:p>
        </w:tc>
        <w:tc>
          <w:tcPr>
            <w:tcW w:w="540" w:type="pct"/>
            <w:vAlign w:val="center"/>
          </w:tcPr>
          <w:p>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1.5</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4</w:t>
            </w:r>
          </w:p>
        </w:tc>
        <w:tc>
          <w:tcPr>
            <w:tcW w:w="731"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快速预审</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2214</w:t>
            </w:r>
          </w:p>
        </w:tc>
        <w:tc>
          <w:tcPr>
            <w:tcW w:w="540" w:type="pct"/>
            <w:vAlign w:val="center"/>
          </w:tcPr>
          <w:p>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0.5</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5</w:t>
            </w:r>
          </w:p>
        </w:tc>
        <w:tc>
          <w:tcPr>
            <w:tcW w:w="731"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授权程序办理</w:t>
            </w:r>
          </w:p>
        </w:tc>
        <w:tc>
          <w:tcPr>
            <w:tcW w:w="1124"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专利授权登记费代缴</w:t>
            </w:r>
          </w:p>
        </w:tc>
        <w:tc>
          <w:tcPr>
            <w:tcW w:w="90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253</w:t>
            </w:r>
          </w:p>
        </w:tc>
        <w:tc>
          <w:tcPr>
            <w:tcW w:w="540" w:type="pct"/>
            <w:vAlign w:val="center"/>
          </w:tcPr>
          <w:p>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2</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12" w:type="pct"/>
            <w:gridSpan w:val="3"/>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sz w:val="21"/>
                <w:szCs w:val="21"/>
                <w:vertAlign w:val="baseline"/>
                <w:lang w:val="en-US" w:eastAsia="zh-CN"/>
              </w:rPr>
              <w:t>合计（元）</w:t>
            </w:r>
          </w:p>
        </w:tc>
        <w:tc>
          <w:tcPr>
            <w:tcW w:w="1444" w:type="pct"/>
            <w:gridSpan w:val="2"/>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6603.62</w:t>
            </w:r>
          </w:p>
        </w:tc>
        <w:tc>
          <w:tcPr>
            <w:tcW w:w="770"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1.注：报价不高于最高报价限价且不低于其成本均为有效报价。</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2.</w:t>
      </w:r>
      <w:r>
        <w:rPr>
          <w:rFonts w:hint="eastAsia" w:ascii="Times New Roman" w:hAnsi="Times New Roman" w:cs="Times New Roman"/>
          <w:sz w:val="21"/>
          <w:szCs w:val="21"/>
          <w:lang w:val="en-US" w:eastAsia="zh-CN"/>
        </w:rPr>
        <w:t>注：如小计与报价乘以权重不一致，以报价乘以权重调整小计；如各小计之和与合计不一致，以各小计之和调整合计。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color w:val="auto"/>
          <w:sz w:val="28"/>
          <w:szCs w:val="28"/>
          <w:highlight w:val="none"/>
          <w:u w:val="none"/>
          <w:lang w:eastAsia="zh-CN"/>
        </w:rPr>
      </w:pPr>
      <w:r>
        <w:rPr>
          <w:rFonts w:hint="default" w:ascii="Times New Roman" w:hAnsi="Times New Roman" w:cs="Times New Roman"/>
          <w:b/>
          <w:bCs/>
          <w:color w:val="auto"/>
          <w:sz w:val="28"/>
          <w:szCs w:val="28"/>
          <w:highlight w:val="none"/>
          <w:u w:val="none"/>
          <w:lang w:val="en-US" w:eastAsia="zh-CN"/>
        </w:rPr>
        <w:t>3、</w:t>
      </w:r>
      <w:r>
        <w:rPr>
          <w:rFonts w:hint="default" w:ascii="Times New Roman" w:hAnsi="Times New Roman" w:cs="Times New Roman"/>
          <w:b/>
          <w:bCs/>
          <w:color w:val="auto"/>
          <w:sz w:val="28"/>
          <w:szCs w:val="28"/>
          <w:highlight w:val="none"/>
          <w:u w:val="none"/>
          <w:lang w:eastAsia="zh-CN"/>
        </w:rPr>
        <w:t>结算方式：</w:t>
      </w:r>
      <w:r>
        <w:rPr>
          <w:rFonts w:hint="default" w:ascii="Times New Roman" w:hAnsi="Times New Roman"/>
          <w:color w:val="auto"/>
          <w:sz w:val="28"/>
          <w:szCs w:val="28"/>
          <w:highlight w:val="none"/>
          <w:u w:val="none"/>
          <w:lang w:eastAsia="zh-CN"/>
        </w:rPr>
        <w:t>按实结算</w:t>
      </w:r>
      <w:r>
        <w:rPr>
          <w:rFonts w:hint="eastAsia" w:ascii="Times New Roman" w:hAnsi="Times New Roman"/>
          <w:color w:val="auto"/>
          <w:sz w:val="28"/>
          <w:szCs w:val="28"/>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eastAsia" w:ascii="Times New Roman" w:hAnsi="Times New Roman"/>
          <w:color w:val="auto"/>
          <w:sz w:val="28"/>
          <w:szCs w:val="28"/>
          <w:highlight w:val="none"/>
          <w:u w:val="none"/>
          <w:lang w:eastAsia="zh-CN"/>
        </w:rPr>
        <w:t>投标人中标后其投标报价即为中标价，是确定项目最终合同价及结算价的最终依据。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olor w:val="auto"/>
          <w:sz w:val="28"/>
          <w:szCs w:val="28"/>
          <w:highlight w:val="none"/>
          <w:u w:val="none"/>
          <w:lang w:eastAsia="zh-CN"/>
        </w:rPr>
        <w:t>官费部分由中标人先行代缴后，再由招标人按国家实收标准支付给中标人。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3）、实用新型专利待授权后结算</w:t>
      </w:r>
      <w:r>
        <w:rPr>
          <w:rFonts w:hint="eastAsia" w:ascii="Times New Roman" w:hAnsi="Times New Roman"/>
          <w:color w:val="auto"/>
          <w:sz w:val="28"/>
          <w:szCs w:val="28"/>
          <w:highlight w:val="none"/>
          <w:u w:val="none"/>
          <w:lang w:eastAsia="zh-CN"/>
        </w:rPr>
        <w:t>代理费</w:t>
      </w:r>
      <w:r>
        <w:rPr>
          <w:rFonts w:hint="eastAsia" w:ascii="Times New Roman" w:hAnsi="Times New Roman"/>
          <w:color w:val="auto"/>
          <w:sz w:val="28"/>
          <w:szCs w:val="28"/>
          <w:highlight w:val="none"/>
          <w:u w:val="none"/>
          <w:lang w:val="en-US" w:eastAsia="zh-CN"/>
        </w:rPr>
        <w:t>用，代理费用</w:t>
      </w:r>
      <w:r>
        <w:rPr>
          <w:rFonts w:hint="eastAsia" w:ascii="Times New Roman" w:hAnsi="Times New Roman"/>
          <w:color w:val="auto"/>
          <w:sz w:val="28"/>
          <w:szCs w:val="28"/>
          <w:highlight w:val="none"/>
          <w:u w:val="none"/>
          <w:lang w:eastAsia="zh-CN"/>
        </w:rPr>
        <w:t>最终结算价款=Σ（代理费单价×实际服务量）。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宋体"/>
          <w:color w:val="auto"/>
          <w:sz w:val="24"/>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4）、</w:t>
      </w:r>
      <w:r>
        <w:rPr>
          <w:rFonts w:hint="default" w:ascii="Times New Roman" w:hAnsi="Times New Roman" w:cs="Times New Roman"/>
          <w:color w:val="auto"/>
          <w:sz w:val="28"/>
          <w:szCs w:val="28"/>
          <w:highlight w:val="none"/>
          <w:u w:val="none"/>
          <w:lang w:eastAsia="zh-CN"/>
        </w:rPr>
        <w:t>发明专利代理</w:t>
      </w:r>
      <w:r>
        <w:rPr>
          <w:rFonts w:hint="default" w:ascii="Times New Roman" w:hAnsi="Times New Roman" w:cs="Times New Roman"/>
          <w:color w:val="auto"/>
          <w:sz w:val="28"/>
          <w:szCs w:val="28"/>
          <w:highlight w:val="none"/>
          <w:u w:val="none"/>
          <w:lang w:val="en-US" w:eastAsia="zh-CN"/>
        </w:rPr>
        <w:t>申请</w:t>
      </w:r>
      <w:r>
        <w:rPr>
          <w:rFonts w:hint="default" w:ascii="Times New Roman" w:hAnsi="Times New Roman" w:cs="Times New Roman"/>
          <w:color w:val="auto"/>
          <w:sz w:val="28"/>
          <w:szCs w:val="28"/>
          <w:highlight w:val="none"/>
          <w:u w:val="none"/>
          <w:lang w:eastAsia="zh-CN"/>
        </w:rPr>
        <w:t>费最终结算价款=（首款+尾款）。其中，首款=Σ（</w:t>
      </w:r>
      <w:r>
        <w:rPr>
          <w:rFonts w:hint="default" w:ascii="Times New Roman" w:hAnsi="Times New Roman" w:cs="Times New Roman"/>
          <w:color w:val="auto"/>
          <w:sz w:val="28"/>
          <w:szCs w:val="28"/>
          <w:highlight w:val="none"/>
          <w:u w:val="none"/>
          <w:lang w:val="en-US" w:eastAsia="zh-CN"/>
        </w:rPr>
        <w:t>发明专利代理申请</w:t>
      </w:r>
      <w:r>
        <w:rPr>
          <w:rFonts w:hint="default" w:ascii="Times New Roman" w:hAnsi="Times New Roman" w:cs="Times New Roman"/>
          <w:color w:val="auto"/>
          <w:sz w:val="28"/>
          <w:szCs w:val="28"/>
          <w:highlight w:val="none"/>
          <w:u w:val="none"/>
          <w:lang w:eastAsia="zh-CN"/>
        </w:rPr>
        <w:t>费单价×0.</w:t>
      </w:r>
      <w:r>
        <w:rPr>
          <w:rFonts w:hint="eastAsia" w:ascii="Times New Roman" w:hAnsi="Times New Roman" w:cs="Times New Roman"/>
          <w:color w:val="auto"/>
          <w:sz w:val="28"/>
          <w:szCs w:val="28"/>
          <w:highlight w:val="none"/>
          <w:u w:val="none"/>
          <w:lang w:val="en-US" w:eastAsia="zh-CN"/>
        </w:rPr>
        <w:t>8</w:t>
      </w:r>
      <w:r>
        <w:rPr>
          <w:rFonts w:hint="default" w:ascii="Times New Roman" w:hAnsi="Times New Roman" w:cs="Times New Roman"/>
          <w:color w:val="auto"/>
          <w:sz w:val="28"/>
          <w:szCs w:val="28"/>
          <w:highlight w:val="none"/>
          <w:u w:val="none"/>
          <w:lang w:eastAsia="zh-CN"/>
        </w:rPr>
        <w:t>×实际服务量）；尾款=Σ（</w:t>
      </w:r>
      <w:r>
        <w:rPr>
          <w:rFonts w:hint="default" w:ascii="Times New Roman" w:hAnsi="Times New Roman" w:cs="Times New Roman"/>
          <w:color w:val="auto"/>
          <w:sz w:val="28"/>
          <w:szCs w:val="28"/>
          <w:highlight w:val="none"/>
          <w:u w:val="none"/>
          <w:lang w:val="en-US" w:eastAsia="zh-CN"/>
        </w:rPr>
        <w:t>发明专利代理申请</w:t>
      </w:r>
      <w:r>
        <w:rPr>
          <w:rFonts w:hint="default" w:ascii="Times New Roman" w:hAnsi="Times New Roman" w:cs="Times New Roman"/>
          <w:color w:val="auto"/>
          <w:sz w:val="28"/>
          <w:szCs w:val="28"/>
          <w:highlight w:val="none"/>
          <w:u w:val="none"/>
          <w:lang w:eastAsia="zh-CN"/>
        </w:rPr>
        <w:t>费单价×0.</w:t>
      </w:r>
      <w:r>
        <w:rPr>
          <w:rFonts w:hint="eastAsia" w:ascii="Times New Roman" w:hAnsi="Times New Roman" w:cs="Times New Roman"/>
          <w:color w:val="auto"/>
          <w:sz w:val="28"/>
          <w:szCs w:val="28"/>
          <w:highlight w:val="none"/>
          <w:u w:val="none"/>
          <w:lang w:val="en-US" w:eastAsia="zh-CN"/>
        </w:rPr>
        <w:t>2</w:t>
      </w:r>
      <w:r>
        <w:rPr>
          <w:rFonts w:hint="default" w:ascii="Times New Roman" w:hAnsi="Times New Roman" w:cs="Times New Roman"/>
          <w:color w:val="auto"/>
          <w:sz w:val="28"/>
          <w:szCs w:val="28"/>
          <w:highlight w:val="none"/>
          <w:u w:val="none"/>
          <w:lang w:eastAsia="zh-CN"/>
        </w:rPr>
        <w:t>×实际服务量）。尾款按下表标准进行结算。</w:t>
      </w:r>
    </w:p>
    <w:tbl>
      <w:tblPr>
        <w:tblStyle w:val="6"/>
        <w:tblW w:w="4866"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31"/>
        <w:gridCol w:w="896"/>
        <w:gridCol w:w="897"/>
        <w:gridCol w:w="2898"/>
        <w:gridCol w:w="2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序号</w:t>
            </w:r>
          </w:p>
        </w:tc>
        <w:tc>
          <w:tcPr>
            <w:tcW w:w="68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Calibri" w:hAnsi="Calibri" w:eastAsia="宋体" w:cs="Times New Roman"/>
                <w:b/>
                <w:bCs w:val="0"/>
                <w:color w:val="auto"/>
                <w:kern w:val="0"/>
                <w:sz w:val="21"/>
                <w:szCs w:val="21"/>
                <w:highlight w:val="none"/>
                <w:lang w:val="en-US" w:eastAsia="zh-CN" w:bidi="ar-SA"/>
              </w:rPr>
            </w:pPr>
            <w:r>
              <w:rPr>
                <w:rFonts w:hint="eastAsia" w:cs="Times New Roman"/>
                <w:b/>
                <w:bCs w:val="0"/>
                <w:color w:val="auto"/>
                <w:kern w:val="0"/>
                <w:sz w:val="21"/>
                <w:szCs w:val="21"/>
                <w:highlight w:val="none"/>
                <w:lang w:val="en-US" w:eastAsia="zh-CN" w:bidi="ar-SA"/>
              </w:rPr>
              <w:t>发明专利类型</w:t>
            </w:r>
          </w:p>
        </w:tc>
        <w:tc>
          <w:tcPr>
            <w:tcW w:w="2829" w:type="pct"/>
            <w:gridSpan w:val="3"/>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eastAsia"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考核标准</w:t>
            </w:r>
          </w:p>
        </w:tc>
        <w:tc>
          <w:tcPr>
            <w:tcW w:w="1233"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结算标准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1</w:t>
            </w:r>
          </w:p>
        </w:tc>
        <w:tc>
          <w:tcPr>
            <w:tcW w:w="683" w:type="pct"/>
            <w:vMerge w:val="restar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sz w:val="21"/>
                <w:szCs w:val="21"/>
                <w:vertAlign w:val="baseline"/>
                <w:lang w:val="en-US" w:eastAsia="zh-CN"/>
              </w:rPr>
              <w:t>发明专利</w:t>
            </w:r>
          </w:p>
        </w:tc>
        <w:tc>
          <w:tcPr>
            <w:tcW w:w="541"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未获得授权</w:t>
            </w:r>
          </w:p>
        </w:tc>
        <w:tc>
          <w:tcPr>
            <w:tcW w:w="541" w:type="pc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被驳回原因</w:t>
            </w:r>
          </w:p>
        </w:tc>
        <w:tc>
          <w:tcPr>
            <w:tcW w:w="1746" w:type="pc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（1）符合《专利法》第五条的规定</w:t>
            </w:r>
          </w:p>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（2）符合《专利法》第二十五条的规定</w:t>
            </w:r>
          </w:p>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（3）不具备新颖性</w:t>
            </w:r>
          </w:p>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（4）保护客体不符合</w:t>
            </w:r>
          </w:p>
        </w:tc>
        <w:tc>
          <w:tcPr>
            <w:tcW w:w="1233" w:type="pct"/>
            <w:vMerge w:val="restar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退返招标人已支付的全部代理费及官费。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2</w:t>
            </w:r>
          </w:p>
        </w:tc>
        <w:tc>
          <w:tcPr>
            <w:tcW w:w="683"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541"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287" w:type="pct"/>
            <w:gridSpan w:val="2"/>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非正常专利申请</w:t>
            </w:r>
          </w:p>
        </w:tc>
        <w:tc>
          <w:tcPr>
            <w:tcW w:w="1233"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3</w:t>
            </w:r>
          </w:p>
        </w:tc>
        <w:tc>
          <w:tcPr>
            <w:tcW w:w="683"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541"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287" w:type="pct"/>
            <w:gridSpan w:val="2"/>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其他原因</w:t>
            </w:r>
          </w:p>
        </w:tc>
        <w:tc>
          <w:tcPr>
            <w:tcW w:w="1233" w:type="pc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不再支付尾款。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4</w:t>
            </w:r>
          </w:p>
        </w:tc>
        <w:tc>
          <w:tcPr>
            <w:tcW w:w="683" w:type="pct"/>
            <w:vMerge w:val="continue"/>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829" w:type="pct"/>
            <w:gridSpan w:val="3"/>
            <w:vAlign w:val="center"/>
          </w:tcPr>
          <w:p>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获得授权</w:t>
            </w:r>
          </w:p>
        </w:tc>
        <w:tc>
          <w:tcPr>
            <w:tcW w:w="1233" w:type="pct"/>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支付尾款。</w:t>
            </w:r>
          </w:p>
        </w:tc>
      </w:tr>
    </w:tbl>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hint="default"/>
          <w:sz w:val="28"/>
          <w:szCs w:val="28"/>
          <w:lang w:val="en-US" w:eastAsia="zh-CN"/>
        </w:rPr>
      </w:pPr>
      <w:r>
        <w:rPr>
          <w:rFonts w:hint="eastAsia" w:ascii="Times New Roman" w:hAnsi="Times New Roman"/>
          <w:color w:val="auto"/>
          <w:sz w:val="21"/>
          <w:szCs w:val="21"/>
          <w:highlight w:val="none"/>
          <w:u w:val="none"/>
        </w:rPr>
        <w:t>【注】非正常专利申请：知识产权管理部门根据《关于规范申请专利行为的办法》（国家知识产权局公告第411号）相关规定认定的“不以保护创新为目的，不以真实发明创造活动为基础，为牟取不正当利益或者虚构创新业绩、服务绩效的专利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Times New Roman"/>
          <w:b w:val="0"/>
          <w:bCs w:val="0"/>
          <w:color w:val="auto"/>
          <w:sz w:val="28"/>
          <w:szCs w:val="28"/>
          <w:highlight w:val="none"/>
          <w:u w:val="none"/>
          <w:lang w:val="en-US" w:eastAsia="zh-CN"/>
        </w:rPr>
      </w:pPr>
      <w:r>
        <w:rPr>
          <w:rFonts w:hint="eastAsia" w:ascii="Times New Roman" w:hAnsi="Times New Roman" w:cs="Times New Roman"/>
          <w:b/>
          <w:bCs/>
          <w:color w:val="auto"/>
          <w:sz w:val="28"/>
          <w:szCs w:val="28"/>
          <w:highlight w:val="none"/>
          <w:u w:val="none"/>
          <w:lang w:val="en-US" w:eastAsia="zh-CN"/>
        </w:rPr>
        <w:t>4、报价方式：</w:t>
      </w:r>
      <w:r>
        <w:rPr>
          <w:rFonts w:hint="eastAsia" w:ascii="Times New Roman" w:hAnsi="Times New Roman" w:cs="Times New Roman"/>
          <w:b w:val="0"/>
          <w:bCs w:val="0"/>
          <w:color w:val="auto"/>
          <w:sz w:val="28"/>
          <w:szCs w:val="28"/>
          <w:highlight w:val="none"/>
          <w:u w:val="none"/>
          <w:lang w:val="en-US" w:eastAsia="zh-CN"/>
        </w:rPr>
        <w:t>固定金额单价报价。本采购项目采用单价报价，最终报价价格≤最高限价，且不低于其成本均为有效报价。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cs="Times New Roman"/>
          <w:b w:val="0"/>
          <w:bCs w:val="0"/>
          <w:color w:val="auto"/>
          <w:sz w:val="28"/>
          <w:szCs w:val="28"/>
          <w:highlight w:val="none"/>
          <w:u w:val="none"/>
          <w:lang w:val="en-US" w:eastAsia="zh-CN"/>
        </w:rPr>
      </w:pPr>
      <w:r>
        <w:rPr>
          <w:rFonts w:hint="eastAsia" w:ascii="Times New Roman" w:hAnsi="Times New Roman" w:cs="Times New Roman"/>
          <w:b w:val="0"/>
          <w:bCs w:val="0"/>
          <w:color w:val="auto"/>
          <w:sz w:val="28"/>
          <w:szCs w:val="28"/>
          <w:highlight w:val="none"/>
          <w:u w:val="none"/>
          <w:lang w:val="en-US" w:eastAsia="zh-CN"/>
        </w:rPr>
        <w:t>5、请在知悉并接受上述条件的情况下参与本项目的投标。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sz w:val="28"/>
          <w:szCs w:val="28"/>
          <w:lang w:val="en-US" w:eastAsia="zh-CN"/>
        </w:rPr>
      </w:pPr>
      <w:r>
        <w:rPr>
          <w:rFonts w:hint="eastAsia"/>
          <w:sz w:val="28"/>
          <w:szCs w:val="28"/>
          <w:lang w:val="en-US" w:eastAsia="zh-CN"/>
        </w:rPr>
        <w:t>二、技术资格要求</w:t>
      </w:r>
    </w:p>
    <w:p>
      <w:pPr>
        <w:keepNext w:val="0"/>
        <w:keepLines w:val="0"/>
        <w:pageBreakBefore w:val="0"/>
        <w:widowControl w:val="0"/>
        <w:numPr>
          <w:ilvl w:val="0"/>
          <w:numId w:val="0"/>
        </w:numPr>
        <w:kinsoku/>
        <w:wordWrap/>
        <w:overflowPunct/>
        <w:autoSpaceDE/>
        <w:autoSpaceDN/>
        <w:bidi w:val="0"/>
        <w:spacing w:line="560" w:lineRule="exact"/>
        <w:ind w:firstLine="562" w:firstLineChars="200"/>
        <w:jc w:val="both"/>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1、通用资格</w:t>
      </w:r>
    </w:p>
    <w:p>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default" w:ascii="Times New Roman" w:hAnsi="Times New Roman" w:cs="Times New Roman"/>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default" w:ascii="Times New Roman" w:hAnsi="Times New Roman" w:cs="Times New Roman"/>
          <w:sz w:val="28"/>
          <w:szCs w:val="28"/>
          <w:lang w:val="en-US" w:eastAsia="zh-CN"/>
        </w:rPr>
        <w:t>、报价供应商必须按照南方电网公司要求，在中国南方电网供应链统一服务平台（网址：http://www.bidding.csg.cn）上完整办理完成供应商登记。</w:t>
      </w:r>
    </w:p>
    <w:p>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default" w:ascii="Times New Roman" w:hAnsi="Times New Roman" w:cs="Times New Roman"/>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s="Times New Roman"/>
          <w:kern w:val="2"/>
          <w:sz w:val="28"/>
          <w:szCs w:val="28"/>
          <w:lang w:val="en-US" w:eastAsia="zh-CN" w:bidi="ar-SA"/>
        </w:rPr>
        <w:t>、</w:t>
      </w:r>
      <w:r>
        <w:rPr>
          <w:rFonts w:hint="default" w:ascii="Times New Roman" w:hAnsi="Times New Roman" w:cs="Times New Roman"/>
          <w:sz w:val="28"/>
          <w:szCs w:val="28"/>
          <w:lang w:val="en-US" w:eastAsia="zh-CN"/>
        </w:rPr>
        <w:t>报价供应商必须是中华人民共和国境内注册合法运作的法人或其他组织，具有独立承担民事责任的能力、独立承担采购项目的能力和独立履行合同的能力。</w:t>
      </w:r>
    </w:p>
    <w:p>
      <w:pPr>
        <w:pStyle w:val="2"/>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ascii="Times New Roman" w:hAnsi="Times New Roman" w:cs="Times New Roman" w:eastAsiaTheme="minorEastAsia"/>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w:t>
      </w:r>
      <w:r>
        <w:rPr>
          <w:rFonts w:hint="eastAsia" w:ascii="Times New Roman" w:hAnsi="Times New Roman" w:cs="Times New Roman"/>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报价供应商为企业的，应具备有效的营业执照；报价供应商为事业单位的，应具备有效的事业单位法人证书；本项目不接受自然人投标。</w:t>
      </w:r>
    </w:p>
    <w:p>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eastAsia" w:ascii="Times New Roman" w:hAnsi="Times New Roman" w:cs="Times New Roman"/>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4）</w:t>
      </w:r>
      <w:r>
        <w:rPr>
          <w:rFonts w:hint="eastAsia" w:ascii="Times New Roman" w:hAnsi="Times New Roman" w:cs="Times New Roman"/>
          <w:kern w:val="2"/>
          <w:sz w:val="28"/>
          <w:szCs w:val="28"/>
          <w:lang w:val="en-US" w:eastAsia="zh-CN" w:bidi="ar-SA"/>
        </w:rPr>
        <w:t>、报价人没有被国家市场监督管理机关在国家企业信用信息公示系统（www.gsxt.gov.cn)中列入严重违法失信企业名单。</w:t>
      </w:r>
    </w:p>
    <w:p>
      <w:pPr>
        <w:pStyle w:val="2"/>
        <w:keepNext w:val="0"/>
        <w:keepLines w:val="0"/>
        <w:pageBreakBefore w:val="0"/>
        <w:widowControl w:val="0"/>
        <w:kinsoku/>
        <w:wordWrap/>
        <w:overflowPunct/>
        <w:topLinePunct w:val="0"/>
        <w:autoSpaceDE/>
        <w:autoSpaceDN/>
        <w:bidi w:val="0"/>
        <w:adjustRightInd/>
        <w:snapToGrid/>
        <w:spacing w:after="0" w:line="560" w:lineRule="exact"/>
        <w:ind w:firstLine="560" w:firstLineChars="200"/>
        <w:textAlignment w:val="auto"/>
        <w:rPr>
          <w:rFonts w:hint="default"/>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5）</w:t>
      </w:r>
      <w:r>
        <w:rPr>
          <w:rFonts w:hint="eastAsia" w:ascii="Times New Roman" w:hAnsi="Times New Roman" w:cs="Times New Roman"/>
          <w:kern w:val="2"/>
          <w:sz w:val="28"/>
          <w:szCs w:val="28"/>
          <w:lang w:val="en-US" w:eastAsia="zh-CN" w:bidi="ar-SA"/>
        </w:rPr>
        <w:t>、没有被“信用中国”网站（www.creditchina.gov.cn)或“中国执行信息公开网”（http://zxgk.court.gov.cn/shixin）列入失信被执行人名单。</w:t>
      </w:r>
    </w:p>
    <w:p>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eastAsia" w:ascii="Times New Roman" w:hAnsi="Times New Roman" w:cs="Times New Roman"/>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6）</w:t>
      </w:r>
      <w:r>
        <w:rPr>
          <w:rFonts w:hint="eastAsia" w:ascii="Times New Roman" w:hAnsi="Times New Roman" w:cs="Times New Roman"/>
          <w:kern w:val="2"/>
          <w:sz w:val="28"/>
          <w:szCs w:val="28"/>
          <w:lang w:val="en-US" w:eastAsia="zh-CN" w:bidi="ar-SA"/>
        </w:rPr>
        <w:t>、不得存在的情形：报价人被南方电网公司供应链管理部门暂停或取消其投标资格，且未解除的。</w:t>
      </w:r>
    </w:p>
    <w:p>
      <w:pPr>
        <w:keepNext w:val="0"/>
        <w:keepLines w:val="0"/>
        <w:pageBreakBefore w:val="0"/>
        <w:widowControl w:val="0"/>
        <w:numPr>
          <w:ilvl w:val="0"/>
          <w:numId w:val="0"/>
        </w:numPr>
        <w:kinsoku/>
        <w:wordWrap/>
        <w:overflowPunct/>
        <w:autoSpaceDE/>
        <w:autoSpaceDN/>
        <w:bidi w:val="0"/>
        <w:spacing w:line="560" w:lineRule="exact"/>
        <w:ind w:firstLine="562" w:firstLineChars="200"/>
        <w:jc w:val="both"/>
        <w:textAlignment w:val="auto"/>
        <w:rPr>
          <w:rFonts w:hint="eastAsia" w:ascii="Times New Roman" w:hAnsi="Times New Roman"/>
          <w:b/>
          <w:bCs/>
          <w:color w:val="auto"/>
          <w:sz w:val="28"/>
          <w:szCs w:val="28"/>
          <w:highlight w:val="none"/>
          <w:u w:val="none"/>
          <w:lang w:eastAsia="zh-CN"/>
        </w:rPr>
      </w:pPr>
      <w:r>
        <w:rPr>
          <w:rFonts w:hint="eastAsia" w:ascii="Times New Roman" w:hAnsi="Times New Roman" w:cs="Times New Roman"/>
          <w:b/>
          <w:bCs/>
          <w:sz w:val="28"/>
          <w:szCs w:val="28"/>
          <w:lang w:val="en-US" w:eastAsia="zh-CN"/>
        </w:rPr>
        <w:t>2、专用资格</w:t>
      </w:r>
    </w:p>
    <w:p>
      <w:pPr>
        <w:numPr>
          <w:ilvl w:val="0"/>
          <w:numId w:val="0"/>
        </w:numPr>
        <w:ind w:firstLine="560" w:firstLineChars="200"/>
        <w:jc w:val="both"/>
        <w:rPr>
          <w:rFonts w:hint="default" w:ascii="Times New Roman" w:hAnsi="Times New Roman" w:cs="Times New Roman"/>
          <w:sz w:val="28"/>
          <w:szCs w:val="28"/>
          <w:highlight w:val="yellow"/>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eastAsia" w:ascii="Times New Roman" w:hAnsi="Times New Roman" w:cs="Times New Roman"/>
          <w:kern w:val="2"/>
          <w:sz w:val="28"/>
          <w:szCs w:val="28"/>
          <w:highlight w:val="none"/>
          <w:lang w:val="en-US" w:eastAsia="zh-CN" w:bidi="ar-SA"/>
        </w:rPr>
        <w:t>、</w:t>
      </w:r>
      <w:r>
        <w:rPr>
          <w:rFonts w:hint="default" w:ascii="Times New Roman" w:hAnsi="Times New Roman" w:cs="Times New Roman" w:eastAsiaTheme="minorEastAsia"/>
          <w:kern w:val="2"/>
          <w:sz w:val="28"/>
          <w:szCs w:val="28"/>
          <w:highlight w:val="none"/>
          <w:lang w:val="en-US" w:eastAsia="zh-CN" w:bidi="ar-SA"/>
        </w:rPr>
        <w:t>近三年（</w:t>
      </w:r>
      <w:r>
        <w:rPr>
          <w:rFonts w:hint="eastAsia" w:ascii="Times New Roman" w:hAnsi="Times New Roman" w:cs="Times New Roman"/>
          <w:kern w:val="2"/>
          <w:sz w:val="28"/>
          <w:szCs w:val="28"/>
          <w:highlight w:val="none"/>
          <w:lang w:val="en-US" w:eastAsia="zh-CN" w:bidi="ar-SA"/>
        </w:rPr>
        <w:t>2022年08月31-2025年08月31日</w:t>
      </w:r>
      <w:r>
        <w:rPr>
          <w:rFonts w:hint="default" w:ascii="Times New Roman" w:hAnsi="Times New Roman" w:cs="Times New Roman"/>
          <w:sz w:val="28"/>
          <w:szCs w:val="28"/>
          <w:highlight w:val="none"/>
          <w:lang w:val="en-US" w:eastAsia="zh-CN"/>
        </w:rPr>
        <w:t>）具有</w:t>
      </w:r>
      <w:r>
        <w:rPr>
          <w:rFonts w:hint="eastAsia" w:ascii="Times New Roman" w:hAnsi="Times New Roman" w:cs="Times New Roman"/>
          <w:sz w:val="28"/>
          <w:szCs w:val="28"/>
          <w:highlight w:val="none"/>
          <w:lang w:val="en-US" w:eastAsia="zh-CN"/>
        </w:rPr>
        <w:t>专利</w:t>
      </w:r>
      <w:r>
        <w:rPr>
          <w:rFonts w:hint="default" w:ascii="Times New Roman" w:hAnsi="Times New Roman" w:cs="Times New Roman"/>
          <w:sz w:val="28"/>
          <w:szCs w:val="28"/>
          <w:highlight w:val="none"/>
          <w:lang w:val="en-US" w:eastAsia="zh-CN"/>
        </w:rPr>
        <w:t>代理服务的业绩经验</w:t>
      </w:r>
      <w:r>
        <w:rPr>
          <w:rFonts w:hint="eastAsia"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lang w:val="en-US" w:eastAsia="zh-CN"/>
        </w:rPr>
        <w:t>提供以下文件：</w:t>
      </w:r>
      <w:r>
        <w:rPr>
          <w:rFonts w:hint="eastAsia" w:ascii="宋体" w:hAnsi="宋体" w:eastAsia="宋体" w:cs="宋体"/>
          <w:sz w:val="28"/>
          <w:szCs w:val="28"/>
          <w:highlight w:val="none"/>
          <w:lang w:val="en-US" w:eastAsia="zh-CN"/>
        </w:rPr>
        <w:t>①</w:t>
      </w:r>
      <w:r>
        <w:rPr>
          <w:rFonts w:hint="eastAsia" w:ascii="Times New Roman" w:hAnsi="Times New Roman" w:cs="Times New Roman"/>
          <w:sz w:val="28"/>
          <w:szCs w:val="28"/>
          <w:highlight w:val="none"/>
          <w:lang w:val="en-US" w:eastAsia="zh-CN"/>
        </w:rPr>
        <w:t>、3</w:t>
      </w:r>
      <w:r>
        <w:rPr>
          <w:rFonts w:hint="default" w:ascii="Times New Roman" w:hAnsi="Times New Roman" w:cs="Times New Roman"/>
          <w:sz w:val="28"/>
          <w:szCs w:val="28"/>
          <w:highlight w:val="none"/>
          <w:lang w:val="en-US" w:eastAsia="zh-CN"/>
        </w:rPr>
        <w:t>份相关</w:t>
      </w:r>
      <w:r>
        <w:rPr>
          <w:rFonts w:hint="eastAsia" w:ascii="Times New Roman" w:hAnsi="Times New Roman" w:cs="Times New Roman"/>
          <w:sz w:val="28"/>
          <w:szCs w:val="28"/>
          <w:highlight w:val="none"/>
          <w:lang w:val="en-US" w:eastAsia="zh-CN"/>
        </w:rPr>
        <w:t>业绩</w:t>
      </w:r>
      <w:r>
        <w:rPr>
          <w:rFonts w:hint="default" w:ascii="Times New Roman" w:hAnsi="Times New Roman" w:cs="Times New Roman"/>
          <w:sz w:val="28"/>
          <w:szCs w:val="28"/>
          <w:highlight w:val="none"/>
          <w:lang w:val="en-US" w:eastAsia="zh-CN"/>
        </w:rPr>
        <w:t>合同</w:t>
      </w:r>
      <w:r>
        <w:rPr>
          <w:rFonts w:hint="eastAsia" w:ascii="Times New Roman" w:hAnsi="Times New Roman" w:cs="Times New Roman"/>
          <w:sz w:val="28"/>
          <w:szCs w:val="28"/>
          <w:highlight w:val="none"/>
          <w:lang w:val="en-US" w:eastAsia="zh-CN"/>
        </w:rPr>
        <w:t>，提供的合同扫描件需包含</w:t>
      </w:r>
      <w:r>
        <w:rPr>
          <w:rFonts w:hint="default" w:ascii="Times New Roman" w:hAnsi="Times New Roman" w:cs="Times New Roman"/>
          <w:sz w:val="28"/>
          <w:szCs w:val="28"/>
          <w:highlight w:val="none"/>
          <w:lang w:val="en-US" w:eastAsia="zh-CN"/>
        </w:rPr>
        <w:t>封面页、签署页、合同价格</w:t>
      </w:r>
      <w:r>
        <w:rPr>
          <w:rFonts w:hint="eastAsia"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同时体现专利代理内容</w:t>
      </w:r>
      <w:r>
        <w:rPr>
          <w:rFonts w:hint="eastAsia" w:ascii="Times New Roman" w:hAnsi="Times New Roman" w:cs="Times New Roman"/>
          <w:sz w:val="28"/>
          <w:szCs w:val="28"/>
          <w:highlight w:val="none"/>
          <w:lang w:val="en-US" w:eastAsia="zh-CN"/>
        </w:rPr>
        <w:t>；</w:t>
      </w:r>
      <w:r>
        <w:rPr>
          <w:rFonts w:hint="eastAsia" w:ascii="宋体" w:hAnsi="宋体" w:eastAsia="宋体" w:cs="宋体"/>
          <w:sz w:val="28"/>
          <w:szCs w:val="28"/>
          <w:highlight w:val="none"/>
          <w:lang w:val="en-US" w:eastAsia="zh-CN"/>
        </w:rPr>
        <w:t>②</w:t>
      </w:r>
      <w:r>
        <w:rPr>
          <w:rFonts w:hint="eastAsia" w:ascii="Times New Roman" w:hAnsi="Times New Roman" w:cs="Times New Roman"/>
          <w:sz w:val="28"/>
          <w:szCs w:val="28"/>
          <w:highlight w:val="none"/>
          <w:lang w:val="en-US" w:eastAsia="zh-CN"/>
        </w:rPr>
        <w:t>、提供代理的H部、G部、F部中国发明专利授权数量及授权率证明截图；</w:t>
      </w:r>
      <w:r>
        <w:rPr>
          <w:rFonts w:hint="eastAsia" w:ascii="宋体" w:hAnsi="宋体" w:eastAsia="宋体" w:cs="宋体"/>
          <w:sz w:val="28"/>
          <w:szCs w:val="28"/>
          <w:highlight w:val="none"/>
          <w:lang w:val="en-US" w:eastAsia="zh-CN"/>
        </w:rPr>
        <w:t>③</w:t>
      </w:r>
      <w:r>
        <w:rPr>
          <w:rFonts w:hint="eastAsia" w:ascii="Times New Roman" w:hAnsi="Times New Roman" w:cs="Times New Roman"/>
          <w:sz w:val="28"/>
          <w:szCs w:val="28"/>
          <w:highlight w:val="none"/>
          <w:lang w:val="en-US" w:eastAsia="zh-CN"/>
        </w:rPr>
        <w:t>、提供代理的H部、G部、F部中国实用新型专利授权数量及授权率证明截图；</w:t>
      </w:r>
      <w:r>
        <w:rPr>
          <w:rFonts w:hint="eastAsia" w:ascii="宋体" w:hAnsi="宋体" w:eastAsia="宋体" w:cs="宋体"/>
          <w:sz w:val="28"/>
          <w:szCs w:val="28"/>
          <w:highlight w:val="none"/>
          <w:lang w:val="en-US" w:eastAsia="zh-CN"/>
        </w:rPr>
        <w:t>④</w:t>
      </w:r>
      <w:r>
        <w:rPr>
          <w:rFonts w:hint="eastAsia" w:ascii="Times New Roman" w:hAnsi="Times New Roman" w:cs="Times New Roman"/>
          <w:sz w:val="28"/>
          <w:szCs w:val="28"/>
          <w:highlight w:val="none"/>
          <w:lang w:val="en-US" w:eastAsia="zh-CN"/>
        </w:rPr>
        <w:t>、提供代理的H部、G部、F部且已授权的中国发明专利中，受理至授权时长在12个月内的发明专利数量占比证明截图；提供</w:t>
      </w:r>
      <w:r>
        <w:rPr>
          <w:rFonts w:hint="eastAsia" w:ascii="宋体" w:hAnsi="宋体" w:eastAsia="宋体" w:cs="宋体"/>
          <w:sz w:val="28"/>
          <w:szCs w:val="28"/>
          <w:highlight w:val="none"/>
          <w:lang w:val="en-US" w:eastAsia="zh-CN"/>
        </w:rPr>
        <w:t>⑤</w:t>
      </w:r>
      <w:r>
        <w:rPr>
          <w:rFonts w:hint="eastAsia" w:ascii="Times New Roman" w:hAnsi="Times New Roman" w:cs="Times New Roman"/>
          <w:sz w:val="28"/>
          <w:szCs w:val="28"/>
          <w:highlight w:val="none"/>
          <w:lang w:val="en-US" w:eastAsia="zh-CN"/>
        </w:rPr>
        <w:t>代理的H部、G部、F部且已授权的中国实用新型专利中，受理至授权时长在1个月内的实用新型专利数量占比证明截图</w:t>
      </w:r>
      <w:bookmarkStart w:id="0" w:name="_GoBack"/>
      <w:bookmarkEnd w:id="0"/>
      <w:r>
        <w:rPr>
          <w:rFonts w:hint="eastAsia" w:ascii="Times New Roman" w:hAnsi="Times New Roman" w:cs="Times New Roman"/>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宋体" w:hAnsi="宋体" w:eastAsia="宋体" w:cs="宋体"/>
          <w:color w:val="auto"/>
          <w:sz w:val="21"/>
          <w:szCs w:val="21"/>
          <w:highlight w:val="none"/>
          <w:u w:val="none"/>
          <w:lang w:val="en-US" w:eastAsia="zh-CN"/>
        </w:rPr>
      </w:pPr>
      <w:r>
        <w:rPr>
          <w:rFonts w:hint="default" w:ascii="Times New Roman" w:hAnsi="Times New Roman" w:cs="Times New Roman"/>
          <w:color w:val="auto"/>
          <w:sz w:val="21"/>
          <w:szCs w:val="21"/>
          <w:highlight w:val="none"/>
          <w:u w:val="none"/>
          <w:lang w:val="en-US" w:eastAsia="zh-CN"/>
        </w:rPr>
        <w:t>说明：①发明专利授权率=Q2/Q1*100%（取整），受理至授权时长在12个月内的发明专利数量占比=Q3/Q2*100%（取整）。Q1是统计申请日在2022年08月3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-2025年08月3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日期间已公布结案的中国发明专利数量，Q2是统计申请日在2022年08月3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-2025年08月3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日期间已公布授权的中国发明专利数量，Q3是统计申请日在2022年08月3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-2025年08月3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日期间已公布授权的中国发明专利中，审查时长在12个月内的发明专利数量。Q1、Q2和Q3获取以incopat网站（网址：www.incopat.com）公开的“中国专利”数据为准。②Q1检索式：((IPC=(G) OR IPC=(H) OR IPC=(F) OR IPC=(H)) AND (AGC=(代理公司名称))) AND (AD=[202</w:t>
      </w:r>
      <w:r>
        <w:rPr>
          <w:rFonts w:hint="eastAsia" w:ascii="Times New Roman" w:hAnsi="Times New Roman" w:cs="Times New Roman"/>
          <w:color w:val="auto"/>
          <w:sz w:val="21"/>
          <w:szCs w:val="21"/>
          <w:highlight w:val="none"/>
          <w:u w:val="none"/>
          <w:lang w:val="en-US" w:eastAsia="zh-CN"/>
        </w:rPr>
        <w:t>2</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5</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 AND (PT=1 NOT STATUS=(审中))，通过Q1检索式检索后，选择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后所列数量为Q1。③Q2检索式：((IPC=(G) OR IPC=(H) OR IPC=(F) OR IPC=(H)) AND (AGC=(代理公司名称))) AND (AD=[202</w:t>
      </w:r>
      <w:r>
        <w:rPr>
          <w:rFonts w:hint="eastAsia" w:ascii="Times New Roman" w:hAnsi="Times New Roman" w:cs="Times New Roman"/>
          <w:color w:val="auto"/>
          <w:sz w:val="21"/>
          <w:szCs w:val="21"/>
          <w:highlight w:val="none"/>
          <w:u w:val="none"/>
          <w:lang w:val="en-US" w:eastAsia="zh-CN"/>
        </w:rPr>
        <w:t>2</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5</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 AND (PT=4))</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通过Q2检索式检索后，选择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后所列数量为Q2。④Q3检索式：((IPC=(G) OR IPC=(H) OR IPC=(F)) AND (AGC=(代理公司名称))) AND (AD=[202</w:t>
      </w:r>
      <w:r>
        <w:rPr>
          <w:rFonts w:hint="eastAsia" w:ascii="Times New Roman" w:hAnsi="Times New Roman" w:cs="Times New Roman"/>
          <w:color w:val="auto"/>
          <w:sz w:val="21"/>
          <w:szCs w:val="21"/>
          <w:highlight w:val="none"/>
          <w:u w:val="none"/>
          <w:lang w:val="en-US" w:eastAsia="zh-CN"/>
        </w:rPr>
        <w:t>2</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5</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8</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])AND (PT=4)AND (EX-TIME=[000 TO 012])</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通过Q3检索式检索后，选择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后所列数量为Q3；</w:t>
      </w:r>
      <w:r>
        <w:rPr>
          <w:rFonts w:hint="eastAsia" w:ascii="宋体" w:hAnsi="宋体" w:eastAsia="宋体" w:cs="宋体"/>
          <w:color w:val="auto"/>
          <w:sz w:val="21"/>
          <w:szCs w:val="21"/>
          <w:highlight w:val="none"/>
          <w:u w:val="none"/>
          <w:lang w:val="en-US" w:eastAsia="zh-CN"/>
        </w:rPr>
        <w:t>⑤如因图片分辨率原因，须用“标注”形式将关键数值清晰列出。⑥实用新型</w:t>
      </w:r>
      <w:r>
        <w:rPr>
          <w:rFonts w:hint="default" w:ascii="Times New Roman" w:hAnsi="Times New Roman" w:cs="Times New Roman"/>
          <w:color w:val="auto"/>
          <w:sz w:val="21"/>
          <w:szCs w:val="21"/>
          <w:highlight w:val="none"/>
          <w:u w:val="none"/>
          <w:lang w:val="en-US" w:eastAsia="zh-CN"/>
        </w:rPr>
        <w:t>专利授权率</w:t>
      </w:r>
      <w:r>
        <w:rPr>
          <w:rFonts w:hint="eastAsia" w:ascii="Times New Roman" w:hAnsi="Times New Roman" w:cs="Times New Roman"/>
          <w:color w:val="auto"/>
          <w:sz w:val="21"/>
          <w:szCs w:val="21"/>
          <w:highlight w:val="none"/>
          <w:u w:val="none"/>
          <w:lang w:val="en-US" w:eastAsia="zh-CN"/>
        </w:rPr>
        <w:t>，受理至授权时长在1个月内的实用新型专利数量占比参照发明专利截图。</w:t>
      </w:r>
    </w:p>
    <w:p>
      <w:pPr>
        <w:keepNext w:val="0"/>
        <w:keepLines w:val="0"/>
        <w:pageBreakBefore w:val="0"/>
        <w:widowControl w:val="0"/>
        <w:kinsoku/>
        <w:wordWrap/>
        <w:overflowPunct/>
        <w:topLinePunct/>
        <w:autoSpaceDE/>
        <w:autoSpaceDN/>
        <w:bidi w:val="0"/>
        <w:adjustRightInd w:val="0"/>
        <w:snapToGrid w:val="0"/>
        <w:spacing w:before="0" w:beforeLines="0" w:after="0" w:afterLines="0" w:line="560" w:lineRule="exact"/>
        <w:ind w:right="0" w:rightChars="0" w:firstLine="560" w:firstLineChars="200"/>
        <w:jc w:val="both"/>
        <w:textAlignment w:val="auto"/>
        <w:outlineLvl w:val="9"/>
        <w:rPr>
          <w:rFonts w:hint="eastAsia" w:ascii="Times New Roman" w:hAnsi="Times New Roman" w:cs="Times New Roman" w:eastAsiaTheme="minorEastAsia"/>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s="Times New Roman"/>
          <w:kern w:val="2"/>
          <w:sz w:val="28"/>
          <w:szCs w:val="28"/>
          <w:lang w:val="en-US" w:eastAsia="zh-CN" w:bidi="ar-SA"/>
        </w:rPr>
        <w:t>、</w:t>
      </w:r>
      <w:r>
        <w:rPr>
          <w:rFonts w:hint="eastAsia" w:ascii="Times New Roman" w:hAnsi="Times New Roman" w:cs="Times New Roman"/>
          <w:sz w:val="28"/>
          <w:szCs w:val="28"/>
          <w:lang w:val="en-US" w:eastAsia="zh-CN"/>
        </w:rPr>
        <w:t>具有专</w:t>
      </w:r>
      <w:r>
        <w:rPr>
          <w:rFonts w:hint="eastAsia" w:ascii="Times New Roman" w:hAnsi="Times New Roman" w:cs="Times New Roman" w:eastAsiaTheme="minorEastAsia"/>
          <w:sz w:val="28"/>
          <w:szCs w:val="28"/>
          <w:lang w:val="en-US" w:eastAsia="zh-CN"/>
        </w:rPr>
        <w:t>利代理机构注册证</w:t>
      </w:r>
      <w:r>
        <w:rPr>
          <w:rFonts w:hint="eastAsia" w:ascii="Times New Roman" w:hAnsi="Times New Roman" w:cs="Times New Roman"/>
          <w:sz w:val="28"/>
          <w:szCs w:val="28"/>
          <w:lang w:val="en-US" w:eastAsia="zh-CN"/>
        </w:rPr>
        <w:t>书（</w:t>
      </w:r>
      <w:r>
        <w:rPr>
          <w:rFonts w:hint="eastAsia" w:ascii="Times New Roman" w:hAnsi="Times New Roman" w:cs="Times New Roman" w:eastAsiaTheme="minorEastAsia"/>
          <w:sz w:val="28"/>
          <w:szCs w:val="28"/>
          <w:lang w:val="en-US" w:eastAsia="zh-CN"/>
        </w:rPr>
        <w:t>颁发部门：中华人民共和国国家知识产权局</w:t>
      </w:r>
      <w:r>
        <w:rPr>
          <w:rFonts w:hint="eastAsia" w:ascii="Times New Roman" w:hAnsi="Times New Roman" w:cs="Times New Roman"/>
          <w:sz w:val="28"/>
          <w:szCs w:val="28"/>
          <w:lang w:val="en-US" w:eastAsia="zh-CN"/>
        </w:rPr>
        <w:t>）</w:t>
      </w:r>
      <w:r>
        <w:rPr>
          <w:rFonts w:hint="eastAsia" w:ascii="Times New Roman" w:hAnsi="Times New Roman" w:cs="Times New Roman" w:eastAsiaTheme="minorEastAsia"/>
          <w:sz w:val="28"/>
          <w:szCs w:val="28"/>
          <w:lang w:val="en-US" w:eastAsia="zh-CN"/>
        </w:rPr>
        <w:t>。</w:t>
      </w:r>
    </w:p>
    <w:p>
      <w:pPr>
        <w:pStyle w:val="2"/>
        <w:ind w:firstLine="560" w:firstLineChars="200"/>
        <w:rPr>
          <w:rFonts w:hint="default" w:ascii="Times New Roman" w:hAnsi="Times New Roman" w:cs="Times New Roman" w:eastAsiaTheme="minorEastAsia"/>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w:t>
      </w:r>
      <w:r>
        <w:rPr>
          <w:rFonts w:hint="eastAsia" w:ascii="Times New Roman" w:hAnsi="Times New Roman" w:cs="Times New Roman"/>
          <w:kern w:val="2"/>
          <w:sz w:val="28"/>
          <w:szCs w:val="28"/>
          <w:lang w:val="en-US" w:eastAsia="zh-CN" w:bidi="ar-SA"/>
        </w:rPr>
        <w:t>、报价</w:t>
      </w:r>
      <w:r>
        <w:rPr>
          <w:rFonts w:hint="eastAsia" w:ascii="Times New Roman" w:hAnsi="Times New Roman" w:cs="Times New Roman" w:eastAsiaTheme="minorEastAsia"/>
          <w:kern w:val="2"/>
          <w:sz w:val="28"/>
          <w:szCs w:val="28"/>
          <w:lang w:val="en-US" w:eastAsia="zh-CN" w:bidi="ar-SA"/>
        </w:rPr>
        <w:t>人五年之内不存在被国家知识产权局、各省市知识产权管理部门惩戒或通报批评或或行政处罚或进入异常名录或被列入严重违法失信名单等记录。（</w:t>
      </w:r>
      <w:r>
        <w:rPr>
          <w:rFonts w:hint="eastAsia" w:ascii="Times New Roman" w:hAnsi="Times New Roman" w:cs="Times New Roman"/>
          <w:kern w:val="2"/>
          <w:sz w:val="28"/>
          <w:szCs w:val="28"/>
          <w:lang w:val="en-US" w:eastAsia="zh-CN" w:bidi="ar-SA"/>
        </w:rPr>
        <w:t>报价</w:t>
      </w:r>
      <w:r>
        <w:rPr>
          <w:rFonts w:hint="eastAsia" w:ascii="Times New Roman" w:hAnsi="Times New Roman" w:cs="Times New Roman" w:eastAsiaTheme="minorEastAsia"/>
          <w:kern w:val="2"/>
          <w:sz w:val="28"/>
          <w:szCs w:val="28"/>
          <w:lang w:val="en-US" w:eastAsia="zh-CN" w:bidi="ar-SA"/>
        </w:rPr>
        <w:t>人可提供承诺书承诺不存在上述记录，并加盖投标人公章作为证明材料。）</w:t>
      </w:r>
    </w:p>
    <w:p>
      <w:pPr>
        <w:jc w:val="both"/>
        <w:rPr>
          <w:rFonts w:hint="default" w:ascii="Times New Roman" w:hAnsi="Times New Roman" w:cs="Times New Roman"/>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FA5717"/>
    <w:rsid w:val="07E3403B"/>
    <w:rsid w:val="09EB40EC"/>
    <w:rsid w:val="0CCF238E"/>
    <w:rsid w:val="109D0851"/>
    <w:rsid w:val="1FBF2A18"/>
    <w:rsid w:val="204576BD"/>
    <w:rsid w:val="21053439"/>
    <w:rsid w:val="226C0D3C"/>
    <w:rsid w:val="2B2D751C"/>
    <w:rsid w:val="2D7E6584"/>
    <w:rsid w:val="2FE46C38"/>
    <w:rsid w:val="30A3493E"/>
    <w:rsid w:val="311B2236"/>
    <w:rsid w:val="313E11E1"/>
    <w:rsid w:val="394B7F8C"/>
    <w:rsid w:val="3A3278AD"/>
    <w:rsid w:val="3BA5431D"/>
    <w:rsid w:val="3DAD03F5"/>
    <w:rsid w:val="41233D36"/>
    <w:rsid w:val="41820767"/>
    <w:rsid w:val="49895E52"/>
    <w:rsid w:val="56FA5717"/>
    <w:rsid w:val="5CBD6C00"/>
    <w:rsid w:val="60E67857"/>
    <w:rsid w:val="65C302FA"/>
    <w:rsid w:val="665972F4"/>
    <w:rsid w:val="681707D7"/>
    <w:rsid w:val="72B47AC4"/>
    <w:rsid w:val="73BE6232"/>
    <w:rsid w:val="75410451"/>
    <w:rsid w:val="7EC71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4">
    <w:name w:val="annotation text"/>
    <w:basedOn w:val="1"/>
    <w:qFormat/>
    <w:uiPriority w:val="0"/>
    <w:pPr>
      <w:jc w:val="left"/>
    </w:pPr>
  </w:style>
  <w:style w:type="table" w:styleId="6">
    <w:name w:val="Table Grid"/>
    <w:basedOn w:val="5"/>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2025-09-01T01:41:00Z</dcterms:created>
  <dc:creator>吴炬卓</dc:creator>
  <cp:lastModifiedBy>吴炬卓</cp:lastModifiedBy>
  <dcterms:modified xsi:type="dcterms:W3CDTF">2025-09-04T07:55:05Z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51B1CCC9A9E9496FA52DB0B94989ED5F</vt:lpwstr>
  </property>
</Properties>
</file>