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电流线圈</w:t>
      </w:r>
      <w:r>
        <w:rPr>
          <w:rFonts w:hint="eastAsia"/>
          <w:b/>
          <w:bCs/>
          <w:sz w:val="36"/>
          <w:szCs w:val="36"/>
        </w:rPr>
        <w:t>技术规范书</w:t>
      </w:r>
    </w:p>
    <w:p>
      <w:pPr>
        <w:pStyle w:val="2"/>
        <w:rPr>
          <w:rFonts w:hint="eastAsia"/>
        </w:rPr>
      </w:pPr>
      <w:r>
        <w:rPr>
          <w:rFonts w:hint="eastAsia"/>
        </w:rPr>
        <w:t>一、技术指标及技术参数</w:t>
      </w:r>
    </w:p>
    <w:p>
      <w:pPr>
        <w:pStyle w:val="2"/>
        <w:rPr>
          <w:rFonts w:hint="eastAsia"/>
        </w:rPr>
      </w:pPr>
      <w:r>
        <w:rPr>
          <w:rFonts w:hint="eastAsia"/>
        </w:rPr>
        <w:t>1、 性能要求</w:t>
      </w:r>
    </w:p>
    <w:p>
      <w:pPr>
        <w:pStyle w:val="2"/>
        <w:rPr>
          <w:rFonts w:hint="eastAsia"/>
        </w:rPr>
      </w:pPr>
      <w:r>
        <w:rPr>
          <w:rFonts w:hint="eastAsia"/>
        </w:rPr>
        <w:t>1.1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可配合</w:t>
      </w:r>
      <w:r>
        <w:rPr>
          <w:rFonts w:hint="eastAsia"/>
          <w:lang w:val="en-US" w:eastAsia="zh-CN"/>
        </w:rPr>
        <w:t>试验室现有的</w:t>
      </w:r>
      <w:r>
        <w:rPr>
          <w:rFonts w:hint="eastAsia" w:ascii="宋体"/>
          <w:lang w:val="en-US" w:eastAsia="zh-CN"/>
        </w:rPr>
        <w:t>三相交直流指示仪表校验装置（DK-56B1</w:t>
      </w:r>
      <w:r>
        <w:rPr>
          <w:rFonts w:hint="eastAsia" w:ascii="宋体"/>
          <w:lang w:val="en-US" w:eastAsia="zh-CN"/>
        </w:rPr>
        <w:t>）</w:t>
      </w:r>
      <w:r>
        <w:rPr>
          <w:rFonts w:hint="eastAsia"/>
        </w:rPr>
        <w:t>，实现最大 2000 A的等效电流输出。</w:t>
      </w:r>
    </w:p>
    <w:p>
      <w:pPr>
        <w:pStyle w:val="2"/>
        <w:rPr>
          <w:rFonts w:hint="eastAsia"/>
        </w:rPr>
      </w:pPr>
      <w:r>
        <w:rPr>
          <w:rFonts w:hint="eastAsia"/>
        </w:rPr>
        <w:t>1.2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可以用于校准1级及以下的钳形电流表。</w:t>
      </w:r>
    </w:p>
    <w:p>
      <w:pPr>
        <w:spacing w:line="360" w:lineRule="auto"/>
        <w:jc w:val="left"/>
        <w:rPr>
          <w:rFonts w:hint="eastAsia" w:ascii="宋体" w:hAnsi="Courier New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="宋体" w:hAnsi="Courier New" w:eastAsiaTheme="minorEastAsia" w:cstheme="minorBidi"/>
          <w:kern w:val="2"/>
          <w:sz w:val="21"/>
          <w:szCs w:val="24"/>
          <w:lang w:val="en-US" w:eastAsia="zh-CN" w:bidi="ar-SA"/>
        </w:rPr>
        <w:t>1.3 工作温度：13°C ~ 33°C；储存温度：-30°C ~ 70°C。</w:t>
      </w:r>
    </w:p>
    <w:p>
      <w:pPr>
        <w:pStyle w:val="2"/>
        <w:rPr>
          <w:rFonts w:hint="eastAsia"/>
        </w:rPr>
      </w:pPr>
      <w:r>
        <w:rPr>
          <w:rFonts w:hint="eastAsia"/>
        </w:rPr>
        <w:t>1.4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工作湿度：30%R·H ~ 80%R·H，不结露</w:t>
      </w:r>
      <w:r>
        <w:rPr>
          <w:rFonts w:hint="eastAsia"/>
          <w:lang w:eastAsia="zh-CN"/>
        </w:rPr>
        <w:t>；</w:t>
      </w:r>
      <w:r>
        <w:rPr>
          <w:rFonts w:hint="eastAsia"/>
        </w:rPr>
        <w:t>储存湿度：10%R·H ~ 90%R·H，不结露</w:t>
      </w:r>
    </w:p>
    <w:p>
      <w:pPr>
        <w:pStyle w:val="2"/>
        <w:rPr>
          <w:rFonts w:hint="default" w:ascii="宋体" w:hAnsi="Courier New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/>
          <w:lang w:val="en-US" w:eastAsia="zh-CN"/>
        </w:rPr>
        <w:t>1.5 海拔高度：</w:t>
      </w:r>
      <w:r>
        <w:rPr>
          <w:rFonts w:hint="eastAsia" w:ascii="宋体" w:hAnsi="Courier New" w:eastAsiaTheme="minorEastAsia" w:cstheme="minorBidi"/>
          <w:kern w:val="2"/>
          <w:sz w:val="21"/>
          <w:szCs w:val="24"/>
          <w:lang w:val="en-US" w:eastAsia="zh-CN" w:bidi="ar-SA"/>
        </w:rPr>
        <w:t>&lt; 3000 m</w:t>
      </w:r>
    </w:p>
    <w:p>
      <w:pPr>
        <w:pStyle w:val="2"/>
        <w:rPr>
          <w:rFonts w:hint="eastAsia"/>
        </w:rPr>
      </w:pPr>
      <w:r>
        <w:rPr>
          <w:rFonts w:hint="eastAsia"/>
        </w:rPr>
        <w:t>　　　　　　</w:t>
      </w:r>
    </w:p>
    <w:p>
      <w:pPr>
        <w:pStyle w:val="2"/>
        <w:rPr>
          <w:rFonts w:hint="eastAsia"/>
        </w:rPr>
      </w:pPr>
      <w:r>
        <w:rPr>
          <w:rFonts w:hint="eastAsia"/>
        </w:rPr>
        <w:t>2  主要技术参数</w:t>
      </w:r>
    </w:p>
    <w:tbl>
      <w:tblPr>
        <w:tblStyle w:val="3"/>
        <w:tblW w:w="5000" w:type="pct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4" w:space="0"/>
          <w:insideV w:val="single" w:color="auto" w:sz="4" w:space="0"/>
        </w:tblBorders>
        <w:shd w:val="solid" w:color="FFFFFF" w:themeColor="background1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3"/>
        <w:gridCol w:w="6299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shd w:val="solid" w:color="FFFFFF" w:themeColor="background1" w:fill="auto"/>
        </w:tblPrEx>
        <w:trPr>
          <w:trHeight w:val="248" w:hRule="atLeast"/>
        </w:trPr>
        <w:tc>
          <w:tcPr>
            <w:tcW w:w="1304" w:type="pct"/>
            <w:shd w:val="solid" w:color="FFFFFF" w:themeColor="background1" w:fill="auto"/>
            <w:vAlign w:val="center"/>
          </w:tcPr>
          <w:p>
            <w:pPr>
              <w:spacing w:line="360" w:lineRule="auto"/>
              <w:jc w:val="center"/>
              <w:rPr>
                <w:rFonts w:ascii="Arial" w:hAnsi="Arial" w:eastAsia="楷体" w:cs="Arial"/>
                <w:b/>
                <w:color w:val="auto"/>
                <w:sz w:val="22"/>
              </w:rPr>
            </w:pPr>
            <w:r>
              <w:rPr>
                <w:rFonts w:hint="eastAsia" w:ascii="Arial" w:hAnsi="Arial" w:eastAsia="楷体" w:cs="Arial"/>
                <w:b/>
                <w:color w:val="auto"/>
                <w:sz w:val="22"/>
              </w:rPr>
              <w:t>线圈匝数</w:t>
            </w:r>
          </w:p>
        </w:tc>
        <w:tc>
          <w:tcPr>
            <w:tcW w:w="3695" w:type="pct"/>
            <w:shd w:val="solid" w:color="FFFFFF" w:themeColor="background1" w:fill="auto"/>
            <w:vAlign w:val="center"/>
          </w:tcPr>
          <w:p>
            <w:pPr>
              <w:spacing w:line="360" w:lineRule="auto"/>
              <w:ind w:left="97" w:leftChars="46" w:firstLine="41" w:firstLineChars="19"/>
              <w:jc w:val="left"/>
              <w:rPr>
                <w:rFonts w:ascii="Arial" w:hAnsi="Arial" w:eastAsia="楷体" w:cs="Arial"/>
                <w:sz w:val="22"/>
              </w:rPr>
            </w:pPr>
            <w:r>
              <w:rPr>
                <w:rFonts w:hint="eastAsia" w:ascii="Arial" w:hAnsi="Arial" w:eastAsia="楷体" w:cs="Arial"/>
                <w:sz w:val="22"/>
              </w:rPr>
              <w:t>中心</w:t>
            </w:r>
            <w:r>
              <w:rPr>
                <w:rFonts w:ascii="Arial" w:hAnsi="Arial" w:eastAsia="楷体" w:cs="Arial"/>
                <w:sz w:val="22"/>
              </w:rPr>
              <w:t>100</w:t>
            </w:r>
            <w:r>
              <w:rPr>
                <w:rFonts w:hint="eastAsia" w:ascii="Arial" w:hAnsi="Arial" w:eastAsia="楷体" w:cs="Arial"/>
                <w:sz w:val="22"/>
              </w:rPr>
              <w:t>，两侧</w:t>
            </w:r>
            <w:r>
              <w:rPr>
                <w:rFonts w:ascii="Arial" w:hAnsi="Arial" w:eastAsia="楷体" w:cs="Arial"/>
                <w:sz w:val="22"/>
              </w:rPr>
              <w:t>50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shd w:val="solid" w:color="FFFFFF" w:themeColor="background1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304" w:type="pct"/>
            <w:shd w:val="solid" w:color="FFFFFF" w:themeColor="background1" w:fill="auto"/>
            <w:vAlign w:val="center"/>
          </w:tcPr>
          <w:p>
            <w:pPr>
              <w:spacing w:line="360" w:lineRule="auto"/>
              <w:jc w:val="center"/>
              <w:rPr>
                <w:rFonts w:ascii="Arial" w:hAnsi="Arial" w:eastAsia="楷体" w:cs="Arial"/>
                <w:b/>
                <w:color w:val="auto"/>
                <w:sz w:val="22"/>
              </w:rPr>
            </w:pPr>
            <w:r>
              <w:rPr>
                <w:rFonts w:hint="eastAsia" w:ascii="Arial" w:hAnsi="Arial" w:eastAsia="楷体" w:cs="Arial"/>
                <w:b/>
                <w:color w:val="auto"/>
                <w:sz w:val="22"/>
              </w:rPr>
              <w:t>最大输入电流</w:t>
            </w:r>
          </w:p>
        </w:tc>
        <w:tc>
          <w:tcPr>
            <w:tcW w:w="3695" w:type="pct"/>
            <w:shd w:val="solid" w:color="FFFFFF" w:themeColor="background1" w:fill="auto"/>
            <w:vAlign w:val="center"/>
          </w:tcPr>
          <w:p>
            <w:pPr>
              <w:spacing w:line="360" w:lineRule="auto"/>
              <w:ind w:left="97" w:leftChars="46" w:firstLine="41" w:firstLineChars="19"/>
              <w:jc w:val="left"/>
              <w:rPr>
                <w:rFonts w:ascii="Arial" w:hAnsi="Arial" w:eastAsia="楷体" w:cs="Arial"/>
                <w:sz w:val="22"/>
              </w:rPr>
            </w:pPr>
            <w:r>
              <w:rPr>
                <w:rFonts w:ascii="Arial" w:hAnsi="Arial" w:eastAsia="楷体" w:cs="Arial"/>
                <w:sz w:val="22"/>
              </w:rPr>
              <w:t>22 A</w:t>
            </w:r>
            <w:r>
              <w:rPr>
                <w:rFonts w:ascii="Arial" w:hAnsi="Arial" w:eastAsia="楷体" w:cs="Arial"/>
                <w:sz w:val="22"/>
                <w:vertAlign w:val="subscript"/>
              </w:rPr>
              <w:t>rms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shd w:val="solid" w:color="FFFFFF" w:themeColor="background1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304" w:type="pct"/>
            <w:shd w:val="solid" w:color="FFFFFF" w:themeColor="background1" w:fill="auto"/>
            <w:vAlign w:val="center"/>
          </w:tcPr>
          <w:p>
            <w:pPr>
              <w:spacing w:line="360" w:lineRule="auto"/>
              <w:jc w:val="center"/>
              <w:rPr>
                <w:rFonts w:ascii="Arial" w:hAnsi="Arial" w:eastAsia="楷体" w:cs="Arial"/>
                <w:b/>
                <w:color w:val="auto"/>
                <w:sz w:val="22"/>
              </w:rPr>
            </w:pPr>
            <w:r>
              <w:rPr>
                <w:rFonts w:hint="eastAsia" w:ascii="Arial" w:hAnsi="Arial" w:eastAsia="楷体" w:cs="Arial"/>
                <w:b/>
                <w:color w:val="auto"/>
                <w:sz w:val="22"/>
              </w:rPr>
              <w:t>连续工作时间</w:t>
            </w:r>
          </w:p>
        </w:tc>
        <w:tc>
          <w:tcPr>
            <w:tcW w:w="3695" w:type="pct"/>
            <w:shd w:val="solid" w:color="FFFFFF" w:themeColor="background1" w:fill="auto"/>
            <w:vAlign w:val="center"/>
          </w:tcPr>
          <w:p>
            <w:pPr>
              <w:spacing w:line="360" w:lineRule="auto"/>
              <w:ind w:left="97" w:leftChars="46" w:firstLine="41" w:firstLineChars="19"/>
              <w:jc w:val="left"/>
              <w:rPr>
                <w:rFonts w:ascii="Arial" w:hAnsi="Arial" w:eastAsia="楷体" w:cs="Arial"/>
                <w:sz w:val="22"/>
              </w:rPr>
            </w:pPr>
            <w:r>
              <w:rPr>
                <w:rFonts w:hint="eastAsia" w:ascii="Arial" w:hAnsi="Arial" w:eastAsia="楷体" w:cs="Arial"/>
                <w:sz w:val="22"/>
              </w:rPr>
              <w:t>&lt;</w:t>
            </w:r>
            <w:r>
              <w:rPr>
                <w:rFonts w:ascii="Arial" w:hAnsi="Arial" w:eastAsia="楷体" w:cs="Arial"/>
                <w:sz w:val="22"/>
              </w:rPr>
              <w:t xml:space="preserve"> 11 A</w:t>
            </w:r>
            <w:r>
              <w:rPr>
                <w:rFonts w:hint="eastAsia" w:ascii="Arial" w:hAnsi="Arial" w:eastAsia="楷体" w:cs="Arial"/>
                <w:sz w:val="22"/>
              </w:rPr>
              <w:t>，连续；</w:t>
            </w:r>
          </w:p>
          <w:p>
            <w:pPr>
              <w:spacing w:line="360" w:lineRule="auto"/>
              <w:ind w:left="97" w:leftChars="46" w:firstLine="41" w:firstLineChars="19"/>
              <w:jc w:val="left"/>
              <w:rPr>
                <w:rFonts w:ascii="Arial" w:hAnsi="Arial" w:eastAsia="楷体" w:cs="Arial"/>
                <w:sz w:val="22"/>
              </w:rPr>
            </w:pPr>
            <w:r>
              <w:rPr>
                <w:rFonts w:hint="eastAsia" w:ascii="Arial" w:hAnsi="Arial" w:eastAsia="楷体" w:cs="Arial"/>
                <w:sz w:val="22"/>
              </w:rPr>
              <w:t>&gt;</w:t>
            </w:r>
            <w:r>
              <w:rPr>
                <w:rFonts w:ascii="Arial" w:hAnsi="Arial" w:eastAsia="楷体" w:cs="Arial"/>
                <w:sz w:val="22"/>
              </w:rPr>
              <w:t xml:space="preserve"> 11 A</w:t>
            </w:r>
            <w:r>
              <w:rPr>
                <w:rFonts w:hint="eastAsia" w:ascii="Arial" w:hAnsi="Arial" w:eastAsia="楷体" w:cs="Arial"/>
                <w:sz w:val="22"/>
              </w:rPr>
              <w:t>，</w:t>
            </w:r>
            <w:r>
              <w:rPr>
                <w:rFonts w:ascii="Arial" w:hAnsi="Arial" w:eastAsia="楷体" w:cs="Arial"/>
                <w:sz w:val="22"/>
              </w:rPr>
              <w:t>≤</w:t>
            </w:r>
            <w:r>
              <w:rPr>
                <w:rFonts w:hint="eastAsia" w:ascii="Arial" w:hAnsi="Arial" w:eastAsia="楷体" w:cs="Arial"/>
                <w:sz w:val="22"/>
              </w:rPr>
              <w:t xml:space="preserve"> 30分钟。。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shd w:val="solid" w:color="FFFFFF" w:themeColor="background1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304" w:type="pct"/>
            <w:shd w:val="solid" w:color="FFFFFF" w:themeColor="background1" w:fill="auto"/>
            <w:vAlign w:val="center"/>
          </w:tcPr>
          <w:p>
            <w:pPr>
              <w:spacing w:line="360" w:lineRule="auto"/>
              <w:jc w:val="center"/>
              <w:rPr>
                <w:rFonts w:ascii="Arial" w:hAnsi="Arial" w:eastAsia="楷体" w:cs="Arial"/>
                <w:b/>
                <w:color w:val="auto"/>
                <w:sz w:val="22"/>
              </w:rPr>
            </w:pPr>
            <w:r>
              <w:rPr>
                <w:rFonts w:hint="eastAsia" w:ascii="Arial" w:hAnsi="Arial" w:eastAsia="楷体" w:cs="Arial"/>
                <w:b/>
                <w:color w:val="auto"/>
                <w:sz w:val="22"/>
              </w:rPr>
              <w:t>工作频率范围</w:t>
            </w:r>
          </w:p>
        </w:tc>
        <w:tc>
          <w:tcPr>
            <w:tcW w:w="3695" w:type="pct"/>
            <w:shd w:val="solid" w:color="FFFFFF" w:themeColor="background1" w:fill="auto"/>
            <w:vAlign w:val="center"/>
          </w:tcPr>
          <w:p>
            <w:pPr>
              <w:spacing w:line="360" w:lineRule="auto"/>
              <w:ind w:left="97" w:leftChars="46" w:firstLine="41" w:firstLineChars="19"/>
              <w:jc w:val="left"/>
              <w:rPr>
                <w:rFonts w:ascii="Arial" w:hAnsi="Arial" w:eastAsia="楷体" w:cs="Arial"/>
                <w:sz w:val="22"/>
              </w:rPr>
            </w:pPr>
            <w:r>
              <w:rPr>
                <w:rFonts w:hint="eastAsia" w:ascii="Arial" w:hAnsi="Arial" w:eastAsia="楷体" w:cs="Arial"/>
                <w:sz w:val="22"/>
              </w:rPr>
              <w:t>D</w:t>
            </w:r>
            <w:r>
              <w:rPr>
                <w:rFonts w:ascii="Arial" w:hAnsi="Arial" w:eastAsia="楷体" w:cs="Arial"/>
                <w:sz w:val="22"/>
              </w:rPr>
              <w:t>C</w:t>
            </w:r>
            <w:r>
              <w:rPr>
                <w:rFonts w:hint="eastAsia" w:ascii="Arial" w:hAnsi="Arial" w:eastAsia="楷体" w:cs="Arial"/>
                <w:sz w:val="22"/>
              </w:rPr>
              <w:t>，</w:t>
            </w:r>
            <w:r>
              <w:rPr>
                <w:rFonts w:hint="eastAsia" w:ascii="Arial" w:hAnsi="Arial" w:eastAsia="楷体" w:cs="Arial"/>
                <w:sz w:val="22"/>
                <w:lang w:val="en-US" w:eastAsia="zh-CN"/>
              </w:rPr>
              <w:t>AC：</w:t>
            </w:r>
            <w:r>
              <w:rPr>
                <w:rFonts w:hint="eastAsia" w:ascii="Arial" w:hAnsi="Arial" w:eastAsia="楷体" w:cs="Arial"/>
                <w:sz w:val="22"/>
              </w:rPr>
              <w:t>4</w:t>
            </w:r>
            <w:r>
              <w:rPr>
                <w:rFonts w:ascii="Arial" w:hAnsi="Arial" w:eastAsia="楷体" w:cs="Arial"/>
                <w:sz w:val="22"/>
              </w:rPr>
              <w:t>5 H</w:t>
            </w:r>
            <w:r>
              <w:rPr>
                <w:rFonts w:hint="eastAsia" w:ascii="Arial" w:hAnsi="Arial" w:eastAsia="楷体" w:cs="Arial"/>
                <w:sz w:val="22"/>
              </w:rPr>
              <w:t>z</w:t>
            </w:r>
            <w:r>
              <w:rPr>
                <w:rFonts w:ascii="Arial" w:hAnsi="Arial" w:eastAsia="楷体" w:cs="Arial"/>
                <w:sz w:val="22"/>
              </w:rPr>
              <w:t>～65 H</w:t>
            </w:r>
            <w:r>
              <w:rPr>
                <w:rFonts w:hint="eastAsia" w:ascii="Arial" w:hAnsi="Arial" w:eastAsia="楷体" w:cs="Arial"/>
                <w:sz w:val="22"/>
              </w:rPr>
              <w:t>z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shd w:val="solid" w:color="FFFFFF" w:themeColor="background1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7" w:hRule="atLeast"/>
        </w:trPr>
        <w:tc>
          <w:tcPr>
            <w:tcW w:w="1304" w:type="pct"/>
            <w:shd w:val="solid" w:color="FFFFFF" w:themeColor="background1" w:fill="auto"/>
            <w:vAlign w:val="center"/>
          </w:tcPr>
          <w:p>
            <w:pPr>
              <w:spacing w:line="360" w:lineRule="auto"/>
              <w:jc w:val="center"/>
              <w:rPr>
                <w:rFonts w:ascii="Arial" w:hAnsi="Arial" w:eastAsia="楷体" w:cs="Arial"/>
                <w:b/>
                <w:color w:val="auto"/>
                <w:sz w:val="22"/>
              </w:rPr>
            </w:pPr>
            <w:r>
              <w:rPr>
                <w:rFonts w:hint="eastAsia" w:ascii="Arial" w:hAnsi="Arial" w:eastAsia="楷体" w:cs="Arial"/>
                <w:b/>
                <w:color w:val="auto"/>
                <w:sz w:val="22"/>
              </w:rPr>
              <w:t>测量不确定度</w:t>
            </w:r>
          </w:p>
          <w:p>
            <w:pPr>
              <w:spacing w:line="360" w:lineRule="auto"/>
              <w:jc w:val="center"/>
              <w:rPr>
                <w:rFonts w:ascii="Arial" w:hAnsi="Arial" w:eastAsia="楷体" w:cs="Arial"/>
                <w:b/>
                <w:color w:val="auto"/>
                <w:sz w:val="22"/>
              </w:rPr>
            </w:pPr>
            <w:r>
              <w:rPr>
                <w:rFonts w:hint="eastAsia" w:ascii="Arial" w:hAnsi="Arial" w:eastAsia="楷体" w:cs="Arial"/>
                <w:b/>
                <w:color w:val="auto"/>
                <w:sz w:val="22"/>
              </w:rPr>
              <w:t>(</w:t>
            </w:r>
            <w:r>
              <w:rPr>
                <w:rFonts w:ascii="Arial" w:hAnsi="Arial" w:eastAsia="楷体" w:cs="Arial"/>
                <w:b/>
                <w:color w:val="auto"/>
                <w:sz w:val="22"/>
              </w:rPr>
              <w:t>k=2)</w:t>
            </w:r>
            <w:bookmarkStart w:id="0" w:name="_GoBack"/>
            <w:bookmarkEnd w:id="0"/>
          </w:p>
        </w:tc>
        <w:tc>
          <w:tcPr>
            <w:tcW w:w="3695" w:type="pct"/>
            <w:shd w:val="solid" w:color="FFFFFF" w:themeColor="background1" w:fill="auto"/>
            <w:vAlign w:val="center"/>
          </w:tcPr>
          <w:p>
            <w:pPr>
              <w:spacing w:line="360" w:lineRule="auto"/>
              <w:ind w:left="97" w:leftChars="46" w:firstLine="41" w:firstLineChars="19"/>
              <w:jc w:val="left"/>
              <w:rPr>
                <w:rFonts w:ascii="Arial" w:hAnsi="Arial" w:eastAsia="楷体" w:cs="Arial"/>
                <w:sz w:val="22"/>
              </w:rPr>
            </w:pPr>
            <w:r>
              <w:rPr>
                <w:rFonts w:hint="eastAsia" w:ascii="Arial" w:hAnsi="Arial" w:eastAsia="楷体" w:cs="Arial"/>
                <w:sz w:val="22"/>
              </w:rPr>
              <w:t>D</w:t>
            </w:r>
            <w:r>
              <w:rPr>
                <w:rFonts w:ascii="Arial" w:hAnsi="Arial" w:eastAsia="楷体" w:cs="Arial"/>
                <w:sz w:val="22"/>
              </w:rPr>
              <w:t>C</w:t>
            </w:r>
            <w:r>
              <w:rPr>
                <w:rFonts w:hint="eastAsia" w:ascii="Arial" w:hAnsi="Arial" w:eastAsia="楷体" w:cs="Arial"/>
                <w:sz w:val="22"/>
              </w:rPr>
              <w:t>：0</w:t>
            </w:r>
            <w:r>
              <w:rPr>
                <w:rFonts w:ascii="Arial" w:hAnsi="Arial" w:eastAsia="楷体" w:cs="Arial"/>
                <w:sz w:val="22"/>
              </w:rPr>
              <w:t>.3%</w:t>
            </w:r>
          </w:p>
          <w:p>
            <w:pPr>
              <w:spacing w:line="360" w:lineRule="auto"/>
              <w:ind w:left="97" w:leftChars="46" w:firstLine="41" w:firstLineChars="19"/>
              <w:jc w:val="left"/>
              <w:rPr>
                <w:rFonts w:ascii="Arial" w:hAnsi="Arial" w:eastAsia="楷体" w:cs="Arial"/>
                <w:sz w:val="22"/>
              </w:rPr>
            </w:pPr>
            <w:r>
              <w:rPr>
                <w:rFonts w:hint="eastAsia" w:ascii="Arial" w:hAnsi="Arial" w:eastAsia="楷体" w:cs="Arial"/>
                <w:sz w:val="22"/>
              </w:rPr>
              <w:t>A</w:t>
            </w:r>
            <w:r>
              <w:rPr>
                <w:rFonts w:ascii="Arial" w:hAnsi="Arial" w:eastAsia="楷体" w:cs="Arial"/>
                <w:sz w:val="22"/>
              </w:rPr>
              <w:t>C</w:t>
            </w:r>
            <w:r>
              <w:rPr>
                <w:rFonts w:hint="eastAsia" w:ascii="Arial" w:hAnsi="Arial" w:eastAsia="楷体" w:cs="Arial"/>
                <w:sz w:val="22"/>
              </w:rPr>
              <w:t>：0</w:t>
            </w:r>
            <w:r>
              <w:rPr>
                <w:rFonts w:ascii="Arial" w:hAnsi="Arial" w:eastAsia="楷体" w:cs="Arial"/>
                <w:sz w:val="22"/>
              </w:rPr>
              <w:t>.3% @ 50 H</w:t>
            </w:r>
            <w:r>
              <w:rPr>
                <w:rFonts w:hint="eastAsia" w:ascii="Arial" w:hAnsi="Arial" w:eastAsia="楷体" w:cs="Arial"/>
                <w:sz w:val="22"/>
              </w:rPr>
              <w:t>z，0</w:t>
            </w:r>
            <w:r>
              <w:rPr>
                <w:rFonts w:ascii="Arial" w:hAnsi="Arial" w:eastAsia="楷体" w:cs="Arial"/>
                <w:sz w:val="22"/>
              </w:rPr>
              <w:t>.5% @ 400 H</w:t>
            </w:r>
            <w:r>
              <w:rPr>
                <w:rFonts w:hint="eastAsia" w:ascii="Arial" w:hAnsi="Arial" w:eastAsia="楷体" w:cs="Arial"/>
                <w:sz w:val="22"/>
              </w:rPr>
              <w:t>z</w:t>
            </w:r>
          </w:p>
        </w:tc>
      </w:tr>
    </w:tbl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FE3AE0"/>
    <w:rsid w:val="01EC7D74"/>
    <w:rsid w:val="024D24EB"/>
    <w:rsid w:val="05656F33"/>
    <w:rsid w:val="05C32E64"/>
    <w:rsid w:val="08F56DC9"/>
    <w:rsid w:val="094303B6"/>
    <w:rsid w:val="0A934940"/>
    <w:rsid w:val="0AA535B0"/>
    <w:rsid w:val="0B08290E"/>
    <w:rsid w:val="0B646AE3"/>
    <w:rsid w:val="0C0A5572"/>
    <w:rsid w:val="0CAC7BA2"/>
    <w:rsid w:val="0E0F1236"/>
    <w:rsid w:val="0E932DE6"/>
    <w:rsid w:val="0E9E342C"/>
    <w:rsid w:val="0F2418DF"/>
    <w:rsid w:val="115915AA"/>
    <w:rsid w:val="12A2573E"/>
    <w:rsid w:val="12C47940"/>
    <w:rsid w:val="155C736E"/>
    <w:rsid w:val="15E40BCC"/>
    <w:rsid w:val="17143DB8"/>
    <w:rsid w:val="171C6671"/>
    <w:rsid w:val="176F2EE8"/>
    <w:rsid w:val="178C5C1F"/>
    <w:rsid w:val="17F71B9F"/>
    <w:rsid w:val="196E3F9B"/>
    <w:rsid w:val="1ABC6A63"/>
    <w:rsid w:val="1C9D31A9"/>
    <w:rsid w:val="1D5A6D0E"/>
    <w:rsid w:val="1D7C63FC"/>
    <w:rsid w:val="1DD6259A"/>
    <w:rsid w:val="1DE03172"/>
    <w:rsid w:val="1E20456D"/>
    <w:rsid w:val="1F174FC1"/>
    <w:rsid w:val="20B816BE"/>
    <w:rsid w:val="210E112A"/>
    <w:rsid w:val="21F32A8F"/>
    <w:rsid w:val="262E25E1"/>
    <w:rsid w:val="26F32019"/>
    <w:rsid w:val="28772FAF"/>
    <w:rsid w:val="28B45A39"/>
    <w:rsid w:val="293047AF"/>
    <w:rsid w:val="29D63E0F"/>
    <w:rsid w:val="2B6946C3"/>
    <w:rsid w:val="2C7F3FB8"/>
    <w:rsid w:val="2DD073C4"/>
    <w:rsid w:val="2EC776AF"/>
    <w:rsid w:val="30257D80"/>
    <w:rsid w:val="31025D37"/>
    <w:rsid w:val="31220597"/>
    <w:rsid w:val="319C487A"/>
    <w:rsid w:val="31C92B7D"/>
    <w:rsid w:val="342B5555"/>
    <w:rsid w:val="344F303F"/>
    <w:rsid w:val="34D67926"/>
    <w:rsid w:val="356D3C65"/>
    <w:rsid w:val="35BD41CF"/>
    <w:rsid w:val="361453DE"/>
    <w:rsid w:val="376B6DEC"/>
    <w:rsid w:val="389F68B7"/>
    <w:rsid w:val="39BA155C"/>
    <w:rsid w:val="3AF2102A"/>
    <w:rsid w:val="3B8B0D43"/>
    <w:rsid w:val="3CA47F84"/>
    <w:rsid w:val="3F632105"/>
    <w:rsid w:val="3F6E1279"/>
    <w:rsid w:val="4232333E"/>
    <w:rsid w:val="4522343E"/>
    <w:rsid w:val="46A252A1"/>
    <w:rsid w:val="46F403B6"/>
    <w:rsid w:val="498F4453"/>
    <w:rsid w:val="4AD44F04"/>
    <w:rsid w:val="4B9E19DE"/>
    <w:rsid w:val="4D730B92"/>
    <w:rsid w:val="4D807977"/>
    <w:rsid w:val="4EAA517B"/>
    <w:rsid w:val="50173839"/>
    <w:rsid w:val="501A18FA"/>
    <w:rsid w:val="50D81448"/>
    <w:rsid w:val="50D84FA5"/>
    <w:rsid w:val="545972CC"/>
    <w:rsid w:val="54FF46DD"/>
    <w:rsid w:val="578137AF"/>
    <w:rsid w:val="57CF3BCD"/>
    <w:rsid w:val="585E655D"/>
    <w:rsid w:val="59270B5C"/>
    <w:rsid w:val="594320C2"/>
    <w:rsid w:val="5A5C589F"/>
    <w:rsid w:val="5A974BD0"/>
    <w:rsid w:val="5C5C5CE2"/>
    <w:rsid w:val="5CA538CB"/>
    <w:rsid w:val="5D20189C"/>
    <w:rsid w:val="5DF32CAE"/>
    <w:rsid w:val="5EA438D5"/>
    <w:rsid w:val="5EA7685B"/>
    <w:rsid w:val="5EBE2D18"/>
    <w:rsid w:val="605C063B"/>
    <w:rsid w:val="60772160"/>
    <w:rsid w:val="60E365E3"/>
    <w:rsid w:val="659024D8"/>
    <w:rsid w:val="68CC2F1E"/>
    <w:rsid w:val="69771DFD"/>
    <w:rsid w:val="6C404871"/>
    <w:rsid w:val="6CAD1388"/>
    <w:rsid w:val="6EFE3AE0"/>
    <w:rsid w:val="6F1F1CBE"/>
    <w:rsid w:val="6F275932"/>
    <w:rsid w:val="6FAF3389"/>
    <w:rsid w:val="704A032F"/>
    <w:rsid w:val="732C7DEE"/>
    <w:rsid w:val="735E5F25"/>
    <w:rsid w:val="74324EDA"/>
    <w:rsid w:val="75356866"/>
    <w:rsid w:val="76271BE8"/>
    <w:rsid w:val="77E062D6"/>
    <w:rsid w:val="784909C3"/>
    <w:rsid w:val="78AC5541"/>
    <w:rsid w:val="79C4797A"/>
    <w:rsid w:val="7A996A73"/>
    <w:rsid w:val="7BC73E1B"/>
    <w:rsid w:val="7C0C72C1"/>
    <w:rsid w:val="7C580318"/>
    <w:rsid w:val="7CC53B1B"/>
    <w:rsid w:val="7D862E92"/>
    <w:rsid w:val="7E8D4E52"/>
    <w:rsid w:val="7EB6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/>
    </w:r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sbd</Company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2024-04-25T03:01:00Z</dcterms:created>
  <dc:creator>Administrator</dc:creator>
  <cp:lastModifiedBy>Administrator</cp:lastModifiedBy>
  <dcterms:modified xsi:type="dcterms:W3CDTF">2025-08-28T03:24:17Z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A0B7B9995296448E8C2BA0AC69AA81C1</vt:lpwstr>
  </property>
</Properties>
</file>