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34C5B">
      <w:pPr>
        <w:ind w:firstLine="481" w:firstLineChars="171"/>
        <w:jc w:val="center"/>
        <w:outlineLvl w:val="0"/>
        <w:rPr>
          <w:b/>
          <w:sz w:val="28"/>
          <w:szCs w:val="28"/>
        </w:rPr>
      </w:pPr>
      <w:r>
        <w:rPr>
          <w:rFonts w:hint="eastAsia"/>
          <w:b/>
          <w:sz w:val="28"/>
          <w:szCs w:val="28"/>
        </w:rPr>
        <w:t>深圳供电局有限公司</w:t>
      </w:r>
      <w:r>
        <w:rPr>
          <w:rFonts w:hint="eastAsia"/>
          <w:b/>
          <w:sz w:val="28"/>
          <w:szCs w:val="28"/>
          <w:lang w:val="en-US" w:eastAsia="zh-CN"/>
        </w:rPr>
        <w:t>鹅埠</w:t>
      </w:r>
      <w:r>
        <w:rPr>
          <w:rFonts w:hint="eastAsia"/>
          <w:b/>
          <w:sz w:val="28"/>
          <w:szCs w:val="28"/>
        </w:rPr>
        <w:t>供电楼项目电梯技术规格书</w:t>
      </w:r>
    </w:p>
    <w:p w14:paraId="288C6C26">
      <w:pPr>
        <w:ind w:firstLine="480" w:firstLineChars="200"/>
        <w:rPr>
          <w:rFonts w:hint="eastAsia" w:ascii="宋体" w:hAnsi="宋体"/>
          <w:sz w:val="24"/>
        </w:rPr>
      </w:pPr>
      <w:r>
        <w:rPr>
          <w:rFonts w:hint="eastAsia" w:ascii="宋体" w:hAnsi="宋体"/>
          <w:sz w:val="24"/>
        </w:rPr>
        <w:t>本部分内容是招标人对本工程的专项技术要求，投标人在满足图纸及规范、标准要求的同时，必须遵守执行。</w:t>
      </w:r>
    </w:p>
    <w:p w14:paraId="64F95C08">
      <w:pPr>
        <w:ind w:firstLine="480" w:firstLineChars="200"/>
        <w:rPr>
          <w:rFonts w:hint="eastAsia" w:ascii="宋体" w:hAnsi="宋体"/>
          <w:sz w:val="24"/>
        </w:rPr>
      </w:pPr>
      <w:r>
        <w:rPr>
          <w:rFonts w:hint="eastAsia" w:ascii="宋体" w:hAnsi="宋体"/>
          <w:sz w:val="24"/>
        </w:rPr>
        <w:t>本技术要求描述不详尽或与其他要求存在矛盾时，由采购人负责解释，供应商须按招标人的解释开展工程实施。</w:t>
      </w:r>
    </w:p>
    <w:p w14:paraId="7CA72ED1">
      <w:pPr>
        <w:widowControl/>
        <w:ind w:firstLine="482" w:firstLineChars="200"/>
        <w:jc w:val="left"/>
        <w:rPr>
          <w:rFonts w:hint="default" w:ascii="宋体" w:hAnsi="宋体" w:eastAsia="宋体" w:cs="宋体"/>
          <w:kern w:val="0"/>
          <w:sz w:val="24"/>
          <w:lang w:val="en-US" w:eastAsia="zh-CN"/>
        </w:rPr>
      </w:pPr>
      <w:r>
        <w:rPr>
          <w:rFonts w:hint="eastAsia"/>
          <w:b/>
          <w:sz w:val="24"/>
        </w:rPr>
        <w:t>一、</w:t>
      </w:r>
      <w:r>
        <w:rPr>
          <w:rFonts w:hint="eastAsia"/>
          <w:b/>
          <w:sz w:val="24"/>
          <w:lang w:val="en-US" w:eastAsia="zh-CN"/>
        </w:rPr>
        <w:t>技术需求明细</w:t>
      </w:r>
    </w:p>
    <w:tbl>
      <w:tblPr>
        <w:tblStyle w:val="84"/>
        <w:tblW w:w="5000" w:type="pct"/>
        <w:jc w:val="center"/>
        <w:tblCellSpacing w:w="0" w:type="dxa"/>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Layout w:type="fixed"/>
        <w:tblCellMar>
          <w:top w:w="15" w:type="dxa"/>
          <w:left w:w="15" w:type="dxa"/>
          <w:bottom w:w="15" w:type="dxa"/>
          <w:right w:w="15" w:type="dxa"/>
        </w:tblCellMar>
      </w:tblPr>
      <w:tblGrid>
        <w:gridCol w:w="2115"/>
        <w:gridCol w:w="7015"/>
      </w:tblGrid>
      <w:tr w14:paraId="242C00B0">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rHeight w:val="393" w:hRule="atLeast"/>
          <w:tblCellSpacing w:w="0" w:type="dxa"/>
          <w:jc w:val="center"/>
        </w:trPr>
        <w:tc>
          <w:tcPr>
            <w:tcW w:w="2115" w:type="dxa"/>
            <w:tcBorders>
              <w:top w:val="outset" w:color="DDDDDD" w:sz="6" w:space="0"/>
              <w:left w:val="outset" w:color="DDDDDD" w:sz="6" w:space="0"/>
              <w:bottom w:val="outset" w:color="DDDDDD" w:sz="6" w:space="0"/>
              <w:right w:val="outset" w:color="DDDDDD" w:sz="6" w:space="0"/>
            </w:tcBorders>
            <w:shd w:val="clear" w:color="auto" w:fill="EEEEEE"/>
            <w:noWrap w:val="0"/>
            <w:vAlign w:val="center"/>
          </w:tcPr>
          <w:p w14:paraId="55682ACF">
            <w:pPr>
              <w:widowControl w:val="0"/>
              <w:ind w:left="330" w:hanging="331" w:hangingChars="157"/>
              <w:jc w:val="center"/>
              <w:rPr>
                <w:rFonts w:ascii="宋体" w:hAnsi="宋体" w:eastAsia="宋体"/>
                <w:b/>
                <w:color w:val="000000"/>
                <w:kern w:val="2"/>
                <w:lang w:eastAsia="zh-CN"/>
              </w:rPr>
            </w:pPr>
            <w:r>
              <w:rPr>
                <w:rFonts w:hint="eastAsia" w:ascii="宋体" w:hAnsi="宋体" w:eastAsia="宋体"/>
                <w:b/>
                <w:color w:val="000000"/>
                <w:kern w:val="2"/>
                <w:sz w:val="21"/>
                <w:lang w:eastAsia="zh-CN"/>
              </w:rPr>
              <w:t>需求名称</w:t>
            </w:r>
          </w:p>
        </w:tc>
        <w:tc>
          <w:tcPr>
            <w:tcW w:w="7015" w:type="dxa"/>
            <w:tcBorders>
              <w:top w:val="outset" w:color="DDDDDD" w:sz="6" w:space="0"/>
              <w:left w:val="outset" w:color="DDDDDD" w:sz="6" w:space="0"/>
              <w:bottom w:val="outset" w:color="DDDDDD" w:sz="6" w:space="0"/>
              <w:right w:val="outset" w:color="DDDDDD" w:sz="6" w:space="0"/>
            </w:tcBorders>
            <w:shd w:val="clear" w:color="auto" w:fill="EEEEEE"/>
            <w:noWrap w:val="0"/>
            <w:vAlign w:val="center"/>
          </w:tcPr>
          <w:p w14:paraId="29CB28A9">
            <w:pPr>
              <w:widowControl w:val="0"/>
              <w:jc w:val="center"/>
              <w:rPr>
                <w:rFonts w:ascii="宋体" w:hAnsi="宋体" w:eastAsia="宋体"/>
                <w:b/>
                <w:color w:val="000000"/>
                <w:kern w:val="2"/>
                <w:lang w:eastAsia="zh-CN"/>
              </w:rPr>
            </w:pPr>
            <w:r>
              <w:rPr>
                <w:rFonts w:hint="eastAsia" w:ascii="宋体" w:hAnsi="宋体" w:eastAsia="宋体"/>
                <w:b/>
                <w:color w:val="000000"/>
                <w:kern w:val="2"/>
                <w:sz w:val="21"/>
                <w:lang w:eastAsia="zh-CN"/>
              </w:rPr>
              <w:t>需求说明</w:t>
            </w:r>
          </w:p>
        </w:tc>
      </w:tr>
      <w:tr w14:paraId="345E6173">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2115" w:type="dxa"/>
            <w:tcBorders>
              <w:top w:val="outset" w:color="DDDDDD" w:sz="6" w:space="0"/>
              <w:left w:val="outset" w:color="DDDDDD" w:sz="6" w:space="0"/>
              <w:right w:val="outset" w:color="DDDDDD" w:sz="6" w:space="0"/>
            </w:tcBorders>
            <w:noWrap w:val="0"/>
            <w:vAlign w:val="center"/>
          </w:tcPr>
          <w:p w14:paraId="7DED8E0A">
            <w:pPr>
              <w:widowControl w:val="0"/>
              <w:jc w:val="center"/>
              <w:rPr>
                <w:rFonts w:hint="default" w:ascii="宋体" w:hAnsi="宋体" w:eastAsia="宋体"/>
                <w:color w:val="000000"/>
                <w:kern w:val="2"/>
                <w:sz w:val="20"/>
                <w:lang w:val="en-US" w:eastAsia="zh-CN"/>
              </w:rPr>
            </w:pPr>
            <w:r>
              <w:rPr>
                <w:rFonts w:hint="eastAsia" w:ascii="宋体" w:hAnsi="宋体" w:eastAsia="宋体"/>
                <w:color w:val="000000"/>
                <w:kern w:val="2"/>
                <w:sz w:val="20"/>
                <w:lang w:val="en-US" w:eastAsia="zh-CN"/>
              </w:rPr>
              <w:t>1.工程概况</w:t>
            </w: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306567B7">
            <w:pPr>
              <w:widowControl w:val="0"/>
              <w:jc w:val="both"/>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深圳供电局有限公司鹅埠供电楼项目设置的垂直电梯共4台，井道结构形式为混凝土或砌体结构，其具体的安装位置、提升高度、额定速度、额定载重详见“电梯技术规格一览表”。</w:t>
            </w:r>
          </w:p>
          <w:p w14:paraId="279F18A6">
            <w:pPr>
              <w:widowControl w:val="0"/>
              <w:jc w:val="both"/>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鉴于本项目电梯的运行条件和环境的多样性，所提供的电梯需为技术先进的成熟产品，性能安全可靠、功能完善、整机质量经久耐用、结构部件设计、配置合理；设备具有足够的强度和刚度以及一定的规范性、同种规格的互换性、易于调整、保养、维修。</w:t>
            </w:r>
          </w:p>
        </w:tc>
      </w:tr>
      <w:tr w14:paraId="420EAB90">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2115" w:type="dxa"/>
            <w:vMerge w:val="restart"/>
            <w:tcBorders>
              <w:top w:val="outset" w:color="DDDDDD" w:sz="6" w:space="0"/>
              <w:left w:val="outset" w:color="DDDDDD" w:sz="6" w:space="0"/>
              <w:right w:val="outset" w:color="DDDDDD" w:sz="6" w:space="0"/>
            </w:tcBorders>
            <w:noWrap w:val="0"/>
            <w:vAlign w:val="center"/>
          </w:tcPr>
          <w:p w14:paraId="7FEDAEEE">
            <w:pPr>
              <w:widowControl w:val="0"/>
              <w:jc w:val="center"/>
              <w:rPr>
                <w:rFonts w:ascii="宋体" w:hAnsi="宋体" w:eastAsia="宋体"/>
                <w:color w:val="000000"/>
                <w:kern w:val="2"/>
                <w:sz w:val="20"/>
                <w:lang w:eastAsia="zh-CN"/>
              </w:rPr>
            </w:pPr>
            <w:r>
              <w:rPr>
                <w:rFonts w:hint="eastAsia" w:ascii="宋体" w:hAnsi="宋体" w:eastAsia="宋体"/>
                <w:color w:val="000000"/>
                <w:kern w:val="2"/>
                <w:sz w:val="20"/>
                <w:lang w:eastAsia="zh-CN"/>
              </w:rPr>
              <w:t>2</w:t>
            </w:r>
            <w:r>
              <w:rPr>
                <w:rFonts w:hint="eastAsia" w:ascii="宋体" w:hAnsi="宋体" w:eastAsia="宋体"/>
                <w:color w:val="000000"/>
                <w:kern w:val="2"/>
                <w:sz w:val="20"/>
                <w:lang w:val="en-US" w:eastAsia="zh-CN"/>
              </w:rPr>
              <w:t>.</w:t>
            </w:r>
            <w:r>
              <w:rPr>
                <w:rFonts w:hint="eastAsia" w:ascii="宋体" w:hAnsi="宋体" w:eastAsia="宋体"/>
                <w:color w:val="000000"/>
                <w:kern w:val="2"/>
                <w:sz w:val="20"/>
                <w:lang w:eastAsia="zh-CN"/>
              </w:rPr>
              <w:t>环境条件</w:t>
            </w: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5C8A0337">
            <w:pPr>
              <w:widowControl w:val="0"/>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2.1气象条件：</w:t>
            </w:r>
            <w:r>
              <w:rPr>
                <w:rFonts w:ascii="宋体" w:hAnsi="宋体" w:eastAsia="宋体"/>
                <w:color w:val="000000"/>
                <w:kern w:val="2"/>
                <w:sz w:val="20"/>
                <w:lang w:eastAsia="zh-CN"/>
              </w:rPr>
              <w:t>设备工作地点为广东省深圳市，属亚热带海洋性季风气候，有轻度盐雾腐蚀。年平均气温22.4</w:t>
            </w:r>
            <w:r>
              <w:rPr>
                <w:rFonts w:hint="eastAsia" w:ascii="宋体" w:hAnsi="宋体" w:eastAsia="宋体"/>
                <w:color w:val="000000"/>
                <w:kern w:val="2"/>
                <w:sz w:val="20"/>
                <w:lang w:eastAsia="zh-CN"/>
              </w:rPr>
              <w:t>℃</w:t>
            </w:r>
            <w:r>
              <w:rPr>
                <w:rFonts w:ascii="宋体" w:hAnsi="宋体" w:eastAsia="宋体"/>
                <w:color w:val="000000"/>
                <w:kern w:val="2"/>
                <w:sz w:val="20"/>
                <w:lang w:eastAsia="zh-CN"/>
              </w:rPr>
              <w:t>，最高气温36.6</w:t>
            </w:r>
            <w:r>
              <w:rPr>
                <w:rFonts w:hint="eastAsia" w:ascii="宋体" w:hAnsi="宋体" w:eastAsia="宋体"/>
                <w:color w:val="000000"/>
                <w:kern w:val="2"/>
                <w:sz w:val="20"/>
                <w:lang w:eastAsia="zh-CN"/>
              </w:rPr>
              <w:t>℃</w:t>
            </w:r>
            <w:r>
              <w:rPr>
                <w:rFonts w:ascii="宋体" w:hAnsi="宋体" w:eastAsia="宋体"/>
                <w:color w:val="000000"/>
                <w:kern w:val="2"/>
                <w:sz w:val="20"/>
                <w:lang w:eastAsia="zh-CN"/>
              </w:rPr>
              <w:t>，最低气温1.4</w:t>
            </w:r>
            <w:r>
              <w:rPr>
                <w:rFonts w:hint="eastAsia" w:ascii="宋体" w:hAnsi="宋体" w:eastAsia="宋体"/>
                <w:color w:val="000000"/>
                <w:kern w:val="2"/>
                <w:sz w:val="20"/>
                <w:lang w:eastAsia="zh-CN"/>
              </w:rPr>
              <w:t>℃</w:t>
            </w:r>
            <w:r>
              <w:rPr>
                <w:rFonts w:ascii="宋体" w:hAnsi="宋体" w:eastAsia="宋体"/>
                <w:color w:val="000000"/>
                <w:kern w:val="2"/>
                <w:sz w:val="20"/>
                <w:lang w:eastAsia="zh-CN"/>
              </w:rPr>
              <w:t>，平均相对湿度79%，平均气压1003.4kPa。夏季空调室外计算干球温度33</w:t>
            </w:r>
            <w:r>
              <w:rPr>
                <w:rFonts w:hint="eastAsia" w:ascii="宋体" w:hAnsi="宋体" w:eastAsia="宋体"/>
                <w:color w:val="000000"/>
                <w:kern w:val="2"/>
                <w:sz w:val="20"/>
                <w:lang w:eastAsia="zh-CN"/>
              </w:rPr>
              <w:t>℃</w:t>
            </w:r>
            <w:r>
              <w:rPr>
                <w:rFonts w:ascii="宋体" w:hAnsi="宋体" w:eastAsia="宋体"/>
                <w:color w:val="000000"/>
                <w:kern w:val="2"/>
                <w:sz w:val="20"/>
                <w:lang w:eastAsia="zh-CN"/>
              </w:rPr>
              <w:t>，湿球温度27.9</w:t>
            </w:r>
            <w:r>
              <w:rPr>
                <w:rFonts w:hint="eastAsia" w:ascii="宋体" w:hAnsi="宋体" w:eastAsia="宋体"/>
                <w:color w:val="000000"/>
                <w:kern w:val="2"/>
                <w:sz w:val="20"/>
                <w:lang w:eastAsia="zh-CN"/>
              </w:rPr>
              <w:t>℃</w:t>
            </w:r>
            <w:r>
              <w:rPr>
                <w:rFonts w:ascii="宋体" w:hAnsi="宋体" w:eastAsia="宋体"/>
                <w:color w:val="000000"/>
                <w:kern w:val="2"/>
                <w:sz w:val="20"/>
                <w:lang w:eastAsia="zh-CN"/>
              </w:rPr>
              <w:t>。</w:t>
            </w:r>
          </w:p>
        </w:tc>
      </w:tr>
      <w:tr w14:paraId="38684F55">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2115" w:type="dxa"/>
            <w:vMerge w:val="continue"/>
            <w:tcBorders>
              <w:left w:val="outset" w:color="DDDDDD" w:sz="6" w:space="0"/>
              <w:right w:val="outset" w:color="DDDDDD" w:sz="6" w:space="0"/>
            </w:tcBorders>
            <w:noWrap w:val="0"/>
            <w:vAlign w:val="center"/>
          </w:tcPr>
          <w:p w14:paraId="6C91A5B0">
            <w:pPr>
              <w:widowControl w:val="0"/>
              <w:jc w:val="left"/>
              <w:rPr>
                <w:rFonts w:ascii="宋体" w:hAnsi="宋体" w:eastAsia="宋体"/>
                <w:color w:val="000000"/>
                <w:kern w:val="2"/>
                <w:sz w:val="20"/>
                <w:lang w:eastAsia="zh-CN"/>
              </w:rPr>
            </w:pP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41AE34F5">
            <w:pPr>
              <w:widowControl w:val="0"/>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2.2电源：</w:t>
            </w:r>
            <w:r>
              <w:rPr>
                <w:rFonts w:ascii="宋体" w:hAnsi="宋体" w:eastAsia="宋体"/>
                <w:color w:val="000000"/>
                <w:kern w:val="2"/>
                <w:sz w:val="20"/>
                <w:lang w:eastAsia="zh-CN"/>
              </w:rPr>
              <w:t>三相交流，380V，50Hz ；允许波动范围：电压±10%。</w:t>
            </w:r>
          </w:p>
        </w:tc>
      </w:tr>
      <w:tr w14:paraId="5E2F4129">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rHeight w:val="344" w:hRule="atLeast"/>
          <w:tblCellSpacing w:w="0" w:type="dxa"/>
          <w:jc w:val="center"/>
        </w:trPr>
        <w:tc>
          <w:tcPr>
            <w:tcW w:w="2115" w:type="dxa"/>
            <w:vMerge w:val="continue"/>
            <w:tcBorders>
              <w:left w:val="outset" w:color="DDDDDD" w:sz="6" w:space="0"/>
              <w:right w:val="outset" w:color="DDDDDD" w:sz="6" w:space="0"/>
            </w:tcBorders>
            <w:noWrap w:val="0"/>
            <w:vAlign w:val="center"/>
          </w:tcPr>
          <w:p w14:paraId="6FC9A2A2">
            <w:pPr>
              <w:widowControl w:val="0"/>
              <w:jc w:val="left"/>
              <w:rPr>
                <w:rFonts w:ascii="宋体" w:hAnsi="宋体" w:eastAsia="宋体"/>
                <w:color w:val="000000"/>
                <w:kern w:val="2"/>
                <w:sz w:val="20"/>
                <w:lang w:eastAsia="zh-CN"/>
              </w:rPr>
            </w:pP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13F927AC">
            <w:pPr>
              <w:widowControl w:val="0"/>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2.3设备工作位置： 见</w:t>
            </w:r>
            <w:r>
              <w:rPr>
                <w:rFonts w:hint="eastAsia" w:ascii="宋体" w:hAnsi="宋体" w:eastAsia="宋体"/>
                <w:color w:val="000000"/>
                <w:kern w:val="2"/>
                <w:sz w:val="20"/>
                <w:lang w:val="en-US" w:eastAsia="zh-CN"/>
              </w:rPr>
              <w:t>施工</w:t>
            </w:r>
            <w:r>
              <w:rPr>
                <w:rFonts w:hint="eastAsia" w:ascii="宋体" w:hAnsi="宋体" w:eastAsia="宋体"/>
                <w:color w:val="000000"/>
                <w:kern w:val="2"/>
                <w:sz w:val="20"/>
                <w:lang w:eastAsia="zh-CN"/>
              </w:rPr>
              <w:t>图纸</w:t>
            </w:r>
          </w:p>
        </w:tc>
      </w:tr>
      <w:tr w14:paraId="6E29A0A6">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2115" w:type="dxa"/>
            <w:vMerge w:val="restart"/>
            <w:tcBorders>
              <w:top w:val="outset" w:color="DDDDDD" w:sz="6" w:space="0"/>
              <w:left w:val="outset" w:color="DDDDDD" w:sz="6" w:space="0"/>
              <w:bottom w:val="outset" w:color="DDDDDD" w:sz="6" w:space="0"/>
              <w:right w:val="outset" w:color="DDDDDD" w:sz="6" w:space="0"/>
            </w:tcBorders>
            <w:noWrap w:val="0"/>
            <w:vAlign w:val="center"/>
          </w:tcPr>
          <w:p w14:paraId="1A32E5D2">
            <w:pPr>
              <w:widowControl w:val="0"/>
              <w:jc w:val="center"/>
              <w:rPr>
                <w:rFonts w:ascii="宋体" w:hAnsi="宋体" w:eastAsia="宋体"/>
                <w:color w:val="000000"/>
                <w:kern w:val="2"/>
                <w:sz w:val="20"/>
                <w:lang w:eastAsia="zh-CN"/>
              </w:rPr>
            </w:pPr>
            <w:r>
              <w:rPr>
                <w:rFonts w:hint="eastAsia" w:ascii="宋体" w:hAnsi="宋体" w:eastAsia="宋体"/>
                <w:color w:val="000000"/>
                <w:kern w:val="2"/>
                <w:sz w:val="20"/>
                <w:lang w:eastAsia="zh-CN"/>
              </w:rPr>
              <w:t>3</w:t>
            </w:r>
            <w:r>
              <w:rPr>
                <w:rFonts w:hint="eastAsia" w:ascii="宋体" w:hAnsi="宋体" w:eastAsia="宋体"/>
                <w:color w:val="000000"/>
                <w:kern w:val="2"/>
                <w:sz w:val="20"/>
                <w:lang w:val="en-US" w:eastAsia="zh-CN"/>
              </w:rPr>
              <w:t>.</w:t>
            </w:r>
            <w:r>
              <w:rPr>
                <w:rFonts w:hint="eastAsia" w:ascii="宋体" w:hAnsi="宋体" w:eastAsia="宋体"/>
                <w:color w:val="000000"/>
                <w:kern w:val="2"/>
                <w:sz w:val="20"/>
                <w:lang w:eastAsia="zh-CN"/>
              </w:rPr>
              <w:t>需求概述</w:t>
            </w: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4CC3C58E">
            <w:pPr>
              <w:widowControl w:val="0"/>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3.1投标人提供的设备应根据设备的标准和规范进行设计和制造，并应采用最先进的技术，做到：结构合理，可靠性高，能耗低，噪音低，不污染环境，操作及维护保养简便。</w:t>
            </w:r>
          </w:p>
        </w:tc>
      </w:tr>
      <w:tr w14:paraId="72BA1351">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2115" w:type="dxa"/>
            <w:vMerge w:val="continue"/>
            <w:tcBorders>
              <w:top w:val="outset" w:color="DDDDDD" w:sz="6" w:space="0"/>
              <w:left w:val="outset" w:color="DDDDDD" w:sz="6" w:space="0"/>
              <w:bottom w:val="outset" w:color="DDDDDD" w:sz="6" w:space="0"/>
              <w:right w:val="outset" w:color="DDDDDD" w:sz="6" w:space="0"/>
            </w:tcBorders>
            <w:noWrap w:val="0"/>
            <w:vAlign w:val="center"/>
          </w:tcPr>
          <w:p w14:paraId="5AC80D2D">
            <w:pPr>
              <w:widowControl w:val="0"/>
              <w:jc w:val="both"/>
              <w:rPr>
                <w:rFonts w:ascii="宋体" w:hAnsi="宋体" w:eastAsia="宋体"/>
                <w:color w:val="000000"/>
                <w:kern w:val="2"/>
                <w:sz w:val="20"/>
                <w:lang w:eastAsia="zh-CN"/>
              </w:rPr>
            </w:pP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7D005018">
            <w:pPr>
              <w:widowControl w:val="0"/>
              <w:spacing w:line="360" w:lineRule="exact"/>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3.2投标人所供设备必须是该品牌注册工厂组装生产的全新的合格设备，应为最新型的且已定型投产的成熟规格型号产品。</w:t>
            </w:r>
          </w:p>
        </w:tc>
      </w:tr>
      <w:tr w14:paraId="6B6C3955">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2115" w:type="dxa"/>
            <w:vMerge w:val="continue"/>
            <w:tcBorders>
              <w:top w:val="outset" w:color="DDDDDD" w:sz="6" w:space="0"/>
              <w:left w:val="outset" w:color="DDDDDD" w:sz="6" w:space="0"/>
              <w:bottom w:val="outset" w:color="DDDDDD" w:sz="6" w:space="0"/>
              <w:right w:val="outset" w:color="DDDDDD" w:sz="6" w:space="0"/>
            </w:tcBorders>
            <w:noWrap w:val="0"/>
            <w:vAlign w:val="center"/>
          </w:tcPr>
          <w:p w14:paraId="6873547B">
            <w:pPr>
              <w:widowControl w:val="0"/>
              <w:jc w:val="both"/>
              <w:rPr>
                <w:rFonts w:ascii="宋体" w:hAnsi="宋体" w:eastAsia="宋体"/>
                <w:color w:val="000000"/>
                <w:kern w:val="2"/>
                <w:sz w:val="20"/>
                <w:lang w:eastAsia="zh-CN"/>
              </w:rPr>
            </w:pP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009504B2">
            <w:pPr>
              <w:widowControl w:val="0"/>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3.3本技术规格与要求仅提供本项目所需设备主要的亦即最低限度的技术要求，未对机组设计制造所需的全部技术要求进行完整、详细的描述，投标人应以本技术标书为基本条件，负责机组的设计，提供满足本技术标书和有关标准规范的成熟产品。</w:t>
            </w:r>
          </w:p>
        </w:tc>
      </w:tr>
      <w:tr w14:paraId="7DF01562">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rHeight w:val="1040" w:hRule="atLeast"/>
          <w:tblCellSpacing w:w="0" w:type="dxa"/>
          <w:jc w:val="center"/>
        </w:trPr>
        <w:tc>
          <w:tcPr>
            <w:tcW w:w="2115" w:type="dxa"/>
            <w:vMerge w:val="continue"/>
            <w:tcBorders>
              <w:top w:val="outset" w:color="DDDDDD" w:sz="6" w:space="0"/>
              <w:left w:val="outset" w:color="DDDDDD" w:sz="6" w:space="0"/>
              <w:bottom w:val="outset" w:color="DDDDDD" w:sz="6" w:space="0"/>
              <w:right w:val="outset" w:color="DDDDDD" w:sz="6" w:space="0"/>
            </w:tcBorders>
            <w:noWrap w:val="0"/>
            <w:vAlign w:val="center"/>
          </w:tcPr>
          <w:p w14:paraId="46975B3D">
            <w:pPr>
              <w:widowControl w:val="0"/>
              <w:jc w:val="both"/>
              <w:rPr>
                <w:rFonts w:ascii="宋体" w:hAnsi="宋体" w:eastAsia="宋体"/>
                <w:color w:val="000000"/>
                <w:kern w:val="2"/>
                <w:sz w:val="20"/>
                <w:lang w:eastAsia="zh-CN"/>
              </w:rPr>
            </w:pP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01347D33">
            <w:pPr>
              <w:widowControl w:val="0"/>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3.4投标人应对投标内容所涉及的技术专利承担责任，并负责保护发包人的利益不受任何损害。一切由于文字、商标和技术专利侵权引起的法律裁决、诉讼和有关费用均与发包人无关。</w:t>
            </w:r>
          </w:p>
        </w:tc>
      </w:tr>
      <w:tr w14:paraId="6F82977F">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rHeight w:val="1206" w:hRule="atLeast"/>
          <w:tblCellSpacing w:w="0" w:type="dxa"/>
          <w:jc w:val="center"/>
        </w:trPr>
        <w:tc>
          <w:tcPr>
            <w:tcW w:w="2115" w:type="dxa"/>
            <w:vMerge w:val="continue"/>
            <w:tcBorders>
              <w:top w:val="outset" w:color="DDDDDD" w:sz="6" w:space="0"/>
              <w:left w:val="outset" w:color="DDDDDD" w:sz="6" w:space="0"/>
              <w:bottom w:val="outset" w:color="DDDDDD" w:sz="6" w:space="0"/>
              <w:right w:val="outset" w:color="DDDDDD" w:sz="6" w:space="0"/>
            </w:tcBorders>
            <w:noWrap w:val="0"/>
            <w:vAlign w:val="center"/>
          </w:tcPr>
          <w:p w14:paraId="3982F9C1">
            <w:pPr>
              <w:widowControl w:val="0"/>
              <w:jc w:val="both"/>
              <w:rPr>
                <w:rFonts w:ascii="宋体" w:hAnsi="宋体" w:eastAsia="宋体"/>
                <w:color w:val="000000"/>
                <w:kern w:val="2"/>
                <w:sz w:val="20"/>
                <w:lang w:eastAsia="zh-CN"/>
              </w:rPr>
            </w:pP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65AD4E1D">
            <w:pPr>
              <w:widowControl w:val="0"/>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3.5投标人必须对本技术标书提出的技术要求逐项作出实质性的应答，并按附件格式如实填写《</w:t>
            </w:r>
            <w:r>
              <w:rPr>
                <w:rFonts w:hint="eastAsia" w:ascii="宋体" w:hAnsi="宋体" w:eastAsia="宋体"/>
                <w:color w:val="000000"/>
                <w:kern w:val="2"/>
                <w:sz w:val="20"/>
                <w:lang w:val="en-US" w:eastAsia="zh-CN"/>
              </w:rPr>
              <w:t>技术规格</w:t>
            </w:r>
            <w:r>
              <w:rPr>
                <w:rFonts w:hint="eastAsia" w:ascii="宋体" w:hAnsi="宋体" w:eastAsia="宋体"/>
                <w:color w:val="000000"/>
                <w:kern w:val="2"/>
                <w:sz w:val="20"/>
                <w:lang w:eastAsia="zh-CN"/>
              </w:rPr>
              <w:t>一览表》，该表未列出及不便在表中作出应答的条款应另外补充有关资料逐条作出应答，如有偏离应将偏离情况填</w:t>
            </w:r>
            <w:r>
              <w:rPr>
                <w:rFonts w:hint="eastAsia" w:ascii="宋体" w:hAnsi="宋体" w:eastAsia="宋体"/>
                <w:color w:val="000000"/>
                <w:kern w:val="2"/>
                <w:sz w:val="20"/>
                <w:lang w:val="en-US" w:eastAsia="zh-CN"/>
              </w:rPr>
              <w:t>写</w:t>
            </w:r>
            <w:r>
              <w:rPr>
                <w:rFonts w:hint="eastAsia" w:ascii="宋体" w:hAnsi="宋体" w:eastAsia="宋体"/>
                <w:color w:val="000000"/>
                <w:kern w:val="2"/>
                <w:sz w:val="20"/>
                <w:lang w:eastAsia="zh-CN"/>
              </w:rPr>
              <w:t>偏离表。</w:t>
            </w:r>
          </w:p>
        </w:tc>
      </w:tr>
      <w:tr w14:paraId="03D63CDD">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rHeight w:val="497" w:hRule="atLeast"/>
          <w:tblCellSpacing w:w="0" w:type="dxa"/>
          <w:jc w:val="center"/>
        </w:trPr>
        <w:tc>
          <w:tcPr>
            <w:tcW w:w="2115" w:type="dxa"/>
            <w:vMerge w:val="continue"/>
            <w:tcBorders>
              <w:top w:val="outset" w:color="DDDDDD" w:sz="6" w:space="0"/>
              <w:left w:val="outset" w:color="DDDDDD" w:sz="6" w:space="0"/>
              <w:bottom w:val="outset" w:color="DDDDDD" w:sz="6" w:space="0"/>
              <w:right w:val="outset" w:color="DDDDDD" w:sz="6" w:space="0"/>
            </w:tcBorders>
            <w:noWrap w:val="0"/>
            <w:vAlign w:val="center"/>
          </w:tcPr>
          <w:p w14:paraId="719C1C8D">
            <w:pPr>
              <w:widowControl w:val="0"/>
              <w:jc w:val="both"/>
              <w:rPr>
                <w:rFonts w:ascii="宋体" w:hAnsi="宋体" w:eastAsia="宋体"/>
                <w:color w:val="000000"/>
                <w:kern w:val="2"/>
                <w:sz w:val="20"/>
                <w:lang w:eastAsia="zh-CN"/>
              </w:rPr>
            </w:pP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26624915">
            <w:pPr>
              <w:widowControl w:val="0"/>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3.6投标人须提供产品的中文版彩页样本。</w:t>
            </w:r>
          </w:p>
        </w:tc>
      </w:tr>
      <w:tr w14:paraId="0AD4A293">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rHeight w:val="789" w:hRule="atLeast"/>
          <w:tblCellSpacing w:w="0" w:type="dxa"/>
          <w:jc w:val="center"/>
        </w:trPr>
        <w:tc>
          <w:tcPr>
            <w:tcW w:w="2115" w:type="dxa"/>
            <w:vMerge w:val="restart"/>
            <w:tcBorders>
              <w:top w:val="outset" w:color="DDDDDD" w:sz="6" w:space="0"/>
              <w:left w:val="outset" w:color="DDDDDD" w:sz="6" w:space="0"/>
              <w:right w:val="outset" w:color="DDDDDD" w:sz="6" w:space="0"/>
            </w:tcBorders>
            <w:noWrap w:val="0"/>
            <w:vAlign w:val="center"/>
          </w:tcPr>
          <w:p w14:paraId="4BEA801E">
            <w:pPr>
              <w:widowControl w:val="0"/>
              <w:jc w:val="center"/>
              <w:rPr>
                <w:rFonts w:ascii="宋体" w:hAnsi="宋体" w:eastAsia="宋体"/>
                <w:color w:val="000000"/>
                <w:kern w:val="2"/>
                <w:sz w:val="20"/>
                <w:lang w:eastAsia="zh-CN"/>
              </w:rPr>
            </w:pPr>
            <w:r>
              <w:rPr>
                <w:rFonts w:hint="eastAsia" w:ascii="宋体" w:hAnsi="宋体" w:eastAsia="宋体"/>
                <w:color w:val="000000"/>
                <w:kern w:val="2"/>
                <w:sz w:val="20"/>
                <w:lang w:eastAsia="zh-CN"/>
              </w:rPr>
              <w:t>4</w:t>
            </w:r>
            <w:r>
              <w:rPr>
                <w:rFonts w:hint="eastAsia" w:ascii="宋体" w:hAnsi="宋体" w:eastAsia="宋体"/>
                <w:color w:val="000000"/>
                <w:kern w:val="2"/>
                <w:sz w:val="20"/>
                <w:lang w:val="en-US" w:eastAsia="zh-CN"/>
              </w:rPr>
              <w:t>.</w:t>
            </w:r>
            <w:r>
              <w:rPr>
                <w:rFonts w:hint="eastAsia" w:ascii="宋体" w:hAnsi="宋体" w:eastAsia="宋体"/>
                <w:color w:val="000000"/>
                <w:kern w:val="2"/>
                <w:sz w:val="20"/>
                <w:lang w:eastAsia="zh-CN"/>
              </w:rPr>
              <w:t>规范与标准</w:t>
            </w: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650FFF2B">
            <w:pPr>
              <w:widowControl w:val="0"/>
              <w:spacing w:line="240" w:lineRule="auto"/>
              <w:ind w:firstLine="0" w:firstLineChars="0"/>
              <w:jc w:val="both"/>
              <w:rPr>
                <w:rFonts w:ascii="宋体" w:hAnsi="宋体" w:eastAsia="宋体"/>
                <w:color w:val="000000"/>
                <w:kern w:val="2"/>
                <w:sz w:val="20"/>
                <w:szCs w:val="20"/>
                <w:lang w:eastAsia="zh-CN"/>
              </w:rPr>
            </w:pPr>
            <w:r>
              <w:rPr>
                <w:rFonts w:hint="eastAsia" w:ascii="宋体" w:hAnsi="宋体" w:eastAsia="宋体"/>
                <w:color w:val="000000"/>
                <w:kern w:val="2"/>
                <w:sz w:val="20"/>
                <w:szCs w:val="20"/>
                <w:lang w:eastAsia="zh-CN"/>
              </w:rPr>
              <w:t>4.1本技术规格书并未充分引述有关标准和规范条文，提出的是最低限度的技术要求，投标人应采用最新版本的规范和标准。</w:t>
            </w:r>
          </w:p>
        </w:tc>
      </w:tr>
      <w:tr w14:paraId="1D030289">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rHeight w:val="645" w:hRule="atLeast"/>
          <w:tblCellSpacing w:w="0" w:type="dxa"/>
          <w:jc w:val="center"/>
        </w:trPr>
        <w:tc>
          <w:tcPr>
            <w:tcW w:w="2115" w:type="dxa"/>
            <w:vMerge w:val="continue"/>
            <w:tcBorders>
              <w:left w:val="outset" w:color="DDDDDD" w:sz="6" w:space="0"/>
              <w:right w:val="outset" w:color="DDDDDD" w:sz="6" w:space="0"/>
            </w:tcBorders>
            <w:noWrap w:val="0"/>
            <w:vAlign w:val="center"/>
          </w:tcPr>
          <w:p w14:paraId="2A75FDDF">
            <w:pPr>
              <w:widowControl w:val="0"/>
              <w:jc w:val="center"/>
              <w:rPr>
                <w:rFonts w:ascii="宋体" w:hAnsi="宋体" w:eastAsia="宋体"/>
                <w:color w:val="000000"/>
                <w:kern w:val="2"/>
                <w:sz w:val="20"/>
                <w:lang w:eastAsia="zh-CN"/>
              </w:rPr>
            </w:pP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0D0F59CA">
            <w:pPr>
              <w:widowControl w:val="0"/>
              <w:spacing w:line="276" w:lineRule="auto"/>
              <w:ind w:firstLine="0" w:firstLineChars="0"/>
              <w:jc w:val="left"/>
              <w:rPr>
                <w:rFonts w:ascii="宋体" w:hAnsi="宋体" w:eastAsia="宋体"/>
                <w:color w:val="000000"/>
                <w:kern w:val="2"/>
                <w:sz w:val="20"/>
                <w:szCs w:val="20"/>
                <w:lang w:eastAsia="zh-CN"/>
              </w:rPr>
            </w:pPr>
            <w:r>
              <w:rPr>
                <w:rFonts w:hint="eastAsia" w:ascii="宋体" w:hAnsi="宋体" w:eastAsia="宋体"/>
                <w:color w:val="000000"/>
                <w:kern w:val="2"/>
                <w:sz w:val="20"/>
                <w:szCs w:val="20"/>
                <w:lang w:eastAsia="zh-CN"/>
              </w:rPr>
              <w:t>4.2投标人所提供货物的设计、制造、产品性能、材料的选择和材料的检验产品的测试，都须符合国内外通行的现行标准和相应的技术规范执行。而这些标准和技术规范应为合同签字日为止最新公布发行的标准和技术规范。</w:t>
            </w:r>
          </w:p>
        </w:tc>
      </w:tr>
      <w:tr w14:paraId="1B2B08D8">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rHeight w:val="38" w:hRule="atLeast"/>
          <w:tblCellSpacing w:w="0" w:type="dxa"/>
          <w:jc w:val="center"/>
        </w:trPr>
        <w:tc>
          <w:tcPr>
            <w:tcW w:w="2115" w:type="dxa"/>
            <w:vMerge w:val="continue"/>
            <w:tcBorders>
              <w:left w:val="outset" w:color="DDDDDD" w:sz="6" w:space="0"/>
              <w:bottom w:val="outset" w:color="DDDDDD" w:sz="6" w:space="0"/>
              <w:right w:val="outset" w:color="DDDDDD" w:sz="6" w:space="0"/>
            </w:tcBorders>
            <w:noWrap w:val="0"/>
            <w:vAlign w:val="center"/>
          </w:tcPr>
          <w:p w14:paraId="46F6125F">
            <w:pPr>
              <w:widowControl w:val="0"/>
              <w:jc w:val="both"/>
              <w:rPr>
                <w:rFonts w:ascii="宋体" w:hAnsi="宋体" w:eastAsia="宋体"/>
                <w:color w:val="000000"/>
                <w:kern w:val="2"/>
                <w:sz w:val="20"/>
                <w:lang w:eastAsia="zh-CN"/>
              </w:rPr>
            </w:pP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28B5D50E">
            <w:pPr>
              <w:widowControl w:val="0"/>
              <w:spacing w:line="276" w:lineRule="auto"/>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4.3要求符合的技术要求和规范</w:t>
            </w:r>
          </w:p>
          <w:p w14:paraId="08944A40">
            <w:pPr>
              <w:widowControl w:val="0"/>
              <w:spacing w:line="276" w:lineRule="auto"/>
              <w:jc w:val="left"/>
              <w:rPr>
                <w:rFonts w:ascii="宋体" w:hAnsi="宋体" w:eastAsia="宋体"/>
                <w:color w:val="000000"/>
                <w:kern w:val="2"/>
                <w:sz w:val="20"/>
                <w:lang w:eastAsia="zh-CN"/>
              </w:rPr>
            </w:pPr>
            <w:r>
              <w:rPr>
                <w:rFonts w:hint="eastAsia" w:ascii="宋体" w:hAnsi="宋体" w:eastAsia="宋体"/>
                <w:color w:val="000000"/>
                <w:kern w:val="2"/>
                <w:sz w:val="20"/>
                <w:lang w:val="en-US" w:eastAsia="zh-CN"/>
              </w:rPr>
              <w:t>1、</w:t>
            </w:r>
            <w:r>
              <w:rPr>
                <w:rFonts w:hint="eastAsia" w:ascii="宋体" w:hAnsi="宋体" w:eastAsia="宋体"/>
                <w:color w:val="000000"/>
                <w:kern w:val="2"/>
                <w:sz w:val="20"/>
                <w:lang w:eastAsia="zh-CN"/>
              </w:rPr>
              <w:t>现有的行业和国家规范</w:t>
            </w:r>
          </w:p>
          <w:p w14:paraId="3259110C">
            <w:pPr>
              <w:widowControl w:val="0"/>
              <w:spacing w:line="276" w:lineRule="auto"/>
              <w:jc w:val="both"/>
              <w:rPr>
                <w:rFonts w:ascii="宋体" w:hAnsi="宋体" w:eastAsia="宋体"/>
                <w:b/>
                <w:bCs/>
                <w:color w:val="000000"/>
                <w:kern w:val="2"/>
                <w:sz w:val="20"/>
                <w:lang w:eastAsia="zh-CN"/>
              </w:rPr>
            </w:pPr>
            <w:bookmarkStart w:id="0" w:name="_Toc63599423"/>
            <w:bookmarkStart w:id="1" w:name="_Toc66265416"/>
            <w:r>
              <w:rPr>
                <w:rFonts w:hint="eastAsia" w:ascii="宋体" w:hAnsi="宋体" w:eastAsia="宋体"/>
                <w:b/>
                <w:bCs/>
                <w:color w:val="000000"/>
                <w:kern w:val="2"/>
                <w:sz w:val="20"/>
                <w:lang w:eastAsia="zh-CN"/>
              </w:rPr>
              <w:t>招标产品应符合国家和行业标准</w:t>
            </w:r>
            <w:bookmarkEnd w:id="0"/>
            <w:bookmarkEnd w:id="1"/>
            <w:r>
              <w:rPr>
                <w:rFonts w:hint="eastAsia" w:ascii="宋体" w:hAnsi="宋体" w:eastAsia="宋体"/>
                <w:b/>
                <w:bCs/>
                <w:color w:val="000000"/>
                <w:kern w:val="2"/>
                <w:sz w:val="20"/>
                <w:lang w:eastAsia="zh-CN"/>
              </w:rPr>
              <w:t>具体包括且不限于：</w:t>
            </w:r>
          </w:p>
          <w:p w14:paraId="1D8BF13F">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以下标准、制度，当新颁布的国家法律、法规、标准与本文件冲突时，以新颁布文件为准。</w:t>
            </w:r>
          </w:p>
          <w:p w14:paraId="585C5A48">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《电梯制造与安装安全规范 第1部分》（GB/T 7588.1-2020）</w:t>
            </w:r>
          </w:p>
          <w:p w14:paraId="243901ED">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《电梯制造与安装安全规范 第2部分》（GB/T 7588.2-2020）</w:t>
            </w:r>
          </w:p>
          <w:p w14:paraId="1D912DE7">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《消防员电梯制造与安装安全规范》（GB/T26465-2021）</w:t>
            </w:r>
          </w:p>
          <w:p w14:paraId="41A94DD9">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《电梯技术条件》（GB/T10058-2023）</w:t>
            </w:r>
          </w:p>
          <w:p w14:paraId="0501DC30">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《电梯试验方法》（GB/T10059-2023）</w:t>
            </w:r>
          </w:p>
          <w:p w14:paraId="28847270">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《电梯安装验收规范》（GB/T10060-2023）</w:t>
            </w:r>
          </w:p>
          <w:p w14:paraId="79F32ABF">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《电梯主参数及轿厢、井道、机房的型式与尺寸 第2部分》（GB/T 7025.2-2008）</w:t>
            </w:r>
          </w:p>
          <w:p w14:paraId="03D23F90">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《电梯主参数及轿厢、井道、机房的型式与尺寸 第3部分》（GB/T 7025.3-1997）</w:t>
            </w:r>
          </w:p>
          <w:p w14:paraId="6953D0FF">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《电梯施工质量验收规范》（GB50310-2002）</w:t>
            </w:r>
          </w:p>
          <w:p w14:paraId="7F949A47">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《电梯监督检验和定期检验规则》（TSGT7001-2011）</w:t>
            </w:r>
          </w:p>
          <w:p w14:paraId="308213A9">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《电梯曳引机》（GB/T24478-2023）</w:t>
            </w:r>
          </w:p>
          <w:p w14:paraId="65A1600C">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《电梯用钢丝绳》（GB8903-2024）</w:t>
            </w:r>
          </w:p>
          <w:p w14:paraId="1231105C">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《乘运质量测量 第1部分：电梯》（GB/T24474.1-2020）</w:t>
            </w:r>
          </w:p>
          <w:p w14:paraId="2701FE4F">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《电梯安全要求》（GB24803.1-2009）</w:t>
            </w:r>
          </w:p>
          <w:p w14:paraId="4FABC100">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《建筑施工质量评价标准》（GB/T50375-2016）</w:t>
            </w:r>
          </w:p>
          <w:p w14:paraId="71A405CE">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《建筑设计防火规范》GB50016-2014（2018年版）</w:t>
            </w:r>
          </w:p>
          <w:p w14:paraId="6A91BACA">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 xml:space="preserve"> 投标人的安装、维保工作必须符合以下法律法规要求：</w:t>
            </w:r>
          </w:p>
          <w:p w14:paraId="15F0C329">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（1）《中华人民共和国特种设备安全法》</w:t>
            </w:r>
          </w:p>
          <w:p w14:paraId="60F595EC">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（2）《特种设备安全监察条例》</w:t>
            </w:r>
          </w:p>
          <w:p w14:paraId="74FA7516">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（3）TSG Z0004 特种设备制造、安装、改造、维修质量保证体系基本要求</w:t>
            </w:r>
          </w:p>
          <w:p w14:paraId="47456C67">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（4）TSG T7001 电梯监督检验和定期检验规则-曳引与强制驱动电梯</w:t>
            </w:r>
          </w:p>
          <w:p w14:paraId="436DDE56">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w:t>
            </w:r>
            <w:r>
              <w:rPr>
                <w:rFonts w:hint="eastAsia" w:ascii="宋体" w:hAnsi="宋体" w:eastAsia="宋体" w:cs="Times New Roman"/>
                <w:color w:val="000000"/>
                <w:kern w:val="2"/>
                <w:sz w:val="20"/>
                <w:lang w:val="en-US" w:eastAsia="zh-CN"/>
              </w:rPr>
              <w:t>5</w:t>
            </w:r>
            <w:r>
              <w:rPr>
                <w:rFonts w:hint="eastAsia" w:ascii="宋体" w:hAnsi="宋体" w:eastAsia="宋体" w:cs="Times New Roman"/>
                <w:color w:val="000000"/>
                <w:kern w:val="2"/>
                <w:sz w:val="20"/>
                <w:lang w:eastAsia="zh-CN"/>
              </w:rPr>
              <w:t>）其中维保工作还必须符合以下法律法规要求：TSG T5001 电梯使用管理与维护保养规则</w:t>
            </w:r>
          </w:p>
          <w:p w14:paraId="39C32FA5">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2、设计院设计图纸</w:t>
            </w:r>
          </w:p>
          <w:p w14:paraId="588410B7">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3、本技术规格书技术要求</w:t>
            </w:r>
          </w:p>
          <w:p w14:paraId="21C80043">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s="Times New Roman"/>
                <w:color w:val="000000"/>
                <w:kern w:val="2"/>
                <w:sz w:val="20"/>
                <w:lang w:eastAsia="zh-CN"/>
              </w:rPr>
              <w:t>对于行业和国家标准中没有明确规定的,具有一定特殊性的零部件，生产商在制造、安装及验收中可采用相关国际标准或制造厂标准，但不能影响电梯整体技术及安全性能。</w:t>
            </w:r>
          </w:p>
        </w:tc>
      </w:tr>
    </w:tbl>
    <w:p w14:paraId="6576CC3E">
      <w:pPr>
        <w:spacing w:after="156" w:afterLines="50"/>
        <w:rPr>
          <w:sz w:val="24"/>
        </w:rPr>
      </w:pPr>
    </w:p>
    <w:tbl>
      <w:tblPr>
        <w:tblStyle w:val="84"/>
        <w:tblW w:w="5000" w:type="pct"/>
        <w:jc w:val="center"/>
        <w:tblCellSpacing w:w="0" w:type="dxa"/>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Layout w:type="fixed"/>
        <w:tblCellMar>
          <w:top w:w="15" w:type="dxa"/>
          <w:left w:w="15" w:type="dxa"/>
          <w:bottom w:w="15" w:type="dxa"/>
          <w:right w:w="15" w:type="dxa"/>
        </w:tblCellMar>
      </w:tblPr>
      <w:tblGrid>
        <w:gridCol w:w="836"/>
        <w:gridCol w:w="1531"/>
        <w:gridCol w:w="77"/>
        <w:gridCol w:w="6686"/>
      </w:tblGrid>
      <w:tr w14:paraId="2398361B">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561" w:hRule="atLeast"/>
          <w:tblCellSpacing w:w="0" w:type="dxa"/>
          <w:jc w:val="center"/>
        </w:trPr>
        <w:tc>
          <w:tcPr>
            <w:tcW w:w="836" w:type="dxa"/>
            <w:vMerge w:val="restart"/>
            <w:noWrap w:val="0"/>
            <w:vAlign w:val="center"/>
          </w:tcPr>
          <w:p w14:paraId="4085D517">
            <w:pPr>
              <w:widowControl w:val="0"/>
              <w:spacing w:line="240" w:lineRule="exact"/>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5.</w:t>
            </w:r>
            <w:r>
              <w:rPr>
                <w:rFonts w:hint="eastAsia" w:ascii="宋体" w:hAnsi="宋体" w:eastAsia="宋体" w:cs="宋体"/>
                <w:color w:val="000000"/>
                <w:kern w:val="2"/>
                <w:sz w:val="20"/>
                <w:szCs w:val="20"/>
                <w:lang w:eastAsia="zh-CN"/>
              </w:rPr>
              <w:t>供货安装工作</w:t>
            </w:r>
          </w:p>
        </w:tc>
        <w:tc>
          <w:tcPr>
            <w:tcW w:w="8294" w:type="dxa"/>
            <w:gridSpan w:val="3"/>
            <w:tcBorders>
              <w:bottom w:val="outset" w:color="auto" w:sz="6" w:space="0"/>
            </w:tcBorders>
            <w:noWrap w:val="0"/>
            <w:vAlign w:val="center"/>
          </w:tcPr>
          <w:p w14:paraId="61251AFD">
            <w:pPr>
              <w:widowControl w:val="0"/>
              <w:spacing w:line="240" w:lineRule="atLeast"/>
              <w:ind w:left="0" w:leftChars="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5.1中标人应提供电梯的整机生产制造、运输、安装、出厂检验、调试，向政府机构报检、验收、质保期内的各种服务等。并承担为此工作而发生的一切费用。</w:t>
            </w:r>
          </w:p>
        </w:tc>
      </w:tr>
      <w:tr w14:paraId="6B083EAA">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561" w:hRule="atLeast"/>
          <w:tblCellSpacing w:w="0" w:type="dxa"/>
          <w:jc w:val="center"/>
        </w:trPr>
        <w:tc>
          <w:tcPr>
            <w:tcW w:w="836" w:type="dxa"/>
            <w:vMerge w:val="continue"/>
            <w:noWrap w:val="0"/>
            <w:vAlign w:val="center"/>
          </w:tcPr>
          <w:p w14:paraId="27D756A5">
            <w:pPr>
              <w:widowControl w:val="0"/>
              <w:spacing w:line="240" w:lineRule="exact"/>
              <w:jc w:val="both"/>
              <w:rPr>
                <w:rFonts w:hint="eastAsia" w:ascii="宋体" w:hAnsi="宋体" w:eastAsia="宋体" w:cs="宋体"/>
                <w:color w:val="000000"/>
                <w:kern w:val="2"/>
                <w:sz w:val="20"/>
                <w:szCs w:val="20"/>
                <w:lang w:eastAsia="zh-CN"/>
              </w:rPr>
            </w:pPr>
          </w:p>
        </w:tc>
        <w:tc>
          <w:tcPr>
            <w:tcW w:w="8294" w:type="dxa"/>
            <w:gridSpan w:val="3"/>
            <w:tcBorders>
              <w:top w:val="outset" w:color="auto" w:sz="6" w:space="0"/>
            </w:tcBorders>
            <w:noWrap w:val="0"/>
            <w:vAlign w:val="center"/>
          </w:tcPr>
          <w:p w14:paraId="39CD323B">
            <w:pPr>
              <w:widowControl w:val="0"/>
              <w:spacing w:line="240" w:lineRule="atLeast"/>
              <w:ind w:left="0" w:leftChars="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5.2中标人应根据现场施工的进展情况安排设备的生产和安装，并在电梯安装前一个月将电梯运至安装现场。</w:t>
            </w:r>
          </w:p>
        </w:tc>
      </w:tr>
      <w:tr w14:paraId="28BBE852">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814" w:hRule="atLeast"/>
          <w:tblCellSpacing w:w="0" w:type="dxa"/>
          <w:jc w:val="center"/>
        </w:trPr>
        <w:tc>
          <w:tcPr>
            <w:tcW w:w="836" w:type="dxa"/>
            <w:vMerge w:val="continue"/>
            <w:noWrap w:val="0"/>
            <w:vAlign w:val="center"/>
          </w:tcPr>
          <w:p w14:paraId="24FAA58B">
            <w:pPr>
              <w:widowControl w:val="0"/>
              <w:spacing w:line="240" w:lineRule="exact"/>
              <w:jc w:val="both"/>
              <w:rPr>
                <w:rFonts w:hint="eastAsia" w:ascii="宋体" w:hAnsi="宋体" w:eastAsia="宋体" w:cs="宋体"/>
                <w:color w:val="000000"/>
                <w:kern w:val="2"/>
                <w:sz w:val="20"/>
                <w:szCs w:val="20"/>
                <w:lang w:eastAsia="zh-CN"/>
              </w:rPr>
            </w:pPr>
          </w:p>
        </w:tc>
        <w:tc>
          <w:tcPr>
            <w:tcW w:w="8294" w:type="dxa"/>
            <w:gridSpan w:val="3"/>
            <w:tcBorders>
              <w:bottom w:val="outset" w:color="auto" w:sz="6" w:space="0"/>
            </w:tcBorders>
            <w:noWrap w:val="0"/>
            <w:vAlign w:val="center"/>
          </w:tcPr>
          <w:p w14:paraId="5DCCE7DC">
            <w:pPr>
              <w:widowControl w:val="0"/>
              <w:spacing w:line="240" w:lineRule="atLeast"/>
              <w:ind w:left="0" w:leftChars="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5.3中标人应参加每个安装位置的土建竣工检验工作，对每台电梯安装现场的开孔尺寸、吊装位置和承重预埋件进行实地测量和检查，确认土建结构是否符合要求，并签署验收报告书。</w:t>
            </w:r>
          </w:p>
        </w:tc>
      </w:tr>
      <w:tr w14:paraId="106A12A4">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814" w:hRule="atLeast"/>
          <w:tblCellSpacing w:w="0" w:type="dxa"/>
          <w:jc w:val="center"/>
        </w:trPr>
        <w:tc>
          <w:tcPr>
            <w:tcW w:w="836" w:type="dxa"/>
            <w:vMerge w:val="continue"/>
            <w:noWrap w:val="0"/>
            <w:vAlign w:val="center"/>
          </w:tcPr>
          <w:p w14:paraId="6C2E34BC">
            <w:pPr>
              <w:widowControl w:val="0"/>
              <w:spacing w:line="240" w:lineRule="exact"/>
              <w:jc w:val="both"/>
              <w:rPr>
                <w:rFonts w:hint="eastAsia" w:ascii="宋体" w:hAnsi="宋体" w:eastAsia="宋体" w:cs="宋体"/>
                <w:color w:val="000000"/>
                <w:kern w:val="2"/>
                <w:sz w:val="20"/>
                <w:szCs w:val="20"/>
                <w:lang w:eastAsia="zh-CN"/>
              </w:rPr>
            </w:pPr>
          </w:p>
        </w:tc>
        <w:tc>
          <w:tcPr>
            <w:tcW w:w="8294" w:type="dxa"/>
            <w:gridSpan w:val="3"/>
            <w:tcBorders>
              <w:top w:val="outset" w:color="auto" w:sz="6" w:space="0"/>
              <w:bottom w:val="outset" w:color="auto" w:sz="6" w:space="0"/>
            </w:tcBorders>
            <w:noWrap w:val="0"/>
            <w:vAlign w:val="center"/>
          </w:tcPr>
          <w:p w14:paraId="360338F4">
            <w:pPr>
              <w:widowControl w:val="0"/>
              <w:spacing w:line="240" w:lineRule="atLeast"/>
              <w:ind w:left="0" w:leftChars="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5.4安装开始前一个月，中标人应与招标人监理及施工总承包单位共同检查安装现场是否已具备安装进场条件，包括临时用电、用水和临时用房的搭建和电梯设备存放位置等。其中临时用电费用由电梯中标人自己承担。</w:t>
            </w:r>
          </w:p>
        </w:tc>
      </w:tr>
      <w:tr w14:paraId="173A98C5">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794" w:hRule="atLeast"/>
          <w:tblCellSpacing w:w="0" w:type="dxa"/>
          <w:jc w:val="center"/>
        </w:trPr>
        <w:tc>
          <w:tcPr>
            <w:tcW w:w="836" w:type="dxa"/>
            <w:vMerge w:val="continue"/>
            <w:noWrap w:val="0"/>
            <w:vAlign w:val="center"/>
          </w:tcPr>
          <w:p w14:paraId="778C4AD8">
            <w:pPr>
              <w:widowControl w:val="0"/>
              <w:spacing w:line="240" w:lineRule="exact"/>
              <w:jc w:val="both"/>
              <w:rPr>
                <w:rFonts w:hint="eastAsia" w:ascii="宋体" w:hAnsi="宋体" w:eastAsia="宋体" w:cs="宋体"/>
                <w:color w:val="000000"/>
                <w:kern w:val="2"/>
                <w:sz w:val="20"/>
                <w:szCs w:val="20"/>
                <w:lang w:eastAsia="zh-CN"/>
              </w:rPr>
            </w:pPr>
          </w:p>
        </w:tc>
        <w:tc>
          <w:tcPr>
            <w:tcW w:w="8294" w:type="dxa"/>
            <w:gridSpan w:val="3"/>
            <w:tcBorders>
              <w:top w:val="outset" w:color="auto" w:sz="6" w:space="0"/>
              <w:bottom w:val="outset" w:color="auto" w:sz="6" w:space="0"/>
            </w:tcBorders>
            <w:noWrap w:val="0"/>
            <w:vAlign w:val="center"/>
          </w:tcPr>
          <w:p w14:paraId="7FB5DC91">
            <w:pPr>
              <w:widowControl w:val="0"/>
              <w:spacing w:line="240" w:lineRule="atLeast"/>
              <w:ind w:left="0" w:leftChars="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5.5电梯安装施工期间的电梯调试电源，总包单位应在安装施工现场就近提供临时用电的接驳点，接驳点与机房的距离在电缆总长度50米以内，施工期间临时用电接驳由电梯公司负责，不得因此影响工程进度，电费由中标人承担。</w:t>
            </w:r>
          </w:p>
        </w:tc>
      </w:tr>
      <w:tr w14:paraId="7A8188DD">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243" w:hRule="atLeast"/>
          <w:tblCellSpacing w:w="0" w:type="dxa"/>
          <w:jc w:val="center"/>
        </w:trPr>
        <w:tc>
          <w:tcPr>
            <w:tcW w:w="836" w:type="dxa"/>
            <w:vMerge w:val="continue"/>
            <w:noWrap w:val="0"/>
            <w:vAlign w:val="center"/>
          </w:tcPr>
          <w:p w14:paraId="353A6A21">
            <w:pPr>
              <w:widowControl w:val="0"/>
              <w:spacing w:line="240" w:lineRule="exact"/>
              <w:jc w:val="both"/>
              <w:rPr>
                <w:rFonts w:hint="eastAsia" w:ascii="宋体" w:hAnsi="宋体" w:eastAsia="宋体" w:cs="宋体"/>
                <w:color w:val="000000"/>
                <w:kern w:val="2"/>
                <w:sz w:val="20"/>
                <w:szCs w:val="20"/>
                <w:lang w:eastAsia="zh-CN"/>
              </w:rPr>
            </w:pPr>
          </w:p>
        </w:tc>
        <w:tc>
          <w:tcPr>
            <w:tcW w:w="8294" w:type="dxa"/>
            <w:gridSpan w:val="3"/>
            <w:tcBorders>
              <w:top w:val="outset" w:color="auto" w:sz="6" w:space="0"/>
              <w:bottom w:val="outset" w:color="auto" w:sz="6" w:space="0"/>
            </w:tcBorders>
            <w:noWrap w:val="0"/>
            <w:vAlign w:val="center"/>
          </w:tcPr>
          <w:p w14:paraId="750E42DD">
            <w:pPr>
              <w:widowControl w:val="0"/>
              <w:spacing w:line="240" w:lineRule="atLeast"/>
              <w:ind w:left="0" w:leftChars="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5.6中标人在施工总承包单位的结构施工过程中，对所有与电梯安装相关的土建工作进行跟踪检查。如发现土建施工错误或设计问题，应及时与现场监理联系并协调解决。</w:t>
            </w:r>
          </w:p>
        </w:tc>
      </w:tr>
      <w:tr w14:paraId="795B3A63">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restart"/>
            <w:noWrap w:val="0"/>
            <w:vAlign w:val="center"/>
          </w:tcPr>
          <w:p w14:paraId="1EBC4F3E">
            <w:pPr>
              <w:widowControl w:val="0"/>
              <w:spacing w:line="240" w:lineRule="exact"/>
              <w:jc w:val="center"/>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6.</w:t>
            </w:r>
            <w:r>
              <w:rPr>
                <w:rFonts w:hint="eastAsia" w:ascii="宋体" w:hAnsi="宋体" w:eastAsia="宋体" w:cs="宋体"/>
                <w:color w:val="000000"/>
                <w:kern w:val="2"/>
                <w:sz w:val="20"/>
                <w:szCs w:val="20"/>
                <w:lang w:eastAsia="zh-CN"/>
              </w:rPr>
              <w:t>技术服务条件</w:t>
            </w:r>
          </w:p>
        </w:tc>
        <w:tc>
          <w:tcPr>
            <w:tcW w:w="8294" w:type="dxa"/>
            <w:gridSpan w:val="3"/>
            <w:noWrap w:val="0"/>
            <w:vAlign w:val="center"/>
          </w:tcPr>
          <w:p w14:paraId="607F2B68">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6.1中标人须提供在保修期内的维修保养计划书。中标人应免费对用户操作技术人员进行设备操作使用和维护保养方面的培训（并提供安装使用维护说明书），使其能够熟悉整个系统的安装、维修、操作、维护，并能独立上岗。</w:t>
            </w:r>
          </w:p>
        </w:tc>
      </w:tr>
      <w:tr w14:paraId="622D4BB0">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62D3E0A2">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35ADA00B">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6.2当设备、材料到货情况与合同要求不符时，无论招标人是否向中标人指出，中标人均应立即无偿补足、替换相关设备、材料，不得影响现场进度。</w:t>
            </w:r>
          </w:p>
        </w:tc>
      </w:tr>
      <w:tr w14:paraId="0322E4AF">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45209745">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0732C2B8">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6.3在安装、调试、初步验收、最终验收过程中发现设备、零部件、材料的质量达不到本需求书的要求时，无论招标人是否向中标人指出，中标人均应立即无偿更换合格的设备、零部件、材料，并不得影响现场进度。</w:t>
            </w:r>
          </w:p>
        </w:tc>
      </w:tr>
      <w:tr w14:paraId="7B3DBEDC">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2916D8EB">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10A1247A">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6.4在安装、调试、初步验收、最终验收过程中发生设备、零部件、材料的损坏时，无论招标人是否向中标人指出，中标人均应立即无条件先行进行维修、修理，必要时先行更换合格的设备、零部件、材料，并不得影响现场进度，由中标人负责与损坏责任方交涉损坏索赔事宜，招标人应为此提供必要的协助。</w:t>
            </w:r>
          </w:p>
        </w:tc>
      </w:tr>
      <w:tr w14:paraId="634A18A5">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219403D4">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0D924842">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6.5质保期内发生中标人原因引起的与设备、零部件、材料有关的问题时，中标人应于收到用户通知后及时派遣相关人员到达现场，立即无偿更换或修理有问题的设备、零部件、材料，提供免费服务，招标人保留索赔的权利。质保期内发生非中标人原因引起的与设备、零部件、材料有关的问题时,中标人应于收到用户通知及时派遣相关人员到达现场进行维修和必要的更换，中标人只向责任人收取零配件和人工等成本费。</w:t>
            </w:r>
          </w:p>
        </w:tc>
      </w:tr>
      <w:tr w14:paraId="12BF1249">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444BF66A">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413460D6">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6.6质保期外中标人应保证以优惠的价格提供维修保养服务和备件，当发生与设备和零部件有关的问题时，中标人应按照保质期内同样的要求进行维修处理，中标人应于收到用户通知后8小时内派遣相关人员到达现场进行维修和必要的更换，中标人只向责任人收取零配件和人工等成本费。中标人应提供质保期满后2年内的维修保养价格。</w:t>
            </w:r>
          </w:p>
        </w:tc>
      </w:tr>
      <w:tr w14:paraId="6C911B45">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3960CA34">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1F9E2199">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6.7最终验收合格后，在设备的全部正常使用期间，发现设备、零部件、材料的质量达不到本需求书的要求时，招标人将以书面形式通知中标人进行索赔，中标人应于收到通知后一周内做出书面答复，以确认是否接受招标人的索赔，若一周内未做出书面答复则视为该索赔要求已为中标人接受。</w:t>
            </w:r>
          </w:p>
        </w:tc>
      </w:tr>
      <w:tr w14:paraId="45C7C4BE">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22D57ECD">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48F7B0A7">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6.8因质量问题而提出索赔的解决方式：维修或修理，在招标人许可条件下，在现场或工厂由中标人自费对有缺陷的设备、零部件、材料进行修复，使之符合本需求书的要求；更换，中标人无偿以全新的、合格的产品替换有缺陷的设备、零部件、材料，更换下来的、有缺陷的设备、零部件、材料是中标人财产；退货，招标人有权拒绝接受有质量问题的任何设备、零部件、材料并退回给中标人，中标人须承担由此而发生的一切费用，招标人认为有必要时有权解除合同并要求中标人支付违约金。</w:t>
            </w:r>
          </w:p>
        </w:tc>
      </w:tr>
      <w:tr w14:paraId="250F6A63">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5211427D">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048E06D5">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6.9在安装、调试、初步验收、最终验收过程中，由于中标人原因导致工期延长损失、其他返工损失等费用由中标人承担。</w:t>
            </w:r>
          </w:p>
        </w:tc>
      </w:tr>
      <w:tr w14:paraId="78C3A006">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0A7B0A0C">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1CB65D96">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6.10质保期结束，最终验收合格后，设备的维修维护事宜由买卖双方另行商定。</w:t>
            </w:r>
          </w:p>
        </w:tc>
      </w:tr>
      <w:tr w14:paraId="40849281">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135" w:hRule="atLeast"/>
          <w:tblCellSpacing w:w="0" w:type="dxa"/>
          <w:jc w:val="center"/>
        </w:trPr>
        <w:tc>
          <w:tcPr>
            <w:tcW w:w="836" w:type="dxa"/>
            <w:vMerge w:val="restart"/>
            <w:noWrap w:val="0"/>
            <w:vAlign w:val="center"/>
          </w:tcPr>
          <w:p w14:paraId="40E16D6B">
            <w:pPr>
              <w:widowControl w:val="0"/>
              <w:jc w:val="center"/>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7.</w:t>
            </w:r>
            <w:r>
              <w:rPr>
                <w:rFonts w:hint="eastAsia" w:ascii="宋体" w:hAnsi="宋体" w:eastAsia="宋体" w:cs="宋体"/>
                <w:color w:val="000000"/>
                <w:kern w:val="2"/>
                <w:sz w:val="20"/>
                <w:szCs w:val="20"/>
                <w:lang w:eastAsia="zh-CN"/>
              </w:rPr>
              <w:t>设备的更改</w:t>
            </w:r>
          </w:p>
        </w:tc>
        <w:tc>
          <w:tcPr>
            <w:tcW w:w="8294" w:type="dxa"/>
            <w:gridSpan w:val="3"/>
            <w:noWrap w:val="0"/>
            <w:vAlign w:val="top"/>
          </w:tcPr>
          <w:p w14:paraId="04E2E4F3">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7.1在合同协议签订后，中标人不允许使用非投标时所选用的设备或材料。若在特殊情况下，中标人需更改某产品，则须以书面提交合理解释及证明文件。重新建议选用的设备或材料，其品质不得低于参考品牌中的标准，并同时获得发包人的书面批准方可使用，而且该设备和材料也必须达到本合约的技术要求。此外，如有额外费用或合约上的责任应由本中标人完全负责。</w:t>
            </w:r>
          </w:p>
        </w:tc>
      </w:tr>
      <w:tr w14:paraId="4D6B5B4C">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135" w:hRule="atLeast"/>
          <w:tblCellSpacing w:w="0" w:type="dxa"/>
          <w:jc w:val="center"/>
        </w:trPr>
        <w:tc>
          <w:tcPr>
            <w:tcW w:w="836" w:type="dxa"/>
            <w:vMerge w:val="continue"/>
            <w:noWrap w:val="0"/>
            <w:vAlign w:val="center"/>
          </w:tcPr>
          <w:p w14:paraId="262BAD4A">
            <w:pPr>
              <w:widowControl w:val="0"/>
              <w:jc w:val="center"/>
              <w:rPr>
                <w:rFonts w:hint="eastAsia" w:ascii="宋体" w:hAnsi="宋体" w:eastAsia="宋体" w:cs="宋体"/>
                <w:color w:val="000000"/>
                <w:kern w:val="2"/>
                <w:sz w:val="20"/>
                <w:szCs w:val="20"/>
                <w:lang w:eastAsia="zh-CN"/>
              </w:rPr>
            </w:pPr>
          </w:p>
        </w:tc>
        <w:tc>
          <w:tcPr>
            <w:tcW w:w="8294" w:type="dxa"/>
            <w:gridSpan w:val="3"/>
            <w:noWrap w:val="0"/>
            <w:vAlign w:val="top"/>
          </w:tcPr>
          <w:p w14:paraId="659B88AD">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7.2中标人须明白任何更改合同上承诺的材料及设备通常会导致审批时间的延迟，中标人需对有关的延误负全部责任。</w:t>
            </w:r>
          </w:p>
        </w:tc>
      </w:tr>
      <w:tr w14:paraId="0D55CEB5">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270" w:hRule="atLeast"/>
          <w:tblCellSpacing w:w="0" w:type="dxa"/>
          <w:jc w:val="center"/>
        </w:trPr>
        <w:tc>
          <w:tcPr>
            <w:tcW w:w="836" w:type="dxa"/>
            <w:vMerge w:val="restart"/>
            <w:noWrap w:val="0"/>
            <w:vAlign w:val="center"/>
          </w:tcPr>
          <w:p w14:paraId="5FCD4A6B">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8.</w:t>
            </w:r>
            <w:r>
              <w:rPr>
                <w:rFonts w:hint="eastAsia" w:ascii="宋体" w:hAnsi="宋体" w:eastAsia="宋体" w:cs="宋体"/>
                <w:color w:val="000000"/>
                <w:kern w:val="2"/>
                <w:sz w:val="20"/>
                <w:szCs w:val="20"/>
                <w:lang w:eastAsia="zh-CN"/>
              </w:rPr>
              <w:t>拒绝不适合的材料</w:t>
            </w:r>
          </w:p>
        </w:tc>
        <w:tc>
          <w:tcPr>
            <w:tcW w:w="8294" w:type="dxa"/>
            <w:gridSpan w:val="3"/>
            <w:noWrap w:val="0"/>
            <w:vAlign w:val="top"/>
          </w:tcPr>
          <w:p w14:paraId="7799684D">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8.1发包人和监理工程师有权拒绝接受任何不符合本技术要求的设备、材料和工艺，并同时有权命令中标人将不符合要求的设备、材料安装拆除和更换，因此而导致工期延误及一切有关费用均由中标人负责。</w:t>
            </w:r>
          </w:p>
        </w:tc>
      </w:tr>
      <w:tr w14:paraId="5C7EE3C4">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270" w:hRule="atLeast"/>
          <w:tblCellSpacing w:w="0" w:type="dxa"/>
          <w:jc w:val="center"/>
        </w:trPr>
        <w:tc>
          <w:tcPr>
            <w:tcW w:w="836" w:type="dxa"/>
            <w:vMerge w:val="continue"/>
            <w:noWrap w:val="0"/>
            <w:vAlign w:val="center"/>
          </w:tcPr>
          <w:p w14:paraId="1279B321">
            <w:pPr>
              <w:widowControl w:val="0"/>
              <w:jc w:val="center"/>
              <w:rPr>
                <w:rFonts w:hint="eastAsia" w:ascii="宋体" w:hAnsi="宋体" w:eastAsia="宋体" w:cs="宋体"/>
                <w:color w:val="000000"/>
                <w:kern w:val="2"/>
                <w:sz w:val="20"/>
                <w:szCs w:val="20"/>
                <w:lang w:eastAsia="zh-CN"/>
              </w:rPr>
            </w:pPr>
          </w:p>
        </w:tc>
        <w:tc>
          <w:tcPr>
            <w:tcW w:w="8294" w:type="dxa"/>
            <w:gridSpan w:val="3"/>
            <w:noWrap w:val="0"/>
            <w:vAlign w:val="top"/>
          </w:tcPr>
          <w:p w14:paraId="50578B7B">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8.2不合格而被拒绝的材料或安装，不能构成逾期完工的原因或借口。</w:t>
            </w:r>
          </w:p>
        </w:tc>
      </w:tr>
      <w:tr w14:paraId="173C03CF">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386" w:hRule="atLeast"/>
          <w:tblCellSpacing w:w="0" w:type="dxa"/>
          <w:jc w:val="center"/>
        </w:trPr>
        <w:tc>
          <w:tcPr>
            <w:tcW w:w="836" w:type="dxa"/>
            <w:vMerge w:val="restart"/>
            <w:noWrap w:val="0"/>
            <w:vAlign w:val="center"/>
          </w:tcPr>
          <w:p w14:paraId="0E0014A3">
            <w:pPr>
              <w:widowControl w:val="0"/>
              <w:jc w:val="left"/>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9.</w:t>
            </w:r>
            <w:r>
              <w:rPr>
                <w:rFonts w:hint="eastAsia" w:ascii="宋体" w:hAnsi="宋体" w:eastAsia="宋体" w:cs="宋体"/>
                <w:color w:val="000000"/>
                <w:kern w:val="2"/>
                <w:sz w:val="20"/>
                <w:szCs w:val="20"/>
                <w:lang w:eastAsia="zh-CN"/>
              </w:rPr>
              <w:t>对机件及设备的责任拥有权</w:t>
            </w:r>
          </w:p>
        </w:tc>
        <w:tc>
          <w:tcPr>
            <w:tcW w:w="8294" w:type="dxa"/>
            <w:gridSpan w:val="3"/>
            <w:noWrap w:val="0"/>
            <w:vAlign w:val="center"/>
          </w:tcPr>
          <w:p w14:paraId="024DF243">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9.1合作期间中标人须对任何材料、机件及设备的破损和遗失等负责。</w:t>
            </w:r>
          </w:p>
        </w:tc>
      </w:tr>
      <w:tr w14:paraId="715898C5">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386" w:hRule="atLeast"/>
          <w:tblCellSpacing w:w="0" w:type="dxa"/>
          <w:jc w:val="center"/>
        </w:trPr>
        <w:tc>
          <w:tcPr>
            <w:tcW w:w="836" w:type="dxa"/>
            <w:vMerge w:val="continue"/>
            <w:noWrap w:val="0"/>
            <w:vAlign w:val="center"/>
          </w:tcPr>
          <w:p w14:paraId="319BCEBA">
            <w:pPr>
              <w:widowControl w:val="0"/>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4E268379">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9.2在未得到发包人的书面批准前，送抵工地的任何材料、机件或设备皆不得移离工地。</w:t>
            </w:r>
          </w:p>
        </w:tc>
      </w:tr>
      <w:tr w14:paraId="0568CAC4">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noWrap w:val="0"/>
            <w:vAlign w:val="center"/>
          </w:tcPr>
          <w:p w14:paraId="561EADA3">
            <w:pPr>
              <w:widowControl w:val="0"/>
              <w:jc w:val="center"/>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10.</w:t>
            </w:r>
            <w:r>
              <w:rPr>
                <w:rFonts w:hint="eastAsia" w:ascii="宋体" w:hAnsi="宋体" w:eastAsia="宋体" w:cs="宋体"/>
                <w:color w:val="000000"/>
                <w:kern w:val="2"/>
                <w:sz w:val="20"/>
                <w:szCs w:val="20"/>
                <w:lang w:eastAsia="zh-CN"/>
              </w:rPr>
              <w:t>安全管理</w:t>
            </w:r>
          </w:p>
        </w:tc>
        <w:tc>
          <w:tcPr>
            <w:tcW w:w="8294" w:type="dxa"/>
            <w:gridSpan w:val="3"/>
            <w:noWrap w:val="0"/>
            <w:vAlign w:val="center"/>
          </w:tcPr>
          <w:p w14:paraId="55C20871">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10.1中标人须按国家及本市安全生产相关管理规定在本项目的实施过程中建立安全生产管理体系，购买相应保险，设置可靠的安全设施，实施有效的管理措施，确保安全生产，并对本项目实施过程中的安全负全责。</w:t>
            </w:r>
          </w:p>
        </w:tc>
      </w:tr>
      <w:tr w14:paraId="77AF8514">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135" w:hRule="atLeast"/>
          <w:tblCellSpacing w:w="0" w:type="dxa"/>
          <w:jc w:val="center"/>
        </w:trPr>
        <w:tc>
          <w:tcPr>
            <w:tcW w:w="836" w:type="dxa"/>
            <w:vMerge w:val="restart"/>
            <w:noWrap w:val="0"/>
            <w:vAlign w:val="center"/>
          </w:tcPr>
          <w:p w14:paraId="6524AE17">
            <w:pPr>
              <w:widowControl w:val="0"/>
              <w:jc w:val="center"/>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11.</w:t>
            </w:r>
            <w:r>
              <w:rPr>
                <w:rFonts w:hint="eastAsia" w:ascii="宋体" w:hAnsi="宋体" w:eastAsia="宋体" w:cs="宋体"/>
                <w:color w:val="000000"/>
                <w:kern w:val="2"/>
                <w:sz w:val="20"/>
                <w:szCs w:val="20"/>
                <w:lang w:eastAsia="zh-CN"/>
              </w:rPr>
              <w:t>施工配合</w:t>
            </w:r>
          </w:p>
        </w:tc>
        <w:tc>
          <w:tcPr>
            <w:tcW w:w="8294" w:type="dxa"/>
            <w:gridSpan w:val="3"/>
            <w:noWrap w:val="0"/>
            <w:vAlign w:val="top"/>
          </w:tcPr>
          <w:p w14:paraId="7053CE7C">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11.1中标人送货前应实地勘察施工现场，与施工总承包单位具体协商行车路线及卸货地点等事宜，所发生费用由中标人承担。</w:t>
            </w:r>
          </w:p>
        </w:tc>
      </w:tr>
      <w:tr w14:paraId="735C736D">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135" w:hRule="atLeast"/>
          <w:tblCellSpacing w:w="0" w:type="dxa"/>
          <w:jc w:val="center"/>
        </w:trPr>
        <w:tc>
          <w:tcPr>
            <w:tcW w:w="836" w:type="dxa"/>
            <w:vMerge w:val="continue"/>
            <w:noWrap w:val="0"/>
            <w:vAlign w:val="center"/>
          </w:tcPr>
          <w:p w14:paraId="03D55F21">
            <w:pPr>
              <w:widowControl w:val="0"/>
              <w:jc w:val="center"/>
              <w:rPr>
                <w:rFonts w:hint="eastAsia" w:ascii="宋体" w:hAnsi="宋体" w:eastAsia="宋体" w:cs="宋体"/>
                <w:color w:val="000000"/>
                <w:kern w:val="2"/>
                <w:sz w:val="20"/>
                <w:szCs w:val="20"/>
                <w:lang w:eastAsia="zh-CN"/>
              </w:rPr>
            </w:pPr>
          </w:p>
        </w:tc>
        <w:tc>
          <w:tcPr>
            <w:tcW w:w="8294" w:type="dxa"/>
            <w:gridSpan w:val="3"/>
            <w:noWrap w:val="0"/>
            <w:vAlign w:val="top"/>
          </w:tcPr>
          <w:p w14:paraId="7B256059">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11.2现场施工必须作到科学管理、文明施工，符合深圳市相关管理制度的规定，中标人须与其它施工单位密切配合，具体事宜由中标人与其他施工承包单位共同协商解决。</w:t>
            </w:r>
          </w:p>
        </w:tc>
      </w:tr>
      <w:tr w14:paraId="38FD0DE0">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135" w:hRule="atLeast"/>
          <w:tblCellSpacing w:w="0" w:type="dxa"/>
          <w:jc w:val="center"/>
        </w:trPr>
        <w:tc>
          <w:tcPr>
            <w:tcW w:w="836" w:type="dxa"/>
            <w:vMerge w:val="continue"/>
            <w:noWrap w:val="0"/>
            <w:vAlign w:val="center"/>
          </w:tcPr>
          <w:p w14:paraId="4F68827F">
            <w:pPr>
              <w:widowControl w:val="0"/>
              <w:jc w:val="center"/>
              <w:rPr>
                <w:rFonts w:hint="eastAsia" w:ascii="宋体" w:hAnsi="宋体" w:eastAsia="宋体" w:cs="宋体"/>
                <w:color w:val="000000"/>
                <w:kern w:val="2"/>
                <w:sz w:val="20"/>
                <w:szCs w:val="20"/>
                <w:lang w:eastAsia="zh-CN"/>
              </w:rPr>
            </w:pPr>
          </w:p>
        </w:tc>
        <w:tc>
          <w:tcPr>
            <w:tcW w:w="8294" w:type="dxa"/>
            <w:gridSpan w:val="3"/>
            <w:noWrap w:val="0"/>
            <w:vAlign w:val="top"/>
          </w:tcPr>
          <w:p w14:paraId="536D04F4">
            <w:pPr>
              <w:widowControl w:val="0"/>
              <w:spacing w:line="360" w:lineRule="exact"/>
              <w:jc w:val="left"/>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11.3招标人有权要求中标人在竣工前，提前使用经特检院验收合格的垂直电梯作为施工电梯，中标人必须配合，并负责保养维护维修，由电梯使用单位负责设备防护及管理。</w:t>
            </w:r>
          </w:p>
          <w:p w14:paraId="768FFD82">
            <w:pPr>
              <w:widowControl w:val="0"/>
              <w:spacing w:line="360" w:lineRule="exact"/>
              <w:jc w:val="left"/>
              <w:rPr>
                <w:rFonts w:hint="eastAsia" w:ascii="宋体" w:hAnsi="宋体" w:eastAsia="宋体" w:cs="宋体"/>
                <w:bCs/>
                <w:color w:val="000000"/>
                <w:kern w:val="2"/>
                <w:sz w:val="20"/>
                <w:szCs w:val="20"/>
                <w:lang w:eastAsia="zh-CN"/>
              </w:rPr>
            </w:pPr>
            <w:r>
              <w:rPr>
                <w:rFonts w:hint="eastAsia" w:ascii="宋体" w:hAnsi="宋体" w:eastAsia="宋体" w:cs="宋体"/>
                <w:color w:val="000000"/>
                <w:kern w:val="2"/>
                <w:sz w:val="20"/>
                <w:szCs w:val="20"/>
                <w:lang w:eastAsia="zh-CN"/>
              </w:rPr>
              <w:t>11.4</w:t>
            </w:r>
            <w:r>
              <w:rPr>
                <w:rFonts w:hint="eastAsia" w:ascii="宋体" w:hAnsi="宋体" w:eastAsia="宋体" w:cs="宋体"/>
                <w:bCs/>
                <w:color w:val="000000"/>
                <w:kern w:val="2"/>
                <w:sz w:val="20"/>
                <w:szCs w:val="20"/>
                <w:lang w:eastAsia="zh-CN"/>
              </w:rPr>
              <w:t>临时电梯移交登记：电梯公司需根据招标人要求提前安装部分临时施工用梯，取得验收合格证后，将临时电梯移交给电梯管理单位。电梯管理单位需配备电梯安全管理人员，并在电梯投入使用后三十天内在当地政府部门完成注册登记，取得使用登记证书。电梯单位应协助办理使用登记证，</w:t>
            </w:r>
            <w:r>
              <w:rPr>
                <w:rFonts w:hint="eastAsia" w:ascii="宋体" w:hAnsi="宋体" w:eastAsia="宋体" w:cs="宋体"/>
                <w:color w:val="000000"/>
                <w:kern w:val="2"/>
                <w:sz w:val="20"/>
                <w:szCs w:val="20"/>
                <w:lang w:eastAsia="zh-CN"/>
              </w:rPr>
              <w:t>并对总包单位人员进行电梯安全培训，同时在</w:t>
            </w:r>
            <w:r>
              <w:rPr>
                <w:rFonts w:hint="eastAsia" w:ascii="宋体" w:hAnsi="宋体" w:eastAsia="宋体" w:cs="宋体"/>
                <w:bCs/>
                <w:color w:val="000000"/>
                <w:kern w:val="2"/>
                <w:sz w:val="20"/>
                <w:szCs w:val="20"/>
                <w:lang w:eastAsia="zh-CN"/>
              </w:rPr>
              <w:t>电梯使用过程中进行监督。</w:t>
            </w:r>
          </w:p>
          <w:p w14:paraId="38ACD785">
            <w:pPr>
              <w:widowControl w:val="0"/>
              <w:spacing w:line="360" w:lineRule="exact"/>
              <w:jc w:val="left"/>
              <w:rPr>
                <w:rFonts w:hint="eastAsia" w:ascii="宋体" w:hAnsi="宋体" w:eastAsia="宋体" w:cs="宋体"/>
                <w:bCs/>
                <w:color w:val="000000"/>
                <w:kern w:val="2"/>
                <w:sz w:val="20"/>
                <w:szCs w:val="20"/>
                <w:lang w:eastAsia="zh-CN"/>
              </w:rPr>
            </w:pPr>
            <w:r>
              <w:rPr>
                <w:rFonts w:hint="eastAsia" w:ascii="宋体" w:hAnsi="宋体" w:eastAsia="宋体" w:cs="宋体"/>
                <w:color w:val="000000"/>
                <w:kern w:val="2"/>
                <w:sz w:val="20"/>
                <w:szCs w:val="20"/>
                <w:lang w:eastAsia="zh-CN"/>
              </w:rPr>
              <w:t>11.5</w:t>
            </w:r>
            <w:r>
              <w:rPr>
                <w:rFonts w:hint="eastAsia" w:ascii="宋体" w:hAnsi="宋体" w:eastAsia="宋体" w:cs="宋体"/>
                <w:bCs/>
                <w:color w:val="000000"/>
                <w:kern w:val="2"/>
                <w:sz w:val="20"/>
                <w:szCs w:val="20"/>
                <w:lang w:eastAsia="zh-CN"/>
              </w:rPr>
              <w:t>电梯设备货到现场、安装过程中及电梯移交电梯使用单位前的电梯保护责任由电梯单位负责，发生部件损坏应立即修复或更换；电梯移交使用后的电梯保护由电梯使用单位负责；若需用作临时用梯的电梯，临时用梯使用单位必须为电梯设备采用必要的保护措施（包括且不限于轿厢围护保护、厅门保护等），若最终的使用单位在交付使用前要求拆除保护措施的，临时用梯使用单位必须拆除保护措施。</w:t>
            </w:r>
          </w:p>
          <w:p w14:paraId="7354A6C2">
            <w:pPr>
              <w:widowControl w:val="0"/>
              <w:spacing w:line="360" w:lineRule="exact"/>
              <w:jc w:val="left"/>
              <w:rPr>
                <w:rFonts w:hint="eastAsia" w:ascii="宋体" w:hAnsi="宋体" w:eastAsia="宋体" w:cs="宋体"/>
                <w:bCs/>
                <w:color w:val="000000"/>
                <w:kern w:val="2"/>
                <w:sz w:val="20"/>
                <w:szCs w:val="20"/>
                <w:lang w:eastAsia="zh-CN"/>
              </w:rPr>
            </w:pPr>
            <w:r>
              <w:rPr>
                <w:rFonts w:hint="eastAsia" w:ascii="宋体" w:hAnsi="宋体" w:eastAsia="宋体" w:cs="宋体"/>
                <w:color w:val="000000"/>
                <w:kern w:val="2"/>
                <w:sz w:val="20"/>
                <w:szCs w:val="20"/>
                <w:lang w:eastAsia="zh-CN"/>
              </w:rPr>
              <w:t>11.6</w:t>
            </w:r>
            <w:r>
              <w:rPr>
                <w:rFonts w:hint="eastAsia" w:ascii="宋体" w:hAnsi="宋体" w:eastAsia="宋体" w:cs="宋体"/>
                <w:bCs/>
                <w:color w:val="000000"/>
                <w:kern w:val="2"/>
                <w:sz w:val="20"/>
                <w:szCs w:val="20"/>
                <w:lang w:eastAsia="zh-CN"/>
              </w:rPr>
              <w:t>项目完成后，已不需要使用临时电梯。临时用梯期间的电梯管理单位委托电梯维保单位对临时电梯进行检查，需重新调试、校正（包括二次磅梯），若出现厅门刮花、外呼损坏、滚轮磨损、地坎受压变形等部件受损需维护或更换的，上述工作产生的费用由电梯管理单位负责，中标人负责办理过户给最终的使用单位，移交使用单位工作由中标人负责完成。</w:t>
            </w:r>
          </w:p>
          <w:p w14:paraId="41E597E4">
            <w:pPr>
              <w:widowControl w:val="0"/>
              <w:spacing w:line="276" w:lineRule="auto"/>
              <w:jc w:val="both"/>
              <w:rPr>
                <w:rFonts w:hint="eastAsia" w:ascii="宋体" w:hAnsi="宋体" w:eastAsia="宋体" w:cs="宋体"/>
                <w:color w:val="000000"/>
                <w:sz w:val="20"/>
                <w:szCs w:val="20"/>
                <w:lang w:eastAsia="zh-CN"/>
              </w:rPr>
            </w:pPr>
            <w:r>
              <w:rPr>
                <w:rFonts w:hint="eastAsia" w:ascii="宋体" w:hAnsi="宋体" w:eastAsia="宋体" w:cs="宋体"/>
                <w:color w:val="000000"/>
                <w:kern w:val="2"/>
                <w:sz w:val="20"/>
                <w:szCs w:val="20"/>
                <w:lang w:eastAsia="zh-CN"/>
              </w:rPr>
              <w:t>11.7</w:t>
            </w:r>
            <w:r>
              <w:rPr>
                <w:rFonts w:hint="eastAsia" w:ascii="宋体" w:hAnsi="宋体" w:eastAsia="宋体" w:cs="宋体"/>
                <w:color w:val="000000"/>
                <w:sz w:val="20"/>
                <w:szCs w:val="20"/>
                <w:lang w:eastAsia="zh-CN"/>
              </w:rPr>
              <w:t>自项目移交最终使用单位起6个月内，中标供应商应派至少一名维保人员提供驻场服务，费用由投标人在投标报价中自行考虑。</w:t>
            </w:r>
          </w:p>
          <w:p w14:paraId="6112E60B">
            <w:pPr>
              <w:widowControl w:val="0"/>
              <w:jc w:val="both"/>
              <w:rPr>
                <w:rFonts w:hint="eastAsia" w:ascii="宋体" w:hAnsi="宋体" w:eastAsia="宋体" w:cs="宋体"/>
                <w:bCs/>
                <w:color w:val="000000"/>
                <w:kern w:val="2"/>
                <w:sz w:val="20"/>
                <w:szCs w:val="20"/>
                <w:lang w:eastAsia="zh-CN"/>
              </w:rPr>
            </w:pPr>
            <w:r>
              <w:rPr>
                <w:rFonts w:hint="eastAsia" w:ascii="宋体" w:hAnsi="宋体" w:eastAsia="宋体" w:cs="宋体"/>
                <w:bCs/>
                <w:color w:val="000000"/>
                <w:kern w:val="2"/>
                <w:sz w:val="20"/>
                <w:szCs w:val="20"/>
                <w:lang w:eastAsia="zh-CN"/>
              </w:rPr>
              <w:t>11.8调试电源问题：由总承包单位负责从一级电箱引出或采用正式用电电源（总包单位应在安装施工现场就近提供临时用电的接驳点，接驳点与机房的距离在电缆总长度50米以内）。由总承包单位与电梯公司签订协议进行安全责任界定。</w:t>
            </w:r>
          </w:p>
          <w:p w14:paraId="4D10EC0F">
            <w:pPr>
              <w:widowControl w:val="0"/>
              <w:jc w:val="both"/>
              <w:rPr>
                <w:rFonts w:hint="eastAsia" w:ascii="宋体" w:hAnsi="宋体" w:eastAsia="宋体" w:cs="宋体"/>
                <w:bCs/>
                <w:color w:val="000000"/>
                <w:kern w:val="2"/>
                <w:sz w:val="20"/>
                <w:szCs w:val="20"/>
                <w:lang w:eastAsia="zh-CN"/>
              </w:rPr>
            </w:pPr>
            <w:r>
              <w:rPr>
                <w:rFonts w:hint="eastAsia" w:ascii="宋体" w:hAnsi="宋体" w:eastAsia="宋体" w:cs="宋体"/>
                <w:bCs/>
                <w:color w:val="000000"/>
                <w:kern w:val="2"/>
                <w:sz w:val="20"/>
                <w:szCs w:val="20"/>
                <w:lang w:eastAsia="zh-CN"/>
              </w:rPr>
              <w:t xml:space="preserve">11.9 </w:t>
            </w:r>
            <w:r>
              <w:rPr>
                <w:rFonts w:hint="eastAsia" w:ascii="宋体" w:hAnsi="宋体" w:eastAsia="宋体" w:cs="宋体"/>
                <w:color w:val="000000"/>
                <w:sz w:val="20"/>
                <w:szCs w:val="20"/>
                <w:lang w:eastAsia="zh-CN"/>
              </w:rPr>
              <w:t>根据合同相关规定，招标人为甲方，中标单位为乙方。乙方必须服从</w:t>
            </w:r>
            <w:r>
              <w:rPr>
                <w:rFonts w:hint="eastAsia" w:ascii="宋体" w:hAnsi="宋体" w:eastAsia="宋体" w:cs="宋体"/>
                <w:color w:val="000000"/>
                <w:kern w:val="2"/>
                <w:sz w:val="20"/>
                <w:szCs w:val="20"/>
                <w:lang w:eastAsia="zh-CN"/>
              </w:rPr>
              <w:t>施工总承包</w:t>
            </w:r>
            <w:r>
              <w:rPr>
                <w:rFonts w:hint="eastAsia" w:ascii="宋体" w:hAnsi="宋体" w:eastAsia="宋体" w:cs="宋体"/>
                <w:color w:val="000000"/>
                <w:sz w:val="20"/>
                <w:szCs w:val="20"/>
                <w:lang w:eastAsia="zh-CN"/>
              </w:rPr>
              <w:t>的管理，并向</w:t>
            </w:r>
            <w:r>
              <w:rPr>
                <w:rFonts w:hint="eastAsia" w:ascii="宋体" w:hAnsi="宋体" w:eastAsia="宋体" w:cs="宋体"/>
                <w:color w:val="000000"/>
                <w:kern w:val="2"/>
                <w:sz w:val="20"/>
                <w:szCs w:val="20"/>
                <w:lang w:eastAsia="zh-CN"/>
              </w:rPr>
              <w:t>施工总承包</w:t>
            </w:r>
            <w:r>
              <w:rPr>
                <w:rFonts w:hint="eastAsia" w:ascii="宋体" w:hAnsi="宋体" w:eastAsia="宋体" w:cs="宋体"/>
                <w:color w:val="000000"/>
                <w:sz w:val="20"/>
                <w:szCs w:val="20"/>
                <w:lang w:eastAsia="zh-CN"/>
              </w:rPr>
              <w:t>支付相应费用（临时设施使用费金额及比例在招标报价清单中明确）。</w:t>
            </w:r>
            <w:r>
              <w:rPr>
                <w:rFonts w:hint="eastAsia" w:ascii="宋体" w:hAnsi="宋体" w:eastAsia="宋体" w:cs="宋体"/>
                <w:color w:val="000000"/>
                <w:kern w:val="2"/>
                <w:sz w:val="20"/>
                <w:szCs w:val="20"/>
                <w:lang w:eastAsia="zh-CN"/>
              </w:rPr>
              <w:t>施工总承包单位</w:t>
            </w:r>
            <w:r>
              <w:rPr>
                <w:rFonts w:hint="eastAsia" w:ascii="宋体" w:hAnsi="宋体" w:eastAsia="宋体" w:cs="宋体"/>
                <w:bCs/>
                <w:color w:val="000000"/>
                <w:kern w:val="2"/>
                <w:sz w:val="20"/>
                <w:szCs w:val="20"/>
                <w:lang w:eastAsia="zh-CN"/>
              </w:rPr>
              <w:t>和</w:t>
            </w:r>
            <w:r>
              <w:rPr>
                <w:rFonts w:hint="eastAsia" w:ascii="宋体" w:hAnsi="宋体" w:eastAsia="宋体" w:cs="宋体"/>
                <w:color w:val="000000"/>
                <w:kern w:val="2"/>
                <w:sz w:val="20"/>
                <w:szCs w:val="20"/>
                <w:lang w:eastAsia="zh-CN"/>
              </w:rPr>
              <w:t>中标人</w:t>
            </w:r>
            <w:r>
              <w:rPr>
                <w:rFonts w:hint="eastAsia" w:ascii="宋体" w:hAnsi="宋体" w:eastAsia="宋体" w:cs="宋体"/>
                <w:color w:val="000000"/>
                <w:sz w:val="20"/>
                <w:szCs w:val="20"/>
                <w:lang w:eastAsia="zh-CN"/>
              </w:rPr>
              <w:t>为此提供的服务及管理如下：</w:t>
            </w:r>
          </w:p>
          <w:p w14:paraId="094E2493">
            <w:pPr>
              <w:widowControl w:val="0"/>
              <w:tabs>
                <w:tab w:val="left" w:pos="680"/>
              </w:tabs>
              <w:autoSpaceDE w:val="0"/>
              <w:autoSpaceDN w:val="0"/>
              <w:adjustRightInd w:val="0"/>
              <w:spacing w:before="0" w:after="0" w:line="276" w:lineRule="auto"/>
              <w:ind w:left="0" w:right="27" w:rightChars="13" w:firstLine="400" w:firstLineChars="200"/>
              <w:jc w:val="both"/>
              <w:rPr>
                <w:rFonts w:hint="eastAsia" w:ascii="宋体" w:hAnsi="宋体" w:eastAsia="宋体" w:cs="宋体"/>
                <w:color w:val="000000"/>
                <w:sz w:val="20"/>
                <w:szCs w:val="20"/>
                <w:lang w:eastAsia="zh-CN"/>
              </w:rPr>
            </w:pPr>
            <w:r>
              <w:rPr>
                <w:rFonts w:hint="eastAsia" w:ascii="Calibri" w:hAnsi="Calibri" w:eastAsia="宋体" w:cs="Calibri"/>
                <w:color w:val="000000"/>
                <w:sz w:val="20"/>
                <w:szCs w:val="20"/>
                <w:lang w:eastAsia="zh-CN"/>
              </w:rPr>
              <w:t>①</w:t>
            </w:r>
            <w:r>
              <w:rPr>
                <w:rFonts w:hint="eastAsia" w:ascii="宋体" w:hAnsi="宋体" w:eastAsia="宋体" w:cs="宋体"/>
                <w:color w:val="000000"/>
                <w:sz w:val="20"/>
                <w:szCs w:val="20"/>
                <w:lang w:eastAsia="zh-CN"/>
              </w:rPr>
              <w:t>总包单位提供施工用照明用电、施工用水，并供应电梯调试所需负荷。施工现场配电箱引出的分电箱由乙方自行解决。生活用水电费由乙方自行负责。</w:t>
            </w:r>
          </w:p>
          <w:p w14:paraId="268BA3FF">
            <w:pPr>
              <w:widowControl w:val="0"/>
              <w:tabs>
                <w:tab w:val="left" w:pos="680"/>
              </w:tabs>
              <w:autoSpaceDE w:val="0"/>
              <w:autoSpaceDN w:val="0"/>
              <w:adjustRightInd w:val="0"/>
              <w:spacing w:before="0" w:after="0" w:line="276" w:lineRule="auto"/>
              <w:ind w:left="0" w:right="27" w:rightChars="13" w:firstLine="400" w:firstLineChars="200"/>
              <w:jc w:val="both"/>
              <w:rPr>
                <w:rFonts w:hint="eastAsia" w:ascii="宋体" w:hAnsi="宋体" w:eastAsia="宋体" w:cs="宋体"/>
                <w:color w:val="000000"/>
                <w:sz w:val="20"/>
                <w:szCs w:val="20"/>
                <w:lang w:eastAsia="zh-CN"/>
              </w:rPr>
            </w:pPr>
            <w:r>
              <w:rPr>
                <w:rFonts w:hint="eastAsia" w:ascii="Calibri" w:hAnsi="Calibri" w:eastAsia="宋体" w:cs="Calibri"/>
                <w:color w:val="000000"/>
                <w:sz w:val="20"/>
                <w:szCs w:val="20"/>
                <w:lang w:eastAsia="zh-CN"/>
              </w:rPr>
              <w:t>②</w:t>
            </w:r>
            <w:r>
              <w:rPr>
                <w:rFonts w:hint="eastAsia" w:ascii="宋体" w:hAnsi="宋体" w:eastAsia="宋体" w:cs="宋体"/>
                <w:color w:val="000000"/>
                <w:sz w:val="20"/>
                <w:szCs w:val="20"/>
                <w:lang w:eastAsia="zh-CN"/>
              </w:rPr>
              <w:t>总包单位提供各层楼标高、定位点线等。</w:t>
            </w:r>
          </w:p>
          <w:p w14:paraId="1F5B0809">
            <w:pPr>
              <w:widowControl w:val="0"/>
              <w:tabs>
                <w:tab w:val="left" w:pos="680"/>
              </w:tabs>
              <w:autoSpaceDE w:val="0"/>
              <w:autoSpaceDN w:val="0"/>
              <w:adjustRightInd w:val="0"/>
              <w:spacing w:before="0" w:after="0" w:line="276" w:lineRule="auto"/>
              <w:ind w:left="0" w:right="27" w:rightChars="13" w:firstLine="400" w:firstLineChars="200"/>
              <w:jc w:val="both"/>
              <w:rPr>
                <w:rFonts w:hint="eastAsia" w:ascii="宋体" w:hAnsi="宋体" w:eastAsia="宋体" w:cs="宋体"/>
                <w:color w:val="000000"/>
                <w:sz w:val="20"/>
                <w:szCs w:val="20"/>
                <w:lang w:eastAsia="zh-CN"/>
              </w:rPr>
            </w:pPr>
            <w:r>
              <w:rPr>
                <w:rFonts w:hint="eastAsia" w:ascii="Calibri" w:hAnsi="Calibri" w:eastAsia="宋体" w:cs="Calibri"/>
                <w:color w:val="000000"/>
                <w:sz w:val="20"/>
                <w:szCs w:val="20"/>
                <w:lang w:eastAsia="zh-CN"/>
              </w:rPr>
              <w:t>③</w:t>
            </w:r>
            <w:r>
              <w:rPr>
                <w:rFonts w:hint="eastAsia" w:ascii="宋体" w:hAnsi="宋体" w:eastAsia="宋体" w:cs="宋体"/>
                <w:color w:val="000000"/>
                <w:sz w:val="20"/>
                <w:szCs w:val="20"/>
                <w:lang w:eastAsia="zh-CN"/>
              </w:rPr>
              <w:t>乙方应在施工期间，对陆续完成的工程负有实施产品保护的责任，如对其它单位的工程或设施造成损坏的，经监理核实后照价赔偿。</w:t>
            </w:r>
          </w:p>
          <w:p w14:paraId="395B4E99">
            <w:pPr>
              <w:widowControl w:val="0"/>
              <w:tabs>
                <w:tab w:val="left" w:pos="680"/>
              </w:tabs>
              <w:autoSpaceDE w:val="0"/>
              <w:autoSpaceDN w:val="0"/>
              <w:adjustRightInd w:val="0"/>
              <w:spacing w:before="0" w:after="0" w:line="276" w:lineRule="auto"/>
              <w:ind w:left="0" w:right="27" w:rightChars="13" w:firstLine="400" w:firstLineChars="200"/>
              <w:jc w:val="both"/>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eastAsia="zh-CN"/>
              </w:rPr>
              <w:t>④乙方应在进场前对已完成的工程及场地进行检查、接收。</w:t>
            </w:r>
          </w:p>
          <w:p w14:paraId="0DB7970E">
            <w:pPr>
              <w:widowControl w:val="0"/>
              <w:tabs>
                <w:tab w:val="left" w:pos="680"/>
              </w:tabs>
              <w:autoSpaceDE w:val="0"/>
              <w:autoSpaceDN w:val="0"/>
              <w:adjustRightInd w:val="0"/>
              <w:spacing w:before="0" w:after="0" w:line="276" w:lineRule="auto"/>
              <w:ind w:left="0" w:right="27" w:rightChars="13" w:firstLine="400" w:firstLineChars="200"/>
              <w:jc w:val="both"/>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eastAsia="zh-CN"/>
              </w:rPr>
              <w:t>⑤乙方应向总包单位提供施工组织计划与进度计划，对施工程序中有矛盾的地方进行协调并找出解决办法。</w:t>
            </w:r>
          </w:p>
          <w:p w14:paraId="252257F2">
            <w:pPr>
              <w:widowControl w:val="0"/>
              <w:tabs>
                <w:tab w:val="left" w:pos="680"/>
              </w:tabs>
              <w:autoSpaceDE w:val="0"/>
              <w:autoSpaceDN w:val="0"/>
              <w:adjustRightInd w:val="0"/>
              <w:spacing w:before="0" w:after="0" w:line="276" w:lineRule="auto"/>
              <w:ind w:left="0" w:right="27" w:rightChars="13" w:firstLine="400" w:firstLineChars="200"/>
              <w:jc w:val="both"/>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eastAsia="zh-CN"/>
              </w:rPr>
              <w:t>⑥乙方在各分项施工前须与总包单位联系，提供其在分项工程上的特殊要求，如开槽、预留孔洞、预埋件等，并在每次隐蔽工程之前（如浇注混凝土），配合总包单位确认。否则，因此而导致的额外施工费用由乙方承担。</w:t>
            </w:r>
          </w:p>
        </w:tc>
      </w:tr>
      <w:tr w14:paraId="3C3B5E2B">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noWrap w:val="0"/>
            <w:vAlign w:val="center"/>
          </w:tcPr>
          <w:p w14:paraId="503F267D">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12.</w:t>
            </w:r>
            <w:r>
              <w:rPr>
                <w:rFonts w:hint="eastAsia" w:ascii="宋体" w:hAnsi="宋体" w:eastAsia="宋体" w:cs="宋体"/>
                <w:color w:val="000000"/>
                <w:kern w:val="2"/>
                <w:sz w:val="20"/>
                <w:szCs w:val="20"/>
                <w:lang w:eastAsia="zh-CN"/>
              </w:rPr>
              <w:t>施工废弃物处理</w:t>
            </w:r>
          </w:p>
        </w:tc>
        <w:tc>
          <w:tcPr>
            <w:tcW w:w="8294" w:type="dxa"/>
            <w:gridSpan w:val="3"/>
            <w:noWrap w:val="0"/>
            <w:vAlign w:val="center"/>
          </w:tcPr>
          <w:p w14:paraId="3C6672D9">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12</w:t>
            </w:r>
            <w:r>
              <w:rPr>
                <w:rFonts w:hint="eastAsia" w:ascii="宋体" w:hAnsi="宋体" w:eastAsia="宋体" w:cs="宋体"/>
                <w:color w:val="000000"/>
                <w:kern w:val="2"/>
                <w:sz w:val="20"/>
                <w:szCs w:val="20"/>
                <w:lang w:eastAsia="zh-CN"/>
              </w:rPr>
              <w:t>.1中标人自行解决，费用自理。</w:t>
            </w:r>
          </w:p>
        </w:tc>
      </w:tr>
      <w:tr w14:paraId="13627D47">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5" w:hRule="atLeast"/>
          <w:tblCellSpacing w:w="0" w:type="dxa"/>
          <w:jc w:val="center"/>
        </w:trPr>
        <w:tc>
          <w:tcPr>
            <w:tcW w:w="836" w:type="dxa"/>
            <w:noWrap w:val="0"/>
            <w:vAlign w:val="center"/>
          </w:tcPr>
          <w:p w14:paraId="4C9BE950">
            <w:pPr>
              <w:widowControl w:val="0"/>
              <w:spacing w:line="240" w:lineRule="exact"/>
              <w:jc w:val="left"/>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13.</w:t>
            </w:r>
            <w:r>
              <w:rPr>
                <w:rFonts w:hint="eastAsia" w:ascii="宋体" w:hAnsi="宋体" w:eastAsia="宋体" w:cs="宋体"/>
                <w:color w:val="000000"/>
                <w:kern w:val="2"/>
                <w:sz w:val="20"/>
                <w:szCs w:val="20"/>
                <w:lang w:eastAsia="zh-CN"/>
              </w:rPr>
              <w:t>确认</w:t>
            </w:r>
          </w:p>
        </w:tc>
        <w:tc>
          <w:tcPr>
            <w:tcW w:w="8294" w:type="dxa"/>
            <w:gridSpan w:val="3"/>
            <w:noWrap w:val="0"/>
            <w:vAlign w:val="center"/>
          </w:tcPr>
          <w:p w14:paraId="59909DF9">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13.1中标人必须保证投标产品尺寸、结构形式等满足本项目安装及维护要求，合同签订后，中标人须提供中标产品的设计图纸及技术资料，经发包人及其委托的监理单位、设计单位审核确认后方可组织生产。</w:t>
            </w:r>
          </w:p>
        </w:tc>
      </w:tr>
      <w:tr w14:paraId="593FD835">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311" w:hRule="atLeast"/>
          <w:tblCellSpacing w:w="0" w:type="dxa"/>
          <w:jc w:val="center"/>
        </w:trPr>
        <w:tc>
          <w:tcPr>
            <w:tcW w:w="836" w:type="dxa"/>
            <w:vMerge w:val="restart"/>
            <w:noWrap w:val="0"/>
            <w:vAlign w:val="center"/>
          </w:tcPr>
          <w:p w14:paraId="26109292">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14.</w:t>
            </w:r>
            <w:r>
              <w:rPr>
                <w:rFonts w:hint="eastAsia" w:ascii="宋体" w:hAnsi="宋体" w:eastAsia="宋体" w:cs="宋体"/>
                <w:color w:val="000000"/>
                <w:kern w:val="2"/>
                <w:sz w:val="20"/>
                <w:szCs w:val="20"/>
                <w:lang w:eastAsia="zh-CN"/>
              </w:rPr>
              <w:t>包装要求和运输方式</w:t>
            </w:r>
          </w:p>
        </w:tc>
        <w:tc>
          <w:tcPr>
            <w:tcW w:w="8294" w:type="dxa"/>
            <w:gridSpan w:val="3"/>
            <w:noWrap w:val="0"/>
            <w:vAlign w:val="center"/>
          </w:tcPr>
          <w:p w14:paraId="7D9E1AC0">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14</w:t>
            </w:r>
            <w:r>
              <w:rPr>
                <w:rFonts w:hint="eastAsia" w:ascii="宋体" w:hAnsi="宋体" w:eastAsia="宋体" w:cs="宋体"/>
                <w:color w:val="000000"/>
                <w:kern w:val="2"/>
                <w:sz w:val="20"/>
                <w:szCs w:val="20"/>
                <w:lang w:eastAsia="zh-CN"/>
              </w:rPr>
              <w:t>.1采用常规包装，管口要用挡板封堵，整个机组要用防雨材料包裹，包装外表以不褪色的颜料标明：货物名称、箱/件号、尺码、毛重、净重、到货地址、收货人以及“勿近潮湿”、“小心轻放”、“此边向上”等标志。由于不适当的包装或装运而造成的货物在运输过程中的任何损失由中标人负责。因更换设备或材料而要求延长工期将不获接纳。</w:t>
            </w:r>
          </w:p>
        </w:tc>
      </w:tr>
      <w:tr w14:paraId="18B0C9E0">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4937A44D">
            <w:pPr>
              <w:widowControl w:val="0"/>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04DF2738">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14</w:t>
            </w:r>
            <w:r>
              <w:rPr>
                <w:rFonts w:hint="eastAsia" w:ascii="宋体" w:hAnsi="宋体" w:eastAsia="宋体" w:cs="宋体"/>
                <w:color w:val="000000"/>
                <w:kern w:val="2"/>
                <w:sz w:val="20"/>
                <w:szCs w:val="20"/>
                <w:lang w:eastAsia="zh-CN"/>
              </w:rPr>
              <w:t>.1运输方式：由中标人酌情自定。</w:t>
            </w:r>
          </w:p>
        </w:tc>
      </w:tr>
      <w:tr w14:paraId="757F8A1F">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noWrap w:val="0"/>
            <w:vAlign w:val="center"/>
          </w:tcPr>
          <w:p w14:paraId="71B3A315">
            <w:pPr>
              <w:widowControl w:val="0"/>
              <w:jc w:val="center"/>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15.</w:t>
            </w:r>
            <w:r>
              <w:rPr>
                <w:rFonts w:hint="eastAsia" w:ascii="宋体" w:hAnsi="宋体" w:eastAsia="宋体" w:cs="宋体"/>
                <w:color w:val="000000"/>
                <w:kern w:val="2"/>
                <w:sz w:val="20"/>
                <w:szCs w:val="20"/>
                <w:lang w:eastAsia="zh-CN"/>
              </w:rPr>
              <w:t>设备图片</w:t>
            </w:r>
          </w:p>
        </w:tc>
        <w:tc>
          <w:tcPr>
            <w:tcW w:w="8294" w:type="dxa"/>
            <w:gridSpan w:val="3"/>
            <w:noWrap w:val="0"/>
            <w:vAlign w:val="center"/>
          </w:tcPr>
          <w:p w14:paraId="52207E90">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15</w:t>
            </w:r>
            <w:r>
              <w:rPr>
                <w:rFonts w:hint="eastAsia" w:ascii="宋体" w:hAnsi="宋体" w:eastAsia="宋体" w:cs="宋体"/>
                <w:color w:val="000000"/>
                <w:kern w:val="2"/>
                <w:sz w:val="20"/>
                <w:szCs w:val="20"/>
                <w:lang w:eastAsia="zh-CN"/>
              </w:rPr>
              <w:t>.1在投标文件中提供关键设备的彩色图片，以便评审参考及设备进场时的外观评判。</w:t>
            </w:r>
          </w:p>
        </w:tc>
      </w:tr>
      <w:tr w14:paraId="3F0867AF">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restart"/>
            <w:noWrap w:val="0"/>
            <w:vAlign w:val="center"/>
          </w:tcPr>
          <w:p w14:paraId="3B8D5918">
            <w:pPr>
              <w:widowControl w:val="0"/>
              <w:spacing w:line="240" w:lineRule="exact"/>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16.</w:t>
            </w:r>
            <w:r>
              <w:rPr>
                <w:rFonts w:hint="eastAsia" w:ascii="宋体" w:hAnsi="宋体" w:eastAsia="宋体" w:cs="宋体"/>
                <w:color w:val="000000"/>
                <w:kern w:val="2"/>
                <w:sz w:val="20"/>
                <w:szCs w:val="20"/>
                <w:lang w:eastAsia="zh-CN"/>
              </w:rPr>
              <w:t>技术标准和规范</w:t>
            </w:r>
          </w:p>
        </w:tc>
        <w:tc>
          <w:tcPr>
            <w:tcW w:w="8294" w:type="dxa"/>
            <w:gridSpan w:val="3"/>
            <w:noWrap w:val="0"/>
            <w:vAlign w:val="center"/>
          </w:tcPr>
          <w:p w14:paraId="310F9CED">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16</w:t>
            </w:r>
            <w:r>
              <w:rPr>
                <w:rFonts w:hint="eastAsia" w:ascii="宋体" w:hAnsi="宋体" w:eastAsia="宋体" w:cs="宋体"/>
                <w:color w:val="000000"/>
                <w:kern w:val="2"/>
                <w:sz w:val="20"/>
                <w:szCs w:val="20"/>
                <w:lang w:eastAsia="zh-CN"/>
              </w:rPr>
              <w:t>.1中标人所提供的设备及系统，应达到中华人民共和国和设备出产国有关设备及系统的设计、制造、安装、试验、验收和安全等方面的标准和规范的要求。</w:t>
            </w:r>
          </w:p>
        </w:tc>
      </w:tr>
      <w:tr w14:paraId="0123D502">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continue"/>
            <w:noWrap w:val="0"/>
            <w:vAlign w:val="center"/>
          </w:tcPr>
          <w:p w14:paraId="69CF0523">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47D0F179">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16</w:t>
            </w:r>
            <w:r>
              <w:rPr>
                <w:rFonts w:hint="eastAsia" w:ascii="宋体" w:hAnsi="宋体" w:eastAsia="宋体" w:cs="宋体"/>
                <w:color w:val="000000"/>
                <w:kern w:val="2"/>
                <w:sz w:val="20"/>
                <w:szCs w:val="20"/>
                <w:lang w:eastAsia="zh-CN"/>
              </w:rPr>
              <w:t>.2中标人应详细列出所采用的上述标准和规范的名称、编号及版本号，这些标准和规范应是招标时已颁布实施的最新有效版本。</w:t>
            </w:r>
          </w:p>
        </w:tc>
      </w:tr>
      <w:tr w14:paraId="1FD587D7">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continue"/>
            <w:noWrap w:val="0"/>
            <w:vAlign w:val="center"/>
          </w:tcPr>
          <w:p w14:paraId="653257FD">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18294E00">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16</w:t>
            </w:r>
            <w:r>
              <w:rPr>
                <w:rFonts w:hint="eastAsia" w:ascii="宋体" w:hAnsi="宋体" w:eastAsia="宋体" w:cs="宋体"/>
                <w:color w:val="000000"/>
                <w:kern w:val="2"/>
                <w:sz w:val="20"/>
                <w:szCs w:val="20"/>
                <w:lang w:eastAsia="zh-CN"/>
              </w:rPr>
              <w:t>.3中标人如采用国家标准规范以外的标准和规范，应列出其名称、编号及版本号，当采用的标准规范等效于或优于国家标准规范的要求时，才可能被发包人接受。</w:t>
            </w:r>
          </w:p>
        </w:tc>
      </w:tr>
      <w:tr w14:paraId="1C12201D">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restart"/>
            <w:noWrap w:val="0"/>
            <w:vAlign w:val="center"/>
          </w:tcPr>
          <w:p w14:paraId="30458B58">
            <w:pPr>
              <w:widowControl w:val="0"/>
              <w:spacing w:line="240" w:lineRule="atLeast"/>
              <w:jc w:val="center"/>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17.</w:t>
            </w:r>
            <w:r>
              <w:rPr>
                <w:rFonts w:hint="eastAsia" w:ascii="宋体" w:hAnsi="宋体" w:eastAsia="宋体" w:cs="宋体"/>
                <w:color w:val="000000"/>
                <w:kern w:val="2"/>
                <w:sz w:val="20"/>
                <w:szCs w:val="20"/>
                <w:lang w:eastAsia="zh-CN"/>
              </w:rPr>
              <w:t>技术资料</w:t>
            </w:r>
          </w:p>
          <w:p w14:paraId="78EC6941">
            <w:pPr>
              <w:widowControl w:val="0"/>
              <w:spacing w:line="240" w:lineRule="atLeas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581AE626">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17</w:t>
            </w:r>
            <w:r>
              <w:rPr>
                <w:rFonts w:hint="eastAsia" w:ascii="宋体" w:hAnsi="宋体" w:eastAsia="宋体" w:cs="宋体"/>
                <w:color w:val="000000"/>
                <w:kern w:val="2"/>
                <w:sz w:val="20"/>
                <w:szCs w:val="20"/>
                <w:lang w:eastAsia="zh-CN"/>
              </w:rPr>
              <w:t>.1中标人应根据建设工程规范要求提供所有材料产品设备的质量合格证书，进口材料产品设备还须提供生产国的原产地证书及商检报告；</w:t>
            </w:r>
          </w:p>
        </w:tc>
      </w:tr>
      <w:tr w14:paraId="32A0FA15">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continue"/>
            <w:noWrap w:val="0"/>
            <w:vAlign w:val="center"/>
          </w:tcPr>
          <w:p w14:paraId="2BC9EA2F">
            <w:pPr>
              <w:widowControl w:val="0"/>
              <w:spacing w:line="240" w:lineRule="atLeas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197FDB69">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17</w:t>
            </w:r>
            <w:r>
              <w:rPr>
                <w:rFonts w:hint="eastAsia" w:ascii="宋体" w:hAnsi="宋体" w:eastAsia="宋体" w:cs="宋体"/>
                <w:color w:val="000000"/>
                <w:kern w:val="2"/>
                <w:sz w:val="20"/>
                <w:szCs w:val="20"/>
                <w:lang w:eastAsia="zh-CN"/>
              </w:rPr>
              <w:t>.2中标人应针对所有产品设备提供其齐全的原理、技术参数、使用操作、维护说明等技术文件资料；</w:t>
            </w:r>
          </w:p>
        </w:tc>
      </w:tr>
      <w:tr w14:paraId="15C42F07">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continue"/>
            <w:noWrap w:val="0"/>
            <w:vAlign w:val="center"/>
          </w:tcPr>
          <w:p w14:paraId="3EFC3F4E">
            <w:pPr>
              <w:widowControl w:val="0"/>
              <w:spacing w:line="240" w:lineRule="atLeas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7D9F9254">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17</w:t>
            </w:r>
            <w:r>
              <w:rPr>
                <w:rFonts w:hint="eastAsia" w:ascii="宋体" w:hAnsi="宋体" w:eastAsia="宋体" w:cs="宋体"/>
                <w:color w:val="000000"/>
                <w:kern w:val="2"/>
                <w:sz w:val="20"/>
                <w:szCs w:val="20"/>
                <w:lang w:eastAsia="zh-CN"/>
              </w:rPr>
              <w:t>.3中标人提供的所用文件资料应为中文，非中文文件资料要求有中文译本。</w:t>
            </w:r>
          </w:p>
        </w:tc>
      </w:tr>
      <w:tr w14:paraId="5A3856E7">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restart"/>
            <w:noWrap w:val="0"/>
            <w:vAlign w:val="center"/>
          </w:tcPr>
          <w:p w14:paraId="0010F04E">
            <w:pPr>
              <w:widowControl w:val="0"/>
              <w:spacing w:line="240" w:lineRule="exact"/>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19.</w:t>
            </w:r>
            <w:r>
              <w:rPr>
                <w:rFonts w:hint="eastAsia" w:ascii="宋体" w:hAnsi="宋体" w:eastAsia="宋体" w:cs="宋体"/>
                <w:color w:val="000000"/>
                <w:kern w:val="2"/>
                <w:sz w:val="20"/>
                <w:szCs w:val="20"/>
                <w:lang w:eastAsia="zh-CN"/>
              </w:rPr>
              <w:t xml:space="preserve">货物检测与验收 </w:t>
            </w:r>
          </w:p>
        </w:tc>
        <w:tc>
          <w:tcPr>
            <w:tcW w:w="1608" w:type="dxa"/>
            <w:gridSpan w:val="2"/>
            <w:noWrap w:val="0"/>
            <w:vAlign w:val="center"/>
          </w:tcPr>
          <w:p w14:paraId="475EB375">
            <w:pPr>
              <w:widowControl w:val="0"/>
              <w:ind w:left="-6" w:leftChars="-3"/>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19.1工厂测试</w:t>
            </w:r>
          </w:p>
        </w:tc>
        <w:tc>
          <w:tcPr>
            <w:tcW w:w="6686" w:type="dxa"/>
            <w:noWrap w:val="0"/>
            <w:vAlign w:val="center"/>
          </w:tcPr>
          <w:p w14:paraId="0DCEE028">
            <w:pPr>
              <w:widowControl w:val="0"/>
              <w:ind w:left="-29" w:leftChars="-14" w:firstLine="28" w:firstLineChars="14"/>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每一台设备出厂前必须通过相关的检测试验，生产厂须提供合格的正式检测文件，否则将被判定为不合格。</w:t>
            </w:r>
          </w:p>
        </w:tc>
      </w:tr>
      <w:tr w14:paraId="39906366">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continue"/>
            <w:noWrap w:val="0"/>
            <w:vAlign w:val="center"/>
          </w:tcPr>
          <w:p w14:paraId="563DD6C4">
            <w:pPr>
              <w:widowControl w:val="0"/>
              <w:ind w:left="-388" w:leftChars="-185" w:firstLine="370" w:firstLineChars="185"/>
              <w:jc w:val="center"/>
              <w:rPr>
                <w:rFonts w:hint="eastAsia" w:ascii="宋体" w:hAnsi="宋体" w:eastAsia="宋体" w:cs="宋体"/>
                <w:color w:val="000000"/>
                <w:kern w:val="2"/>
                <w:sz w:val="20"/>
                <w:szCs w:val="20"/>
                <w:lang w:eastAsia="zh-CN"/>
              </w:rPr>
            </w:pPr>
          </w:p>
        </w:tc>
        <w:tc>
          <w:tcPr>
            <w:tcW w:w="1608" w:type="dxa"/>
            <w:gridSpan w:val="2"/>
            <w:vMerge w:val="restart"/>
            <w:noWrap w:val="0"/>
            <w:vAlign w:val="center"/>
          </w:tcPr>
          <w:p w14:paraId="4143ABE1">
            <w:pPr>
              <w:widowControl w:val="0"/>
              <w:ind w:left="-6" w:leftChars="-3"/>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19.2现场验收</w:t>
            </w:r>
          </w:p>
        </w:tc>
        <w:tc>
          <w:tcPr>
            <w:tcW w:w="6686" w:type="dxa"/>
            <w:noWrap w:val="0"/>
            <w:vAlign w:val="center"/>
          </w:tcPr>
          <w:p w14:paraId="5BB51382">
            <w:pPr>
              <w:widowControl w:val="0"/>
              <w:ind w:left="-6" w:leftChars="-3"/>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(1)货到工地后，发包人将会同监理单位和总承包商对货物进行验收，产品的技术参数经检验必须满足招标文件的要求并与投标书提供的情况相符。</w:t>
            </w:r>
          </w:p>
        </w:tc>
      </w:tr>
      <w:tr w14:paraId="4AA98488">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continue"/>
            <w:noWrap w:val="0"/>
            <w:vAlign w:val="center"/>
          </w:tcPr>
          <w:p w14:paraId="4EB83BC7">
            <w:pPr>
              <w:widowControl w:val="0"/>
              <w:ind w:left="-388" w:leftChars="-185" w:firstLine="370" w:firstLineChars="185"/>
              <w:jc w:val="center"/>
              <w:rPr>
                <w:rFonts w:hint="eastAsia" w:ascii="宋体" w:hAnsi="宋体" w:eastAsia="宋体" w:cs="宋体"/>
                <w:color w:val="000000"/>
                <w:kern w:val="2"/>
                <w:sz w:val="20"/>
                <w:szCs w:val="20"/>
                <w:lang w:eastAsia="zh-CN"/>
              </w:rPr>
            </w:pPr>
          </w:p>
        </w:tc>
        <w:tc>
          <w:tcPr>
            <w:tcW w:w="1608" w:type="dxa"/>
            <w:gridSpan w:val="2"/>
            <w:vMerge w:val="continue"/>
            <w:noWrap w:val="0"/>
            <w:vAlign w:val="center"/>
          </w:tcPr>
          <w:p w14:paraId="4EF53DAF">
            <w:pPr>
              <w:widowControl w:val="0"/>
              <w:ind w:left="-6" w:leftChars="-3"/>
              <w:jc w:val="both"/>
              <w:rPr>
                <w:rFonts w:hint="eastAsia" w:ascii="宋体" w:hAnsi="宋体" w:eastAsia="宋体" w:cs="宋体"/>
                <w:color w:val="000000"/>
                <w:kern w:val="2"/>
                <w:sz w:val="20"/>
                <w:szCs w:val="20"/>
                <w:lang w:eastAsia="zh-CN"/>
              </w:rPr>
            </w:pPr>
          </w:p>
        </w:tc>
        <w:tc>
          <w:tcPr>
            <w:tcW w:w="6686" w:type="dxa"/>
            <w:noWrap w:val="0"/>
            <w:vAlign w:val="center"/>
          </w:tcPr>
          <w:p w14:paraId="557666B0">
            <w:pPr>
              <w:widowControl w:val="0"/>
              <w:ind w:left="-6" w:leftChars="-3"/>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(2)中标人应随机提供如下质量证明文件及其它相关资料：A．出厂检验合格证；B．货物装运单及保险单； C．到货清单；D．中文版的设备安装、操作和维修保养手册。如所供设备为进口产品，还需提供：A．</w:t>
            </w:r>
            <w:r>
              <w:rPr>
                <w:rFonts w:hint="eastAsia" w:ascii="宋体" w:hAnsi="宋体" w:eastAsia="宋体" w:cs="宋体"/>
                <w:bCs/>
                <w:color w:val="000000"/>
                <w:kern w:val="2"/>
                <w:sz w:val="20"/>
                <w:szCs w:val="20"/>
                <w:lang w:eastAsia="zh-CN"/>
              </w:rPr>
              <w:t>电梯部件原产地证原件（由原产国商会或官方机构出具）</w:t>
            </w:r>
            <w:r>
              <w:rPr>
                <w:rFonts w:hint="eastAsia" w:ascii="宋体" w:hAnsi="宋体" w:eastAsia="宋体" w:cs="宋体"/>
                <w:color w:val="000000"/>
                <w:kern w:val="2"/>
                <w:sz w:val="20"/>
                <w:szCs w:val="20"/>
                <w:lang w:eastAsia="zh-CN"/>
              </w:rPr>
              <w:t>；B．</w:t>
            </w:r>
            <w:r>
              <w:rPr>
                <w:rFonts w:hint="eastAsia" w:ascii="宋体" w:hAnsi="宋体" w:eastAsia="宋体" w:cs="宋体"/>
                <w:bCs/>
                <w:color w:val="000000"/>
                <w:kern w:val="2"/>
                <w:sz w:val="20"/>
                <w:szCs w:val="20"/>
                <w:lang w:eastAsia="zh-CN"/>
              </w:rPr>
              <w:t>进出口海关报关单</w:t>
            </w:r>
            <w:r>
              <w:rPr>
                <w:rFonts w:hint="eastAsia" w:ascii="宋体" w:hAnsi="宋体" w:eastAsia="宋体" w:cs="宋体"/>
                <w:color w:val="000000"/>
                <w:kern w:val="2"/>
                <w:sz w:val="20"/>
                <w:szCs w:val="20"/>
                <w:lang w:eastAsia="zh-CN"/>
              </w:rPr>
              <w:t>，关税单，海关增值税单；C.</w:t>
            </w:r>
            <w:r>
              <w:rPr>
                <w:rFonts w:hint="eastAsia" w:ascii="宋体" w:hAnsi="宋体" w:eastAsia="宋体" w:cs="宋体"/>
                <w:bCs/>
                <w:color w:val="000000"/>
                <w:kern w:val="2"/>
                <w:sz w:val="20"/>
                <w:szCs w:val="20"/>
                <w:lang w:eastAsia="zh-CN"/>
              </w:rPr>
              <w:t xml:space="preserve"> 装箱单原件（品牌部件原产地厂家出具）</w:t>
            </w:r>
            <w:r>
              <w:rPr>
                <w:rFonts w:hint="eastAsia" w:ascii="宋体" w:hAnsi="宋体" w:eastAsia="宋体" w:cs="宋体"/>
                <w:color w:val="000000"/>
                <w:kern w:val="2"/>
                <w:sz w:val="20"/>
                <w:szCs w:val="20"/>
                <w:lang w:eastAsia="zh-CN"/>
              </w:rPr>
              <w:t>，</w:t>
            </w:r>
            <w:r>
              <w:rPr>
                <w:rFonts w:hint="eastAsia" w:ascii="宋体" w:hAnsi="宋体" w:eastAsia="宋体" w:cs="宋体"/>
                <w:bCs/>
                <w:color w:val="000000"/>
                <w:kern w:val="2"/>
                <w:sz w:val="20"/>
                <w:szCs w:val="20"/>
                <w:lang w:eastAsia="zh-CN"/>
              </w:rPr>
              <w:t>缺一不可；进口部件需为欧美日等发达国家进口。</w:t>
            </w:r>
          </w:p>
        </w:tc>
      </w:tr>
      <w:tr w14:paraId="5A2D8524">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continue"/>
            <w:noWrap w:val="0"/>
            <w:vAlign w:val="center"/>
          </w:tcPr>
          <w:p w14:paraId="5891E63C">
            <w:pPr>
              <w:widowControl w:val="0"/>
              <w:ind w:left="-388" w:leftChars="-185" w:firstLine="370" w:firstLineChars="185"/>
              <w:jc w:val="center"/>
              <w:rPr>
                <w:rFonts w:hint="eastAsia" w:ascii="宋体" w:hAnsi="宋体" w:eastAsia="宋体" w:cs="宋体"/>
                <w:color w:val="000000"/>
                <w:kern w:val="2"/>
                <w:sz w:val="20"/>
                <w:szCs w:val="20"/>
                <w:lang w:eastAsia="zh-CN"/>
              </w:rPr>
            </w:pPr>
          </w:p>
        </w:tc>
        <w:tc>
          <w:tcPr>
            <w:tcW w:w="1608" w:type="dxa"/>
            <w:gridSpan w:val="2"/>
            <w:vMerge w:val="continue"/>
            <w:noWrap w:val="0"/>
            <w:vAlign w:val="center"/>
          </w:tcPr>
          <w:p w14:paraId="313BA301">
            <w:pPr>
              <w:widowControl w:val="0"/>
              <w:ind w:left="-6" w:leftChars="-3"/>
              <w:jc w:val="both"/>
              <w:rPr>
                <w:rFonts w:hint="eastAsia" w:ascii="宋体" w:hAnsi="宋体" w:eastAsia="宋体" w:cs="宋体"/>
                <w:color w:val="000000"/>
                <w:kern w:val="2"/>
                <w:sz w:val="20"/>
                <w:szCs w:val="20"/>
                <w:lang w:eastAsia="zh-CN"/>
              </w:rPr>
            </w:pPr>
          </w:p>
        </w:tc>
        <w:tc>
          <w:tcPr>
            <w:tcW w:w="6686" w:type="dxa"/>
            <w:noWrap w:val="0"/>
            <w:vAlign w:val="center"/>
          </w:tcPr>
          <w:p w14:paraId="23AED2FA">
            <w:pPr>
              <w:widowControl w:val="0"/>
              <w:ind w:left="-6" w:leftChars="-3"/>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(3)经外观检验合格及对规格、型号、数量等核对无误后，办理签收手续，设备保管由中标人负责。</w:t>
            </w:r>
          </w:p>
        </w:tc>
      </w:tr>
      <w:tr w14:paraId="4D183B09">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continue"/>
            <w:noWrap w:val="0"/>
            <w:vAlign w:val="center"/>
          </w:tcPr>
          <w:p w14:paraId="778C8DA2">
            <w:pPr>
              <w:widowControl w:val="0"/>
              <w:ind w:left="-388" w:leftChars="-185" w:firstLine="370" w:firstLineChars="185"/>
              <w:jc w:val="center"/>
              <w:rPr>
                <w:rFonts w:hint="eastAsia" w:ascii="宋体" w:hAnsi="宋体" w:eastAsia="宋体" w:cs="宋体"/>
                <w:color w:val="000000"/>
                <w:kern w:val="2"/>
                <w:sz w:val="20"/>
                <w:szCs w:val="20"/>
                <w:lang w:eastAsia="zh-CN"/>
              </w:rPr>
            </w:pPr>
          </w:p>
        </w:tc>
        <w:tc>
          <w:tcPr>
            <w:tcW w:w="1608" w:type="dxa"/>
            <w:gridSpan w:val="2"/>
            <w:vMerge w:val="continue"/>
            <w:noWrap w:val="0"/>
            <w:vAlign w:val="center"/>
          </w:tcPr>
          <w:p w14:paraId="62389EBF">
            <w:pPr>
              <w:widowControl w:val="0"/>
              <w:ind w:left="-6" w:leftChars="-3"/>
              <w:jc w:val="both"/>
              <w:rPr>
                <w:rFonts w:hint="eastAsia" w:ascii="宋体" w:hAnsi="宋体" w:eastAsia="宋体" w:cs="宋体"/>
                <w:color w:val="000000"/>
                <w:kern w:val="2"/>
                <w:sz w:val="20"/>
                <w:szCs w:val="20"/>
                <w:lang w:eastAsia="zh-CN"/>
              </w:rPr>
            </w:pPr>
          </w:p>
        </w:tc>
        <w:tc>
          <w:tcPr>
            <w:tcW w:w="6686" w:type="dxa"/>
            <w:noWrap w:val="0"/>
            <w:vAlign w:val="center"/>
          </w:tcPr>
          <w:p w14:paraId="6276825E">
            <w:pPr>
              <w:widowControl w:val="0"/>
              <w:ind w:left="-29" w:leftChars="-14" w:firstLine="28" w:firstLineChars="14"/>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(4)中标人提供的各种文件载明的内容必须真实，买方对产品的技术数据置疑时有权要求中标人按照双方认可的第三方的试验方法进行检测（检测费用由中标人承担），检测结果必须证明中标人提供的技术数据是真实的，否则视为不合格。</w:t>
            </w:r>
          </w:p>
        </w:tc>
      </w:tr>
      <w:tr w14:paraId="5EEAAAFC">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noWrap w:val="0"/>
            <w:vAlign w:val="center"/>
          </w:tcPr>
          <w:p w14:paraId="7084FC5D">
            <w:pPr>
              <w:widowControl w:val="0"/>
              <w:ind w:left="-388" w:leftChars="-185" w:firstLine="370" w:firstLineChars="185"/>
              <w:jc w:val="left"/>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20.</w:t>
            </w:r>
            <w:r>
              <w:rPr>
                <w:rFonts w:hint="eastAsia" w:ascii="宋体" w:hAnsi="宋体" w:eastAsia="宋体" w:cs="宋体"/>
                <w:color w:val="000000"/>
                <w:kern w:val="2"/>
                <w:sz w:val="20"/>
                <w:szCs w:val="20"/>
                <w:lang w:eastAsia="zh-CN"/>
              </w:rPr>
              <w:t>安装调试方案</w:t>
            </w:r>
          </w:p>
        </w:tc>
        <w:tc>
          <w:tcPr>
            <w:tcW w:w="8294" w:type="dxa"/>
            <w:gridSpan w:val="3"/>
            <w:noWrap w:val="0"/>
            <w:vAlign w:val="center"/>
          </w:tcPr>
          <w:p w14:paraId="68BDA40F">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0</w:t>
            </w:r>
            <w:r>
              <w:rPr>
                <w:rFonts w:hint="eastAsia" w:ascii="宋体" w:hAnsi="宋体" w:eastAsia="宋体" w:cs="宋体"/>
                <w:color w:val="000000"/>
                <w:kern w:val="2"/>
                <w:sz w:val="20"/>
                <w:szCs w:val="20"/>
                <w:lang w:eastAsia="zh-CN"/>
              </w:rPr>
              <w:t>.1中标人可至工地现场进行实地考察，并结合现场实际情况编制并提交详细的安装调试管理方案及进度计划。</w:t>
            </w:r>
          </w:p>
        </w:tc>
      </w:tr>
      <w:tr w14:paraId="63E2384B">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noWrap w:val="0"/>
            <w:vAlign w:val="center"/>
          </w:tcPr>
          <w:p w14:paraId="55E82381">
            <w:pPr>
              <w:widowControl w:val="0"/>
              <w:jc w:val="center"/>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1.</w:t>
            </w:r>
            <w:r>
              <w:rPr>
                <w:rFonts w:hint="eastAsia" w:ascii="宋体" w:hAnsi="宋体" w:eastAsia="宋体" w:cs="宋体"/>
                <w:color w:val="000000"/>
                <w:kern w:val="2"/>
                <w:sz w:val="20"/>
                <w:szCs w:val="20"/>
                <w:lang w:eastAsia="zh-CN"/>
              </w:rPr>
              <w:t>设备标示</w:t>
            </w:r>
          </w:p>
        </w:tc>
        <w:tc>
          <w:tcPr>
            <w:tcW w:w="8294" w:type="dxa"/>
            <w:gridSpan w:val="3"/>
            <w:noWrap w:val="0"/>
            <w:vAlign w:val="center"/>
          </w:tcPr>
          <w:p w14:paraId="3C685D4F">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1</w:t>
            </w:r>
            <w:r>
              <w:rPr>
                <w:rFonts w:hint="eastAsia" w:ascii="宋体" w:hAnsi="宋体" w:eastAsia="宋体" w:cs="宋体"/>
                <w:color w:val="000000"/>
                <w:kern w:val="2"/>
                <w:sz w:val="20"/>
                <w:szCs w:val="20"/>
                <w:lang w:eastAsia="zh-CN"/>
              </w:rPr>
              <w:t>.1设备的铭牌、使用指示、警告指示应以中文或英文及简明易懂的通用符号来表示，并准确地表示设备的型号、规格、制造商。</w:t>
            </w:r>
          </w:p>
        </w:tc>
      </w:tr>
      <w:tr w14:paraId="7BE77B63">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1105" w:hRule="atLeast"/>
          <w:tblCellSpacing w:w="0" w:type="dxa"/>
          <w:jc w:val="center"/>
        </w:trPr>
        <w:tc>
          <w:tcPr>
            <w:tcW w:w="836" w:type="dxa"/>
            <w:vMerge w:val="restart"/>
            <w:noWrap w:val="0"/>
            <w:vAlign w:val="center"/>
          </w:tcPr>
          <w:p w14:paraId="76836FAA">
            <w:pPr>
              <w:widowControl w:val="0"/>
              <w:spacing w:line="240" w:lineRule="atLeast"/>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22.</w:t>
            </w:r>
            <w:r>
              <w:rPr>
                <w:rFonts w:hint="eastAsia" w:ascii="宋体" w:hAnsi="宋体" w:eastAsia="宋体" w:cs="宋体"/>
                <w:color w:val="000000"/>
                <w:kern w:val="2"/>
                <w:sz w:val="20"/>
                <w:szCs w:val="20"/>
                <w:lang w:eastAsia="zh-CN"/>
              </w:rPr>
              <w:t>设备、材料到货现场验收办法及提供资料</w:t>
            </w:r>
          </w:p>
        </w:tc>
        <w:tc>
          <w:tcPr>
            <w:tcW w:w="1531" w:type="dxa"/>
            <w:noWrap w:val="0"/>
            <w:vAlign w:val="center"/>
          </w:tcPr>
          <w:p w14:paraId="562E8F20">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22.1进口产品</w:t>
            </w:r>
          </w:p>
        </w:tc>
        <w:tc>
          <w:tcPr>
            <w:tcW w:w="6763" w:type="dxa"/>
            <w:gridSpan w:val="2"/>
            <w:noWrap w:val="0"/>
            <w:vAlign w:val="center"/>
          </w:tcPr>
          <w:p w14:paraId="48D2F79B">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(1)如中标人提供的整机、部件或原材料为进口产品，则必须自行办理一切进口手续，必须提供完备的进口报关单、</w:t>
            </w:r>
            <w:r>
              <w:rPr>
                <w:rFonts w:hint="eastAsia" w:ascii="宋体" w:hAnsi="宋体" w:eastAsia="宋体" w:cs="宋体"/>
                <w:bCs/>
                <w:color w:val="000000"/>
                <w:kern w:val="2"/>
                <w:sz w:val="20"/>
                <w:szCs w:val="20"/>
                <w:lang w:eastAsia="zh-CN"/>
              </w:rPr>
              <w:t>装箱单原件</w:t>
            </w:r>
            <w:r>
              <w:rPr>
                <w:rFonts w:hint="eastAsia" w:ascii="宋体" w:hAnsi="宋体" w:eastAsia="宋体" w:cs="宋体"/>
                <w:color w:val="000000"/>
                <w:kern w:val="2"/>
                <w:sz w:val="20"/>
                <w:szCs w:val="20"/>
                <w:lang w:eastAsia="zh-CN"/>
              </w:rPr>
              <w:t>及其他必要的文件，并作为判断其产品合格的依据之一。货物运至现场后，由监理工程师组织发包人、中标人、进口监管共同对所供货物的外观、型号规格、数量等验收，产品的技术参数经检验必须满足招标文件的要求并与投标书提供的情况相符。中标人供货时须提供以下质量证明文件及其它相关资料：①货物装运单及保险单；②到货及装箱清单；③产品出厂检验合格证、产品质量保证书、设备调试报告，如有有关规定要求的，还应提供生产许可证、医疗器械产品注册证；④当地商会出具的产地证书；⑤报关单，关税单，海关增值税单；⑥设备保修证明；⑦设备产地证明资料；⑧中文版的设备安装、操作和维修保养手册。货物经验收合格签字后，并不能免除中标人对货物应承担的责任。中标人提供的各种文件载明的内容必须真实，货物按照招标书要求及投标书提供的技术参数验收必须合格，若设备验收时有关技术参数不能满足招标书技术要求，招标人有权要求更换并同时有权要求索赔，招标人对产品的技术数据置疑时有权要求中标人按照双方认可的第三方的试验方法进行检测（检测费用由中标人承担），检测结果必须证明中标人提供的技术数据是真实的，否则视为不合格。设备保管由中标人负责。</w:t>
            </w:r>
          </w:p>
        </w:tc>
      </w:tr>
      <w:tr w14:paraId="0C96521F">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3340" w:hRule="atLeast"/>
          <w:tblCellSpacing w:w="0" w:type="dxa"/>
          <w:jc w:val="center"/>
        </w:trPr>
        <w:tc>
          <w:tcPr>
            <w:tcW w:w="836" w:type="dxa"/>
            <w:vMerge w:val="continue"/>
            <w:noWrap w:val="0"/>
            <w:vAlign w:val="center"/>
          </w:tcPr>
          <w:p w14:paraId="3418534C">
            <w:pPr>
              <w:widowControl w:val="0"/>
              <w:spacing w:line="240" w:lineRule="atLeast"/>
              <w:jc w:val="both"/>
              <w:rPr>
                <w:rFonts w:hint="eastAsia" w:ascii="宋体" w:hAnsi="宋体" w:eastAsia="宋体" w:cs="宋体"/>
                <w:color w:val="000000"/>
                <w:kern w:val="2"/>
                <w:sz w:val="20"/>
                <w:szCs w:val="20"/>
                <w:lang w:eastAsia="zh-CN"/>
              </w:rPr>
            </w:pPr>
          </w:p>
        </w:tc>
        <w:tc>
          <w:tcPr>
            <w:tcW w:w="1531" w:type="dxa"/>
            <w:noWrap w:val="0"/>
            <w:vAlign w:val="center"/>
          </w:tcPr>
          <w:p w14:paraId="21CDB1F8">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22.2国产产品</w:t>
            </w:r>
          </w:p>
        </w:tc>
        <w:tc>
          <w:tcPr>
            <w:tcW w:w="6763" w:type="dxa"/>
            <w:gridSpan w:val="2"/>
            <w:noWrap w:val="0"/>
            <w:vAlign w:val="center"/>
          </w:tcPr>
          <w:p w14:paraId="10AA6C06">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货物运至现场后，由监理工程师组织发包人、中标人共同对所供货物的外观、型号规格、数量等验收。中标人供货时须提供以下质量证明文件及其它相关资料：①设备、材料装箱、到货清单；②产品出厂检验合格证书、设备调试报告，如有有关规定要求的话，还应提供生产许可证；③进口设备及部件、原材料的商检证明资料；④设备保修证明；⑤中文版的设备安装、操作和维修保养手册。货物经验收合格签字后，并不能免除中标人对货物应承担的责任。中标人提供的各种文件载明的内容必须真实，货物按照招标书要求及投标书提供的技术参数验收必须合格，若设备验收时有关技术参数不能满足招标书技术要求，招标人有权要求更换并同时有权要求索赔，招标人对产品的技术数据质疑时有权要求中标人按照双方认可的第三方的试验方法进行检测（检测费用由中标人承担），检测结果必须证明中标人提供的技术数据是真实的，否则视为不合格。设备保管由中标人负责。</w:t>
            </w:r>
          </w:p>
        </w:tc>
      </w:tr>
      <w:tr w14:paraId="5DC98F7D">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restart"/>
            <w:noWrap w:val="0"/>
            <w:vAlign w:val="center"/>
          </w:tcPr>
          <w:p w14:paraId="4435BFFC">
            <w:pPr>
              <w:widowControl w:val="0"/>
              <w:spacing w:line="240" w:lineRule="atLeast"/>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23.</w:t>
            </w:r>
            <w:r>
              <w:rPr>
                <w:rFonts w:hint="eastAsia" w:ascii="宋体" w:hAnsi="宋体" w:eastAsia="宋体" w:cs="宋体"/>
                <w:color w:val="000000"/>
                <w:kern w:val="2"/>
                <w:sz w:val="20"/>
                <w:szCs w:val="20"/>
                <w:lang w:eastAsia="zh-CN"/>
              </w:rPr>
              <w:t>初步验收</w:t>
            </w:r>
          </w:p>
        </w:tc>
        <w:tc>
          <w:tcPr>
            <w:tcW w:w="8294" w:type="dxa"/>
            <w:gridSpan w:val="3"/>
            <w:noWrap w:val="0"/>
            <w:vAlign w:val="center"/>
          </w:tcPr>
          <w:p w14:paraId="71FEC814">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3</w:t>
            </w:r>
            <w:r>
              <w:rPr>
                <w:rFonts w:hint="eastAsia" w:ascii="宋体" w:hAnsi="宋体" w:eastAsia="宋体" w:cs="宋体"/>
                <w:color w:val="000000"/>
                <w:kern w:val="2"/>
                <w:sz w:val="20"/>
                <w:szCs w:val="20"/>
                <w:lang w:eastAsia="zh-CN"/>
              </w:rPr>
              <w:t>.1每台设备安装完毕后应进行设备及系统调试，中标人负责进行此项工作。通过设备及系统调试，测试和调整各机组及系统的各项参数，并确保取得政府相关部门的验收批文。</w:t>
            </w:r>
          </w:p>
        </w:tc>
      </w:tr>
      <w:tr w14:paraId="26A694CB">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658" w:hRule="atLeast"/>
          <w:tblCellSpacing w:w="0" w:type="dxa"/>
          <w:jc w:val="center"/>
        </w:trPr>
        <w:tc>
          <w:tcPr>
            <w:tcW w:w="836" w:type="dxa"/>
            <w:vMerge w:val="continue"/>
            <w:noWrap w:val="0"/>
            <w:vAlign w:val="center"/>
          </w:tcPr>
          <w:p w14:paraId="292E2B98">
            <w:pPr>
              <w:widowControl w:val="0"/>
              <w:spacing w:line="240" w:lineRule="atLeast"/>
              <w:jc w:val="both"/>
              <w:rPr>
                <w:rFonts w:hint="eastAsia" w:ascii="宋体" w:hAnsi="宋体" w:eastAsia="宋体" w:cs="宋体"/>
                <w:color w:val="000000"/>
                <w:kern w:val="2"/>
                <w:sz w:val="20"/>
                <w:szCs w:val="20"/>
                <w:lang w:eastAsia="zh-CN"/>
              </w:rPr>
            </w:pPr>
          </w:p>
        </w:tc>
        <w:tc>
          <w:tcPr>
            <w:tcW w:w="8294" w:type="dxa"/>
            <w:gridSpan w:val="3"/>
            <w:noWrap w:val="0"/>
            <w:vAlign w:val="center"/>
          </w:tcPr>
          <w:p w14:paraId="36DD8A91">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3</w:t>
            </w:r>
            <w:r>
              <w:rPr>
                <w:rFonts w:hint="eastAsia" w:ascii="宋体" w:hAnsi="宋体" w:eastAsia="宋体" w:cs="宋体"/>
                <w:color w:val="000000"/>
                <w:kern w:val="2"/>
                <w:sz w:val="20"/>
                <w:szCs w:val="20"/>
                <w:lang w:eastAsia="zh-CN"/>
              </w:rPr>
              <w:t>.2设备及系统调试合格后，可以办理初步验收手续。中标人应提供设备及系统的调试报告，经监理单位和发包人签字后作为货款的支付凭据。</w:t>
            </w:r>
          </w:p>
        </w:tc>
      </w:tr>
      <w:tr w14:paraId="6D3AE01D">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357" w:hRule="atLeast"/>
          <w:tblCellSpacing w:w="0" w:type="dxa"/>
          <w:jc w:val="center"/>
        </w:trPr>
        <w:tc>
          <w:tcPr>
            <w:tcW w:w="836" w:type="dxa"/>
            <w:vMerge w:val="restart"/>
            <w:noWrap w:val="0"/>
            <w:vAlign w:val="center"/>
          </w:tcPr>
          <w:p w14:paraId="72954960">
            <w:pPr>
              <w:widowControl w:val="0"/>
              <w:spacing w:line="240" w:lineRule="atLeast"/>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4.</w:t>
            </w:r>
            <w:r>
              <w:rPr>
                <w:rFonts w:hint="eastAsia" w:ascii="宋体" w:hAnsi="宋体" w:eastAsia="宋体" w:cs="宋体"/>
                <w:color w:val="000000"/>
                <w:kern w:val="2"/>
                <w:sz w:val="20"/>
                <w:szCs w:val="20"/>
                <w:lang w:eastAsia="zh-CN"/>
              </w:rPr>
              <w:t>竣工验收</w:t>
            </w:r>
          </w:p>
        </w:tc>
        <w:tc>
          <w:tcPr>
            <w:tcW w:w="8294" w:type="dxa"/>
            <w:gridSpan w:val="3"/>
            <w:noWrap w:val="0"/>
            <w:vAlign w:val="center"/>
          </w:tcPr>
          <w:p w14:paraId="7F407EBF">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4</w:t>
            </w:r>
            <w:r>
              <w:rPr>
                <w:rFonts w:hint="eastAsia" w:ascii="宋体" w:hAnsi="宋体" w:eastAsia="宋体" w:cs="宋体"/>
                <w:color w:val="000000"/>
                <w:kern w:val="2"/>
                <w:sz w:val="20"/>
                <w:szCs w:val="20"/>
                <w:lang w:eastAsia="zh-CN"/>
              </w:rPr>
              <w:t>.1执行深圳市现行的验收法规和管理办法。</w:t>
            </w:r>
          </w:p>
        </w:tc>
      </w:tr>
      <w:tr w14:paraId="31A7DD2A">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377" w:hRule="atLeast"/>
          <w:tblCellSpacing w:w="0" w:type="dxa"/>
          <w:jc w:val="center"/>
        </w:trPr>
        <w:tc>
          <w:tcPr>
            <w:tcW w:w="836" w:type="dxa"/>
            <w:vMerge w:val="continue"/>
            <w:noWrap w:val="0"/>
            <w:vAlign w:val="center"/>
          </w:tcPr>
          <w:p w14:paraId="22E09768">
            <w:pPr>
              <w:widowControl w:val="0"/>
              <w:spacing w:line="240" w:lineRule="atLeast"/>
              <w:jc w:val="both"/>
              <w:rPr>
                <w:rFonts w:hint="eastAsia" w:ascii="宋体" w:hAnsi="宋体" w:eastAsia="宋体" w:cs="宋体"/>
                <w:color w:val="000000"/>
                <w:kern w:val="2"/>
                <w:sz w:val="20"/>
                <w:szCs w:val="20"/>
                <w:lang w:eastAsia="zh-CN"/>
              </w:rPr>
            </w:pPr>
          </w:p>
        </w:tc>
        <w:tc>
          <w:tcPr>
            <w:tcW w:w="8294" w:type="dxa"/>
            <w:gridSpan w:val="3"/>
            <w:noWrap w:val="0"/>
            <w:vAlign w:val="center"/>
          </w:tcPr>
          <w:p w14:paraId="174E844B">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4</w:t>
            </w:r>
            <w:r>
              <w:rPr>
                <w:rFonts w:hint="eastAsia" w:ascii="宋体" w:hAnsi="宋体" w:eastAsia="宋体" w:cs="宋体"/>
                <w:color w:val="000000"/>
                <w:kern w:val="2"/>
                <w:sz w:val="20"/>
                <w:szCs w:val="20"/>
                <w:lang w:eastAsia="zh-CN"/>
              </w:rPr>
              <w:t>.2中标人提供设备及系统调试报告。</w:t>
            </w:r>
          </w:p>
        </w:tc>
      </w:tr>
      <w:tr w14:paraId="7EAFBA3C">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356" w:hRule="atLeast"/>
          <w:tblCellSpacing w:w="0" w:type="dxa"/>
          <w:jc w:val="center"/>
        </w:trPr>
        <w:tc>
          <w:tcPr>
            <w:tcW w:w="836" w:type="dxa"/>
            <w:vMerge w:val="continue"/>
            <w:noWrap w:val="0"/>
            <w:vAlign w:val="center"/>
          </w:tcPr>
          <w:p w14:paraId="0F79751D">
            <w:pPr>
              <w:widowControl w:val="0"/>
              <w:spacing w:line="240" w:lineRule="atLeast"/>
              <w:jc w:val="both"/>
              <w:rPr>
                <w:rFonts w:hint="eastAsia" w:ascii="宋体" w:hAnsi="宋体" w:eastAsia="宋体" w:cs="宋体"/>
                <w:color w:val="000000"/>
                <w:kern w:val="2"/>
                <w:sz w:val="20"/>
                <w:szCs w:val="20"/>
                <w:lang w:eastAsia="zh-CN"/>
              </w:rPr>
            </w:pPr>
          </w:p>
        </w:tc>
        <w:tc>
          <w:tcPr>
            <w:tcW w:w="8294" w:type="dxa"/>
            <w:gridSpan w:val="3"/>
            <w:noWrap w:val="0"/>
            <w:vAlign w:val="center"/>
          </w:tcPr>
          <w:p w14:paraId="6ADCF3ED">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4</w:t>
            </w:r>
            <w:r>
              <w:rPr>
                <w:rFonts w:hint="eastAsia" w:ascii="宋体" w:hAnsi="宋体" w:eastAsia="宋体" w:cs="宋体"/>
                <w:color w:val="000000"/>
                <w:kern w:val="2"/>
                <w:sz w:val="20"/>
                <w:szCs w:val="20"/>
                <w:lang w:eastAsia="zh-CN"/>
              </w:rPr>
              <w:t>.3中标人提供设备及系统质量保修书。</w:t>
            </w:r>
          </w:p>
        </w:tc>
      </w:tr>
      <w:tr w14:paraId="27B4669A">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noWrap w:val="0"/>
            <w:vAlign w:val="center"/>
          </w:tcPr>
          <w:p w14:paraId="6D1F202D">
            <w:pPr>
              <w:widowControl w:val="0"/>
              <w:spacing w:line="240" w:lineRule="atLeast"/>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5.</w:t>
            </w:r>
            <w:r>
              <w:rPr>
                <w:rFonts w:hint="eastAsia" w:ascii="宋体" w:hAnsi="宋体" w:eastAsia="宋体" w:cs="宋体"/>
                <w:color w:val="000000"/>
                <w:kern w:val="2"/>
                <w:sz w:val="20"/>
                <w:szCs w:val="20"/>
                <w:lang w:eastAsia="zh-CN"/>
              </w:rPr>
              <w:t>验收要求</w:t>
            </w:r>
          </w:p>
        </w:tc>
        <w:tc>
          <w:tcPr>
            <w:tcW w:w="8294" w:type="dxa"/>
            <w:gridSpan w:val="3"/>
            <w:noWrap w:val="0"/>
            <w:vAlign w:val="center"/>
          </w:tcPr>
          <w:p w14:paraId="3466DCBA">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25.1</w:t>
            </w:r>
            <w:r>
              <w:rPr>
                <w:rFonts w:hint="eastAsia" w:ascii="宋体" w:hAnsi="宋体" w:eastAsia="宋体" w:cs="宋体"/>
                <w:color w:val="000000"/>
                <w:kern w:val="2"/>
                <w:sz w:val="20"/>
                <w:szCs w:val="20"/>
                <w:lang w:eastAsia="zh-CN"/>
              </w:rPr>
              <w:t>所有验收均须严格按国家、深圳市、招标人的相关制度、表格的要求办理。</w:t>
            </w:r>
          </w:p>
        </w:tc>
      </w:tr>
      <w:tr w14:paraId="5AEF744C">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noWrap w:val="0"/>
            <w:vAlign w:val="center"/>
          </w:tcPr>
          <w:p w14:paraId="59D6C66B">
            <w:pPr>
              <w:widowControl w:val="0"/>
              <w:spacing w:line="240" w:lineRule="atLeast"/>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6.</w:t>
            </w:r>
            <w:r>
              <w:rPr>
                <w:rFonts w:hint="eastAsia" w:ascii="宋体" w:hAnsi="宋体" w:eastAsia="宋体" w:cs="宋体"/>
                <w:color w:val="000000"/>
                <w:kern w:val="2"/>
                <w:sz w:val="20"/>
                <w:szCs w:val="20"/>
                <w:lang w:eastAsia="zh-CN"/>
              </w:rPr>
              <w:t>售后服务响应时间，维护效率</w:t>
            </w:r>
          </w:p>
        </w:tc>
        <w:tc>
          <w:tcPr>
            <w:tcW w:w="8294" w:type="dxa"/>
            <w:gridSpan w:val="3"/>
            <w:noWrap w:val="0"/>
            <w:vAlign w:val="center"/>
          </w:tcPr>
          <w:p w14:paraId="08878CF5">
            <w:pPr>
              <w:widowControl w:val="0"/>
              <w:spacing w:line="240" w:lineRule="atLeast"/>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6</w:t>
            </w:r>
            <w:r>
              <w:rPr>
                <w:rFonts w:hint="eastAsia" w:ascii="宋体" w:hAnsi="宋体" w:eastAsia="宋体" w:cs="宋体"/>
                <w:color w:val="000000"/>
                <w:kern w:val="2"/>
                <w:sz w:val="20"/>
                <w:szCs w:val="20"/>
                <w:lang w:eastAsia="zh-CN"/>
              </w:rPr>
              <w:t>.1验收完成后，若电梯出现故障，中标人单位应及时响应，不得以任何理由拖延，如不能及时修复，则按第五章对投标人进行履约评价。</w:t>
            </w:r>
          </w:p>
        </w:tc>
      </w:tr>
    </w:tbl>
    <w:p w14:paraId="1D367216">
      <w:pPr>
        <w:rPr>
          <w:rFonts w:hint="eastAsia" w:ascii="宋体" w:hAnsi="宋体"/>
        </w:rPr>
        <w:sectPr>
          <w:footerReference r:id="rId5" w:type="default"/>
          <w:pgSz w:w="11906" w:h="16838"/>
          <w:pgMar w:top="1418" w:right="1418" w:bottom="1418" w:left="1418" w:header="851" w:footer="851" w:gutter="0"/>
          <w:pgNumType w:fmt="decimal"/>
          <w:cols w:space="720" w:num="1"/>
          <w:docGrid w:type="lines" w:linePitch="312" w:charSpace="0"/>
        </w:sectPr>
      </w:pPr>
    </w:p>
    <w:p w14:paraId="382FC670">
      <w:pPr>
        <w:ind w:firstLine="198"/>
        <w:outlineLvl w:val="1"/>
        <w:rPr>
          <w:b/>
          <w:sz w:val="24"/>
        </w:rPr>
      </w:pPr>
      <w:r>
        <w:rPr>
          <w:rFonts w:hint="eastAsia"/>
          <w:b/>
          <w:sz w:val="24"/>
          <w:lang w:val="en-US" w:eastAsia="zh-CN"/>
        </w:rPr>
        <w:t>二</w:t>
      </w:r>
      <w:r>
        <w:rPr>
          <w:rFonts w:hint="eastAsia"/>
          <w:b/>
          <w:sz w:val="24"/>
        </w:rPr>
        <w:t>、主要技术参数</w:t>
      </w:r>
    </w:p>
    <w:p w14:paraId="2AAFBB03">
      <w:pPr>
        <w:ind w:left="479" w:leftChars="228" w:firstLine="120" w:firstLineChars="50"/>
        <w:rPr>
          <w:rFonts w:hint="eastAsia" w:ascii="宋体" w:hAnsi="宋体" w:cs="Arial"/>
          <w:b/>
          <w:sz w:val="24"/>
        </w:rPr>
      </w:pPr>
      <w:r>
        <w:rPr>
          <w:rFonts w:hint="eastAsia" w:ascii="宋体" w:hAnsi="宋体" w:cs="Arial"/>
          <w:b/>
          <w:color w:val="000000" w:themeColor="text1"/>
          <w:sz w:val="24"/>
          <w14:textFill>
            <w14:solidFill>
              <w14:schemeClr w14:val="tx1"/>
            </w14:solidFill>
          </w14:textFill>
        </w:rPr>
        <w:t>1</w:t>
      </w:r>
      <w:r>
        <w:rPr>
          <w:rFonts w:hint="eastAsia" w:ascii="宋体" w:hAnsi="宋体" w:cs="Arial"/>
          <w:b/>
          <w:color w:val="000000" w:themeColor="text1"/>
          <w:sz w:val="24"/>
          <w:lang w:val="en-US" w:eastAsia="zh-CN"/>
          <w14:textFill>
            <w14:solidFill>
              <w14:schemeClr w14:val="tx1"/>
            </w14:solidFill>
          </w14:textFill>
        </w:rPr>
        <w:t>.</w:t>
      </w:r>
      <w:r>
        <w:rPr>
          <w:rFonts w:hint="eastAsia" w:ascii="宋体" w:hAnsi="宋体" w:cs="Arial"/>
          <w:b w:val="0"/>
          <w:bCs/>
          <w:color w:val="auto"/>
          <w:sz w:val="24"/>
          <w:highlight w:val="none"/>
        </w:rPr>
        <w:t>有机房客梯（3部）、其中一部兼做无障碍电梯：速度</w:t>
      </w:r>
      <w:r>
        <w:rPr>
          <w:rFonts w:hint="eastAsia" w:ascii="宋体" w:hAnsi="宋体" w:cs="Arial"/>
          <w:b w:val="0"/>
          <w:bCs/>
          <w:color w:val="auto"/>
          <w:sz w:val="24"/>
          <w:highlight w:val="none"/>
          <w:lang w:val="en-US" w:eastAsia="zh-CN"/>
        </w:rPr>
        <w:t>2.0</w:t>
      </w:r>
      <w:r>
        <w:rPr>
          <w:rFonts w:hint="eastAsia" w:ascii="宋体" w:hAnsi="宋体" w:cs="Arial"/>
          <w:b w:val="0"/>
          <w:bCs/>
          <w:color w:val="auto"/>
          <w:sz w:val="24"/>
          <w:highlight w:val="none"/>
        </w:rPr>
        <w:t>M/S；有机房消防电梯兼做货梯（1部）：速度1.</w:t>
      </w:r>
      <w:r>
        <w:rPr>
          <w:rFonts w:ascii="宋体" w:hAnsi="宋体" w:cs="Arial"/>
          <w:b w:val="0"/>
          <w:bCs/>
          <w:color w:val="auto"/>
          <w:sz w:val="24"/>
          <w:highlight w:val="none"/>
        </w:rPr>
        <w:t>75</w:t>
      </w:r>
      <w:r>
        <w:rPr>
          <w:rFonts w:hint="eastAsia" w:ascii="宋体" w:hAnsi="宋体" w:cs="Arial"/>
          <w:b w:val="0"/>
          <w:bCs/>
          <w:color w:val="auto"/>
          <w:sz w:val="24"/>
          <w:highlight w:val="none"/>
        </w:rPr>
        <w:t>M/S</w:t>
      </w:r>
      <w:r>
        <w:rPr>
          <w:rFonts w:hint="eastAsia" w:ascii="宋体" w:hAnsi="宋体" w:cs="Arial"/>
          <w:b w:val="0"/>
          <w:bCs/>
          <w:color w:val="auto"/>
          <w:sz w:val="24"/>
          <w:highlight w:val="none"/>
          <w:lang w:eastAsia="zh-CN"/>
        </w:rPr>
        <w:t>；</w:t>
      </w:r>
      <w:r>
        <w:rPr>
          <w:rFonts w:hint="eastAsia" w:ascii="宋体" w:hAnsi="宋体" w:cs="Arial"/>
          <w:b w:val="0"/>
          <w:bCs/>
          <w:color w:val="auto"/>
          <w:sz w:val="24"/>
          <w:highlight w:val="none"/>
        </w:rPr>
        <w:t>电梯选用品牌</w:t>
      </w:r>
      <w:r>
        <w:rPr>
          <w:rFonts w:hint="eastAsia" w:ascii="宋体" w:hAnsi="宋体" w:cs="Arial"/>
          <w:b w:val="0"/>
          <w:bCs/>
          <w:color w:val="auto"/>
          <w:sz w:val="24"/>
          <w:highlight w:val="none"/>
          <w:lang w:val="en-US" w:eastAsia="zh-CN"/>
        </w:rPr>
        <w:t>不限，需符合国家相关规范及验收标准。</w:t>
      </w:r>
    </w:p>
    <w:p w14:paraId="24477192">
      <w:pPr>
        <w:ind w:firstLine="480" w:firstLineChars="200"/>
        <w:rPr>
          <w:rFonts w:hint="default" w:ascii="宋体" w:hAnsi="宋体" w:eastAsia="宋体" w:cs="Arial"/>
          <w:sz w:val="24"/>
          <w:lang w:val="en-US" w:eastAsia="zh-CN"/>
        </w:rPr>
      </w:pPr>
      <w:r>
        <w:rPr>
          <w:rFonts w:hint="eastAsia" w:ascii="宋体" w:hAnsi="宋体" w:cs="Arial"/>
          <w:sz w:val="24"/>
        </w:rPr>
        <w:t>（1）设备形式：有机房电梯</w:t>
      </w:r>
    </w:p>
    <w:p w14:paraId="48C354A1">
      <w:pPr>
        <w:ind w:firstLine="480" w:firstLineChars="200"/>
        <w:rPr>
          <w:rFonts w:hint="eastAsia" w:ascii="宋体" w:hAnsi="宋体" w:cs="Arial"/>
          <w:sz w:val="24"/>
        </w:rPr>
      </w:pPr>
      <w:r>
        <w:rPr>
          <w:rFonts w:hint="eastAsia" w:ascii="宋体" w:hAnsi="宋体" w:cs="Arial"/>
          <w:sz w:val="24"/>
        </w:rPr>
        <w:t>（2）井道结构：钢筋混凝土或砌体</w:t>
      </w:r>
    </w:p>
    <w:p w14:paraId="195B48E8">
      <w:pPr>
        <w:ind w:firstLine="480" w:firstLineChars="200"/>
        <w:rPr>
          <w:rFonts w:hint="eastAsia" w:ascii="宋体" w:hAnsi="宋体" w:cs="Arial"/>
          <w:sz w:val="24"/>
        </w:rPr>
      </w:pPr>
      <w:r>
        <w:rPr>
          <w:rFonts w:hint="eastAsia" w:ascii="宋体" w:hAnsi="宋体" w:cs="Arial"/>
          <w:sz w:val="24"/>
        </w:rPr>
        <w:t>（3）额定载重、额定速度、提升高度、停站层数：</w:t>
      </w:r>
    </w:p>
    <w:p w14:paraId="419E076B">
      <w:pPr>
        <w:ind w:firstLine="1080" w:firstLineChars="450"/>
        <w:rPr>
          <w:rFonts w:hint="eastAsia" w:ascii="宋体" w:hAnsi="宋体" w:cs="Arial"/>
          <w:sz w:val="24"/>
        </w:rPr>
      </w:pPr>
      <w:r>
        <w:rPr>
          <w:rFonts w:hint="eastAsia" w:ascii="宋体" w:hAnsi="宋体" w:cs="Arial"/>
          <w:sz w:val="24"/>
        </w:rPr>
        <w:t>规格</w:t>
      </w:r>
      <w:r>
        <w:rPr>
          <w:rFonts w:hint="eastAsia" w:ascii="宋体" w:hAnsi="宋体" w:cs="Arial"/>
          <w:sz w:val="24"/>
          <w:lang w:eastAsia="zh-CN"/>
        </w:rPr>
        <w:t>详见</w:t>
      </w:r>
      <w:r>
        <w:rPr>
          <w:rFonts w:hint="eastAsia" w:ascii="宋体" w:hAnsi="宋体" w:cs="Arial"/>
          <w:sz w:val="24"/>
        </w:rPr>
        <w:t>“</w:t>
      </w:r>
      <w:r>
        <w:rPr>
          <w:rFonts w:hint="eastAsia" w:ascii="宋体" w:hAnsi="宋体"/>
          <w:sz w:val="24"/>
        </w:rPr>
        <w:t>电梯设备规格参数一览表”</w:t>
      </w:r>
    </w:p>
    <w:p w14:paraId="4CE7784E">
      <w:pPr>
        <w:ind w:firstLine="482" w:firstLineChars="200"/>
        <w:rPr>
          <w:rFonts w:hint="eastAsia" w:ascii="宋体" w:hAnsi="宋体"/>
          <w:b/>
          <w:sz w:val="24"/>
        </w:rPr>
      </w:pPr>
      <w:r>
        <w:rPr>
          <w:rFonts w:hint="eastAsia" w:ascii="宋体" w:hAnsi="宋体"/>
          <w:b/>
          <w:sz w:val="24"/>
        </w:rPr>
        <w:t>2</w:t>
      </w:r>
      <w:r>
        <w:rPr>
          <w:rFonts w:hint="eastAsia" w:ascii="宋体" w:hAnsi="宋体"/>
          <w:b/>
          <w:sz w:val="24"/>
          <w:lang w:val="en-US" w:eastAsia="zh-CN"/>
        </w:rPr>
        <w:t>.</w:t>
      </w:r>
      <w:r>
        <w:rPr>
          <w:rFonts w:hint="eastAsia" w:ascii="宋体" w:hAnsi="宋体"/>
          <w:b/>
          <w:sz w:val="24"/>
        </w:rPr>
        <w:t>电梯装潢要求及增加功能配置（除各品牌电梯原配置标准功能外）</w:t>
      </w:r>
    </w:p>
    <w:p w14:paraId="502BBBFB">
      <w:pPr>
        <w:ind w:firstLine="600" w:firstLineChars="250"/>
        <w:rPr>
          <w:rFonts w:hint="default" w:eastAsia="宋体"/>
          <w:b/>
          <w:sz w:val="24"/>
          <w:highlight w:val="none"/>
          <w:lang w:val="en-US" w:eastAsia="zh-CN"/>
        </w:rPr>
      </w:pPr>
      <w:r>
        <w:rPr>
          <w:rFonts w:hint="eastAsia" w:ascii="宋体" w:hAnsi="宋体"/>
          <w:sz w:val="24"/>
          <w:highlight w:val="none"/>
        </w:rPr>
        <w:t>电梯轿厢壁及轿厢门为一次成型发纹不锈钢；轿内操纵箱为一体式发纹不锈钢面板（前壁尺寸不足时允许调整为侧壁嵌入式安装），10.4英寸液晶显示，通风方式为格栅通风孔及横流风扇；轿厢地板铺设大理石地板；电梯门套、厅门全部为发纹不锈钢；电梯加装专用空调、停电应急装置、音频电缆、ITV电缆、五方通话。数字式轿内显示，在轿内的操纵面板及每层楼的大厅召唤盒上随时用十六段数码显示电梯所在层 站，以方便乘客了解电梯当前运行位置。</w:t>
      </w:r>
      <w:r>
        <w:rPr>
          <w:rFonts w:hint="eastAsia" w:ascii="宋体" w:hAnsi="宋体"/>
          <w:sz w:val="24"/>
          <w:highlight w:val="none"/>
          <w:lang w:val="en-US" w:eastAsia="zh-CN"/>
        </w:rPr>
        <w:t>轿内大门双侧均设置操作</w:t>
      </w:r>
      <w:bookmarkStart w:id="3" w:name="_GoBack"/>
      <w:bookmarkEnd w:id="3"/>
      <w:r>
        <w:rPr>
          <w:rFonts w:hint="eastAsia" w:ascii="宋体" w:hAnsi="宋体"/>
          <w:sz w:val="24"/>
          <w:highlight w:val="none"/>
          <w:lang w:val="en-US" w:eastAsia="zh-CN"/>
        </w:rPr>
        <w:t>面板。</w:t>
      </w:r>
    </w:p>
    <w:p w14:paraId="232A5066">
      <w:pPr>
        <w:spacing w:after="156" w:afterLines="50"/>
        <w:rPr>
          <w:sz w:val="24"/>
        </w:rPr>
      </w:pPr>
      <w:r>
        <w:rPr>
          <w:b/>
          <w:sz w:val="24"/>
        </w:rPr>
        <w:br w:type="page"/>
      </w:r>
    </w:p>
    <w:p w14:paraId="0C0A5AE4">
      <w:pPr>
        <w:rPr>
          <w:rFonts w:hint="eastAsia" w:ascii="宋体" w:hAnsi="宋体"/>
        </w:rPr>
        <w:sectPr>
          <w:footerReference r:id="rId6" w:type="default"/>
          <w:pgSz w:w="11906" w:h="16838"/>
          <w:pgMar w:top="1418" w:right="1418" w:bottom="1418" w:left="1418" w:header="851" w:footer="851" w:gutter="0"/>
          <w:pgNumType w:fmt="decimal"/>
          <w:cols w:space="720" w:num="1"/>
          <w:docGrid w:type="lines" w:linePitch="312" w:charSpace="0"/>
        </w:sectPr>
      </w:pPr>
    </w:p>
    <w:p w14:paraId="423E26E1">
      <w:pPr>
        <w:jc w:val="center"/>
        <w:rPr>
          <w:rFonts w:hint="eastAsia" w:ascii="宋体" w:hAnsi="宋体" w:cs="华文隶书"/>
          <w:sz w:val="24"/>
          <w:highlight w:val="none"/>
        </w:rPr>
      </w:pPr>
      <w:r>
        <w:rPr>
          <w:rFonts w:hint="eastAsia"/>
          <w:b/>
          <w:sz w:val="24"/>
          <w:highlight w:val="none"/>
        </w:rPr>
        <w:t>深圳供电局有限公司</w:t>
      </w:r>
      <w:r>
        <w:rPr>
          <w:rFonts w:hint="eastAsia"/>
          <w:b/>
          <w:sz w:val="24"/>
          <w:highlight w:val="none"/>
          <w:lang w:eastAsia="zh-CN"/>
        </w:rPr>
        <w:t>鹅埠</w:t>
      </w:r>
      <w:r>
        <w:rPr>
          <w:rFonts w:hint="eastAsia"/>
          <w:b/>
          <w:sz w:val="24"/>
          <w:highlight w:val="none"/>
        </w:rPr>
        <w:t>供电楼项目电梯技术规格</w:t>
      </w:r>
      <w:r>
        <w:rPr>
          <w:rFonts w:hint="eastAsia" w:ascii="宋体" w:hAnsi="宋体" w:cs="华文隶书"/>
          <w:b/>
          <w:bCs/>
          <w:kern w:val="0"/>
          <w:position w:val="-1"/>
          <w:sz w:val="24"/>
          <w:highlight w:val="none"/>
        </w:rPr>
        <w:t>一览表</w:t>
      </w:r>
    </w:p>
    <w:tbl>
      <w:tblPr>
        <w:tblStyle w:val="84"/>
        <w:tblW w:w="12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5"/>
        <w:gridCol w:w="4841"/>
        <w:gridCol w:w="5486"/>
      </w:tblGrid>
      <w:tr w14:paraId="042C2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685" w:type="dxa"/>
            <w:vAlign w:val="center"/>
          </w:tcPr>
          <w:p w14:paraId="4238ECBA">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ascii="宋体" w:hAnsi="宋体" w:cs="宋体"/>
                <w:b/>
                <w:bCs/>
                <w:color w:val="auto"/>
                <w:kern w:val="0"/>
                <w:szCs w:val="21"/>
                <w:highlight w:val="none"/>
              </w:rPr>
            </w:pPr>
            <w:r>
              <w:rPr>
                <w:b/>
                <w:bCs/>
                <w:color w:val="auto"/>
                <w:szCs w:val="21"/>
                <w:highlight w:val="none"/>
              </w:rPr>
              <w:t xml:space="preserve"> </w:t>
            </w:r>
            <w:r>
              <w:rPr>
                <w:rFonts w:hint="eastAsia" w:ascii="宋体" w:hAnsi="宋体" w:cs="宋体"/>
                <w:b/>
                <w:bCs/>
                <w:color w:val="auto"/>
                <w:kern w:val="0"/>
                <w:szCs w:val="21"/>
                <w:highlight w:val="none"/>
              </w:rPr>
              <w:t>电梯区域</w:t>
            </w:r>
          </w:p>
        </w:tc>
        <w:tc>
          <w:tcPr>
            <w:tcW w:w="4841" w:type="dxa"/>
            <w:shd w:val="clear" w:color="auto" w:fill="auto"/>
            <w:vAlign w:val="center"/>
          </w:tcPr>
          <w:p w14:paraId="13CD61D0">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kern w:val="0"/>
                <w:sz w:val="21"/>
                <w:szCs w:val="21"/>
                <w:highlight w:val="none"/>
                <w:lang w:val="en-US" w:eastAsia="zh-CN" w:bidi="ar-SA"/>
              </w:rPr>
            </w:pPr>
            <w:r>
              <w:rPr>
                <w:rFonts w:hint="eastAsia" w:ascii="宋体" w:hAnsi="宋体" w:cs="宋体"/>
                <w:b/>
                <w:bCs/>
                <w:color w:val="auto"/>
                <w:kern w:val="0"/>
                <w:szCs w:val="21"/>
                <w:highlight w:val="none"/>
              </w:rPr>
              <w:t>办公楼</w:t>
            </w:r>
          </w:p>
        </w:tc>
        <w:tc>
          <w:tcPr>
            <w:tcW w:w="5486" w:type="dxa"/>
            <w:shd w:val="clear" w:color="auto" w:fill="auto"/>
            <w:vAlign w:val="center"/>
          </w:tcPr>
          <w:p w14:paraId="57FC0A72">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kern w:val="0"/>
                <w:sz w:val="21"/>
                <w:szCs w:val="21"/>
                <w:highlight w:val="none"/>
                <w:lang w:val="en-US" w:eastAsia="zh-CN" w:bidi="ar-SA"/>
              </w:rPr>
            </w:pPr>
            <w:r>
              <w:rPr>
                <w:rFonts w:hint="eastAsia" w:ascii="宋体" w:hAnsi="宋体" w:cs="宋体"/>
                <w:b/>
                <w:bCs/>
                <w:color w:val="auto"/>
                <w:kern w:val="0"/>
                <w:szCs w:val="21"/>
                <w:highlight w:val="none"/>
              </w:rPr>
              <w:t>办公楼</w:t>
            </w:r>
          </w:p>
        </w:tc>
      </w:tr>
      <w:tr w14:paraId="16DA5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082BBE5B">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电梯编号</w:t>
            </w:r>
          </w:p>
        </w:tc>
        <w:tc>
          <w:tcPr>
            <w:tcW w:w="4841" w:type="dxa"/>
            <w:shd w:val="clear" w:color="auto" w:fill="auto"/>
            <w:vAlign w:val="center"/>
          </w:tcPr>
          <w:p w14:paraId="2D3FC31C">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D</w:t>
            </w:r>
            <w:r>
              <w:rPr>
                <w:rFonts w:ascii="宋体" w:hAnsi="宋体" w:cs="宋体"/>
                <w:b w:val="0"/>
                <w:bCs w:val="0"/>
                <w:color w:val="auto"/>
                <w:kern w:val="0"/>
                <w:szCs w:val="21"/>
                <w:highlight w:val="none"/>
              </w:rPr>
              <w:t>T1</w:t>
            </w:r>
            <w:r>
              <w:rPr>
                <w:rFonts w:hint="eastAsia" w:ascii="宋体" w:hAnsi="宋体" w:cs="宋体"/>
                <w:b w:val="0"/>
                <w:bCs w:val="0"/>
                <w:color w:val="auto"/>
                <w:kern w:val="0"/>
                <w:szCs w:val="21"/>
                <w:highlight w:val="none"/>
              </w:rPr>
              <w:t>（消防电梯兼做货梯）</w:t>
            </w:r>
          </w:p>
        </w:tc>
        <w:tc>
          <w:tcPr>
            <w:tcW w:w="5486" w:type="dxa"/>
            <w:shd w:val="clear" w:color="auto" w:fill="auto"/>
            <w:vAlign w:val="center"/>
          </w:tcPr>
          <w:p w14:paraId="42871E28">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D</w:t>
            </w:r>
            <w:r>
              <w:rPr>
                <w:rFonts w:ascii="宋体" w:hAnsi="宋体" w:cs="宋体"/>
                <w:b w:val="0"/>
                <w:bCs w:val="0"/>
                <w:color w:val="auto"/>
                <w:kern w:val="0"/>
                <w:szCs w:val="21"/>
                <w:highlight w:val="none"/>
              </w:rPr>
              <w:t>T</w:t>
            </w:r>
            <w:r>
              <w:rPr>
                <w:rFonts w:hint="eastAsia" w:ascii="宋体" w:hAnsi="宋体" w:cs="宋体"/>
                <w:b w:val="0"/>
                <w:bCs w:val="0"/>
                <w:color w:val="auto"/>
                <w:kern w:val="0"/>
                <w:szCs w:val="21"/>
                <w:highlight w:val="none"/>
              </w:rPr>
              <w:t>2（客梯）、D</w:t>
            </w:r>
            <w:r>
              <w:rPr>
                <w:rFonts w:ascii="宋体" w:hAnsi="宋体" w:cs="宋体"/>
                <w:b w:val="0"/>
                <w:bCs w:val="0"/>
                <w:color w:val="auto"/>
                <w:kern w:val="0"/>
                <w:szCs w:val="21"/>
                <w:highlight w:val="none"/>
              </w:rPr>
              <w:t>T</w:t>
            </w:r>
            <w:r>
              <w:rPr>
                <w:rFonts w:hint="eastAsia" w:ascii="宋体" w:hAnsi="宋体" w:cs="宋体"/>
                <w:b w:val="0"/>
                <w:bCs w:val="0"/>
                <w:color w:val="auto"/>
                <w:kern w:val="0"/>
                <w:szCs w:val="21"/>
                <w:highlight w:val="none"/>
              </w:rPr>
              <w:t>3（客梯）、D</w:t>
            </w:r>
            <w:r>
              <w:rPr>
                <w:rFonts w:ascii="宋体" w:hAnsi="宋体" w:cs="宋体"/>
                <w:b w:val="0"/>
                <w:bCs w:val="0"/>
                <w:color w:val="auto"/>
                <w:kern w:val="0"/>
                <w:szCs w:val="21"/>
                <w:highlight w:val="none"/>
              </w:rPr>
              <w:t>T</w:t>
            </w:r>
            <w:r>
              <w:rPr>
                <w:rFonts w:hint="eastAsia" w:ascii="宋体" w:hAnsi="宋体" w:cs="宋体"/>
                <w:b w:val="0"/>
                <w:bCs w:val="0"/>
                <w:color w:val="auto"/>
                <w:kern w:val="0"/>
                <w:szCs w:val="21"/>
                <w:highlight w:val="none"/>
              </w:rPr>
              <w:t>4（客梯兼做无障碍电梯）</w:t>
            </w:r>
            <w:r>
              <w:rPr>
                <w:rFonts w:ascii="宋体" w:hAnsi="宋体" w:cs="宋体"/>
                <w:b w:val="0"/>
                <w:bCs w:val="0"/>
                <w:color w:val="auto"/>
                <w:kern w:val="0"/>
                <w:szCs w:val="21"/>
                <w:highlight w:val="none"/>
              </w:rPr>
              <w:t xml:space="preserve"> </w:t>
            </w:r>
          </w:p>
        </w:tc>
      </w:tr>
      <w:tr w14:paraId="04F9A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19BDEA26">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电梯形式</w:t>
            </w:r>
          </w:p>
        </w:tc>
        <w:tc>
          <w:tcPr>
            <w:tcW w:w="4841" w:type="dxa"/>
            <w:shd w:val="clear" w:color="auto" w:fill="auto"/>
            <w:vAlign w:val="center"/>
          </w:tcPr>
          <w:p w14:paraId="6F9CEE3D">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有机房</w:t>
            </w:r>
          </w:p>
        </w:tc>
        <w:tc>
          <w:tcPr>
            <w:tcW w:w="5486" w:type="dxa"/>
            <w:shd w:val="clear" w:color="auto" w:fill="auto"/>
            <w:vAlign w:val="center"/>
          </w:tcPr>
          <w:p w14:paraId="0DBBEBC3">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有机房</w:t>
            </w:r>
          </w:p>
        </w:tc>
      </w:tr>
      <w:tr w14:paraId="6631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20CFD547">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载重量（</w:t>
            </w:r>
            <w:r>
              <w:rPr>
                <w:rFonts w:hint="eastAsia" w:ascii="宋体" w:hAnsi="宋体" w:cs="宋体"/>
                <w:b w:val="0"/>
                <w:bCs w:val="0"/>
                <w:color w:val="auto"/>
                <w:kern w:val="0"/>
                <w:szCs w:val="21"/>
                <w:highlight w:val="none"/>
                <w:lang w:eastAsia="zh-CN"/>
              </w:rPr>
              <w:t>kg</w:t>
            </w:r>
            <w:r>
              <w:rPr>
                <w:rFonts w:hint="eastAsia" w:ascii="宋体" w:hAnsi="宋体" w:cs="宋体"/>
                <w:b w:val="0"/>
                <w:bCs w:val="0"/>
                <w:color w:val="auto"/>
                <w:kern w:val="0"/>
                <w:szCs w:val="21"/>
                <w:highlight w:val="none"/>
              </w:rPr>
              <w:t>）</w:t>
            </w:r>
          </w:p>
        </w:tc>
        <w:tc>
          <w:tcPr>
            <w:tcW w:w="4841" w:type="dxa"/>
            <w:shd w:val="clear" w:color="auto" w:fill="auto"/>
            <w:vAlign w:val="center"/>
          </w:tcPr>
          <w:p w14:paraId="719B4282">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16</w:t>
            </w:r>
            <w:r>
              <w:rPr>
                <w:rFonts w:ascii="宋体" w:hAnsi="宋体" w:cs="宋体"/>
                <w:b w:val="0"/>
                <w:bCs w:val="0"/>
                <w:color w:val="auto"/>
                <w:kern w:val="0"/>
                <w:szCs w:val="21"/>
                <w:highlight w:val="none"/>
              </w:rPr>
              <w:t>00</w:t>
            </w:r>
          </w:p>
        </w:tc>
        <w:tc>
          <w:tcPr>
            <w:tcW w:w="5486" w:type="dxa"/>
            <w:shd w:val="clear" w:color="auto" w:fill="auto"/>
            <w:vAlign w:val="center"/>
          </w:tcPr>
          <w:p w14:paraId="551C76C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10</w:t>
            </w:r>
            <w:r>
              <w:rPr>
                <w:rFonts w:hint="eastAsia" w:ascii="宋体" w:hAnsi="宋体" w:cs="宋体"/>
                <w:b w:val="0"/>
                <w:bCs w:val="0"/>
                <w:color w:val="auto"/>
                <w:kern w:val="0"/>
                <w:szCs w:val="21"/>
                <w:highlight w:val="none"/>
                <w:lang w:val="en-US" w:eastAsia="zh-CN"/>
              </w:rPr>
              <w:t>5</w:t>
            </w:r>
            <w:r>
              <w:rPr>
                <w:rFonts w:hint="eastAsia" w:ascii="宋体" w:hAnsi="宋体" w:cs="宋体"/>
                <w:b w:val="0"/>
                <w:bCs w:val="0"/>
                <w:color w:val="auto"/>
                <w:kern w:val="0"/>
                <w:szCs w:val="21"/>
                <w:highlight w:val="none"/>
              </w:rPr>
              <w:t>0</w:t>
            </w:r>
          </w:p>
        </w:tc>
      </w:tr>
      <w:tr w14:paraId="1ABD3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68E87BF5">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速度（m/s）</w:t>
            </w:r>
          </w:p>
        </w:tc>
        <w:tc>
          <w:tcPr>
            <w:tcW w:w="4841" w:type="dxa"/>
            <w:shd w:val="clear" w:color="auto" w:fill="auto"/>
            <w:vAlign w:val="center"/>
          </w:tcPr>
          <w:p w14:paraId="71B793B5">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1.</w:t>
            </w:r>
            <w:r>
              <w:rPr>
                <w:rFonts w:ascii="宋体" w:hAnsi="宋体" w:cs="宋体"/>
                <w:b w:val="0"/>
                <w:bCs w:val="0"/>
                <w:color w:val="auto"/>
                <w:kern w:val="0"/>
                <w:szCs w:val="21"/>
                <w:highlight w:val="none"/>
              </w:rPr>
              <w:t>75</w:t>
            </w:r>
          </w:p>
        </w:tc>
        <w:tc>
          <w:tcPr>
            <w:tcW w:w="5486" w:type="dxa"/>
            <w:shd w:val="clear" w:color="auto" w:fill="auto"/>
            <w:vAlign w:val="center"/>
          </w:tcPr>
          <w:p w14:paraId="67331FFC">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2.0</w:t>
            </w:r>
          </w:p>
        </w:tc>
      </w:tr>
      <w:tr w14:paraId="299D9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5A8F43A5">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层/停站数</w:t>
            </w:r>
          </w:p>
        </w:tc>
        <w:tc>
          <w:tcPr>
            <w:tcW w:w="4841" w:type="dxa"/>
            <w:shd w:val="clear" w:color="auto" w:fill="auto"/>
            <w:vAlign w:val="center"/>
          </w:tcPr>
          <w:p w14:paraId="2A8B374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-3~12层/15</w:t>
            </w:r>
          </w:p>
        </w:tc>
        <w:tc>
          <w:tcPr>
            <w:tcW w:w="5486" w:type="dxa"/>
            <w:shd w:val="clear" w:color="auto" w:fill="auto"/>
            <w:vAlign w:val="center"/>
          </w:tcPr>
          <w:p w14:paraId="5B18FAA9">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-3~12层/15</w:t>
            </w:r>
          </w:p>
        </w:tc>
      </w:tr>
      <w:tr w14:paraId="0E97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71D0431D">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井道尺寸(mm)</w:t>
            </w:r>
          </w:p>
        </w:tc>
        <w:tc>
          <w:tcPr>
            <w:tcW w:w="4841" w:type="dxa"/>
            <w:shd w:val="clear" w:color="auto" w:fill="auto"/>
            <w:vAlign w:val="center"/>
          </w:tcPr>
          <w:p w14:paraId="2003C49C">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ascii="宋体" w:hAnsi="宋体" w:cs="宋体"/>
                <w:b w:val="0"/>
                <w:bCs w:val="0"/>
                <w:color w:val="auto"/>
                <w:kern w:val="0"/>
                <w:szCs w:val="21"/>
                <w:highlight w:val="none"/>
              </w:rPr>
              <w:t>2</w:t>
            </w:r>
            <w:r>
              <w:rPr>
                <w:rFonts w:hint="eastAsia" w:ascii="宋体" w:hAnsi="宋体" w:cs="宋体"/>
                <w:b w:val="0"/>
                <w:bCs w:val="0"/>
                <w:color w:val="auto"/>
                <w:kern w:val="0"/>
                <w:szCs w:val="21"/>
                <w:highlight w:val="none"/>
              </w:rPr>
              <w:t>8</w:t>
            </w:r>
            <w:r>
              <w:rPr>
                <w:rFonts w:ascii="宋体" w:hAnsi="宋体" w:cs="宋体"/>
                <w:b w:val="0"/>
                <w:bCs w:val="0"/>
                <w:color w:val="auto"/>
                <w:kern w:val="0"/>
                <w:szCs w:val="21"/>
                <w:highlight w:val="none"/>
              </w:rPr>
              <w:t>00X</w:t>
            </w:r>
            <w:r>
              <w:rPr>
                <w:rFonts w:hint="eastAsia" w:ascii="宋体" w:hAnsi="宋体" w:cs="宋体"/>
                <w:b w:val="0"/>
                <w:bCs w:val="0"/>
                <w:color w:val="auto"/>
                <w:kern w:val="0"/>
                <w:szCs w:val="21"/>
                <w:highlight w:val="none"/>
              </w:rPr>
              <w:t>36</w:t>
            </w:r>
            <w:r>
              <w:rPr>
                <w:rFonts w:ascii="宋体" w:hAnsi="宋体" w:cs="宋体"/>
                <w:b w:val="0"/>
                <w:bCs w:val="0"/>
                <w:color w:val="auto"/>
                <w:kern w:val="0"/>
                <w:szCs w:val="21"/>
                <w:highlight w:val="none"/>
              </w:rPr>
              <w:t>00</w:t>
            </w:r>
          </w:p>
        </w:tc>
        <w:tc>
          <w:tcPr>
            <w:tcW w:w="5486" w:type="dxa"/>
            <w:shd w:val="clear" w:color="auto" w:fill="auto"/>
            <w:vAlign w:val="center"/>
          </w:tcPr>
          <w:p w14:paraId="08F77B1C">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DT2~3:</w:t>
            </w:r>
            <w:r>
              <w:rPr>
                <w:rFonts w:ascii="宋体" w:hAnsi="宋体" w:cs="宋体"/>
                <w:b w:val="0"/>
                <w:bCs w:val="0"/>
                <w:color w:val="auto"/>
                <w:kern w:val="0"/>
                <w:szCs w:val="21"/>
                <w:highlight w:val="none"/>
              </w:rPr>
              <w:t>2</w:t>
            </w:r>
            <w:r>
              <w:rPr>
                <w:rFonts w:hint="eastAsia" w:ascii="宋体" w:hAnsi="宋体" w:cs="宋体"/>
                <w:b w:val="0"/>
                <w:bCs w:val="0"/>
                <w:color w:val="auto"/>
                <w:kern w:val="0"/>
                <w:szCs w:val="21"/>
                <w:highlight w:val="none"/>
              </w:rPr>
              <w:t>2</w:t>
            </w:r>
            <w:r>
              <w:rPr>
                <w:rFonts w:ascii="宋体" w:hAnsi="宋体" w:cs="宋体"/>
                <w:b w:val="0"/>
                <w:bCs w:val="0"/>
                <w:color w:val="auto"/>
                <w:kern w:val="0"/>
                <w:szCs w:val="21"/>
                <w:highlight w:val="none"/>
              </w:rPr>
              <w:t>00X2</w:t>
            </w:r>
            <w:r>
              <w:rPr>
                <w:rFonts w:hint="eastAsia" w:ascii="宋体" w:hAnsi="宋体" w:cs="宋体"/>
                <w:b w:val="0"/>
                <w:bCs w:val="0"/>
                <w:color w:val="auto"/>
                <w:kern w:val="0"/>
                <w:szCs w:val="21"/>
                <w:highlight w:val="none"/>
              </w:rPr>
              <w:t>2</w:t>
            </w:r>
            <w:r>
              <w:rPr>
                <w:rFonts w:ascii="宋体" w:hAnsi="宋体" w:cs="宋体"/>
                <w:b w:val="0"/>
                <w:bCs w:val="0"/>
                <w:color w:val="auto"/>
                <w:kern w:val="0"/>
                <w:szCs w:val="21"/>
                <w:highlight w:val="none"/>
              </w:rPr>
              <w:t>00</w:t>
            </w:r>
            <w:r>
              <w:rPr>
                <w:rFonts w:hint="eastAsia" w:ascii="宋体" w:hAnsi="宋体" w:cs="宋体"/>
                <w:b w:val="0"/>
                <w:bCs w:val="0"/>
                <w:color w:val="auto"/>
                <w:kern w:val="0"/>
                <w:szCs w:val="21"/>
                <w:highlight w:val="none"/>
              </w:rPr>
              <w:t>,DT4:2400</w:t>
            </w:r>
            <w:r>
              <w:rPr>
                <w:rFonts w:ascii="宋体" w:hAnsi="宋体" w:cs="宋体"/>
                <w:b w:val="0"/>
                <w:bCs w:val="0"/>
                <w:color w:val="auto"/>
                <w:kern w:val="0"/>
                <w:szCs w:val="21"/>
                <w:highlight w:val="none"/>
              </w:rPr>
              <w:t>X2</w:t>
            </w:r>
            <w:r>
              <w:rPr>
                <w:rFonts w:hint="eastAsia" w:ascii="宋体" w:hAnsi="宋体" w:cs="宋体"/>
                <w:b w:val="0"/>
                <w:bCs w:val="0"/>
                <w:color w:val="auto"/>
                <w:kern w:val="0"/>
                <w:szCs w:val="21"/>
                <w:highlight w:val="none"/>
              </w:rPr>
              <w:t>2</w:t>
            </w:r>
            <w:r>
              <w:rPr>
                <w:rFonts w:ascii="宋体" w:hAnsi="宋体" w:cs="宋体"/>
                <w:b w:val="0"/>
                <w:bCs w:val="0"/>
                <w:color w:val="auto"/>
                <w:kern w:val="0"/>
                <w:szCs w:val="21"/>
                <w:highlight w:val="none"/>
              </w:rPr>
              <w:t>00</w:t>
            </w:r>
          </w:p>
        </w:tc>
      </w:tr>
      <w:tr w14:paraId="2BE77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1CA81B5C">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轿厢尺寸（mm</w:t>
            </w:r>
            <w:r>
              <w:rPr>
                <w:rFonts w:ascii="宋体" w:hAnsi="宋体" w:cs="宋体"/>
                <w:b w:val="0"/>
                <w:bCs w:val="0"/>
                <w:color w:val="auto"/>
                <w:kern w:val="0"/>
                <w:szCs w:val="21"/>
                <w:highlight w:val="none"/>
              </w:rPr>
              <w:t>）</w:t>
            </w:r>
          </w:p>
        </w:tc>
        <w:tc>
          <w:tcPr>
            <w:tcW w:w="4841" w:type="dxa"/>
            <w:shd w:val="clear" w:color="auto" w:fill="auto"/>
            <w:vAlign w:val="center"/>
          </w:tcPr>
          <w:p w14:paraId="2229A7A5">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2000X1700</w:t>
            </w:r>
          </w:p>
        </w:tc>
        <w:tc>
          <w:tcPr>
            <w:tcW w:w="5486" w:type="dxa"/>
            <w:shd w:val="clear" w:color="auto" w:fill="auto"/>
            <w:vAlign w:val="center"/>
          </w:tcPr>
          <w:p w14:paraId="0793D06D">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ascii="宋体" w:hAnsi="宋体" w:cs="宋体"/>
                <w:b w:val="0"/>
                <w:bCs w:val="0"/>
                <w:color w:val="auto"/>
                <w:kern w:val="0"/>
                <w:szCs w:val="21"/>
                <w:highlight w:val="none"/>
              </w:rPr>
              <w:t>16</w:t>
            </w:r>
            <w:r>
              <w:rPr>
                <w:rFonts w:hint="eastAsia" w:ascii="宋体" w:hAnsi="宋体" w:cs="宋体"/>
                <w:b w:val="0"/>
                <w:bCs w:val="0"/>
                <w:color w:val="auto"/>
                <w:kern w:val="0"/>
                <w:szCs w:val="21"/>
                <w:highlight w:val="none"/>
              </w:rPr>
              <w:t>00X1500</w:t>
            </w:r>
          </w:p>
        </w:tc>
      </w:tr>
      <w:tr w14:paraId="7BBA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467AE674">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门洞尺寸（mm</w:t>
            </w:r>
            <w:r>
              <w:rPr>
                <w:rFonts w:ascii="宋体" w:hAnsi="宋体" w:cs="宋体"/>
                <w:b w:val="0"/>
                <w:bCs w:val="0"/>
                <w:color w:val="auto"/>
                <w:kern w:val="0"/>
                <w:szCs w:val="21"/>
                <w:highlight w:val="none"/>
              </w:rPr>
              <w:t>）</w:t>
            </w:r>
          </w:p>
        </w:tc>
        <w:tc>
          <w:tcPr>
            <w:tcW w:w="4841" w:type="dxa"/>
            <w:shd w:val="clear" w:color="auto" w:fill="auto"/>
            <w:vAlign w:val="center"/>
          </w:tcPr>
          <w:p w14:paraId="7562CCF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1700X</w:t>
            </w:r>
            <w:r>
              <w:rPr>
                <w:rFonts w:ascii="宋体" w:hAnsi="宋体" w:cs="宋体"/>
                <w:b w:val="0"/>
                <w:bCs w:val="0"/>
                <w:color w:val="auto"/>
                <w:kern w:val="0"/>
                <w:szCs w:val="21"/>
                <w:highlight w:val="none"/>
              </w:rPr>
              <w:t>2</w:t>
            </w:r>
            <w:r>
              <w:rPr>
                <w:rFonts w:hint="eastAsia" w:ascii="宋体" w:hAnsi="宋体" w:cs="宋体"/>
                <w:b w:val="0"/>
                <w:bCs w:val="0"/>
                <w:color w:val="auto"/>
                <w:kern w:val="0"/>
                <w:szCs w:val="21"/>
                <w:highlight w:val="none"/>
              </w:rPr>
              <w:t>500</w:t>
            </w:r>
          </w:p>
        </w:tc>
        <w:tc>
          <w:tcPr>
            <w:tcW w:w="5486" w:type="dxa"/>
            <w:shd w:val="clear" w:color="auto" w:fill="auto"/>
            <w:vAlign w:val="center"/>
          </w:tcPr>
          <w:p w14:paraId="072DC445">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1200X</w:t>
            </w:r>
            <w:r>
              <w:rPr>
                <w:rFonts w:ascii="宋体" w:hAnsi="宋体" w:cs="宋体"/>
                <w:b w:val="0"/>
                <w:bCs w:val="0"/>
                <w:color w:val="auto"/>
                <w:kern w:val="0"/>
                <w:szCs w:val="21"/>
                <w:highlight w:val="none"/>
              </w:rPr>
              <w:t>2</w:t>
            </w:r>
            <w:r>
              <w:rPr>
                <w:rFonts w:hint="eastAsia" w:ascii="宋体" w:hAnsi="宋体" w:cs="宋体"/>
                <w:b w:val="0"/>
                <w:bCs w:val="0"/>
                <w:color w:val="auto"/>
                <w:kern w:val="0"/>
                <w:szCs w:val="21"/>
                <w:highlight w:val="none"/>
              </w:rPr>
              <w:t>500</w:t>
            </w:r>
          </w:p>
        </w:tc>
      </w:tr>
      <w:tr w14:paraId="7CC13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6A4F97E0">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开门尺寸（mm</w:t>
            </w:r>
            <w:r>
              <w:rPr>
                <w:rFonts w:ascii="宋体" w:hAnsi="宋体" w:cs="宋体"/>
                <w:b w:val="0"/>
                <w:bCs w:val="0"/>
                <w:color w:val="auto"/>
                <w:kern w:val="0"/>
                <w:szCs w:val="21"/>
                <w:highlight w:val="none"/>
              </w:rPr>
              <w:t>）</w:t>
            </w:r>
          </w:p>
        </w:tc>
        <w:tc>
          <w:tcPr>
            <w:tcW w:w="4841" w:type="dxa"/>
            <w:shd w:val="clear" w:color="auto" w:fill="auto"/>
            <w:vAlign w:val="center"/>
          </w:tcPr>
          <w:p w14:paraId="587D818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1500X2400</w:t>
            </w:r>
          </w:p>
        </w:tc>
        <w:tc>
          <w:tcPr>
            <w:tcW w:w="5486" w:type="dxa"/>
            <w:shd w:val="clear" w:color="auto" w:fill="auto"/>
            <w:vAlign w:val="center"/>
          </w:tcPr>
          <w:p w14:paraId="5C766B9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ascii="宋体" w:hAnsi="宋体" w:cs="宋体"/>
                <w:b w:val="0"/>
                <w:bCs w:val="0"/>
                <w:color w:val="auto"/>
                <w:kern w:val="0"/>
                <w:szCs w:val="21"/>
                <w:highlight w:val="none"/>
              </w:rPr>
              <w:t>10</w:t>
            </w:r>
            <w:r>
              <w:rPr>
                <w:rFonts w:hint="eastAsia" w:ascii="宋体" w:hAnsi="宋体" w:cs="宋体"/>
                <w:b w:val="0"/>
                <w:bCs w:val="0"/>
                <w:color w:val="auto"/>
                <w:kern w:val="0"/>
                <w:szCs w:val="21"/>
                <w:highlight w:val="none"/>
              </w:rPr>
              <w:t>00X2400</w:t>
            </w:r>
          </w:p>
        </w:tc>
      </w:tr>
      <w:tr w14:paraId="46D78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685" w:type="dxa"/>
            <w:vAlign w:val="center"/>
          </w:tcPr>
          <w:p w14:paraId="478245F4">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底坑深度（mm</w:t>
            </w:r>
            <w:r>
              <w:rPr>
                <w:rFonts w:ascii="宋体" w:hAnsi="宋体" w:cs="宋体"/>
                <w:b w:val="0"/>
                <w:bCs w:val="0"/>
                <w:color w:val="auto"/>
                <w:kern w:val="0"/>
                <w:szCs w:val="21"/>
                <w:highlight w:val="none"/>
              </w:rPr>
              <w:t>）</w:t>
            </w:r>
          </w:p>
        </w:tc>
        <w:tc>
          <w:tcPr>
            <w:tcW w:w="4841" w:type="dxa"/>
            <w:shd w:val="clear" w:color="auto" w:fill="auto"/>
            <w:vAlign w:val="center"/>
          </w:tcPr>
          <w:p w14:paraId="6E069C7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155</w:t>
            </w:r>
            <w:r>
              <w:rPr>
                <w:rFonts w:ascii="宋体" w:hAnsi="宋体" w:cs="宋体"/>
                <w:b w:val="0"/>
                <w:bCs w:val="0"/>
                <w:color w:val="auto"/>
                <w:kern w:val="0"/>
                <w:szCs w:val="21"/>
                <w:highlight w:val="none"/>
              </w:rPr>
              <w:t>0</w:t>
            </w:r>
          </w:p>
        </w:tc>
        <w:tc>
          <w:tcPr>
            <w:tcW w:w="5486" w:type="dxa"/>
            <w:shd w:val="clear" w:color="auto" w:fill="auto"/>
            <w:vAlign w:val="center"/>
          </w:tcPr>
          <w:p w14:paraId="33F21BC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155</w:t>
            </w:r>
            <w:r>
              <w:rPr>
                <w:rFonts w:ascii="宋体" w:hAnsi="宋体" w:cs="宋体"/>
                <w:b w:val="0"/>
                <w:bCs w:val="0"/>
                <w:color w:val="auto"/>
                <w:kern w:val="0"/>
                <w:szCs w:val="21"/>
                <w:highlight w:val="none"/>
              </w:rPr>
              <w:t>0</w:t>
            </w:r>
          </w:p>
        </w:tc>
      </w:tr>
      <w:tr w14:paraId="591C7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7B421F84">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顶层高度（mm</w:t>
            </w:r>
            <w:r>
              <w:rPr>
                <w:rFonts w:ascii="宋体" w:hAnsi="宋体" w:cs="宋体"/>
                <w:b w:val="0"/>
                <w:bCs w:val="0"/>
                <w:color w:val="auto"/>
                <w:kern w:val="0"/>
                <w:szCs w:val="21"/>
                <w:highlight w:val="none"/>
              </w:rPr>
              <w:t>）</w:t>
            </w:r>
          </w:p>
        </w:tc>
        <w:tc>
          <w:tcPr>
            <w:tcW w:w="4841" w:type="dxa"/>
            <w:shd w:val="clear" w:color="auto" w:fill="auto"/>
            <w:vAlign w:val="center"/>
          </w:tcPr>
          <w:p w14:paraId="045EAFE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4800</w:t>
            </w:r>
          </w:p>
        </w:tc>
        <w:tc>
          <w:tcPr>
            <w:tcW w:w="5486" w:type="dxa"/>
            <w:shd w:val="clear" w:color="auto" w:fill="auto"/>
            <w:vAlign w:val="center"/>
          </w:tcPr>
          <w:p w14:paraId="3EC74294">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4800</w:t>
            </w:r>
          </w:p>
        </w:tc>
      </w:tr>
      <w:tr w14:paraId="4F3E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4AA57658">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提升高度（m）</w:t>
            </w:r>
          </w:p>
        </w:tc>
        <w:tc>
          <w:tcPr>
            <w:tcW w:w="4841" w:type="dxa"/>
            <w:shd w:val="clear" w:color="auto" w:fill="auto"/>
            <w:vAlign w:val="center"/>
          </w:tcPr>
          <w:p w14:paraId="2041EDED">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64.9</w:t>
            </w:r>
          </w:p>
        </w:tc>
        <w:tc>
          <w:tcPr>
            <w:tcW w:w="5486" w:type="dxa"/>
            <w:shd w:val="clear" w:color="auto" w:fill="auto"/>
            <w:vAlign w:val="center"/>
          </w:tcPr>
          <w:p w14:paraId="3FF4E51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64.9</w:t>
            </w:r>
          </w:p>
        </w:tc>
      </w:tr>
      <w:tr w14:paraId="40248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69B47162">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楼层高度（mm</w:t>
            </w:r>
            <w:r>
              <w:rPr>
                <w:rFonts w:ascii="宋体" w:hAnsi="宋体" w:cs="宋体"/>
                <w:b w:val="0"/>
                <w:bCs w:val="0"/>
                <w:color w:val="auto"/>
                <w:kern w:val="0"/>
                <w:szCs w:val="21"/>
                <w:highlight w:val="none"/>
              </w:rPr>
              <w:t>）</w:t>
            </w:r>
          </w:p>
        </w:tc>
        <w:tc>
          <w:tcPr>
            <w:tcW w:w="4841" w:type="dxa"/>
            <w:shd w:val="clear" w:color="auto" w:fill="auto"/>
            <w:vAlign w:val="center"/>
          </w:tcPr>
          <w:p w14:paraId="50C37A97">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1层层高6000、2~12层层高45</w:t>
            </w:r>
            <w:r>
              <w:rPr>
                <w:rFonts w:ascii="宋体" w:hAnsi="宋体" w:cs="宋体"/>
                <w:b w:val="0"/>
                <w:bCs w:val="0"/>
                <w:color w:val="auto"/>
                <w:kern w:val="0"/>
                <w:szCs w:val="21"/>
                <w:highlight w:val="none"/>
              </w:rPr>
              <w:t>00</w:t>
            </w:r>
            <w:r>
              <w:rPr>
                <w:rFonts w:hint="eastAsia" w:ascii="宋体" w:hAnsi="宋体" w:cs="宋体"/>
                <w:b w:val="0"/>
                <w:bCs w:val="0"/>
                <w:color w:val="auto"/>
                <w:kern w:val="0"/>
                <w:szCs w:val="21"/>
                <w:highlight w:val="none"/>
              </w:rPr>
              <w:t>/-1层层高6000/-2层层高3900/-3层层高4000</w:t>
            </w:r>
          </w:p>
        </w:tc>
        <w:tc>
          <w:tcPr>
            <w:tcW w:w="5486" w:type="dxa"/>
            <w:shd w:val="clear" w:color="auto" w:fill="auto"/>
            <w:vAlign w:val="center"/>
          </w:tcPr>
          <w:p w14:paraId="00A8C77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1层层高6000、2~12层层高45</w:t>
            </w:r>
            <w:r>
              <w:rPr>
                <w:rFonts w:ascii="宋体" w:hAnsi="宋体" w:cs="宋体"/>
                <w:b w:val="0"/>
                <w:bCs w:val="0"/>
                <w:color w:val="auto"/>
                <w:kern w:val="0"/>
                <w:szCs w:val="21"/>
                <w:highlight w:val="none"/>
              </w:rPr>
              <w:t>00</w:t>
            </w:r>
            <w:r>
              <w:rPr>
                <w:rFonts w:hint="eastAsia" w:ascii="宋体" w:hAnsi="宋体" w:cs="宋体"/>
                <w:b w:val="0"/>
                <w:bCs w:val="0"/>
                <w:color w:val="auto"/>
                <w:kern w:val="0"/>
                <w:szCs w:val="21"/>
                <w:highlight w:val="none"/>
              </w:rPr>
              <w:t>/-1层层高6000/-2层层高3900/-3层层高4000</w:t>
            </w:r>
          </w:p>
        </w:tc>
      </w:tr>
      <w:tr w14:paraId="04C8D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1DC4FBB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控制方式</w:t>
            </w:r>
          </w:p>
        </w:tc>
        <w:tc>
          <w:tcPr>
            <w:tcW w:w="4841" w:type="dxa"/>
            <w:shd w:val="clear" w:color="auto" w:fill="auto"/>
            <w:vAlign w:val="center"/>
          </w:tcPr>
          <w:p w14:paraId="6C7B2A6D">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1台单控</w:t>
            </w:r>
          </w:p>
        </w:tc>
        <w:tc>
          <w:tcPr>
            <w:tcW w:w="5486" w:type="dxa"/>
            <w:shd w:val="clear" w:color="auto" w:fill="auto"/>
            <w:vAlign w:val="center"/>
          </w:tcPr>
          <w:p w14:paraId="3AE91FE3">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3台群控</w:t>
            </w:r>
          </w:p>
        </w:tc>
      </w:tr>
      <w:tr w14:paraId="2113A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08E6770D">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对重安全钳</w:t>
            </w:r>
          </w:p>
        </w:tc>
        <w:tc>
          <w:tcPr>
            <w:tcW w:w="4841" w:type="dxa"/>
            <w:shd w:val="clear" w:color="auto" w:fill="auto"/>
            <w:vAlign w:val="center"/>
          </w:tcPr>
          <w:p w14:paraId="05357CA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无</w:t>
            </w:r>
          </w:p>
        </w:tc>
        <w:tc>
          <w:tcPr>
            <w:tcW w:w="5486" w:type="dxa"/>
            <w:shd w:val="clear" w:color="auto" w:fill="auto"/>
            <w:vAlign w:val="center"/>
          </w:tcPr>
          <w:p w14:paraId="2292AC75">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无</w:t>
            </w:r>
          </w:p>
        </w:tc>
      </w:tr>
      <w:tr w14:paraId="6442E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5285D086">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台数（台）</w:t>
            </w:r>
          </w:p>
        </w:tc>
        <w:tc>
          <w:tcPr>
            <w:tcW w:w="4841" w:type="dxa"/>
            <w:shd w:val="clear" w:color="auto" w:fill="auto"/>
            <w:vAlign w:val="center"/>
          </w:tcPr>
          <w:p w14:paraId="3D74C0E7">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1</w:t>
            </w:r>
          </w:p>
        </w:tc>
        <w:tc>
          <w:tcPr>
            <w:tcW w:w="5486" w:type="dxa"/>
            <w:shd w:val="clear" w:color="auto" w:fill="auto"/>
            <w:vAlign w:val="center"/>
          </w:tcPr>
          <w:p w14:paraId="07D61D1C">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3</w:t>
            </w:r>
          </w:p>
        </w:tc>
      </w:tr>
      <w:tr w14:paraId="10302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766E75A8">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操纵箱</w:t>
            </w:r>
          </w:p>
        </w:tc>
        <w:tc>
          <w:tcPr>
            <w:tcW w:w="4841" w:type="dxa"/>
            <w:shd w:val="clear" w:color="auto" w:fill="auto"/>
            <w:vAlign w:val="center"/>
          </w:tcPr>
          <w:p w14:paraId="3CB1BA16">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侧壁嵌入式304发纹不锈钢面板</w:t>
            </w:r>
          </w:p>
        </w:tc>
        <w:tc>
          <w:tcPr>
            <w:tcW w:w="5486" w:type="dxa"/>
            <w:shd w:val="clear" w:color="auto" w:fill="auto"/>
            <w:vAlign w:val="center"/>
          </w:tcPr>
          <w:p w14:paraId="01346010">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前壁一体式304发纹不锈钢面板</w:t>
            </w:r>
          </w:p>
        </w:tc>
      </w:tr>
      <w:tr w14:paraId="453B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6A42712B">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轿厢装潢</w:t>
            </w:r>
          </w:p>
        </w:tc>
        <w:tc>
          <w:tcPr>
            <w:tcW w:w="4841" w:type="dxa"/>
            <w:shd w:val="clear" w:color="auto" w:fill="auto"/>
            <w:vAlign w:val="center"/>
          </w:tcPr>
          <w:p w14:paraId="39104895">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轿顶：净高2</w:t>
            </w:r>
            <w:r>
              <w:rPr>
                <w:rFonts w:hint="eastAsia" w:ascii="宋体" w:hAnsi="宋体" w:cs="宋体"/>
                <w:b w:val="0"/>
                <w:bCs w:val="0"/>
                <w:color w:val="auto"/>
                <w:kern w:val="0"/>
                <w:szCs w:val="21"/>
                <w:highlight w:val="none"/>
                <w:lang w:val="en-US" w:eastAsia="zh-CN"/>
              </w:rPr>
              <w:t>8</w:t>
            </w:r>
            <w:r>
              <w:rPr>
                <w:rFonts w:hint="eastAsia" w:ascii="宋体" w:hAnsi="宋体" w:cs="宋体"/>
                <w:b w:val="0"/>
                <w:bCs w:val="0"/>
                <w:color w:val="auto"/>
                <w:kern w:val="0"/>
                <w:szCs w:val="21"/>
                <w:highlight w:val="none"/>
              </w:rPr>
              <w:t>00mm,</w:t>
            </w:r>
          </w:p>
          <w:p w14:paraId="1FD08AFB">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轿厢</w:t>
            </w:r>
            <w:r>
              <w:rPr>
                <w:rFonts w:hint="eastAsia" w:ascii="宋体" w:hAnsi="宋体" w:cs="宋体"/>
                <w:b w:val="0"/>
                <w:bCs w:val="0"/>
                <w:color w:val="auto"/>
                <w:kern w:val="0"/>
                <w:szCs w:val="21"/>
                <w:highlight w:val="none"/>
                <w:lang w:eastAsia="zh-CN"/>
              </w:rPr>
              <w:t>：</w:t>
            </w:r>
            <w:r>
              <w:rPr>
                <w:rFonts w:hint="eastAsia" w:ascii="宋体" w:hAnsi="宋体" w:cs="宋体"/>
                <w:b w:val="0"/>
                <w:bCs w:val="0"/>
                <w:color w:val="auto"/>
                <w:kern w:val="0"/>
                <w:szCs w:val="21"/>
                <w:highlight w:val="none"/>
              </w:rPr>
              <w:t xml:space="preserve"> 304一次成型发纹不锈钢，厚度不小于1.2mm</w:t>
            </w:r>
          </w:p>
        </w:tc>
        <w:tc>
          <w:tcPr>
            <w:tcW w:w="5486" w:type="dxa"/>
            <w:shd w:val="clear" w:color="auto" w:fill="auto"/>
            <w:vAlign w:val="center"/>
          </w:tcPr>
          <w:p w14:paraId="5A45AC9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轿顶：净高2</w:t>
            </w:r>
            <w:r>
              <w:rPr>
                <w:rFonts w:hint="eastAsia" w:ascii="宋体" w:hAnsi="宋体" w:cs="宋体"/>
                <w:b w:val="0"/>
                <w:bCs w:val="0"/>
                <w:color w:val="auto"/>
                <w:kern w:val="0"/>
                <w:szCs w:val="21"/>
                <w:highlight w:val="none"/>
                <w:lang w:val="en-US" w:eastAsia="zh-CN"/>
              </w:rPr>
              <w:t>8</w:t>
            </w:r>
            <w:r>
              <w:rPr>
                <w:rFonts w:hint="eastAsia" w:ascii="宋体" w:hAnsi="宋体" w:cs="宋体"/>
                <w:b w:val="0"/>
                <w:bCs w:val="0"/>
                <w:color w:val="auto"/>
                <w:kern w:val="0"/>
                <w:szCs w:val="21"/>
                <w:highlight w:val="none"/>
              </w:rPr>
              <w:t>00mm,</w:t>
            </w:r>
          </w:p>
          <w:p w14:paraId="4A7E832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轿厢</w:t>
            </w:r>
            <w:r>
              <w:rPr>
                <w:rFonts w:hint="eastAsia" w:ascii="宋体" w:hAnsi="宋体" w:cs="宋体"/>
                <w:b w:val="0"/>
                <w:bCs w:val="0"/>
                <w:color w:val="auto"/>
                <w:kern w:val="0"/>
                <w:szCs w:val="21"/>
                <w:highlight w:val="none"/>
                <w:lang w:eastAsia="zh-CN"/>
              </w:rPr>
              <w:t>：</w:t>
            </w:r>
            <w:r>
              <w:rPr>
                <w:rFonts w:hint="eastAsia" w:ascii="宋体" w:hAnsi="宋体" w:cs="宋体"/>
                <w:b w:val="0"/>
                <w:bCs w:val="0"/>
                <w:color w:val="auto"/>
                <w:kern w:val="0"/>
                <w:szCs w:val="21"/>
                <w:highlight w:val="none"/>
              </w:rPr>
              <w:t xml:space="preserve"> 304一次成型发纹不锈钢，厚度不小于1.2mm</w:t>
            </w:r>
          </w:p>
        </w:tc>
      </w:tr>
      <w:tr w14:paraId="2BC98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2237C236">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轿底装潢</w:t>
            </w:r>
          </w:p>
        </w:tc>
        <w:tc>
          <w:tcPr>
            <w:tcW w:w="4841" w:type="dxa"/>
            <w:shd w:val="clear" w:color="auto" w:fill="auto"/>
            <w:vAlign w:val="center"/>
          </w:tcPr>
          <w:p w14:paraId="480F33C5">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拼花大理石</w:t>
            </w:r>
          </w:p>
        </w:tc>
        <w:tc>
          <w:tcPr>
            <w:tcW w:w="5486" w:type="dxa"/>
            <w:shd w:val="clear" w:color="auto" w:fill="auto"/>
            <w:vAlign w:val="center"/>
          </w:tcPr>
          <w:p w14:paraId="067CDDB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拼花大理石</w:t>
            </w:r>
          </w:p>
        </w:tc>
      </w:tr>
      <w:tr w14:paraId="1E16F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06F9E2A6">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层站按钮及厅外召唤</w:t>
            </w:r>
          </w:p>
        </w:tc>
        <w:tc>
          <w:tcPr>
            <w:tcW w:w="4841" w:type="dxa"/>
            <w:shd w:val="clear" w:color="auto" w:fill="auto"/>
            <w:vAlign w:val="center"/>
          </w:tcPr>
          <w:p w14:paraId="6D1E253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发纹不锈钢按钮、发纹不锈钢面板</w:t>
            </w:r>
          </w:p>
        </w:tc>
        <w:tc>
          <w:tcPr>
            <w:tcW w:w="5486" w:type="dxa"/>
            <w:shd w:val="clear" w:color="auto" w:fill="auto"/>
            <w:vAlign w:val="center"/>
          </w:tcPr>
          <w:p w14:paraId="7E073755">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发纹不锈钢按钮、发纹不锈钢面板</w:t>
            </w:r>
          </w:p>
        </w:tc>
      </w:tr>
      <w:tr w14:paraId="5F2DD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6DF4F0F8">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厅门、门套</w:t>
            </w:r>
          </w:p>
        </w:tc>
        <w:tc>
          <w:tcPr>
            <w:tcW w:w="4841" w:type="dxa"/>
            <w:shd w:val="clear" w:color="auto" w:fill="auto"/>
            <w:vAlign w:val="center"/>
          </w:tcPr>
          <w:p w14:paraId="0FA79A4D">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304一次成型发纹不锈钢，厚度不小于1.5mm</w:t>
            </w:r>
          </w:p>
        </w:tc>
        <w:tc>
          <w:tcPr>
            <w:tcW w:w="5486" w:type="dxa"/>
            <w:shd w:val="clear" w:color="auto" w:fill="auto"/>
            <w:vAlign w:val="center"/>
          </w:tcPr>
          <w:p w14:paraId="2DE50780">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304一次成型发纹不锈钢，厚度不小于1.5mm</w:t>
            </w:r>
          </w:p>
        </w:tc>
      </w:tr>
      <w:tr w14:paraId="31337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5A256AB0">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电梯专用空调</w:t>
            </w:r>
          </w:p>
        </w:tc>
        <w:tc>
          <w:tcPr>
            <w:tcW w:w="4841" w:type="dxa"/>
            <w:shd w:val="clear" w:color="auto" w:fill="auto"/>
            <w:vAlign w:val="center"/>
          </w:tcPr>
          <w:p w14:paraId="6928DE07">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配置</w:t>
            </w:r>
          </w:p>
        </w:tc>
        <w:tc>
          <w:tcPr>
            <w:tcW w:w="5486" w:type="dxa"/>
            <w:shd w:val="clear" w:color="auto" w:fill="auto"/>
            <w:vAlign w:val="center"/>
          </w:tcPr>
          <w:p w14:paraId="1B719D3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配置</w:t>
            </w:r>
          </w:p>
        </w:tc>
      </w:tr>
      <w:tr w14:paraId="759C6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57E97DF0">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残疾人操纵箱</w:t>
            </w:r>
          </w:p>
        </w:tc>
        <w:tc>
          <w:tcPr>
            <w:tcW w:w="4841" w:type="dxa"/>
            <w:shd w:val="clear" w:color="auto" w:fill="auto"/>
            <w:vAlign w:val="center"/>
          </w:tcPr>
          <w:p w14:paraId="2EB23027">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按设计要求</w:t>
            </w:r>
          </w:p>
        </w:tc>
        <w:tc>
          <w:tcPr>
            <w:tcW w:w="5486" w:type="dxa"/>
            <w:shd w:val="clear" w:color="auto" w:fill="auto"/>
            <w:vAlign w:val="center"/>
          </w:tcPr>
          <w:p w14:paraId="55F53F9B">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按设计要求</w:t>
            </w:r>
          </w:p>
        </w:tc>
      </w:tr>
      <w:tr w14:paraId="2EB76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6F032B5D">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ITV电缆</w:t>
            </w:r>
          </w:p>
        </w:tc>
        <w:tc>
          <w:tcPr>
            <w:tcW w:w="4841" w:type="dxa"/>
            <w:shd w:val="clear" w:color="auto" w:fill="auto"/>
            <w:vAlign w:val="center"/>
          </w:tcPr>
          <w:p w14:paraId="58D5FD8B">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配置</w:t>
            </w:r>
          </w:p>
        </w:tc>
        <w:tc>
          <w:tcPr>
            <w:tcW w:w="5486" w:type="dxa"/>
            <w:shd w:val="clear" w:color="auto" w:fill="auto"/>
            <w:vAlign w:val="center"/>
          </w:tcPr>
          <w:p w14:paraId="50C8BE2B">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配置</w:t>
            </w:r>
          </w:p>
        </w:tc>
      </w:tr>
      <w:tr w14:paraId="3938B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335064FD">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音频电缆</w:t>
            </w:r>
          </w:p>
        </w:tc>
        <w:tc>
          <w:tcPr>
            <w:tcW w:w="4841" w:type="dxa"/>
            <w:shd w:val="clear" w:color="auto" w:fill="auto"/>
            <w:vAlign w:val="center"/>
          </w:tcPr>
          <w:p w14:paraId="0A93F8A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配置</w:t>
            </w:r>
          </w:p>
        </w:tc>
        <w:tc>
          <w:tcPr>
            <w:tcW w:w="5486" w:type="dxa"/>
            <w:shd w:val="clear" w:color="auto" w:fill="auto"/>
            <w:vAlign w:val="center"/>
          </w:tcPr>
          <w:p w14:paraId="0F2DD3F2">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配置</w:t>
            </w:r>
          </w:p>
        </w:tc>
      </w:tr>
      <w:tr w14:paraId="261BC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7CE55D03">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轿厢语音报站</w:t>
            </w:r>
          </w:p>
        </w:tc>
        <w:tc>
          <w:tcPr>
            <w:tcW w:w="4841" w:type="dxa"/>
            <w:shd w:val="clear" w:color="auto" w:fill="auto"/>
            <w:vAlign w:val="center"/>
          </w:tcPr>
          <w:p w14:paraId="0CBD381B">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配置</w:t>
            </w:r>
          </w:p>
        </w:tc>
        <w:tc>
          <w:tcPr>
            <w:tcW w:w="5486" w:type="dxa"/>
            <w:shd w:val="clear" w:color="auto" w:fill="auto"/>
            <w:vAlign w:val="center"/>
          </w:tcPr>
          <w:p w14:paraId="6BE0AD9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配置</w:t>
            </w:r>
          </w:p>
        </w:tc>
      </w:tr>
      <w:tr w14:paraId="1B09B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685" w:type="dxa"/>
            <w:vAlign w:val="center"/>
          </w:tcPr>
          <w:p w14:paraId="434E6F84">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停电应急装置</w:t>
            </w:r>
          </w:p>
        </w:tc>
        <w:tc>
          <w:tcPr>
            <w:tcW w:w="4841" w:type="dxa"/>
            <w:shd w:val="clear" w:color="auto" w:fill="auto"/>
            <w:vAlign w:val="center"/>
          </w:tcPr>
          <w:p w14:paraId="5E67BEE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配置</w:t>
            </w:r>
          </w:p>
        </w:tc>
        <w:tc>
          <w:tcPr>
            <w:tcW w:w="5486" w:type="dxa"/>
            <w:shd w:val="clear" w:color="auto" w:fill="auto"/>
            <w:vAlign w:val="center"/>
          </w:tcPr>
          <w:p w14:paraId="02C0C62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配置</w:t>
            </w:r>
          </w:p>
        </w:tc>
      </w:tr>
      <w:tr w14:paraId="614C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4D775EF6">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IC卡接口</w:t>
            </w:r>
          </w:p>
        </w:tc>
        <w:tc>
          <w:tcPr>
            <w:tcW w:w="4841" w:type="dxa"/>
            <w:shd w:val="clear" w:color="auto" w:fill="auto"/>
            <w:vAlign w:val="center"/>
          </w:tcPr>
          <w:p w14:paraId="05A45D9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配置</w:t>
            </w:r>
          </w:p>
        </w:tc>
        <w:tc>
          <w:tcPr>
            <w:tcW w:w="5486" w:type="dxa"/>
            <w:shd w:val="clear" w:color="auto" w:fill="auto"/>
            <w:vAlign w:val="center"/>
          </w:tcPr>
          <w:p w14:paraId="3C4C170D">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Cs w:val="21"/>
                <w:highlight w:val="none"/>
              </w:rPr>
              <w:t>配置</w:t>
            </w:r>
          </w:p>
        </w:tc>
      </w:tr>
    </w:tbl>
    <w:p w14:paraId="2A10CD7F">
      <w:pPr>
        <w:jc w:val="left"/>
        <w:rPr>
          <w:b/>
          <w:sz w:val="28"/>
          <w:szCs w:val="28"/>
        </w:rPr>
      </w:pPr>
    </w:p>
    <w:p w14:paraId="2F5EF77D">
      <w:pPr>
        <w:rPr>
          <w:b/>
          <w:sz w:val="28"/>
          <w:szCs w:val="28"/>
        </w:rPr>
      </w:pPr>
    </w:p>
    <w:p w14:paraId="287B248F">
      <w:pPr>
        <w:pStyle w:val="2"/>
        <w:rPr>
          <w:b/>
          <w:sz w:val="28"/>
          <w:szCs w:val="28"/>
        </w:rPr>
      </w:pPr>
    </w:p>
    <w:p w14:paraId="16153BDB">
      <w:pPr>
        <w:pStyle w:val="3"/>
        <w:rPr>
          <w:b/>
          <w:sz w:val="28"/>
          <w:szCs w:val="28"/>
        </w:rPr>
      </w:pPr>
    </w:p>
    <w:p w14:paraId="2CF4A644">
      <w:pPr>
        <w:rPr>
          <w:b/>
          <w:sz w:val="28"/>
          <w:szCs w:val="28"/>
        </w:rPr>
      </w:pPr>
    </w:p>
    <w:p w14:paraId="03E750E0">
      <w:pPr>
        <w:pStyle w:val="2"/>
        <w:rPr>
          <w:b/>
          <w:sz w:val="28"/>
          <w:szCs w:val="28"/>
        </w:rPr>
      </w:pPr>
    </w:p>
    <w:p w14:paraId="5099759B">
      <w:pPr>
        <w:pStyle w:val="3"/>
      </w:pPr>
    </w:p>
    <w:p w14:paraId="1FC8036A">
      <w:pPr>
        <w:pStyle w:val="2"/>
      </w:pPr>
    </w:p>
    <w:p w14:paraId="381B37DE"/>
    <w:p w14:paraId="4DBDA48D">
      <w:pPr>
        <w:jc w:val="center"/>
        <w:rPr>
          <w:rFonts w:hint="eastAsia" w:ascii="宋体" w:hAnsi="宋体" w:cs="华文隶书"/>
          <w:b/>
          <w:bCs/>
          <w:kern w:val="0"/>
          <w:position w:val="-1"/>
          <w:sz w:val="24"/>
        </w:rPr>
      </w:pPr>
      <w:r>
        <w:rPr>
          <w:rFonts w:hint="eastAsia"/>
          <w:b/>
          <w:sz w:val="24"/>
        </w:rPr>
        <w:t>深圳供电局有限公司</w:t>
      </w:r>
      <w:r>
        <w:rPr>
          <w:rFonts w:hint="eastAsia"/>
          <w:b/>
          <w:sz w:val="24"/>
          <w:lang w:eastAsia="zh-CN"/>
        </w:rPr>
        <w:t>鹅埠</w:t>
      </w:r>
      <w:r>
        <w:rPr>
          <w:rFonts w:hint="eastAsia"/>
          <w:b/>
          <w:sz w:val="24"/>
        </w:rPr>
        <w:t>供电楼项目电梯技术规格</w:t>
      </w:r>
      <w:r>
        <w:rPr>
          <w:rFonts w:hint="eastAsia" w:ascii="宋体" w:hAnsi="宋体" w:cs="华文隶书"/>
          <w:b/>
          <w:bCs/>
          <w:kern w:val="0"/>
          <w:position w:val="-1"/>
          <w:sz w:val="24"/>
        </w:rPr>
        <w:t>一览表</w:t>
      </w:r>
    </w:p>
    <w:tbl>
      <w:tblPr>
        <w:tblStyle w:val="84"/>
        <w:tblW w:w="1419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3402"/>
        <w:gridCol w:w="9978"/>
      </w:tblGrid>
      <w:tr w14:paraId="1E3AB1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197" w:type="dxa"/>
            <w:gridSpan w:val="3"/>
            <w:tcBorders>
              <w:right w:val="single" w:color="auto" w:sz="4" w:space="0"/>
            </w:tcBorders>
          </w:tcPr>
          <w:p w14:paraId="1D9A488D">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b/>
              </w:rPr>
            </w:pPr>
            <w:r>
              <w:rPr>
                <w:rFonts w:hint="eastAsia" w:ascii="宋体" w:hAnsi="宋体" w:eastAsia="宋体" w:cs="宋体"/>
                <w:b/>
              </w:rPr>
              <w:t xml:space="preserve">对于电梯的规格项目应在满足中国各项要求的法定规范的前提下，在各厂商的电梯运行操作功能和管理功能中，按最高标准的基本规格配置，同时应包括或增加下列项目：  </w:t>
            </w:r>
          </w:p>
        </w:tc>
      </w:tr>
      <w:tr w14:paraId="04224E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14197" w:type="dxa"/>
            <w:gridSpan w:val="3"/>
            <w:tcBorders>
              <w:right w:val="single" w:color="auto" w:sz="4" w:space="0"/>
            </w:tcBorders>
            <w:vAlign w:val="center"/>
          </w:tcPr>
          <w:p w14:paraId="4730F10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rPr>
            </w:pPr>
            <w:r>
              <w:rPr>
                <w:rFonts w:hint="eastAsia" w:ascii="宋体" w:hAnsi="宋体" w:eastAsia="宋体" w:cs="宋体"/>
                <w:b/>
              </w:rPr>
              <w:t>日常操作管理功能</w:t>
            </w:r>
          </w:p>
        </w:tc>
      </w:tr>
      <w:tr w14:paraId="64FA61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817" w:type="dxa"/>
            <w:vAlign w:val="center"/>
          </w:tcPr>
          <w:p w14:paraId="0A30D52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lang w:val="en-US" w:eastAsia="zh-CN"/>
              </w:rPr>
            </w:pPr>
            <w:r>
              <w:rPr>
                <w:rFonts w:hint="eastAsia" w:ascii="宋体" w:hAnsi="宋体" w:eastAsia="宋体" w:cs="宋体"/>
                <w:b/>
                <w:bCs/>
                <w:lang w:val="en-US" w:eastAsia="zh-CN"/>
              </w:rPr>
              <w:t>序号</w:t>
            </w:r>
          </w:p>
        </w:tc>
        <w:tc>
          <w:tcPr>
            <w:tcW w:w="3402" w:type="dxa"/>
            <w:vAlign w:val="center"/>
          </w:tcPr>
          <w:p w14:paraId="5C00653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rPr>
            </w:pPr>
            <w:r>
              <w:rPr>
                <w:rFonts w:hint="eastAsia" w:ascii="宋体" w:hAnsi="宋体" w:eastAsia="宋体" w:cs="宋体"/>
                <w:b/>
                <w:bCs/>
              </w:rPr>
              <w:t>功能</w:t>
            </w:r>
          </w:p>
        </w:tc>
        <w:tc>
          <w:tcPr>
            <w:tcW w:w="9978" w:type="dxa"/>
            <w:tcBorders>
              <w:right w:val="single" w:color="auto" w:sz="4" w:space="0"/>
            </w:tcBorders>
            <w:vAlign w:val="center"/>
          </w:tcPr>
          <w:p w14:paraId="4DAE2D2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rPr>
            </w:pPr>
            <w:r>
              <w:rPr>
                <w:rFonts w:hint="eastAsia" w:ascii="宋体" w:hAnsi="宋体" w:eastAsia="宋体" w:cs="宋体"/>
                <w:b/>
                <w:bCs/>
              </w:rPr>
              <w:t>备注</w:t>
            </w:r>
          </w:p>
        </w:tc>
      </w:tr>
      <w:tr w14:paraId="6C6A0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7C2887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w:t>
            </w:r>
          </w:p>
        </w:tc>
        <w:tc>
          <w:tcPr>
            <w:tcW w:w="3402" w:type="dxa"/>
            <w:vAlign w:val="center"/>
          </w:tcPr>
          <w:p w14:paraId="0B37D77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开门时间自动调整</w:t>
            </w:r>
          </w:p>
        </w:tc>
        <w:tc>
          <w:tcPr>
            <w:tcW w:w="9978" w:type="dxa"/>
            <w:vAlign w:val="center"/>
          </w:tcPr>
          <w:p w14:paraId="1CEEDCA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按层站或轿厢</w:t>
            </w:r>
            <w:r>
              <w:rPr>
                <w:rFonts w:hint="eastAsia" w:ascii="宋体" w:hAnsi="宋体" w:cs="宋体"/>
                <w:lang w:eastAsia="zh-CN"/>
              </w:rPr>
              <w:t>召唤</w:t>
            </w:r>
            <w:r>
              <w:rPr>
                <w:rFonts w:hint="eastAsia" w:ascii="宋体" w:hAnsi="宋体" w:eastAsia="宋体" w:cs="宋体"/>
              </w:rPr>
              <w:t>，自动调整开门时间</w:t>
            </w:r>
          </w:p>
        </w:tc>
      </w:tr>
      <w:tr w14:paraId="315F3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148092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w:t>
            </w:r>
          </w:p>
        </w:tc>
        <w:tc>
          <w:tcPr>
            <w:tcW w:w="3402" w:type="dxa"/>
            <w:vAlign w:val="center"/>
          </w:tcPr>
          <w:p w14:paraId="1502FAB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故障时就近层停靠</w:t>
            </w:r>
          </w:p>
        </w:tc>
        <w:tc>
          <w:tcPr>
            <w:tcW w:w="9978" w:type="dxa"/>
            <w:vAlign w:val="center"/>
          </w:tcPr>
          <w:p w14:paraId="59C1878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目的楼层发生故障时，电梯自救运行就近层停靠</w:t>
            </w:r>
          </w:p>
        </w:tc>
      </w:tr>
      <w:tr w14:paraId="7161BF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CA1D9D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w:t>
            </w:r>
          </w:p>
        </w:tc>
        <w:tc>
          <w:tcPr>
            <w:tcW w:w="3402" w:type="dxa"/>
            <w:vAlign w:val="center"/>
          </w:tcPr>
          <w:p w14:paraId="55CE6E4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重复关门</w:t>
            </w:r>
          </w:p>
        </w:tc>
        <w:tc>
          <w:tcPr>
            <w:tcW w:w="9978" w:type="dxa"/>
            <w:vAlign w:val="center"/>
          </w:tcPr>
          <w:p w14:paraId="469DB1B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遇障碍物时门重复开关</w:t>
            </w:r>
          </w:p>
        </w:tc>
      </w:tr>
      <w:tr w14:paraId="6B1302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1368D5B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w:t>
            </w:r>
          </w:p>
        </w:tc>
        <w:tc>
          <w:tcPr>
            <w:tcW w:w="3402" w:type="dxa"/>
            <w:vAlign w:val="center"/>
          </w:tcPr>
          <w:p w14:paraId="042D6F4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超载报警</w:t>
            </w:r>
          </w:p>
        </w:tc>
        <w:tc>
          <w:tcPr>
            <w:tcW w:w="9978" w:type="dxa"/>
            <w:vAlign w:val="center"/>
          </w:tcPr>
          <w:p w14:paraId="5E9D5D5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超载时发出报警提示</w:t>
            </w:r>
          </w:p>
        </w:tc>
      </w:tr>
      <w:tr w14:paraId="72473C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A4B0DC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w:t>
            </w:r>
          </w:p>
        </w:tc>
        <w:tc>
          <w:tcPr>
            <w:tcW w:w="3402" w:type="dxa"/>
            <w:vAlign w:val="center"/>
          </w:tcPr>
          <w:p w14:paraId="6E087F0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检修运行方式</w:t>
            </w:r>
          </w:p>
        </w:tc>
        <w:tc>
          <w:tcPr>
            <w:tcW w:w="9978" w:type="dxa"/>
            <w:vAlign w:val="center"/>
          </w:tcPr>
          <w:p w14:paraId="505DC169">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电梯维修保养时，投入此系统后作低速运行</w:t>
            </w:r>
          </w:p>
        </w:tc>
      </w:tr>
      <w:tr w14:paraId="600658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725C758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w:t>
            </w:r>
          </w:p>
        </w:tc>
        <w:tc>
          <w:tcPr>
            <w:tcW w:w="3402" w:type="dxa"/>
            <w:vAlign w:val="center"/>
          </w:tcPr>
          <w:p w14:paraId="785CCCC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超速保护功能</w:t>
            </w:r>
          </w:p>
        </w:tc>
        <w:tc>
          <w:tcPr>
            <w:tcW w:w="9978" w:type="dxa"/>
            <w:vAlign w:val="center"/>
          </w:tcPr>
          <w:p w14:paraId="5405312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轿厢速度超过规定时电梯将自动切断控制电源</w:t>
            </w:r>
          </w:p>
        </w:tc>
      </w:tr>
      <w:tr w14:paraId="1DA885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038D9F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w:t>
            </w:r>
          </w:p>
        </w:tc>
        <w:tc>
          <w:tcPr>
            <w:tcW w:w="3402" w:type="dxa"/>
            <w:vAlign w:val="center"/>
          </w:tcPr>
          <w:p w14:paraId="40A08A0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微平层运行</w:t>
            </w:r>
          </w:p>
        </w:tc>
        <w:tc>
          <w:tcPr>
            <w:tcW w:w="9978" w:type="dxa"/>
            <w:vAlign w:val="center"/>
          </w:tcPr>
          <w:p w14:paraId="080D71C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补偿由负载不同时的平层误差</w:t>
            </w:r>
          </w:p>
        </w:tc>
      </w:tr>
      <w:tr w14:paraId="6BDFC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60C4CA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8</w:t>
            </w:r>
          </w:p>
        </w:tc>
        <w:tc>
          <w:tcPr>
            <w:tcW w:w="3402" w:type="dxa"/>
            <w:vAlign w:val="center"/>
          </w:tcPr>
          <w:p w14:paraId="4B884E7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秤重启动</w:t>
            </w:r>
          </w:p>
        </w:tc>
        <w:tc>
          <w:tcPr>
            <w:tcW w:w="9978" w:type="dxa"/>
            <w:vAlign w:val="center"/>
          </w:tcPr>
          <w:p w14:paraId="4B21CA9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保证启动时的平稳</w:t>
            </w:r>
          </w:p>
        </w:tc>
      </w:tr>
      <w:tr w14:paraId="3CF28F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6EF8E0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9</w:t>
            </w:r>
          </w:p>
        </w:tc>
        <w:tc>
          <w:tcPr>
            <w:tcW w:w="3402" w:type="dxa"/>
            <w:vAlign w:val="center"/>
          </w:tcPr>
          <w:p w14:paraId="0B1B98B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开门/关门按钮应答灯</w:t>
            </w:r>
          </w:p>
        </w:tc>
        <w:tc>
          <w:tcPr>
            <w:tcW w:w="9978" w:type="dxa"/>
            <w:vAlign w:val="center"/>
          </w:tcPr>
          <w:p w14:paraId="60D9356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采用发光按钮</w:t>
            </w:r>
          </w:p>
        </w:tc>
      </w:tr>
      <w:tr w14:paraId="7377BB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165E30E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10</w:t>
            </w:r>
          </w:p>
        </w:tc>
        <w:tc>
          <w:tcPr>
            <w:tcW w:w="3402" w:type="dxa"/>
            <w:vAlign w:val="center"/>
          </w:tcPr>
          <w:p w14:paraId="06B95A2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即时关门</w:t>
            </w:r>
          </w:p>
        </w:tc>
        <w:tc>
          <w:tcPr>
            <w:tcW w:w="9978" w:type="dxa"/>
            <w:vAlign w:val="center"/>
          </w:tcPr>
          <w:p w14:paraId="747523A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与关门按钮联动</w:t>
            </w:r>
          </w:p>
        </w:tc>
      </w:tr>
      <w:tr w14:paraId="5BA761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6DA54D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11</w:t>
            </w:r>
          </w:p>
        </w:tc>
        <w:tc>
          <w:tcPr>
            <w:tcW w:w="3402" w:type="dxa"/>
            <w:vAlign w:val="center"/>
          </w:tcPr>
          <w:p w14:paraId="60CF6809">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强制关门</w:t>
            </w:r>
          </w:p>
        </w:tc>
        <w:tc>
          <w:tcPr>
            <w:tcW w:w="9978" w:type="dxa"/>
            <w:vAlign w:val="center"/>
          </w:tcPr>
          <w:p w14:paraId="31B4FC2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电梯门打门的时间超时时</w:t>
            </w:r>
            <w:r>
              <w:rPr>
                <w:rFonts w:hint="eastAsia" w:ascii="宋体" w:hAnsi="宋体" w:cs="宋体"/>
                <w:lang w:eastAsia="zh-CN"/>
              </w:rPr>
              <w:t>，</w:t>
            </w:r>
            <w:r>
              <w:rPr>
                <w:rFonts w:hint="eastAsia" w:ascii="宋体" w:hAnsi="宋体" w:eastAsia="宋体" w:cs="宋体"/>
              </w:rPr>
              <w:t>可强制自动关门</w:t>
            </w:r>
          </w:p>
        </w:tc>
      </w:tr>
      <w:tr w14:paraId="763C5B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703B2C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12</w:t>
            </w:r>
          </w:p>
        </w:tc>
        <w:tc>
          <w:tcPr>
            <w:tcW w:w="3402" w:type="dxa"/>
            <w:vAlign w:val="center"/>
          </w:tcPr>
          <w:p w14:paraId="5B4F901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视频监控电缆</w:t>
            </w:r>
          </w:p>
        </w:tc>
        <w:tc>
          <w:tcPr>
            <w:tcW w:w="9978" w:type="dxa"/>
            <w:vAlign w:val="center"/>
          </w:tcPr>
          <w:p w14:paraId="149EB2E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预留机房至轿厢内的视频监控电缆，电梯规格表中要求为光纤的则必须配置有多模光纤随行电缆。</w:t>
            </w:r>
          </w:p>
        </w:tc>
      </w:tr>
      <w:tr w14:paraId="1B47D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BE293B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13</w:t>
            </w:r>
          </w:p>
        </w:tc>
        <w:tc>
          <w:tcPr>
            <w:tcW w:w="3402" w:type="dxa"/>
            <w:vAlign w:val="center"/>
          </w:tcPr>
          <w:p w14:paraId="61A0356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牛腿</w:t>
            </w:r>
          </w:p>
        </w:tc>
        <w:tc>
          <w:tcPr>
            <w:tcW w:w="9978" w:type="dxa"/>
            <w:vAlign w:val="center"/>
          </w:tcPr>
          <w:p w14:paraId="15CCA05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电梯承包单位负责井道内钢牛腿的设备及安装</w:t>
            </w:r>
          </w:p>
        </w:tc>
      </w:tr>
      <w:tr w14:paraId="5C5681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740C768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14</w:t>
            </w:r>
          </w:p>
        </w:tc>
        <w:tc>
          <w:tcPr>
            <w:tcW w:w="3402" w:type="dxa"/>
            <w:vAlign w:val="center"/>
          </w:tcPr>
          <w:p w14:paraId="0101E08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电梯受阻失速保护</w:t>
            </w:r>
          </w:p>
        </w:tc>
        <w:tc>
          <w:tcPr>
            <w:tcW w:w="9978" w:type="dxa"/>
            <w:vAlign w:val="center"/>
          </w:tcPr>
          <w:p w14:paraId="617E4C8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当曳引钢丝绳打滑或电机堵转达到预定时间时，电梯停止运行。</w:t>
            </w:r>
          </w:p>
        </w:tc>
      </w:tr>
      <w:tr w14:paraId="044FB4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E14790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15</w:t>
            </w:r>
          </w:p>
        </w:tc>
        <w:tc>
          <w:tcPr>
            <w:tcW w:w="3402" w:type="dxa"/>
            <w:vAlign w:val="center"/>
          </w:tcPr>
          <w:p w14:paraId="331FCEB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制动器冗余保护</w:t>
            </w:r>
          </w:p>
        </w:tc>
        <w:tc>
          <w:tcPr>
            <w:tcW w:w="9978" w:type="dxa"/>
            <w:vAlign w:val="center"/>
          </w:tcPr>
          <w:p w14:paraId="36261E5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当一组制动器发生故障时，其余制动器也可实现电梯有效制动。</w:t>
            </w:r>
          </w:p>
        </w:tc>
      </w:tr>
      <w:tr w14:paraId="7210B9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05BD70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16</w:t>
            </w:r>
          </w:p>
        </w:tc>
        <w:tc>
          <w:tcPr>
            <w:tcW w:w="3402" w:type="dxa"/>
            <w:vAlign w:val="center"/>
          </w:tcPr>
          <w:p w14:paraId="780B844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门锁旁路运行</w:t>
            </w:r>
          </w:p>
        </w:tc>
        <w:tc>
          <w:tcPr>
            <w:tcW w:w="9978" w:type="dxa"/>
            <w:vAlign w:val="center"/>
          </w:tcPr>
          <w:p w14:paraId="5BBE350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通过门锁旁路装置旁路层门或轿门按钮回路，以方便维护层门触点、轿门触点和门锁触点。</w:t>
            </w:r>
          </w:p>
        </w:tc>
      </w:tr>
      <w:tr w14:paraId="287C8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78C8EA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17</w:t>
            </w:r>
          </w:p>
        </w:tc>
        <w:tc>
          <w:tcPr>
            <w:tcW w:w="3402" w:type="dxa"/>
            <w:vAlign w:val="center"/>
          </w:tcPr>
          <w:p w14:paraId="1C977BD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电气安全回路保护</w:t>
            </w:r>
          </w:p>
        </w:tc>
        <w:tc>
          <w:tcPr>
            <w:tcW w:w="9978" w:type="dxa"/>
            <w:vAlign w:val="center"/>
          </w:tcPr>
          <w:p w14:paraId="36127AC9">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串联在一起的电气安全装置一旦动作，则阻止电梯运行。</w:t>
            </w:r>
          </w:p>
        </w:tc>
      </w:tr>
      <w:tr w14:paraId="233BC9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79F4437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18</w:t>
            </w:r>
          </w:p>
        </w:tc>
        <w:tc>
          <w:tcPr>
            <w:tcW w:w="3402" w:type="dxa"/>
            <w:vAlign w:val="center"/>
          </w:tcPr>
          <w:p w14:paraId="09DE5A6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层高自测定</w:t>
            </w:r>
          </w:p>
        </w:tc>
        <w:tc>
          <w:tcPr>
            <w:tcW w:w="9978" w:type="dxa"/>
            <w:vAlign w:val="center"/>
          </w:tcPr>
          <w:p w14:paraId="24C4F18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自动测量并记录层高数据。</w:t>
            </w:r>
          </w:p>
        </w:tc>
      </w:tr>
      <w:tr w14:paraId="7DE571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C651FD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19</w:t>
            </w:r>
          </w:p>
        </w:tc>
        <w:tc>
          <w:tcPr>
            <w:tcW w:w="3402" w:type="dxa"/>
            <w:vAlign w:val="center"/>
          </w:tcPr>
          <w:p w14:paraId="5933E97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过电流保护</w:t>
            </w:r>
          </w:p>
        </w:tc>
        <w:tc>
          <w:tcPr>
            <w:tcW w:w="9978" w:type="dxa"/>
            <w:vAlign w:val="center"/>
          </w:tcPr>
          <w:p w14:paraId="1A2C400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检测到整流装置或逆变装置电流过大，则停止电梯运行。</w:t>
            </w:r>
          </w:p>
        </w:tc>
      </w:tr>
      <w:tr w14:paraId="7EE4EB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A555C1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20</w:t>
            </w:r>
          </w:p>
        </w:tc>
        <w:tc>
          <w:tcPr>
            <w:tcW w:w="3402" w:type="dxa"/>
            <w:vAlign w:val="center"/>
          </w:tcPr>
          <w:p w14:paraId="74BE998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电机过热保护</w:t>
            </w:r>
          </w:p>
        </w:tc>
        <w:tc>
          <w:tcPr>
            <w:tcW w:w="9978" w:type="dxa"/>
            <w:vAlign w:val="center"/>
          </w:tcPr>
          <w:p w14:paraId="7614424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检测到电机过热，则停止电梯运行。</w:t>
            </w:r>
          </w:p>
        </w:tc>
      </w:tr>
      <w:tr w14:paraId="73850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3DDE98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21</w:t>
            </w:r>
          </w:p>
        </w:tc>
        <w:tc>
          <w:tcPr>
            <w:tcW w:w="3402" w:type="dxa"/>
            <w:vAlign w:val="center"/>
          </w:tcPr>
          <w:p w14:paraId="27B8565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过电压保护</w:t>
            </w:r>
          </w:p>
        </w:tc>
        <w:tc>
          <w:tcPr>
            <w:tcW w:w="9978" w:type="dxa"/>
            <w:vAlign w:val="center"/>
          </w:tcPr>
          <w:p w14:paraId="29FC4C4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检测到整流装置或逆变装置电压过高，则停止电梯运行。</w:t>
            </w:r>
          </w:p>
        </w:tc>
      </w:tr>
      <w:tr w14:paraId="526BF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CD9EFD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22</w:t>
            </w:r>
          </w:p>
        </w:tc>
        <w:tc>
          <w:tcPr>
            <w:tcW w:w="3402" w:type="dxa"/>
            <w:vAlign w:val="center"/>
          </w:tcPr>
          <w:p w14:paraId="0365719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电源故障保护</w:t>
            </w:r>
          </w:p>
        </w:tc>
        <w:tc>
          <w:tcPr>
            <w:tcW w:w="9978" w:type="dxa"/>
            <w:vAlign w:val="center"/>
          </w:tcPr>
          <w:p w14:paraId="7DFC087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电源发生缺相、欠压等故障时，则停止电梯运行。</w:t>
            </w:r>
          </w:p>
        </w:tc>
      </w:tr>
      <w:tr w14:paraId="0B5EA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2C3791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23</w:t>
            </w:r>
          </w:p>
        </w:tc>
        <w:tc>
          <w:tcPr>
            <w:tcW w:w="3402" w:type="dxa"/>
            <w:vAlign w:val="center"/>
          </w:tcPr>
          <w:p w14:paraId="29C2B77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逆行保护</w:t>
            </w:r>
          </w:p>
        </w:tc>
        <w:tc>
          <w:tcPr>
            <w:tcW w:w="9978" w:type="dxa"/>
            <w:vAlign w:val="center"/>
          </w:tcPr>
          <w:p w14:paraId="3073765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检测到电梯逆行，则停止电梯运行。</w:t>
            </w:r>
          </w:p>
        </w:tc>
      </w:tr>
      <w:tr w14:paraId="231A85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E25FFE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24</w:t>
            </w:r>
          </w:p>
        </w:tc>
        <w:tc>
          <w:tcPr>
            <w:tcW w:w="3402" w:type="dxa"/>
            <w:vAlign w:val="center"/>
          </w:tcPr>
          <w:p w14:paraId="206B3819">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选层器修正</w:t>
            </w:r>
          </w:p>
        </w:tc>
        <w:tc>
          <w:tcPr>
            <w:tcW w:w="9978" w:type="dxa"/>
            <w:vAlign w:val="center"/>
          </w:tcPr>
          <w:p w14:paraId="3820555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电梯在运行过程中对选层器进行修正。</w:t>
            </w:r>
          </w:p>
        </w:tc>
      </w:tr>
      <w:tr w14:paraId="7B9BB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429B1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25</w:t>
            </w:r>
          </w:p>
        </w:tc>
        <w:tc>
          <w:tcPr>
            <w:tcW w:w="3402" w:type="dxa"/>
            <w:vAlign w:val="center"/>
          </w:tcPr>
          <w:p w14:paraId="12AAB2D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停层开门</w:t>
            </w:r>
          </w:p>
        </w:tc>
        <w:tc>
          <w:tcPr>
            <w:tcW w:w="9978" w:type="dxa"/>
            <w:vAlign w:val="center"/>
          </w:tcPr>
          <w:p w14:paraId="329E747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电梯停层后自动开门。</w:t>
            </w:r>
          </w:p>
        </w:tc>
      </w:tr>
      <w:tr w14:paraId="383BD1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2E1FEC6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26</w:t>
            </w:r>
          </w:p>
        </w:tc>
        <w:tc>
          <w:tcPr>
            <w:tcW w:w="3402" w:type="dxa"/>
            <w:vAlign w:val="center"/>
          </w:tcPr>
          <w:p w14:paraId="030DEF1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逆变装置高温检测</w:t>
            </w:r>
          </w:p>
        </w:tc>
        <w:tc>
          <w:tcPr>
            <w:tcW w:w="9978" w:type="dxa"/>
            <w:vAlign w:val="center"/>
          </w:tcPr>
          <w:p w14:paraId="09712C7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检测到逆变装置过热，则停止电梯运行。</w:t>
            </w:r>
          </w:p>
        </w:tc>
      </w:tr>
      <w:tr w14:paraId="31460F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11CD52C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27</w:t>
            </w:r>
          </w:p>
        </w:tc>
        <w:tc>
          <w:tcPr>
            <w:tcW w:w="3402" w:type="dxa"/>
            <w:vAlign w:val="center"/>
          </w:tcPr>
          <w:p w14:paraId="026FD59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终端强制减速</w:t>
            </w:r>
          </w:p>
        </w:tc>
        <w:tc>
          <w:tcPr>
            <w:tcW w:w="9978" w:type="dxa"/>
            <w:vAlign w:val="center"/>
          </w:tcPr>
          <w:p w14:paraId="32EA2F9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若轿厢运行到终端而速度未减到规定值时，系统强制减速，以使轿厢正常平层。</w:t>
            </w:r>
          </w:p>
        </w:tc>
      </w:tr>
      <w:tr w14:paraId="3DEA0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082108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28</w:t>
            </w:r>
          </w:p>
        </w:tc>
        <w:tc>
          <w:tcPr>
            <w:tcW w:w="3402" w:type="dxa"/>
            <w:vAlign w:val="center"/>
          </w:tcPr>
          <w:p w14:paraId="5F64F44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轿厢意外移动</w:t>
            </w:r>
          </w:p>
        </w:tc>
        <w:tc>
          <w:tcPr>
            <w:tcW w:w="9978" w:type="dxa"/>
            <w:vAlign w:val="center"/>
          </w:tcPr>
          <w:p w14:paraId="20D2CD7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电梯的保护装置，在层门未被锁住且轿门未关闭的情况下，对由于驱动主机或驱动控制系统的任何单一部件失效引起轿厢离开层站的意外移动进行紧急制停。</w:t>
            </w:r>
          </w:p>
        </w:tc>
      </w:tr>
      <w:tr w14:paraId="4685DD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3D82DE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29</w:t>
            </w:r>
          </w:p>
        </w:tc>
        <w:tc>
          <w:tcPr>
            <w:tcW w:w="3402" w:type="dxa"/>
            <w:vAlign w:val="center"/>
          </w:tcPr>
          <w:p w14:paraId="10AA482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过低速保护</w:t>
            </w:r>
          </w:p>
        </w:tc>
        <w:tc>
          <w:tcPr>
            <w:tcW w:w="9978" w:type="dxa"/>
            <w:vAlign w:val="center"/>
          </w:tcPr>
          <w:p w14:paraId="17C02C7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检测到运行速度低于允许值时，则停止电梯运行。</w:t>
            </w:r>
          </w:p>
        </w:tc>
      </w:tr>
      <w:tr w14:paraId="356D14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DBD940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30</w:t>
            </w:r>
          </w:p>
        </w:tc>
        <w:tc>
          <w:tcPr>
            <w:tcW w:w="3402" w:type="dxa"/>
            <w:vAlign w:val="center"/>
          </w:tcPr>
          <w:p w14:paraId="551E9E8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轿厢到站钟</w:t>
            </w:r>
          </w:p>
        </w:tc>
        <w:tc>
          <w:tcPr>
            <w:tcW w:w="9978" w:type="dxa"/>
            <w:vAlign w:val="center"/>
          </w:tcPr>
          <w:p w14:paraId="4572BB2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电梯到站电子音（办公楼及商业楼电梯配置）</w:t>
            </w:r>
          </w:p>
        </w:tc>
      </w:tr>
      <w:tr w14:paraId="4E0ED2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5A6E64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31</w:t>
            </w:r>
          </w:p>
        </w:tc>
        <w:tc>
          <w:tcPr>
            <w:tcW w:w="3402" w:type="dxa"/>
            <w:vAlign w:val="center"/>
          </w:tcPr>
          <w:p w14:paraId="4DFDE2E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上电再平层</w:t>
            </w:r>
          </w:p>
        </w:tc>
        <w:tc>
          <w:tcPr>
            <w:tcW w:w="9978" w:type="dxa"/>
            <w:vAlign w:val="center"/>
          </w:tcPr>
          <w:p w14:paraId="7F4B65C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电源故障恢复后，轿厢应再平层并开门</w:t>
            </w:r>
          </w:p>
        </w:tc>
      </w:tr>
      <w:tr w14:paraId="5881B4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A64255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32</w:t>
            </w:r>
          </w:p>
        </w:tc>
        <w:tc>
          <w:tcPr>
            <w:tcW w:w="3402" w:type="dxa"/>
            <w:vAlign w:val="center"/>
          </w:tcPr>
          <w:p w14:paraId="0786303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关门力矩提升控制</w:t>
            </w:r>
          </w:p>
        </w:tc>
        <w:tc>
          <w:tcPr>
            <w:tcW w:w="9978" w:type="dxa"/>
            <w:vAlign w:val="center"/>
          </w:tcPr>
          <w:p w14:paraId="5D360DA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关门有阻力时，可自动将力矩增大</w:t>
            </w:r>
          </w:p>
        </w:tc>
      </w:tr>
      <w:tr w14:paraId="6DB3D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3DCDC2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33</w:t>
            </w:r>
          </w:p>
        </w:tc>
        <w:tc>
          <w:tcPr>
            <w:tcW w:w="3402" w:type="dxa"/>
            <w:vAlign w:val="center"/>
          </w:tcPr>
          <w:p w14:paraId="02F61D0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轿厢微机异常处理</w:t>
            </w:r>
          </w:p>
        </w:tc>
        <w:tc>
          <w:tcPr>
            <w:tcW w:w="9978" w:type="dxa"/>
            <w:vAlign w:val="center"/>
          </w:tcPr>
          <w:p w14:paraId="36ECCC7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当主操纵箱或轿顶站或门机微机发生异常时，就近层停靠后，电梯不能再启动。</w:t>
            </w:r>
          </w:p>
        </w:tc>
      </w:tr>
      <w:tr w14:paraId="43F387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0541BFF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34</w:t>
            </w:r>
          </w:p>
        </w:tc>
        <w:tc>
          <w:tcPr>
            <w:tcW w:w="3402" w:type="dxa"/>
            <w:vAlign w:val="center"/>
          </w:tcPr>
          <w:p w14:paraId="6D38669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轿内反方向指令清除</w:t>
            </w:r>
          </w:p>
        </w:tc>
        <w:tc>
          <w:tcPr>
            <w:tcW w:w="9978" w:type="dxa"/>
            <w:vAlign w:val="center"/>
          </w:tcPr>
          <w:p w14:paraId="36E8940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电梯处于自动运行模式下，当电梯停站时，如果当前运行方向上没有轿内指令而反方向存在轿内指令，则取消反方向的轿内指令。</w:t>
            </w:r>
          </w:p>
        </w:tc>
      </w:tr>
      <w:tr w14:paraId="0FAEA4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817" w:type="dxa"/>
            <w:vAlign w:val="center"/>
          </w:tcPr>
          <w:p w14:paraId="1E41DFA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35</w:t>
            </w:r>
          </w:p>
        </w:tc>
        <w:tc>
          <w:tcPr>
            <w:tcW w:w="3402" w:type="dxa"/>
            <w:vAlign w:val="center"/>
          </w:tcPr>
          <w:p w14:paraId="4ED1DAE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轿内通风装置手动关闭（按钮型）</w:t>
            </w:r>
          </w:p>
        </w:tc>
        <w:tc>
          <w:tcPr>
            <w:tcW w:w="9978" w:type="dxa"/>
            <w:vAlign w:val="center"/>
          </w:tcPr>
          <w:p w14:paraId="029584E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通过操纵箱按钮组合来关闭轿内通风装置。</w:t>
            </w:r>
          </w:p>
        </w:tc>
      </w:tr>
      <w:tr w14:paraId="4908B2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0D9067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36</w:t>
            </w:r>
          </w:p>
        </w:tc>
        <w:tc>
          <w:tcPr>
            <w:tcW w:w="3402" w:type="dxa"/>
            <w:vAlign w:val="center"/>
          </w:tcPr>
          <w:p w14:paraId="7EDFC3C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轿内照明手动关闭（按钮型）</w:t>
            </w:r>
          </w:p>
        </w:tc>
        <w:tc>
          <w:tcPr>
            <w:tcW w:w="9978" w:type="dxa"/>
            <w:vAlign w:val="center"/>
          </w:tcPr>
          <w:p w14:paraId="04154D9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通过操纵箱按钮组合来关闭轿内照明。</w:t>
            </w:r>
          </w:p>
        </w:tc>
      </w:tr>
      <w:tr w14:paraId="6D6A8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163EDC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37</w:t>
            </w:r>
          </w:p>
        </w:tc>
        <w:tc>
          <w:tcPr>
            <w:tcW w:w="3402" w:type="dxa"/>
            <w:vAlign w:val="center"/>
          </w:tcPr>
          <w:p w14:paraId="44F987B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故障自诊断</w:t>
            </w:r>
          </w:p>
        </w:tc>
        <w:tc>
          <w:tcPr>
            <w:tcW w:w="9978" w:type="dxa"/>
            <w:vAlign w:val="center"/>
          </w:tcPr>
          <w:p w14:paraId="5387DE1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对电梯运行过程中的异常及故障进行诊断。</w:t>
            </w:r>
          </w:p>
        </w:tc>
      </w:tr>
      <w:tr w14:paraId="4AAE79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D0965F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38</w:t>
            </w:r>
          </w:p>
        </w:tc>
        <w:tc>
          <w:tcPr>
            <w:tcW w:w="3402" w:type="dxa"/>
            <w:vAlign w:val="center"/>
          </w:tcPr>
          <w:p w14:paraId="06F729C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层站召唤自动登记</w:t>
            </w:r>
          </w:p>
        </w:tc>
        <w:tc>
          <w:tcPr>
            <w:tcW w:w="9978" w:type="dxa"/>
            <w:vAlign w:val="center"/>
          </w:tcPr>
          <w:p w14:paraId="33C3449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当一台电梯不能将所有乘客接走，该层站按钮保持登记状态，系统将自动分配另外一台电梯来服务。</w:t>
            </w:r>
          </w:p>
        </w:tc>
      </w:tr>
      <w:tr w14:paraId="6423D0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BD487C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39</w:t>
            </w:r>
          </w:p>
        </w:tc>
        <w:tc>
          <w:tcPr>
            <w:tcW w:w="3402" w:type="dxa"/>
            <w:vAlign w:val="center"/>
          </w:tcPr>
          <w:p w14:paraId="399E089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层站微机异常处理</w:t>
            </w:r>
          </w:p>
        </w:tc>
        <w:tc>
          <w:tcPr>
            <w:tcW w:w="9978" w:type="dxa"/>
            <w:vAlign w:val="center"/>
          </w:tcPr>
          <w:p w14:paraId="419C30B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当层站微机发生异常时，就近层停靠后，电梯不能再启动。</w:t>
            </w:r>
          </w:p>
        </w:tc>
      </w:tr>
      <w:tr w14:paraId="47F9D1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26A078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40</w:t>
            </w:r>
          </w:p>
        </w:tc>
        <w:tc>
          <w:tcPr>
            <w:tcW w:w="3402" w:type="dxa"/>
            <w:vAlign w:val="center"/>
          </w:tcPr>
          <w:p w14:paraId="7397CFC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层站运行控制开关</w:t>
            </w:r>
          </w:p>
        </w:tc>
        <w:tc>
          <w:tcPr>
            <w:tcW w:w="9978" w:type="dxa"/>
            <w:vAlign w:val="center"/>
          </w:tcPr>
          <w:p w14:paraId="2EE31E1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通过操作指定层站上安装“运行/停止”钥匙开关，开启或关闭电梯。</w:t>
            </w:r>
          </w:p>
        </w:tc>
      </w:tr>
      <w:tr w14:paraId="747990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1790AAF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41</w:t>
            </w:r>
          </w:p>
        </w:tc>
        <w:tc>
          <w:tcPr>
            <w:tcW w:w="3402" w:type="dxa"/>
            <w:vAlign w:val="center"/>
          </w:tcPr>
          <w:p w14:paraId="780DC1D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独立运行</w:t>
            </w:r>
          </w:p>
        </w:tc>
        <w:tc>
          <w:tcPr>
            <w:tcW w:w="9978" w:type="dxa"/>
            <w:vAlign w:val="center"/>
          </w:tcPr>
          <w:p w14:paraId="2707544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使用操纵箱内的“独立”开关，可以在不中断运行的情况下，只响应轿内指令而不响应层站召唤。</w:t>
            </w:r>
          </w:p>
        </w:tc>
      </w:tr>
      <w:tr w14:paraId="77819D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5F57BA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42</w:t>
            </w:r>
          </w:p>
        </w:tc>
        <w:tc>
          <w:tcPr>
            <w:tcW w:w="3402" w:type="dxa"/>
            <w:vAlign w:val="center"/>
          </w:tcPr>
          <w:p w14:paraId="7FCD7A19">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电梯不启动报警</w:t>
            </w:r>
          </w:p>
        </w:tc>
        <w:tc>
          <w:tcPr>
            <w:tcW w:w="9978" w:type="dxa"/>
            <w:vAlign w:val="center"/>
          </w:tcPr>
          <w:p w14:paraId="247FEC4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当层站召唤、轿内指令已登记，但电梯在预定时间内不能启动，则清除已分配的层站召唤，保留轿内指令，异常灯点亮，异常警铃</w:t>
            </w:r>
            <w:r>
              <w:rPr>
                <w:rFonts w:hint="eastAsia" w:ascii="宋体" w:hAnsi="宋体" w:cs="宋体"/>
                <w:lang w:eastAsia="zh-CN"/>
              </w:rPr>
              <w:t>鸣响</w:t>
            </w:r>
            <w:r>
              <w:rPr>
                <w:rFonts w:hint="eastAsia" w:ascii="宋体" w:hAnsi="宋体" w:eastAsia="宋体" w:cs="宋体"/>
              </w:rPr>
              <w:t>。</w:t>
            </w:r>
          </w:p>
        </w:tc>
      </w:tr>
      <w:tr w14:paraId="6389F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702D39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43</w:t>
            </w:r>
          </w:p>
        </w:tc>
        <w:tc>
          <w:tcPr>
            <w:tcW w:w="3402" w:type="dxa"/>
            <w:vAlign w:val="center"/>
          </w:tcPr>
          <w:p w14:paraId="7550CBB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次层停靠</w:t>
            </w:r>
          </w:p>
        </w:tc>
        <w:tc>
          <w:tcPr>
            <w:tcW w:w="9978" w:type="dxa"/>
            <w:vAlign w:val="center"/>
          </w:tcPr>
          <w:p w14:paraId="600EA4C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电梯到达目的层后，若轿厢门不能完全开启，则关门后继续向下一层运行，直到门能完全开启后，恢复正常运行。</w:t>
            </w:r>
          </w:p>
        </w:tc>
      </w:tr>
      <w:tr w14:paraId="6EFBD8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06820F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44</w:t>
            </w:r>
          </w:p>
        </w:tc>
        <w:tc>
          <w:tcPr>
            <w:tcW w:w="3402" w:type="dxa"/>
            <w:vAlign w:val="center"/>
          </w:tcPr>
          <w:p w14:paraId="7E6CFB5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关门保护</w:t>
            </w:r>
          </w:p>
        </w:tc>
        <w:tc>
          <w:tcPr>
            <w:tcW w:w="9978" w:type="dxa"/>
            <w:vAlign w:val="center"/>
          </w:tcPr>
          <w:p w14:paraId="1FD5110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当轿厢门不能完全关闭时，门反向开启。</w:t>
            </w:r>
          </w:p>
        </w:tc>
      </w:tr>
      <w:tr w14:paraId="3ED6983C">
        <w:tblPrEx>
          <w:tblCellMar>
            <w:top w:w="0" w:type="dxa"/>
            <w:left w:w="108" w:type="dxa"/>
            <w:bottom w:w="0" w:type="dxa"/>
            <w:right w:w="108" w:type="dxa"/>
          </w:tblCellMar>
        </w:tblPrEx>
        <w:tc>
          <w:tcPr>
            <w:tcW w:w="817" w:type="dxa"/>
            <w:vAlign w:val="center"/>
          </w:tcPr>
          <w:p w14:paraId="4381FFE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45</w:t>
            </w:r>
          </w:p>
        </w:tc>
        <w:tc>
          <w:tcPr>
            <w:tcW w:w="3402" w:type="dxa"/>
            <w:vAlign w:val="center"/>
          </w:tcPr>
          <w:p w14:paraId="6751E9C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换向重开门</w:t>
            </w:r>
          </w:p>
        </w:tc>
        <w:tc>
          <w:tcPr>
            <w:tcW w:w="9978" w:type="dxa"/>
            <w:vAlign w:val="center"/>
          </w:tcPr>
          <w:p w14:paraId="33A55BE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电梯门开状态，前行方向上没有轿内指令和层站召唤，且该层站的相反方向的层站召唤已被登记电梯关门后立即重开。</w:t>
            </w:r>
          </w:p>
        </w:tc>
      </w:tr>
      <w:tr w14:paraId="36283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2C63C17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46</w:t>
            </w:r>
          </w:p>
        </w:tc>
        <w:tc>
          <w:tcPr>
            <w:tcW w:w="3402" w:type="dxa"/>
            <w:vAlign w:val="center"/>
          </w:tcPr>
          <w:p w14:paraId="66ED473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门负载检测</w:t>
            </w:r>
          </w:p>
        </w:tc>
        <w:tc>
          <w:tcPr>
            <w:tcW w:w="9978" w:type="dxa"/>
            <w:vAlign w:val="center"/>
          </w:tcPr>
          <w:p w14:paraId="297874A9">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如果门由于过载导致不能完全打开或关闭，电梯门将会反方向动作。</w:t>
            </w:r>
          </w:p>
        </w:tc>
      </w:tr>
      <w:tr w14:paraId="79F706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7B187E4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47</w:t>
            </w:r>
          </w:p>
        </w:tc>
        <w:tc>
          <w:tcPr>
            <w:tcW w:w="3402" w:type="dxa"/>
            <w:vAlign w:val="center"/>
          </w:tcPr>
          <w:p w14:paraId="46B18C3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本层再开门</w:t>
            </w:r>
          </w:p>
        </w:tc>
        <w:tc>
          <w:tcPr>
            <w:tcW w:w="9978" w:type="dxa"/>
            <w:vAlign w:val="center"/>
          </w:tcPr>
          <w:p w14:paraId="3949F2D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关门过程中，按同方向层站召唤按钮，电梯重复开门</w:t>
            </w:r>
          </w:p>
        </w:tc>
      </w:tr>
      <w:tr w14:paraId="220750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2D9BA0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48</w:t>
            </w:r>
          </w:p>
        </w:tc>
        <w:tc>
          <w:tcPr>
            <w:tcW w:w="3402" w:type="dxa"/>
            <w:vAlign w:val="center"/>
          </w:tcPr>
          <w:p w14:paraId="42B0FF8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轿内运行方向指示</w:t>
            </w:r>
          </w:p>
        </w:tc>
        <w:tc>
          <w:tcPr>
            <w:tcW w:w="9978" w:type="dxa"/>
            <w:vAlign w:val="center"/>
          </w:tcPr>
          <w:p w14:paraId="1EA2AC0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在轿厢内用箭头表示电梯的运行方向</w:t>
            </w:r>
          </w:p>
        </w:tc>
      </w:tr>
      <w:tr w14:paraId="1DC05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0AC65B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49</w:t>
            </w:r>
          </w:p>
        </w:tc>
        <w:tc>
          <w:tcPr>
            <w:tcW w:w="3402" w:type="dxa"/>
            <w:vAlign w:val="center"/>
          </w:tcPr>
          <w:p w14:paraId="3F741CA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层站运行方向指示</w:t>
            </w:r>
          </w:p>
        </w:tc>
        <w:tc>
          <w:tcPr>
            <w:tcW w:w="9978" w:type="dxa"/>
            <w:vAlign w:val="center"/>
          </w:tcPr>
          <w:p w14:paraId="1AB2D10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在层站用箭头表示电梯的运行方向</w:t>
            </w:r>
          </w:p>
        </w:tc>
      </w:tr>
      <w:tr w14:paraId="49218F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114D192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50</w:t>
            </w:r>
          </w:p>
        </w:tc>
        <w:tc>
          <w:tcPr>
            <w:tcW w:w="3402" w:type="dxa"/>
            <w:vAlign w:val="center"/>
          </w:tcPr>
          <w:p w14:paraId="6570016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关门按钮响应指示</w:t>
            </w:r>
          </w:p>
        </w:tc>
        <w:tc>
          <w:tcPr>
            <w:tcW w:w="9978" w:type="dxa"/>
            <w:vAlign w:val="center"/>
          </w:tcPr>
          <w:p w14:paraId="1125645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按下关门按钮时关门按钮灯同时点亮</w:t>
            </w:r>
          </w:p>
        </w:tc>
      </w:tr>
      <w:tr w14:paraId="315D07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6AE21C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51</w:t>
            </w:r>
          </w:p>
        </w:tc>
        <w:tc>
          <w:tcPr>
            <w:tcW w:w="3402" w:type="dxa"/>
            <w:vAlign w:val="center"/>
          </w:tcPr>
          <w:p w14:paraId="1D9C11F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开门按钮响应指示</w:t>
            </w:r>
          </w:p>
        </w:tc>
        <w:tc>
          <w:tcPr>
            <w:tcW w:w="9978" w:type="dxa"/>
            <w:vAlign w:val="center"/>
          </w:tcPr>
          <w:p w14:paraId="3C0A14F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按下开门按钮时开门按钮灯同时点亮</w:t>
            </w:r>
          </w:p>
        </w:tc>
      </w:tr>
      <w:tr w14:paraId="755AD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0E61FAF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52</w:t>
            </w:r>
          </w:p>
        </w:tc>
        <w:tc>
          <w:tcPr>
            <w:tcW w:w="3402" w:type="dxa"/>
            <w:vAlign w:val="center"/>
          </w:tcPr>
          <w:p w14:paraId="41077A8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轿厢照明自动关闭</w:t>
            </w:r>
          </w:p>
        </w:tc>
        <w:tc>
          <w:tcPr>
            <w:tcW w:w="9978" w:type="dxa"/>
            <w:vAlign w:val="center"/>
          </w:tcPr>
          <w:p w14:paraId="21748D9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在规定时间内无人利用时，照明自动关闭</w:t>
            </w:r>
          </w:p>
        </w:tc>
      </w:tr>
      <w:tr w14:paraId="3810C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F0BD49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53</w:t>
            </w:r>
          </w:p>
        </w:tc>
        <w:tc>
          <w:tcPr>
            <w:tcW w:w="3402" w:type="dxa"/>
            <w:vAlign w:val="center"/>
          </w:tcPr>
          <w:p w14:paraId="602909D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轿厢风扇自动关闭</w:t>
            </w:r>
          </w:p>
        </w:tc>
        <w:tc>
          <w:tcPr>
            <w:tcW w:w="9978" w:type="dxa"/>
            <w:vAlign w:val="center"/>
          </w:tcPr>
          <w:p w14:paraId="2D13A1B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在规定时间内无人利用时，风扇自动关闭</w:t>
            </w:r>
          </w:p>
        </w:tc>
      </w:tr>
      <w:tr w14:paraId="6FC7FA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4719C6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54</w:t>
            </w:r>
          </w:p>
        </w:tc>
        <w:tc>
          <w:tcPr>
            <w:tcW w:w="3402" w:type="dxa"/>
            <w:vAlign w:val="center"/>
          </w:tcPr>
          <w:p w14:paraId="6F17F61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 xml:space="preserve">满载不停(自动直达) </w:t>
            </w:r>
          </w:p>
        </w:tc>
        <w:tc>
          <w:tcPr>
            <w:tcW w:w="9978" w:type="dxa"/>
            <w:vAlign w:val="center"/>
          </w:tcPr>
          <w:p w14:paraId="6B454EB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当乘客达到规定荷载时，电梯将自动越层</w:t>
            </w:r>
          </w:p>
        </w:tc>
      </w:tr>
      <w:tr w14:paraId="73DAF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0DC669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55</w:t>
            </w:r>
          </w:p>
        </w:tc>
        <w:tc>
          <w:tcPr>
            <w:tcW w:w="3402" w:type="dxa"/>
            <w:vAlign w:val="center"/>
          </w:tcPr>
          <w:p w14:paraId="4D68955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防捣乱功能</w:t>
            </w:r>
          </w:p>
        </w:tc>
        <w:tc>
          <w:tcPr>
            <w:tcW w:w="9978" w:type="dxa"/>
            <w:vAlign w:val="center"/>
          </w:tcPr>
          <w:p w14:paraId="0B2D7A5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无乘客时自动取消轿厢上多数层被登记的信号</w:t>
            </w:r>
          </w:p>
        </w:tc>
      </w:tr>
      <w:tr w14:paraId="151FCA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C0AF5E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56</w:t>
            </w:r>
          </w:p>
        </w:tc>
        <w:tc>
          <w:tcPr>
            <w:tcW w:w="3402" w:type="dxa"/>
            <w:vAlign w:val="center"/>
          </w:tcPr>
          <w:p w14:paraId="3561346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光幕安全触板</w:t>
            </w:r>
          </w:p>
        </w:tc>
        <w:tc>
          <w:tcPr>
            <w:tcW w:w="9978" w:type="dxa"/>
            <w:vAlign w:val="center"/>
          </w:tcPr>
          <w:p w14:paraId="7821A58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轿厢门提供光幕及安全触板双重保护</w:t>
            </w:r>
          </w:p>
        </w:tc>
      </w:tr>
      <w:tr w14:paraId="1969F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480E20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57</w:t>
            </w:r>
          </w:p>
        </w:tc>
        <w:tc>
          <w:tcPr>
            <w:tcW w:w="3402" w:type="dxa"/>
            <w:vAlign w:val="center"/>
          </w:tcPr>
          <w:p w14:paraId="1BF97B5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司机服务</w:t>
            </w:r>
          </w:p>
        </w:tc>
        <w:tc>
          <w:tcPr>
            <w:tcW w:w="9978" w:type="dxa"/>
            <w:vAlign w:val="center"/>
          </w:tcPr>
          <w:p w14:paraId="0DC5F2B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通过轿厢操作箱开关可改变操作方式</w:t>
            </w:r>
          </w:p>
        </w:tc>
      </w:tr>
      <w:tr w14:paraId="319FB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AA6F7A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58</w:t>
            </w:r>
          </w:p>
        </w:tc>
        <w:tc>
          <w:tcPr>
            <w:tcW w:w="3402" w:type="dxa"/>
            <w:vAlign w:val="center"/>
          </w:tcPr>
          <w:p w14:paraId="2E36278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开门延长按钮</w:t>
            </w:r>
          </w:p>
        </w:tc>
        <w:tc>
          <w:tcPr>
            <w:tcW w:w="9978" w:type="dxa"/>
            <w:vAlign w:val="center"/>
          </w:tcPr>
          <w:p w14:paraId="7BF3D66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货梯及消防梯配置本功能</w:t>
            </w:r>
          </w:p>
        </w:tc>
      </w:tr>
      <w:tr w14:paraId="69E7D2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78BF0E2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59</w:t>
            </w:r>
          </w:p>
        </w:tc>
        <w:tc>
          <w:tcPr>
            <w:tcW w:w="3402" w:type="dxa"/>
            <w:vAlign w:val="center"/>
          </w:tcPr>
          <w:p w14:paraId="627CAD8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后备电源运行（自动）</w:t>
            </w:r>
          </w:p>
        </w:tc>
        <w:tc>
          <w:tcPr>
            <w:tcW w:w="9978" w:type="dxa"/>
            <w:vAlign w:val="center"/>
          </w:tcPr>
          <w:p w14:paraId="71671FA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当市电停电时，自动切换至后备电源，群控电梯按照次序停靠并停止运行</w:t>
            </w:r>
          </w:p>
        </w:tc>
      </w:tr>
      <w:tr w14:paraId="56DF68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A11408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60</w:t>
            </w:r>
          </w:p>
        </w:tc>
        <w:tc>
          <w:tcPr>
            <w:tcW w:w="3402" w:type="dxa"/>
            <w:vAlign w:val="center"/>
          </w:tcPr>
          <w:p w14:paraId="77109DF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外呼楼层显示屏幕</w:t>
            </w:r>
          </w:p>
        </w:tc>
        <w:tc>
          <w:tcPr>
            <w:tcW w:w="9978" w:type="dxa"/>
            <w:vAlign w:val="center"/>
          </w:tcPr>
          <w:p w14:paraId="32CD58C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电梯楼层显示</w:t>
            </w:r>
          </w:p>
        </w:tc>
      </w:tr>
      <w:tr w14:paraId="113563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8" w:hRule="atLeast"/>
        </w:trPr>
        <w:tc>
          <w:tcPr>
            <w:tcW w:w="14197" w:type="dxa"/>
            <w:gridSpan w:val="3"/>
            <w:tcBorders>
              <w:right w:val="single" w:color="auto" w:sz="4" w:space="0"/>
            </w:tcBorders>
            <w:vAlign w:val="center"/>
          </w:tcPr>
          <w:p w14:paraId="690AF3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rPr>
            </w:pPr>
            <w:r>
              <w:rPr>
                <w:rFonts w:hint="eastAsia" w:ascii="宋体" w:hAnsi="宋体" w:eastAsia="宋体" w:cs="宋体"/>
                <w:b/>
              </w:rPr>
              <w:t>紧急操作管理功能</w:t>
            </w:r>
          </w:p>
        </w:tc>
      </w:tr>
      <w:tr w14:paraId="738790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817" w:type="dxa"/>
            <w:vAlign w:val="center"/>
          </w:tcPr>
          <w:p w14:paraId="2A51D64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lang w:val="en-US" w:eastAsia="zh-CN"/>
              </w:rPr>
            </w:pPr>
            <w:r>
              <w:rPr>
                <w:rFonts w:hint="eastAsia" w:ascii="宋体" w:hAnsi="宋体" w:cs="宋体"/>
                <w:b/>
                <w:bCs/>
                <w:lang w:val="en-US" w:eastAsia="zh-CN"/>
              </w:rPr>
              <w:t>序号</w:t>
            </w:r>
          </w:p>
        </w:tc>
        <w:tc>
          <w:tcPr>
            <w:tcW w:w="3402" w:type="dxa"/>
            <w:vAlign w:val="center"/>
          </w:tcPr>
          <w:p w14:paraId="2FDAD4F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rPr>
            </w:pPr>
            <w:r>
              <w:rPr>
                <w:rFonts w:hint="eastAsia" w:ascii="宋体" w:hAnsi="宋体" w:eastAsia="宋体" w:cs="宋体"/>
                <w:b/>
                <w:bCs/>
              </w:rPr>
              <w:t>功能</w:t>
            </w:r>
          </w:p>
        </w:tc>
        <w:tc>
          <w:tcPr>
            <w:tcW w:w="9978" w:type="dxa"/>
            <w:vAlign w:val="center"/>
          </w:tcPr>
          <w:p w14:paraId="46E88FF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rPr>
            </w:pPr>
            <w:r>
              <w:rPr>
                <w:rFonts w:hint="eastAsia" w:ascii="宋体" w:hAnsi="宋体" w:eastAsia="宋体" w:cs="宋体"/>
                <w:b/>
                <w:bCs/>
              </w:rPr>
              <w:t>备注</w:t>
            </w:r>
          </w:p>
        </w:tc>
      </w:tr>
      <w:tr w14:paraId="6528F7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E1749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61</w:t>
            </w:r>
          </w:p>
        </w:tc>
        <w:tc>
          <w:tcPr>
            <w:tcW w:w="3402" w:type="dxa"/>
            <w:vAlign w:val="center"/>
          </w:tcPr>
          <w:p w14:paraId="1195F51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轿厢应急照明</w:t>
            </w:r>
          </w:p>
        </w:tc>
        <w:tc>
          <w:tcPr>
            <w:tcW w:w="9978" w:type="dxa"/>
            <w:vAlign w:val="center"/>
          </w:tcPr>
          <w:p w14:paraId="1364988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停电时的应急照明</w:t>
            </w:r>
          </w:p>
        </w:tc>
      </w:tr>
      <w:tr w14:paraId="09D359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15203BA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62</w:t>
            </w:r>
          </w:p>
        </w:tc>
        <w:tc>
          <w:tcPr>
            <w:tcW w:w="3402" w:type="dxa"/>
            <w:vAlign w:val="center"/>
          </w:tcPr>
          <w:p w14:paraId="5ED4B26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警铃</w:t>
            </w:r>
          </w:p>
        </w:tc>
        <w:tc>
          <w:tcPr>
            <w:tcW w:w="9978" w:type="dxa"/>
            <w:vAlign w:val="center"/>
          </w:tcPr>
          <w:p w14:paraId="1B1D399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紧急时按下该警铃，警铃和通话装置</w:t>
            </w:r>
            <w:r>
              <w:rPr>
                <w:rFonts w:hint="eastAsia" w:ascii="宋体" w:hAnsi="宋体" w:cs="宋体"/>
                <w:lang w:eastAsia="zh-CN"/>
              </w:rPr>
              <w:t>鸣响</w:t>
            </w:r>
          </w:p>
        </w:tc>
      </w:tr>
      <w:tr w14:paraId="55335F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887260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63</w:t>
            </w:r>
          </w:p>
        </w:tc>
        <w:tc>
          <w:tcPr>
            <w:tcW w:w="3402" w:type="dxa"/>
            <w:vAlign w:val="center"/>
          </w:tcPr>
          <w:p w14:paraId="0E5FCE0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消防功能（消防电梯配置）</w:t>
            </w:r>
          </w:p>
        </w:tc>
        <w:tc>
          <w:tcPr>
            <w:tcW w:w="9978" w:type="dxa"/>
            <w:vAlign w:val="center"/>
          </w:tcPr>
          <w:p w14:paraId="6790CA4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防员开关动作，立即取消所有层站召唤和轿内指令，电梯返回到预定层站并开门后，电梯由消防员控制运行。应考虑电梯能在60秒内从顶层端站返回到撤离层。</w:t>
            </w:r>
          </w:p>
        </w:tc>
      </w:tr>
      <w:tr w14:paraId="70B3AF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F8818C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64</w:t>
            </w:r>
          </w:p>
        </w:tc>
        <w:tc>
          <w:tcPr>
            <w:tcW w:w="3402" w:type="dxa"/>
            <w:vAlign w:val="center"/>
          </w:tcPr>
          <w:p w14:paraId="68DB7A7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层站计算机后备运行</w:t>
            </w:r>
          </w:p>
        </w:tc>
        <w:tc>
          <w:tcPr>
            <w:tcW w:w="9978" w:type="dxa"/>
            <w:vAlign w:val="center"/>
          </w:tcPr>
          <w:p w14:paraId="1FC95D2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计算机发生故障时，系统后备运行启动</w:t>
            </w:r>
          </w:p>
        </w:tc>
      </w:tr>
      <w:tr w14:paraId="77A18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50089A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65</w:t>
            </w:r>
          </w:p>
        </w:tc>
        <w:tc>
          <w:tcPr>
            <w:tcW w:w="3402" w:type="dxa"/>
            <w:vAlign w:val="center"/>
          </w:tcPr>
          <w:p w14:paraId="18676E7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轿厢计算机后备运行</w:t>
            </w:r>
          </w:p>
        </w:tc>
        <w:tc>
          <w:tcPr>
            <w:tcW w:w="9978" w:type="dxa"/>
            <w:vAlign w:val="center"/>
          </w:tcPr>
          <w:p w14:paraId="4E5F5D5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同上</w:t>
            </w:r>
          </w:p>
        </w:tc>
      </w:tr>
      <w:tr w14:paraId="16F213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CC43AE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66</w:t>
            </w:r>
          </w:p>
        </w:tc>
        <w:tc>
          <w:tcPr>
            <w:tcW w:w="3402" w:type="dxa"/>
            <w:vAlign w:val="center"/>
          </w:tcPr>
          <w:p w14:paraId="5DA3CEF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集合故障信号</w:t>
            </w:r>
          </w:p>
        </w:tc>
        <w:tc>
          <w:tcPr>
            <w:tcW w:w="9978" w:type="dxa"/>
            <w:vAlign w:val="center"/>
          </w:tcPr>
          <w:p w14:paraId="5B87505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系统配置故障报警信息的存储</w:t>
            </w:r>
          </w:p>
        </w:tc>
      </w:tr>
      <w:tr w14:paraId="023A15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86EC4B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67</w:t>
            </w:r>
          </w:p>
        </w:tc>
        <w:tc>
          <w:tcPr>
            <w:tcW w:w="3402" w:type="dxa"/>
            <w:vAlign w:val="center"/>
          </w:tcPr>
          <w:p w14:paraId="532207F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运行时间、次数累积</w:t>
            </w:r>
          </w:p>
        </w:tc>
        <w:tc>
          <w:tcPr>
            <w:tcW w:w="9978" w:type="dxa"/>
            <w:vAlign w:val="center"/>
          </w:tcPr>
          <w:p w14:paraId="0A6E2A4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应包含于电梯监控系统内</w:t>
            </w:r>
          </w:p>
        </w:tc>
      </w:tr>
      <w:tr w14:paraId="08544D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909025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68</w:t>
            </w:r>
          </w:p>
        </w:tc>
        <w:tc>
          <w:tcPr>
            <w:tcW w:w="3402" w:type="dxa"/>
            <w:vAlign w:val="center"/>
          </w:tcPr>
          <w:p w14:paraId="182FB96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BA接口</w:t>
            </w:r>
          </w:p>
        </w:tc>
        <w:tc>
          <w:tcPr>
            <w:tcW w:w="9978" w:type="dxa"/>
            <w:vAlign w:val="center"/>
          </w:tcPr>
          <w:p w14:paraId="3051B00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电梯配置BA接口，或由电梯监控系统统一提供BA接口。如有需要，电梯公司需提供免费的技术支持及相关协议，供弱电系统集成公司进行楼宇自控。</w:t>
            </w:r>
          </w:p>
        </w:tc>
      </w:tr>
      <w:tr w14:paraId="1D899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1745D3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68</w:t>
            </w:r>
          </w:p>
        </w:tc>
        <w:tc>
          <w:tcPr>
            <w:tcW w:w="3402" w:type="dxa"/>
            <w:vAlign w:val="center"/>
          </w:tcPr>
          <w:p w14:paraId="1476419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无线五方对讲电话(机房、轿顶、底坑、轿厢、监控室)</w:t>
            </w:r>
          </w:p>
        </w:tc>
        <w:tc>
          <w:tcPr>
            <w:tcW w:w="9978" w:type="dxa"/>
            <w:vAlign w:val="center"/>
          </w:tcPr>
          <w:p w14:paraId="1D8D6DB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由电梯公司负责，机房到监控室布线由业主或总包（智能化公司）负责。</w:t>
            </w:r>
          </w:p>
        </w:tc>
      </w:tr>
      <w:tr w14:paraId="54FA46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761966A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70</w:t>
            </w:r>
          </w:p>
        </w:tc>
        <w:tc>
          <w:tcPr>
            <w:tcW w:w="3402" w:type="dxa"/>
            <w:vAlign w:val="center"/>
          </w:tcPr>
          <w:p w14:paraId="677C0FA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轿厢内紧急广播/背景音乐</w:t>
            </w:r>
          </w:p>
        </w:tc>
        <w:tc>
          <w:tcPr>
            <w:tcW w:w="9978" w:type="dxa"/>
            <w:vAlign w:val="center"/>
          </w:tcPr>
          <w:p w14:paraId="351B209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与大楼广播装置</w:t>
            </w:r>
            <w:r>
              <w:rPr>
                <w:rFonts w:hint="eastAsia" w:ascii="宋体" w:hAnsi="宋体" w:cs="宋体"/>
                <w:lang w:eastAsia="zh-CN"/>
              </w:rPr>
              <w:t>联动</w:t>
            </w:r>
          </w:p>
        </w:tc>
      </w:tr>
    </w:tbl>
    <w:p w14:paraId="5C86C583"/>
    <w:tbl>
      <w:tblPr>
        <w:tblStyle w:val="84"/>
        <w:tblW w:w="1421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3402"/>
        <w:gridCol w:w="9993"/>
      </w:tblGrid>
      <w:tr w14:paraId="65D804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14212" w:type="dxa"/>
            <w:gridSpan w:val="3"/>
            <w:tcBorders>
              <w:right w:val="single" w:color="auto" w:sz="4" w:space="0"/>
            </w:tcBorders>
            <w:vAlign w:val="center"/>
          </w:tcPr>
          <w:p w14:paraId="22C11AA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val="0"/>
              </w:rPr>
            </w:pPr>
            <w:r>
              <w:rPr>
                <w:rFonts w:hint="eastAsia" w:ascii="宋体" w:hAnsi="宋体" w:eastAsia="宋体" w:cs="宋体"/>
                <w:b/>
                <w:bCs w:val="0"/>
              </w:rPr>
              <w:t>群控操作管理功能</w:t>
            </w:r>
          </w:p>
        </w:tc>
      </w:tr>
      <w:tr w14:paraId="2DDD26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817" w:type="dxa"/>
            <w:vAlign w:val="center"/>
          </w:tcPr>
          <w:p w14:paraId="7CC0DFD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val="0"/>
                <w:lang w:val="en-US" w:eastAsia="zh-CN"/>
              </w:rPr>
            </w:pPr>
            <w:r>
              <w:rPr>
                <w:rFonts w:hint="eastAsia" w:ascii="宋体" w:hAnsi="宋体" w:cs="宋体"/>
                <w:b/>
                <w:bCs w:val="0"/>
                <w:lang w:val="en-US" w:eastAsia="zh-CN"/>
              </w:rPr>
              <w:t>序号</w:t>
            </w:r>
          </w:p>
        </w:tc>
        <w:tc>
          <w:tcPr>
            <w:tcW w:w="3402" w:type="dxa"/>
            <w:vAlign w:val="center"/>
          </w:tcPr>
          <w:p w14:paraId="77F8C1A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val="0"/>
              </w:rPr>
            </w:pPr>
            <w:r>
              <w:rPr>
                <w:rFonts w:hint="eastAsia" w:ascii="宋体" w:hAnsi="宋体" w:eastAsia="宋体" w:cs="宋体"/>
                <w:b/>
                <w:bCs w:val="0"/>
              </w:rPr>
              <w:t>功能</w:t>
            </w:r>
          </w:p>
        </w:tc>
        <w:tc>
          <w:tcPr>
            <w:tcW w:w="9993" w:type="dxa"/>
            <w:tcBorders>
              <w:right w:val="single" w:color="auto" w:sz="4" w:space="0"/>
            </w:tcBorders>
            <w:vAlign w:val="center"/>
          </w:tcPr>
          <w:p w14:paraId="574E178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val="0"/>
              </w:rPr>
            </w:pPr>
            <w:r>
              <w:rPr>
                <w:rFonts w:hint="eastAsia" w:ascii="宋体" w:hAnsi="宋体" w:eastAsia="宋体" w:cs="宋体"/>
                <w:b/>
                <w:bCs w:val="0"/>
              </w:rPr>
              <w:t>备注</w:t>
            </w:r>
          </w:p>
        </w:tc>
      </w:tr>
      <w:tr w14:paraId="3030A4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575F09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71</w:t>
            </w:r>
          </w:p>
        </w:tc>
        <w:tc>
          <w:tcPr>
            <w:tcW w:w="3402" w:type="dxa"/>
            <w:vAlign w:val="center"/>
          </w:tcPr>
          <w:p w14:paraId="38FC52E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分析记忆管理</w:t>
            </w:r>
          </w:p>
        </w:tc>
        <w:tc>
          <w:tcPr>
            <w:tcW w:w="9993" w:type="dxa"/>
            <w:vAlign w:val="center"/>
          </w:tcPr>
          <w:p w14:paraId="31B57D3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储存分析大楼交通状况，根据楼内交通变化执行最佳服务（3</w:t>
            </w:r>
            <w:r>
              <w:rPr>
                <w:rFonts w:hint="eastAsia" w:ascii="宋体" w:hAnsi="宋体" w:cs="宋体"/>
                <w:lang w:eastAsia="zh-CN"/>
              </w:rPr>
              <w:t>～</w:t>
            </w:r>
            <w:r>
              <w:rPr>
                <w:rFonts w:hint="eastAsia" w:ascii="宋体" w:hAnsi="宋体" w:eastAsia="宋体" w:cs="宋体"/>
              </w:rPr>
              <w:t>6台群控电梯配置）</w:t>
            </w:r>
          </w:p>
        </w:tc>
      </w:tr>
      <w:tr w14:paraId="72798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018F28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72</w:t>
            </w:r>
          </w:p>
        </w:tc>
        <w:tc>
          <w:tcPr>
            <w:tcW w:w="3402" w:type="dxa"/>
            <w:vAlign w:val="center"/>
          </w:tcPr>
          <w:p w14:paraId="60D87A0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上高峰操作</w:t>
            </w:r>
          </w:p>
        </w:tc>
        <w:tc>
          <w:tcPr>
            <w:tcW w:w="9993" w:type="dxa"/>
            <w:vAlign w:val="center"/>
          </w:tcPr>
          <w:p w14:paraId="4D9163D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在上高峰时间段内控制调度数量及时间的运行（3</w:t>
            </w:r>
            <w:r>
              <w:rPr>
                <w:rFonts w:hint="eastAsia" w:ascii="宋体" w:hAnsi="宋体" w:cs="宋体"/>
                <w:lang w:eastAsia="zh-CN"/>
              </w:rPr>
              <w:t>～</w:t>
            </w:r>
            <w:r>
              <w:rPr>
                <w:rFonts w:hint="eastAsia" w:ascii="宋体" w:hAnsi="宋体" w:eastAsia="宋体" w:cs="宋体"/>
              </w:rPr>
              <w:t>6台群控电梯配置）</w:t>
            </w:r>
          </w:p>
        </w:tc>
      </w:tr>
      <w:tr w14:paraId="3EFF6E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96F844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73</w:t>
            </w:r>
          </w:p>
        </w:tc>
        <w:tc>
          <w:tcPr>
            <w:tcW w:w="3402" w:type="dxa"/>
            <w:vAlign w:val="center"/>
          </w:tcPr>
          <w:p w14:paraId="64A82C5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直驶大厅功能</w:t>
            </w:r>
          </w:p>
        </w:tc>
        <w:tc>
          <w:tcPr>
            <w:tcW w:w="9993" w:type="dxa"/>
            <w:vAlign w:val="center"/>
          </w:tcPr>
          <w:p w14:paraId="18F2ABC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在上高峰期内使轿厢加速返回大厅（3</w:t>
            </w:r>
            <w:r>
              <w:rPr>
                <w:rFonts w:hint="eastAsia" w:ascii="宋体" w:hAnsi="宋体" w:cs="宋体"/>
                <w:lang w:eastAsia="zh-CN"/>
              </w:rPr>
              <w:t>～</w:t>
            </w:r>
            <w:r>
              <w:rPr>
                <w:rFonts w:hint="eastAsia" w:ascii="宋体" w:hAnsi="宋体" w:eastAsia="宋体" w:cs="宋体"/>
              </w:rPr>
              <w:t>6台群控电梯配置）</w:t>
            </w:r>
          </w:p>
        </w:tc>
      </w:tr>
      <w:tr w14:paraId="30450A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B3981E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74</w:t>
            </w:r>
          </w:p>
        </w:tc>
        <w:tc>
          <w:tcPr>
            <w:tcW w:w="3402" w:type="dxa"/>
            <w:vAlign w:val="center"/>
          </w:tcPr>
          <w:p w14:paraId="2DEA9A4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下高峰操作</w:t>
            </w:r>
          </w:p>
        </w:tc>
        <w:tc>
          <w:tcPr>
            <w:tcW w:w="9993" w:type="dxa"/>
            <w:vAlign w:val="center"/>
          </w:tcPr>
          <w:p w14:paraId="332A407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在下高峰时间段内控制调度数量及时间的运行（3</w:t>
            </w:r>
            <w:r>
              <w:rPr>
                <w:rFonts w:hint="eastAsia" w:ascii="宋体" w:hAnsi="宋体" w:cs="宋体"/>
                <w:lang w:eastAsia="zh-CN"/>
              </w:rPr>
              <w:t>～</w:t>
            </w:r>
            <w:r>
              <w:rPr>
                <w:rFonts w:hint="eastAsia" w:ascii="宋体" w:hAnsi="宋体" w:eastAsia="宋体" w:cs="宋体"/>
              </w:rPr>
              <w:t>6台群控电梯配置）</w:t>
            </w:r>
          </w:p>
        </w:tc>
      </w:tr>
      <w:tr w14:paraId="29504E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2A04F7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75</w:t>
            </w:r>
          </w:p>
        </w:tc>
        <w:tc>
          <w:tcPr>
            <w:tcW w:w="3402" w:type="dxa"/>
            <w:vAlign w:val="center"/>
          </w:tcPr>
          <w:p w14:paraId="0E15879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轿厢驻停大厅</w:t>
            </w:r>
          </w:p>
        </w:tc>
        <w:tc>
          <w:tcPr>
            <w:tcW w:w="9993" w:type="dxa"/>
            <w:vAlign w:val="center"/>
          </w:tcPr>
          <w:p w14:paraId="12BC079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群控电梯自动分配停靠首层的电梯数量（3</w:t>
            </w:r>
            <w:r>
              <w:rPr>
                <w:rFonts w:hint="eastAsia" w:ascii="宋体" w:hAnsi="宋体" w:cs="宋体"/>
                <w:lang w:eastAsia="zh-CN"/>
              </w:rPr>
              <w:t>～</w:t>
            </w:r>
            <w:r>
              <w:rPr>
                <w:rFonts w:hint="eastAsia" w:ascii="宋体" w:hAnsi="宋体" w:eastAsia="宋体" w:cs="宋体"/>
              </w:rPr>
              <w:t>6台群控电梯配置）</w:t>
            </w:r>
          </w:p>
        </w:tc>
      </w:tr>
      <w:tr w14:paraId="511C48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CC06AF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76</w:t>
            </w:r>
          </w:p>
        </w:tc>
        <w:tc>
          <w:tcPr>
            <w:tcW w:w="3402" w:type="dxa"/>
            <w:vAlign w:val="center"/>
          </w:tcPr>
          <w:p w14:paraId="272F221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分区操作</w:t>
            </w:r>
          </w:p>
        </w:tc>
        <w:tc>
          <w:tcPr>
            <w:tcW w:w="9993" w:type="dxa"/>
            <w:vAlign w:val="center"/>
          </w:tcPr>
          <w:p w14:paraId="2D61EBE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群控电梯在必要时，自动分上下两组分别运行以满足高峰时运客量（4</w:t>
            </w:r>
            <w:r>
              <w:rPr>
                <w:rFonts w:hint="eastAsia" w:ascii="宋体" w:hAnsi="宋体" w:cs="宋体"/>
                <w:lang w:eastAsia="zh-CN"/>
              </w:rPr>
              <w:t>～</w:t>
            </w:r>
            <w:r>
              <w:rPr>
                <w:rFonts w:hint="eastAsia" w:ascii="宋体" w:hAnsi="宋体" w:eastAsia="宋体" w:cs="宋体"/>
              </w:rPr>
              <w:t>6台群控电梯配置）</w:t>
            </w:r>
          </w:p>
        </w:tc>
      </w:tr>
      <w:tr w14:paraId="3A5241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7D4602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77</w:t>
            </w:r>
          </w:p>
        </w:tc>
        <w:tc>
          <w:tcPr>
            <w:tcW w:w="3402" w:type="dxa"/>
            <w:vAlign w:val="center"/>
          </w:tcPr>
          <w:p w14:paraId="1AC9144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接近厅按钮的轿厢优先服务</w:t>
            </w:r>
          </w:p>
        </w:tc>
        <w:tc>
          <w:tcPr>
            <w:tcW w:w="9993" w:type="dxa"/>
            <w:vAlign w:val="center"/>
          </w:tcPr>
          <w:p w14:paraId="67052B19">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一般情况下，离被使用的按钮最近的轿厢优先开门（群控客梯配置）</w:t>
            </w:r>
          </w:p>
        </w:tc>
      </w:tr>
      <w:tr w14:paraId="095E3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5D06AB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78</w:t>
            </w:r>
          </w:p>
        </w:tc>
        <w:tc>
          <w:tcPr>
            <w:tcW w:w="3402" w:type="dxa"/>
            <w:vAlign w:val="center"/>
          </w:tcPr>
          <w:p w14:paraId="1B119F3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节电运行</w:t>
            </w:r>
          </w:p>
        </w:tc>
        <w:tc>
          <w:tcPr>
            <w:tcW w:w="9993" w:type="dxa"/>
            <w:vAlign w:val="center"/>
          </w:tcPr>
          <w:p w14:paraId="6894817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在空闲时间段内控制调整运行电梯数量和速度（塔楼群控客梯配置）</w:t>
            </w:r>
          </w:p>
        </w:tc>
      </w:tr>
      <w:tr w14:paraId="2B2FB1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C37C71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79</w:t>
            </w:r>
          </w:p>
        </w:tc>
        <w:tc>
          <w:tcPr>
            <w:tcW w:w="3402" w:type="dxa"/>
            <w:vAlign w:val="center"/>
          </w:tcPr>
          <w:p w14:paraId="1B4A18D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拥挤层服务</w:t>
            </w:r>
          </w:p>
        </w:tc>
        <w:tc>
          <w:tcPr>
            <w:tcW w:w="9993" w:type="dxa"/>
            <w:vAlign w:val="center"/>
          </w:tcPr>
          <w:p w14:paraId="5BA7616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拥挤层服务（CFS）：当由于举行会议等而引起临时几层拥挤，系统会尽量安排电梯去拥挤层站以满足需求。（3</w:t>
            </w:r>
            <w:r>
              <w:rPr>
                <w:rFonts w:hint="eastAsia" w:ascii="宋体" w:hAnsi="宋体" w:cs="宋体"/>
                <w:lang w:eastAsia="zh-CN"/>
              </w:rPr>
              <w:t>～</w:t>
            </w:r>
            <w:r>
              <w:rPr>
                <w:rFonts w:hint="eastAsia" w:ascii="宋体" w:hAnsi="宋体" w:eastAsia="宋体" w:cs="宋体"/>
              </w:rPr>
              <w:t>6台群控电梯配置）</w:t>
            </w:r>
          </w:p>
        </w:tc>
      </w:tr>
      <w:tr w14:paraId="4BB41E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F89CA9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80</w:t>
            </w:r>
          </w:p>
        </w:tc>
        <w:tc>
          <w:tcPr>
            <w:tcW w:w="3402" w:type="dxa"/>
            <w:vAlign w:val="center"/>
          </w:tcPr>
          <w:p w14:paraId="3A457DE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返回运行</w:t>
            </w:r>
          </w:p>
        </w:tc>
        <w:tc>
          <w:tcPr>
            <w:tcW w:w="9993" w:type="dxa"/>
            <w:vAlign w:val="center"/>
          </w:tcPr>
          <w:p w14:paraId="35691CD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操作返回开关将电梯立即召回到指定层待机。</w:t>
            </w:r>
          </w:p>
        </w:tc>
      </w:tr>
      <w:tr w14:paraId="446369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CB3D0C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81</w:t>
            </w:r>
          </w:p>
        </w:tc>
        <w:tc>
          <w:tcPr>
            <w:tcW w:w="3402" w:type="dxa"/>
            <w:vAlign w:val="center"/>
          </w:tcPr>
          <w:p w14:paraId="7C0141A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连续服务</w:t>
            </w:r>
          </w:p>
        </w:tc>
        <w:tc>
          <w:tcPr>
            <w:tcW w:w="9993" w:type="dxa"/>
            <w:vAlign w:val="center"/>
          </w:tcPr>
          <w:p w14:paraId="2510253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为确保整个群内电梯正常工作，当某台电梯不能响应已登记的层站召唤时，它将被排除在层站召唤服务外，由其它电梯来服务。（3</w:t>
            </w:r>
            <w:r>
              <w:rPr>
                <w:rFonts w:hint="eastAsia" w:ascii="宋体" w:hAnsi="宋体" w:cs="宋体"/>
                <w:lang w:eastAsia="zh-CN"/>
              </w:rPr>
              <w:t>～</w:t>
            </w:r>
            <w:r>
              <w:rPr>
                <w:rFonts w:hint="eastAsia" w:ascii="宋体" w:hAnsi="宋体" w:eastAsia="宋体" w:cs="宋体"/>
              </w:rPr>
              <w:t>6台群控电梯配置）</w:t>
            </w:r>
          </w:p>
        </w:tc>
      </w:tr>
      <w:tr w14:paraId="234933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197DBA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82</w:t>
            </w:r>
          </w:p>
        </w:tc>
        <w:tc>
          <w:tcPr>
            <w:tcW w:w="3402" w:type="dxa"/>
            <w:vAlign w:val="center"/>
          </w:tcPr>
          <w:p w14:paraId="5A9B21E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群控后备运行</w:t>
            </w:r>
          </w:p>
        </w:tc>
        <w:tc>
          <w:tcPr>
            <w:tcW w:w="9993" w:type="dxa"/>
            <w:vAlign w:val="center"/>
          </w:tcPr>
          <w:p w14:paraId="2BEB760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群控处理器故障或群控与各台通讯故障引起群控失效时，维持各台电梯服务的功能。（3</w:t>
            </w:r>
            <w:r>
              <w:rPr>
                <w:rFonts w:hint="eastAsia" w:ascii="宋体" w:hAnsi="宋体" w:cs="宋体"/>
                <w:lang w:eastAsia="zh-CN"/>
              </w:rPr>
              <w:t>～</w:t>
            </w:r>
            <w:r>
              <w:rPr>
                <w:rFonts w:hint="eastAsia" w:ascii="宋体" w:hAnsi="宋体" w:eastAsia="宋体" w:cs="宋体"/>
              </w:rPr>
              <w:t>6台群控电梯配置）</w:t>
            </w:r>
          </w:p>
        </w:tc>
      </w:tr>
      <w:tr w14:paraId="76D2B6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10C1A8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83</w:t>
            </w:r>
          </w:p>
        </w:tc>
        <w:tc>
          <w:tcPr>
            <w:tcW w:w="3402" w:type="dxa"/>
            <w:vAlign w:val="center"/>
          </w:tcPr>
          <w:p w14:paraId="3D2DA9E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分散待机</w:t>
            </w:r>
          </w:p>
        </w:tc>
        <w:tc>
          <w:tcPr>
            <w:tcW w:w="9993" w:type="dxa"/>
            <w:vAlign w:val="center"/>
          </w:tcPr>
          <w:p w14:paraId="2BE1CB7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群控电梯在没有任何指令或召唤时，将电梯分散在主层站和中间层待机（3</w:t>
            </w:r>
            <w:r>
              <w:rPr>
                <w:rFonts w:hint="eastAsia" w:ascii="宋体" w:hAnsi="宋体" w:cs="宋体"/>
                <w:lang w:eastAsia="zh-CN"/>
              </w:rPr>
              <w:t>～</w:t>
            </w:r>
            <w:r>
              <w:rPr>
                <w:rFonts w:hint="eastAsia" w:ascii="宋体" w:hAnsi="宋体" w:eastAsia="宋体" w:cs="宋体"/>
              </w:rPr>
              <w:t>6台群控电梯配置）</w:t>
            </w:r>
          </w:p>
        </w:tc>
      </w:tr>
    </w:tbl>
    <w:p w14:paraId="7721DDDE">
      <w:r>
        <w:br w:type="page"/>
      </w:r>
    </w:p>
    <w:p w14:paraId="390876E2">
      <w:pPr>
        <w:widowControl/>
        <w:jc w:val="center"/>
        <w:outlineLvl w:val="0"/>
        <w:rPr>
          <w:rFonts w:hint="eastAsia" w:ascii="宋体" w:hAnsi="宋体"/>
          <w:b/>
          <w:sz w:val="44"/>
          <w:szCs w:val="44"/>
        </w:rPr>
        <w:sectPr>
          <w:headerReference r:id="rId8" w:type="first"/>
          <w:footerReference r:id="rId10" w:type="first"/>
          <w:headerReference r:id="rId7" w:type="default"/>
          <w:footerReference r:id="rId9" w:type="default"/>
          <w:pgSz w:w="16838" w:h="11906" w:orient="landscape"/>
          <w:pgMar w:top="1418" w:right="1418" w:bottom="1418" w:left="1418" w:header="851" w:footer="851" w:gutter="0"/>
          <w:pgNumType w:fmt="decimal"/>
          <w:cols w:space="425" w:num="1"/>
          <w:titlePg/>
          <w:docGrid w:linePitch="312" w:charSpace="0"/>
        </w:sectPr>
      </w:pPr>
    </w:p>
    <w:p w14:paraId="49817511">
      <w:pPr>
        <w:spacing w:after="156" w:afterLines="50"/>
        <w:outlineLvl w:val="1"/>
        <w:rPr>
          <w:rFonts w:hint="eastAsia" w:ascii="宋体" w:hAnsi="宋体" w:cstheme="minorBidi"/>
          <w:b/>
          <w:sz w:val="24"/>
        </w:rPr>
      </w:pPr>
      <w:r>
        <w:rPr>
          <w:rFonts w:hint="eastAsia" w:ascii="宋体" w:hAnsi="宋体" w:cstheme="minorBidi"/>
          <w:b/>
          <w:sz w:val="24"/>
          <w:lang w:val="en-US" w:eastAsia="zh-CN"/>
        </w:rPr>
        <w:t>三</w:t>
      </w:r>
      <w:r>
        <w:rPr>
          <w:rFonts w:hint="eastAsia" w:ascii="宋体" w:hAnsi="宋体" w:cstheme="minorBidi"/>
          <w:b/>
          <w:sz w:val="24"/>
        </w:rPr>
        <w:t>、工作界面</w:t>
      </w:r>
    </w:p>
    <w:p w14:paraId="196C904A">
      <w:pPr>
        <w:pStyle w:val="366"/>
        <w:numPr>
          <w:ilvl w:val="2"/>
          <w:numId w:val="11"/>
        </w:numPr>
        <w:tabs>
          <w:tab w:val="left" w:pos="1134"/>
        </w:tabs>
        <w:kinsoku w:val="0"/>
        <w:spacing w:before="156" w:beforeLines="50" w:line="360" w:lineRule="auto"/>
        <w:ind w:left="0" w:firstLine="482" w:firstLineChars="200"/>
        <w:outlineLvl w:val="2"/>
        <w:rPr>
          <w:rFonts w:hint="eastAsia" w:ascii="宋体" w:hAnsi="宋体" w:cs="仿宋"/>
          <w:b/>
          <w:caps/>
          <w:sz w:val="24"/>
        </w:rPr>
      </w:pPr>
      <w:bookmarkStart w:id="2" w:name="_Toc104406887"/>
      <w:r>
        <w:rPr>
          <w:rFonts w:hint="eastAsia" w:ascii="宋体" w:hAnsi="宋体" w:cs="仿宋"/>
          <w:b/>
          <w:bCs/>
          <w:caps/>
          <w:sz w:val="24"/>
        </w:rPr>
        <w:t>电梯</w:t>
      </w:r>
      <w:r>
        <w:rPr>
          <w:rFonts w:hint="eastAsia" w:ascii="宋体" w:hAnsi="宋体" w:cs="仿宋"/>
          <w:b/>
          <w:caps/>
          <w:sz w:val="24"/>
        </w:rPr>
        <w:t>与主体</w:t>
      </w:r>
      <w:r>
        <w:rPr>
          <w:rFonts w:hint="eastAsia" w:ascii="宋体" w:hAnsi="宋体" w:cs="仿宋"/>
          <w:b/>
          <w:bCs/>
          <w:caps/>
          <w:sz w:val="24"/>
        </w:rPr>
        <w:t>工程</w:t>
      </w:r>
      <w:r>
        <w:rPr>
          <w:rFonts w:hint="eastAsia" w:ascii="宋体" w:hAnsi="宋体" w:cs="仿宋"/>
          <w:b/>
          <w:caps/>
          <w:sz w:val="24"/>
        </w:rPr>
        <w:t>的工作界面划分</w:t>
      </w:r>
      <w:bookmarkEnd w:id="2"/>
    </w:p>
    <w:p w14:paraId="3EDA0FE2">
      <w:pPr>
        <w:pStyle w:val="366"/>
        <w:numPr>
          <w:ilvl w:val="0"/>
          <w:numId w:val="0"/>
        </w:numPr>
        <w:tabs>
          <w:tab w:val="left" w:pos="851"/>
          <w:tab w:val="left" w:pos="1560"/>
        </w:tabs>
        <w:kinsoku w:val="0"/>
        <w:autoSpaceDE w:val="0"/>
        <w:autoSpaceDN w:val="0"/>
        <w:spacing w:line="360" w:lineRule="auto"/>
        <w:rPr>
          <w:rFonts w:hint="eastAsia" w:ascii="宋体" w:hAnsi="宋体" w:cs="仿宋"/>
          <w:b/>
          <w:caps/>
          <w:sz w:val="24"/>
        </w:rPr>
      </w:pPr>
      <w:r>
        <w:rPr>
          <w:rFonts w:hint="eastAsia" w:ascii="宋体" w:hAnsi="宋体" w:cs="仿宋"/>
          <w:b/>
          <w:caps/>
          <w:sz w:val="24"/>
          <w:lang w:val="en-US" w:eastAsia="zh-CN"/>
        </w:rPr>
        <w:t>1.</w:t>
      </w:r>
      <w:r>
        <w:rPr>
          <w:rFonts w:hint="eastAsia" w:ascii="宋体" w:hAnsi="宋体" w:cs="仿宋"/>
          <w:b/>
          <w:caps/>
          <w:sz w:val="24"/>
        </w:rPr>
        <w:t>主体工程（总承包）负责：</w:t>
      </w:r>
    </w:p>
    <w:p w14:paraId="30729E75">
      <w:pPr>
        <w:pStyle w:val="366"/>
        <w:numPr>
          <w:ilvl w:val="0"/>
          <w:numId w:val="12"/>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对电梯专业的深化设计图的进行复核并及时指正，作为总包应负责协调及提供作业面、准点等， 包括确定基坑，基础，井道，平台，管线，洞口的尺寸、标高等，同时负责施工电梯基础。</w:t>
      </w:r>
    </w:p>
    <w:p w14:paraId="32E22F01">
      <w:pPr>
        <w:pStyle w:val="366"/>
        <w:numPr>
          <w:ilvl w:val="0"/>
          <w:numId w:val="12"/>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供应与安装电梯的脚手架、脚手板及拆除。</w:t>
      </w:r>
    </w:p>
    <w:p w14:paraId="0FF2DEC4">
      <w:pPr>
        <w:pStyle w:val="366"/>
        <w:numPr>
          <w:ilvl w:val="0"/>
          <w:numId w:val="12"/>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供应、安装及接驳电源至电梯机房之动力/照明配电箱，并完成电梯机房内照明系统的供应、安装及接驳，井道内照明及动力配电箱出线起，由电梯承包单位负责。</w:t>
      </w:r>
    </w:p>
    <w:p w14:paraId="251841A5">
      <w:pPr>
        <w:pStyle w:val="366"/>
        <w:numPr>
          <w:ilvl w:val="0"/>
          <w:numId w:val="12"/>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供应、安装及接驳接地装置至指定位置，供电梯承包单位接驳及完成有关接地系统。</w:t>
      </w:r>
    </w:p>
    <w:p w14:paraId="4EEE98F4">
      <w:pPr>
        <w:pStyle w:val="366"/>
        <w:numPr>
          <w:ilvl w:val="0"/>
          <w:numId w:val="12"/>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供应、安装及预埋件至电梯基础，并完成电梯单位要求的设备基础预埋件的供应、制作、定位、预埋安装，但预埋件基础的定位尺寸准确复核工作由电梯承包单位负责。</w:t>
      </w:r>
    </w:p>
    <w:p w14:paraId="3A6FF8EA">
      <w:pPr>
        <w:pStyle w:val="366"/>
        <w:numPr>
          <w:ilvl w:val="0"/>
          <w:numId w:val="12"/>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供应、安装及预留洞至电梯控制按钮盒、门洞顶显示灯盒的预留，并完成电梯单位要求的控制按钮盒、门洞顶显示灯盒预埋件供应、制作、定位、预埋安装，但控制按钮盒、门洞顶显示灯盒预埋件的定位尺寸准确复核工作由电梯承包单位负责。</w:t>
      </w:r>
    </w:p>
    <w:p w14:paraId="4140866D">
      <w:pPr>
        <w:pStyle w:val="366"/>
        <w:numPr>
          <w:ilvl w:val="0"/>
          <w:numId w:val="12"/>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负责从电梯控制箱到消防控制室的信号线缆安装调试，协调电梯与消防报警联动控制系统的联动调试和消防专项验收工作。</w:t>
      </w:r>
    </w:p>
    <w:p w14:paraId="119F8DE6">
      <w:pPr>
        <w:pStyle w:val="366"/>
        <w:numPr>
          <w:ilvl w:val="0"/>
          <w:numId w:val="12"/>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项目收尾阶段，在施工电梯拆除后，如要使用正式电梯作为垂直运输工具，总承包作为使用单位应提前办理电梯使用登记证，避免影响项目的施工进度。正式电梯办理好使用登记证后，总承包应保持电梯在司机模式下运行（由专人负责操作），认真履行电梯管理职责，严格执行特种设备安全管理的各项规定，加强现场管理，以确保电梯运行安全，做好成品保护，不得有任何损坏。</w:t>
      </w:r>
    </w:p>
    <w:p w14:paraId="08A4D702">
      <w:pPr>
        <w:pStyle w:val="366"/>
        <w:numPr>
          <w:ilvl w:val="0"/>
          <w:numId w:val="12"/>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下列与垂直电梯工程有关的工程由总承包负责提供。电梯承包商必须提供一切有关的资料及图纸交承包人作施工配合用，在现场须负责核对并保证下列工程已满足要求。包括但不限于：</w:t>
      </w:r>
    </w:p>
    <w:p w14:paraId="66A04736">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提供井道及垂直准确度为30mm 内。</w:t>
      </w:r>
    </w:p>
    <w:p w14:paraId="23C9BEA0">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按设计要求为门框提供准确的孔位。</w:t>
      </w:r>
    </w:p>
    <w:p w14:paraId="2D75A565">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电梯井坑内隔墙。</w:t>
      </w:r>
    </w:p>
    <w:p w14:paraId="19221196">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为门框和底部门槛提供空位并在其四周进行灌</w:t>
      </w:r>
      <w:r>
        <w:rPr>
          <w:rFonts w:hint="eastAsia" w:ascii="宋体" w:hAnsi="宋体" w:cs="仿宋"/>
          <w:caps/>
          <w:sz w:val="24"/>
          <w:lang w:val="en-US" w:eastAsia="zh-CN"/>
        </w:rPr>
        <w:t>浆</w:t>
      </w:r>
      <w:r>
        <w:rPr>
          <w:rFonts w:hint="eastAsia" w:ascii="宋体" w:hAnsi="宋体" w:cs="仿宋"/>
          <w:caps/>
          <w:sz w:val="24"/>
        </w:rPr>
        <w:t>。门框及门槛由电梯承包商方安装。</w:t>
      </w:r>
    </w:p>
    <w:p w14:paraId="225BBC6D">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为装入按钮盒和指示器留孔。</w:t>
      </w:r>
    </w:p>
    <w:p w14:paraId="3E56AD93">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为井壁开孔提供临时护栏并保持就位。</w:t>
      </w:r>
    </w:p>
    <w:p w14:paraId="6CC523FB">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为正确的安装门框、门梁、按钮盒和指示器之需要进行开凿并修补。</w:t>
      </w:r>
    </w:p>
    <w:p w14:paraId="544EE7A4">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提供门框找正和找平需要之测量数据。</w:t>
      </w:r>
    </w:p>
    <w:p w14:paraId="3388DB30">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按照电梯规范要求底坑内安装扶手铁梯（安装要求由电梯分包方提供）。</w:t>
      </w:r>
    </w:p>
    <w:p w14:paraId="671F6D7B">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机房内安装扶手铁梯及围棚栅。</w:t>
      </w:r>
    </w:p>
    <w:p w14:paraId="498C120F">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井道壁上安装紧急救生门。</w:t>
      </w:r>
    </w:p>
    <w:p w14:paraId="181E4FB2">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机房门主告示牌。</w:t>
      </w:r>
    </w:p>
    <w:p w14:paraId="72C89948">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提供完整的能防风雨的垂直电梯机房，其结构具有符合深圳本地规范的耐火等级。</w:t>
      </w:r>
    </w:p>
    <w:p w14:paraId="0E0014C8">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提供防风雨，能排水的升降梯井坑，井坑须作一般防水处理。</w:t>
      </w:r>
    </w:p>
    <w:p w14:paraId="02435B45">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机房内曳引机所需之吊重环(或相类装置)及吊重型钢，吊重环或吊重型钢材和安装要求由电梯承包商负责提供。</w:t>
      </w:r>
    </w:p>
    <w:p w14:paraId="1D48A3C4">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双面开门井道之纵深偏差为2Omm 内。</w:t>
      </w:r>
    </w:p>
    <w:p w14:paraId="154F30FC">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曳引机承重钢梁及底坑缓冲器安装完毕后混凝土墩桩的浇筑工作。</w:t>
      </w:r>
    </w:p>
    <w:p w14:paraId="6311FB46">
      <w:pPr>
        <w:pStyle w:val="366"/>
        <w:numPr>
          <w:ilvl w:val="0"/>
          <w:numId w:val="0"/>
        </w:numPr>
        <w:tabs>
          <w:tab w:val="left" w:pos="851"/>
          <w:tab w:val="left" w:pos="1560"/>
        </w:tabs>
        <w:kinsoku w:val="0"/>
        <w:autoSpaceDE w:val="0"/>
        <w:autoSpaceDN w:val="0"/>
        <w:spacing w:line="360" w:lineRule="auto"/>
        <w:rPr>
          <w:rFonts w:hint="eastAsia" w:ascii="宋体" w:hAnsi="宋体" w:cs="仿宋"/>
          <w:b/>
          <w:caps/>
          <w:sz w:val="24"/>
        </w:rPr>
      </w:pPr>
      <w:r>
        <w:rPr>
          <w:rFonts w:hint="eastAsia" w:ascii="宋体" w:hAnsi="宋体" w:cs="仿宋"/>
          <w:b/>
          <w:caps/>
          <w:sz w:val="24"/>
          <w:lang w:val="en-US" w:eastAsia="zh-CN"/>
        </w:rPr>
        <w:t>2.</w:t>
      </w:r>
      <w:r>
        <w:rPr>
          <w:rFonts w:hint="eastAsia" w:ascii="宋体" w:hAnsi="宋体" w:cs="仿宋"/>
          <w:b/>
          <w:caps/>
          <w:sz w:val="24"/>
        </w:rPr>
        <w:t>电梯采购与安装工程负责</w:t>
      </w:r>
    </w:p>
    <w:p w14:paraId="08AE6770">
      <w:pPr>
        <w:pStyle w:val="366"/>
        <w:numPr>
          <w:ilvl w:val="0"/>
          <w:numId w:val="14"/>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电梯配电箱到电梯控制箱的电线电缆的敷设、安装；</w:t>
      </w:r>
    </w:p>
    <w:p w14:paraId="72591340">
      <w:pPr>
        <w:pStyle w:val="366"/>
        <w:numPr>
          <w:ilvl w:val="0"/>
          <w:numId w:val="14"/>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电梯安装调试（含电梯导轨、轿厢的、对重与缓冲器的安装、曳引机与导向轮的安装、曳引钢丝绳的安装、层门与门滑轮的安装、安全钳与限速器安装、自动门机的安装、电气部分的安装</w:t>
      </w:r>
      <w:r>
        <w:rPr>
          <w:rFonts w:hint="eastAsia" w:ascii="宋体" w:hAnsi="宋体" w:cs="仿宋"/>
          <w:caps/>
          <w:sz w:val="24"/>
          <w:lang w:eastAsia="zh-CN"/>
        </w:rPr>
        <w:t>、</w:t>
      </w:r>
      <w:r>
        <w:rPr>
          <w:rFonts w:hint="eastAsia" w:ascii="宋体" w:hAnsi="宋体" w:cs="仿宋"/>
          <w:caps/>
          <w:sz w:val="24"/>
        </w:rPr>
        <w:t>调试等</w:t>
      </w:r>
      <w:r>
        <w:rPr>
          <w:rFonts w:hint="eastAsia" w:ascii="宋体" w:hAnsi="宋体" w:cs="仿宋"/>
          <w:caps/>
          <w:sz w:val="24"/>
          <w:lang w:eastAsia="zh-CN"/>
        </w:rPr>
        <w:t>）</w:t>
      </w:r>
      <w:r>
        <w:rPr>
          <w:rFonts w:hint="eastAsia" w:ascii="宋体" w:hAnsi="宋体" w:cs="仿宋"/>
          <w:caps/>
          <w:sz w:val="24"/>
        </w:rPr>
        <w:t>；</w:t>
      </w:r>
    </w:p>
    <w:p w14:paraId="364DA706">
      <w:pPr>
        <w:pStyle w:val="366"/>
        <w:numPr>
          <w:ilvl w:val="0"/>
          <w:numId w:val="14"/>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电梯控制箱的安装；</w:t>
      </w:r>
    </w:p>
    <w:p w14:paraId="00053359">
      <w:pPr>
        <w:pStyle w:val="366"/>
        <w:numPr>
          <w:ilvl w:val="0"/>
          <w:numId w:val="14"/>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电梯接地系统安装；</w:t>
      </w:r>
    </w:p>
    <w:p w14:paraId="421C1AB7">
      <w:pPr>
        <w:pStyle w:val="366"/>
        <w:numPr>
          <w:ilvl w:val="0"/>
          <w:numId w:val="14"/>
        </w:numPr>
        <w:kinsoku w:val="0"/>
        <w:spacing w:line="360" w:lineRule="auto"/>
        <w:rPr>
          <w:rFonts w:hint="eastAsia" w:ascii="宋体" w:hAnsi="宋体" w:cs="仿宋"/>
          <w:caps/>
          <w:sz w:val="24"/>
        </w:rPr>
      </w:pPr>
      <w:r>
        <w:rPr>
          <w:rFonts w:hint="eastAsia" w:ascii="宋体" w:hAnsi="宋体" w:cs="仿宋"/>
          <w:caps/>
          <w:sz w:val="24"/>
        </w:rPr>
        <w:t>提供必需的资料（合格证、出厂检测报告、特种设备生产许可等）；</w:t>
      </w:r>
    </w:p>
    <w:p w14:paraId="37242F4F">
      <w:pPr>
        <w:pStyle w:val="366"/>
        <w:numPr>
          <w:ilvl w:val="0"/>
          <w:numId w:val="14"/>
        </w:numPr>
        <w:kinsoku w:val="0"/>
        <w:spacing w:line="360" w:lineRule="auto"/>
        <w:rPr>
          <w:rFonts w:hint="eastAsia" w:ascii="宋体" w:hAnsi="宋体" w:cs="仿宋"/>
          <w:caps/>
          <w:sz w:val="24"/>
        </w:rPr>
      </w:pPr>
      <w:r>
        <w:rPr>
          <w:rFonts w:hint="eastAsia" w:ascii="宋体" w:hAnsi="宋体" w:cs="仿宋"/>
          <w:caps/>
          <w:sz w:val="24"/>
        </w:rPr>
        <w:t>办理特种设备的安装告知。</w:t>
      </w:r>
    </w:p>
    <w:p w14:paraId="253FDE9E">
      <w:pPr>
        <w:pStyle w:val="366"/>
        <w:numPr>
          <w:ilvl w:val="0"/>
          <w:numId w:val="14"/>
        </w:numPr>
        <w:kinsoku w:val="0"/>
        <w:spacing w:line="360" w:lineRule="auto"/>
        <w:rPr>
          <w:rFonts w:hint="eastAsia" w:ascii="宋体" w:hAnsi="宋体" w:cs="仿宋"/>
          <w:caps/>
          <w:sz w:val="24"/>
        </w:rPr>
      </w:pPr>
      <w:r>
        <w:rPr>
          <w:rFonts w:hint="eastAsia" w:ascii="宋体" w:hAnsi="宋体" w:cs="仿宋"/>
          <w:caps/>
          <w:sz w:val="24"/>
        </w:rPr>
        <w:t>负责组织厂家、特种设备监督管理部门的协调和验收等。</w:t>
      </w:r>
    </w:p>
    <w:p w14:paraId="7B2BA7D6">
      <w:pPr>
        <w:pStyle w:val="366"/>
        <w:numPr>
          <w:ilvl w:val="0"/>
          <w:numId w:val="14"/>
        </w:numPr>
        <w:kinsoku w:val="0"/>
        <w:spacing w:line="360" w:lineRule="auto"/>
        <w:rPr>
          <w:rFonts w:hint="eastAsia" w:ascii="宋体" w:hAnsi="宋体" w:cs="仿宋"/>
          <w:caps/>
          <w:sz w:val="24"/>
        </w:rPr>
      </w:pPr>
      <w:r>
        <w:rPr>
          <w:rFonts w:hint="eastAsia" w:ascii="宋体" w:hAnsi="宋体" w:cs="仿宋"/>
          <w:caps/>
          <w:sz w:val="24"/>
        </w:rPr>
        <w:t>收集过程资料，编制必需的验收资料，验收合格后及时移交。</w:t>
      </w:r>
    </w:p>
    <w:p w14:paraId="6C6492EC">
      <w:pPr>
        <w:pStyle w:val="366"/>
        <w:numPr>
          <w:ilvl w:val="0"/>
          <w:numId w:val="14"/>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除总承包施工外的剩余相应与电梯相关工程。</w:t>
      </w:r>
    </w:p>
    <w:p w14:paraId="728B8629">
      <w:pPr>
        <w:pStyle w:val="366"/>
        <w:numPr>
          <w:ilvl w:val="2"/>
          <w:numId w:val="11"/>
        </w:numPr>
        <w:tabs>
          <w:tab w:val="left" w:pos="1134"/>
        </w:tabs>
        <w:kinsoku w:val="0"/>
        <w:spacing w:before="156" w:beforeLines="50" w:line="360" w:lineRule="auto"/>
        <w:ind w:left="0" w:firstLine="482" w:firstLineChars="200"/>
        <w:outlineLvl w:val="2"/>
        <w:rPr>
          <w:rFonts w:hint="eastAsia" w:ascii="宋体" w:hAnsi="宋体"/>
          <w:b/>
          <w:sz w:val="24"/>
        </w:rPr>
      </w:pPr>
      <w:r>
        <w:rPr>
          <w:rFonts w:hint="eastAsia" w:ascii="宋体" w:hAnsi="宋体" w:cstheme="minorBidi"/>
          <w:b/>
          <w:sz w:val="24"/>
        </w:rPr>
        <w:t>电梯与智能化工程的工作界面划分</w:t>
      </w:r>
    </w:p>
    <w:p w14:paraId="55A43014">
      <w:pPr>
        <w:pStyle w:val="366"/>
        <w:numPr>
          <w:ilvl w:val="0"/>
          <w:numId w:val="0"/>
        </w:numPr>
        <w:tabs>
          <w:tab w:val="left" w:pos="851"/>
          <w:tab w:val="left" w:pos="1560"/>
        </w:tabs>
        <w:kinsoku w:val="0"/>
        <w:autoSpaceDE w:val="0"/>
        <w:autoSpaceDN w:val="0"/>
        <w:spacing w:line="360" w:lineRule="auto"/>
        <w:rPr>
          <w:rFonts w:hint="eastAsia" w:ascii="宋体" w:hAnsi="宋体" w:cs="仿宋"/>
          <w:b/>
          <w:caps/>
          <w:color w:val="000000" w:themeColor="text1"/>
          <w:sz w:val="24"/>
          <w14:textFill>
            <w14:solidFill>
              <w14:schemeClr w14:val="tx1"/>
            </w14:solidFill>
          </w14:textFill>
        </w:rPr>
      </w:pPr>
      <w:r>
        <w:rPr>
          <w:rFonts w:hint="eastAsia" w:ascii="宋体" w:hAnsi="宋体" w:cs="仿宋"/>
          <w:b/>
          <w:caps/>
          <w:color w:val="000000" w:themeColor="text1"/>
          <w:sz w:val="24"/>
          <w:lang w:val="en-US" w:eastAsia="zh-CN"/>
          <w14:textFill>
            <w14:solidFill>
              <w14:schemeClr w14:val="tx1"/>
            </w14:solidFill>
          </w14:textFill>
        </w:rPr>
        <w:t>1.</w:t>
      </w:r>
      <w:r>
        <w:rPr>
          <w:rFonts w:hint="eastAsia" w:ascii="宋体" w:hAnsi="宋体" w:cs="仿宋"/>
          <w:b/>
          <w:caps/>
          <w:color w:val="000000" w:themeColor="text1"/>
          <w:sz w:val="24"/>
          <w14:textFill>
            <w14:solidFill>
              <w14:schemeClr w14:val="tx1"/>
            </w14:solidFill>
          </w14:textFill>
        </w:rPr>
        <w:t>智能化工程负责：</w:t>
      </w:r>
    </w:p>
    <w:p w14:paraId="251551EB">
      <w:pPr>
        <w:pStyle w:val="366"/>
        <w:numPr>
          <w:ilvl w:val="0"/>
          <w:numId w:val="15"/>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完成电梯的摄像头的信号采集、接线及摄像机的调试等。</w:t>
      </w:r>
    </w:p>
    <w:p w14:paraId="6B8A85BB">
      <w:pPr>
        <w:pStyle w:val="366"/>
        <w:numPr>
          <w:ilvl w:val="0"/>
          <w:numId w:val="15"/>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完成电梯显示屏的信号采集、接线及显示屏信息发布的调试等。</w:t>
      </w:r>
    </w:p>
    <w:p w14:paraId="3A585EB1">
      <w:pPr>
        <w:pStyle w:val="366"/>
        <w:numPr>
          <w:ilvl w:val="0"/>
          <w:numId w:val="15"/>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完成呼梯信号输出，接线。</w:t>
      </w:r>
    </w:p>
    <w:p w14:paraId="232848D6">
      <w:pPr>
        <w:pStyle w:val="366"/>
        <w:numPr>
          <w:ilvl w:val="0"/>
          <w:numId w:val="15"/>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电梯机房内，从电梯提供的接口端子接线由智能化专业负责线缆引入至控制中心内。</w:t>
      </w:r>
    </w:p>
    <w:p w14:paraId="5E76BB34">
      <w:pPr>
        <w:pStyle w:val="366"/>
        <w:numPr>
          <w:ilvl w:val="0"/>
          <w:numId w:val="15"/>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配合电梯承包人的调试、测试</w:t>
      </w:r>
      <w:r>
        <w:rPr>
          <w:rFonts w:hint="eastAsia" w:ascii="宋体" w:hAnsi="宋体" w:cs="仿宋"/>
          <w:caps/>
          <w:color w:val="000000" w:themeColor="text1"/>
          <w:sz w:val="24"/>
          <w:lang w:eastAsia="zh-CN"/>
          <w14:textFill>
            <w14:solidFill>
              <w14:schemeClr w14:val="tx1"/>
            </w14:solidFill>
          </w14:textFill>
        </w:rPr>
        <w:t>、</w:t>
      </w:r>
      <w:r>
        <w:rPr>
          <w:rFonts w:hint="eastAsia" w:ascii="宋体" w:hAnsi="宋体" w:cs="仿宋"/>
          <w:caps/>
          <w:color w:val="000000" w:themeColor="text1"/>
          <w:sz w:val="24"/>
          <w14:textFill>
            <w14:solidFill>
              <w14:schemeClr w14:val="tx1"/>
            </w14:solidFill>
          </w14:textFill>
        </w:rPr>
        <w:t>验收工作。</w:t>
      </w:r>
    </w:p>
    <w:p w14:paraId="68BDFAB4">
      <w:pPr>
        <w:pStyle w:val="366"/>
        <w:numPr>
          <w:ilvl w:val="0"/>
          <w:numId w:val="15"/>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完成电梯五方对讲系统预留接线盒线缆引入控制中心内。</w:t>
      </w:r>
    </w:p>
    <w:p w14:paraId="40C020B6">
      <w:pPr>
        <w:pStyle w:val="366"/>
        <w:numPr>
          <w:ilvl w:val="0"/>
          <w:numId w:val="15"/>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智能化承包人在电梯轿厢内的终端设备（如监控摄像头等）由智能化承包人自行负责安装，电梯承包人敷设管线并提供开孔。</w:t>
      </w:r>
    </w:p>
    <w:p w14:paraId="2F62CC35">
      <w:pPr>
        <w:pStyle w:val="366"/>
        <w:numPr>
          <w:ilvl w:val="0"/>
          <w:numId w:val="15"/>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智能化承包人须积极与电梯承包协调配合，在电梯轿厢内安装的各子系统终端设备的选型、安装必须满足电梯轿厢装饰要求。</w:t>
      </w:r>
    </w:p>
    <w:p w14:paraId="7E9A1E21">
      <w:pPr>
        <w:pStyle w:val="366"/>
        <w:numPr>
          <w:ilvl w:val="0"/>
          <w:numId w:val="0"/>
        </w:numPr>
        <w:tabs>
          <w:tab w:val="left" w:pos="851"/>
          <w:tab w:val="left" w:pos="1560"/>
        </w:tabs>
        <w:kinsoku w:val="0"/>
        <w:autoSpaceDE w:val="0"/>
        <w:autoSpaceDN w:val="0"/>
        <w:spacing w:line="360" w:lineRule="auto"/>
        <w:rPr>
          <w:rFonts w:hint="eastAsia" w:ascii="宋体" w:hAnsi="宋体" w:cs="仿宋"/>
          <w:b/>
          <w:caps/>
          <w:color w:val="000000" w:themeColor="text1"/>
          <w:sz w:val="24"/>
          <w14:textFill>
            <w14:solidFill>
              <w14:schemeClr w14:val="tx1"/>
            </w14:solidFill>
          </w14:textFill>
        </w:rPr>
      </w:pPr>
      <w:r>
        <w:rPr>
          <w:rFonts w:hint="eastAsia" w:ascii="宋体" w:hAnsi="宋体" w:cs="仿宋"/>
          <w:b/>
          <w:caps/>
          <w:color w:val="000000" w:themeColor="text1"/>
          <w:sz w:val="24"/>
          <w:lang w:val="en-US" w:eastAsia="zh-CN"/>
          <w14:textFill>
            <w14:solidFill>
              <w14:schemeClr w14:val="tx1"/>
            </w14:solidFill>
          </w14:textFill>
        </w:rPr>
        <w:t>2.</w:t>
      </w:r>
      <w:r>
        <w:rPr>
          <w:rFonts w:hint="eastAsia" w:ascii="宋体" w:hAnsi="宋体" w:cs="仿宋"/>
          <w:b/>
          <w:caps/>
          <w:color w:val="000000" w:themeColor="text1"/>
          <w:sz w:val="24"/>
          <w14:textFill>
            <w14:solidFill>
              <w14:schemeClr w14:val="tx1"/>
            </w14:solidFill>
          </w14:textFill>
        </w:rPr>
        <w:t>电梯采购与安装工程负责：</w:t>
      </w:r>
    </w:p>
    <w:p w14:paraId="1099E6D7">
      <w:pPr>
        <w:pStyle w:val="366"/>
        <w:numPr>
          <w:ilvl w:val="0"/>
          <w:numId w:val="16"/>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提供轿厢内的信息发布显示屏。</w:t>
      </w:r>
    </w:p>
    <w:p w14:paraId="727CD8C4">
      <w:pPr>
        <w:pStyle w:val="366"/>
        <w:numPr>
          <w:ilvl w:val="0"/>
          <w:numId w:val="16"/>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配合智能化承包人的安装调试工作。</w:t>
      </w:r>
    </w:p>
    <w:p w14:paraId="3DB89E5D">
      <w:pPr>
        <w:pStyle w:val="366"/>
        <w:numPr>
          <w:ilvl w:val="0"/>
          <w:numId w:val="16"/>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开放电梯系统接口、运行状态接口协议数据。</w:t>
      </w:r>
    </w:p>
    <w:p w14:paraId="48267A10">
      <w:pPr>
        <w:pStyle w:val="366"/>
        <w:numPr>
          <w:ilvl w:val="0"/>
          <w:numId w:val="16"/>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电梯承包人须与智能化承包人协调配合，负责供应及安装从电梯轿厢到电梯机房之间智能化所需的各系统弱电和电源随行线缆，所采购的随行电缆须满足智能化各子系统的信号传输和供电性能要求。</w:t>
      </w:r>
    </w:p>
    <w:p w14:paraId="64145710">
      <w:pPr>
        <w:pStyle w:val="366"/>
        <w:numPr>
          <w:ilvl w:val="0"/>
          <w:numId w:val="16"/>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电梯五方对讲系统由电梯承包人自行负责采购、安装及调试；五方对讲系统从电梯机房到监控中心之间的传输线路由智能化承包人负责采购、安装，所采购的线缆须满足电梯五方对讲系统的信号传输和供电性能要求。</w:t>
      </w:r>
    </w:p>
    <w:p w14:paraId="3D857AEA">
      <w:pPr>
        <w:pStyle w:val="366"/>
        <w:numPr>
          <w:ilvl w:val="0"/>
          <w:numId w:val="16"/>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电梯承包人提供满足智能化专业监测和控制要求的各种通信卡、通信协议和接口软件，在提供监控通讯协议和接口前应充分与智能化专业沟通，以满足智能化专业需要。</w:t>
      </w:r>
    </w:p>
    <w:p w14:paraId="49698835">
      <w:pPr>
        <w:pStyle w:val="366"/>
        <w:numPr>
          <w:ilvl w:val="0"/>
          <w:numId w:val="16"/>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电梯承包人负责预留安装位置以及敷设从摄像头到电梯机房电梯控制箱之间的弱电线缆，从电梯控制箱到智能化控制室的五方对讲线缆的安装调试由智能化承包人负责。</w:t>
      </w:r>
    </w:p>
    <w:p w14:paraId="117B9E2C"/>
    <w:p w14:paraId="3F57FD27">
      <w:pPr>
        <w:pStyle w:val="366"/>
        <w:numPr>
          <w:ilvl w:val="2"/>
          <w:numId w:val="11"/>
        </w:numPr>
        <w:tabs>
          <w:tab w:val="left" w:pos="1134"/>
        </w:tabs>
        <w:kinsoku w:val="0"/>
        <w:spacing w:before="156" w:beforeLines="50" w:line="360" w:lineRule="auto"/>
        <w:ind w:left="0" w:firstLine="482" w:firstLineChars="200"/>
        <w:outlineLvl w:val="2"/>
        <w:rPr>
          <w:rFonts w:hint="eastAsia" w:ascii="宋体" w:hAnsi="宋体"/>
          <w:b/>
          <w:color w:val="000000" w:themeColor="text1"/>
          <w:sz w:val="24"/>
          <w14:textFill>
            <w14:solidFill>
              <w14:schemeClr w14:val="tx1"/>
            </w14:solidFill>
          </w14:textFill>
        </w:rPr>
      </w:pPr>
      <w:r>
        <w:rPr>
          <w:rFonts w:hint="eastAsia" w:ascii="宋体" w:hAnsi="宋体" w:cstheme="minorBidi"/>
          <w:b/>
          <w:color w:val="000000" w:themeColor="text1"/>
          <w:sz w:val="24"/>
          <w14:textFill>
            <w14:solidFill>
              <w14:schemeClr w14:val="tx1"/>
            </w14:solidFill>
          </w14:textFill>
        </w:rPr>
        <w:t>电梯与</w:t>
      </w:r>
      <w:r>
        <w:rPr>
          <w:rFonts w:hint="eastAsia" w:ascii="宋体" w:hAnsi="宋体" w:cs="仿宋"/>
          <w:b/>
          <w:caps/>
          <w:color w:val="000000" w:themeColor="text1"/>
          <w:sz w:val="24"/>
          <w14:textFill>
            <w14:solidFill>
              <w14:schemeClr w14:val="tx1"/>
            </w14:solidFill>
          </w14:textFill>
        </w:rPr>
        <w:t>通风与空调工程的工作界面划分</w:t>
      </w:r>
    </w:p>
    <w:p w14:paraId="241F8CA3">
      <w:pPr>
        <w:pStyle w:val="366"/>
        <w:numPr>
          <w:ilvl w:val="0"/>
          <w:numId w:val="17"/>
        </w:numPr>
        <w:tabs>
          <w:tab w:val="left" w:pos="851"/>
          <w:tab w:val="left" w:pos="1560"/>
        </w:tabs>
        <w:kinsoku w:val="0"/>
        <w:autoSpaceDE w:val="0"/>
        <w:autoSpaceDN w:val="0"/>
        <w:spacing w:line="360" w:lineRule="auto"/>
        <w:ind w:left="420" w:leftChars="0" w:hanging="420" w:firstLineChars="0"/>
        <w:rPr>
          <w:rFonts w:hint="eastAsia" w:ascii="宋体" w:hAnsi="宋体" w:cs="仿宋"/>
          <w:b/>
          <w:caps/>
          <w:color w:val="000000" w:themeColor="text1"/>
          <w:sz w:val="24"/>
          <w14:textFill>
            <w14:solidFill>
              <w14:schemeClr w14:val="tx1"/>
            </w14:solidFill>
          </w14:textFill>
        </w:rPr>
      </w:pPr>
      <w:r>
        <w:rPr>
          <w:rFonts w:hint="eastAsia" w:ascii="宋体" w:hAnsi="宋体" w:cs="仿宋"/>
          <w:b/>
          <w:caps/>
          <w:color w:val="000000" w:themeColor="text1"/>
          <w:sz w:val="24"/>
          <w14:textFill>
            <w14:solidFill>
              <w14:schemeClr w14:val="tx1"/>
            </w14:solidFill>
          </w14:textFill>
        </w:rPr>
        <w:t>通风与空调工程负责：</w:t>
      </w:r>
    </w:p>
    <w:p w14:paraId="79B25E7C">
      <w:pPr>
        <w:pStyle w:val="366"/>
        <w:numPr>
          <w:ilvl w:val="0"/>
          <w:numId w:val="0"/>
        </w:numPr>
        <w:tabs>
          <w:tab w:val="left" w:pos="993"/>
          <w:tab w:val="left" w:pos="1560"/>
        </w:tabs>
        <w:kinsoku w:val="0"/>
        <w:autoSpaceDE w:val="0"/>
        <w:autoSpaceDN w:val="0"/>
        <w:spacing w:line="360" w:lineRule="auto"/>
        <w:ind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提供垂直电梯机房（如有机房）之空调/通风措施，包括机电转换层竖井通风消声器，而电梯承包人应先提供设备之发热量及特殊之通风要求。</w:t>
      </w:r>
    </w:p>
    <w:p w14:paraId="4949D431">
      <w:pPr>
        <w:pStyle w:val="366"/>
        <w:numPr>
          <w:ilvl w:val="0"/>
          <w:numId w:val="17"/>
        </w:numPr>
        <w:tabs>
          <w:tab w:val="left" w:pos="851"/>
          <w:tab w:val="left" w:pos="1560"/>
        </w:tabs>
        <w:kinsoku w:val="0"/>
        <w:autoSpaceDE w:val="0"/>
        <w:autoSpaceDN w:val="0"/>
        <w:spacing w:line="360" w:lineRule="auto"/>
        <w:ind w:left="420" w:leftChars="0" w:hanging="420" w:firstLineChars="0"/>
        <w:rPr>
          <w:rFonts w:hint="eastAsia" w:ascii="宋体" w:hAnsi="宋体" w:cs="仿宋"/>
          <w:b/>
          <w:caps/>
          <w:color w:val="000000" w:themeColor="text1"/>
          <w:sz w:val="24"/>
          <w14:textFill>
            <w14:solidFill>
              <w14:schemeClr w14:val="tx1"/>
            </w14:solidFill>
          </w14:textFill>
        </w:rPr>
      </w:pPr>
      <w:r>
        <w:rPr>
          <w:rFonts w:hint="eastAsia" w:ascii="宋体" w:hAnsi="宋体" w:cs="仿宋"/>
          <w:b/>
          <w:caps/>
          <w:color w:val="000000" w:themeColor="text1"/>
          <w:sz w:val="24"/>
          <w14:textFill>
            <w14:solidFill>
              <w14:schemeClr w14:val="tx1"/>
            </w14:solidFill>
          </w14:textFill>
        </w:rPr>
        <w:t>电梯采购与安装工程负责：</w:t>
      </w:r>
    </w:p>
    <w:p w14:paraId="37A7E68C">
      <w:pPr>
        <w:pStyle w:val="366"/>
        <w:numPr>
          <w:ilvl w:val="0"/>
          <w:numId w:val="18"/>
        </w:numPr>
        <w:tabs>
          <w:tab w:val="left" w:pos="993"/>
          <w:tab w:val="left" w:pos="1560"/>
        </w:tabs>
        <w:kinsoku w:val="0"/>
        <w:autoSpaceDE w:val="0"/>
        <w:autoSpaceDN w:val="0"/>
        <w:spacing w:line="360" w:lineRule="auto"/>
        <w:ind w:left="0" w:firstLine="480" w:firstLineChars="200"/>
        <w:rPr>
          <w:rFonts w:hint="eastAsia" w:ascii="宋体" w:hAnsi="宋体"/>
          <w:kern w:val="0"/>
          <w:sz w:val="24"/>
        </w:rPr>
      </w:pPr>
      <w:r>
        <w:rPr>
          <w:rFonts w:hint="eastAsia" w:ascii="宋体" w:hAnsi="宋体" w:cs="仿宋"/>
          <w:caps/>
          <w:sz w:val="24"/>
        </w:rPr>
        <w:t>负责提供电梯预留装修重量（该预留重量用于地面装饰及空调重量）。</w:t>
      </w:r>
    </w:p>
    <w:p w14:paraId="33DEFE58">
      <w:pPr>
        <w:pStyle w:val="366"/>
        <w:numPr>
          <w:ilvl w:val="0"/>
          <w:numId w:val="18"/>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与通风与空调工程承包人协调以进行及完成所需的安装工作，双方的交接驳口需按图纸施工或按工地情况议定准确的位置及双方的工作界面。</w:t>
      </w:r>
    </w:p>
    <w:p w14:paraId="197B6AC6">
      <w:pPr>
        <w:pStyle w:val="366"/>
        <w:numPr>
          <w:ilvl w:val="0"/>
          <w:numId w:val="18"/>
        </w:numPr>
        <w:tabs>
          <w:tab w:val="left" w:pos="993"/>
          <w:tab w:val="left" w:pos="1560"/>
        </w:tabs>
        <w:kinsoku w:val="0"/>
        <w:autoSpaceDE w:val="0"/>
        <w:autoSpaceDN w:val="0"/>
        <w:spacing w:line="360" w:lineRule="auto"/>
        <w:rPr>
          <w:rFonts w:hint="eastAsia" w:ascii="宋体" w:hAnsi="宋体" w:cs="仿宋"/>
          <w:caps/>
          <w:sz w:val="24"/>
        </w:rPr>
      </w:pPr>
      <w:r>
        <w:rPr>
          <w:rFonts w:hint="eastAsia" w:ascii="宋体" w:hAnsi="宋体" w:cs="仿宋"/>
          <w:caps/>
          <w:sz w:val="24"/>
        </w:rPr>
        <w:t>如电梯需加装专用空调，由电梯承包人负责安装。</w:t>
      </w:r>
      <w:r>
        <w:rPr>
          <w:rFonts w:ascii="宋体" w:hAnsi="宋体" w:cs="仿宋"/>
          <w:caps/>
          <w:sz w:val="24"/>
        </w:rPr>
        <w:fldChar w:fldCharType="begin"/>
      </w:r>
      <w:r>
        <w:rPr>
          <w:rFonts w:ascii="宋体" w:hAnsi="宋体" w:cs="仿宋"/>
          <w:caps/>
          <w:sz w:val="24"/>
        </w:rPr>
        <w:instrText xml:space="preserve">AUTOTEXT  技术要求 \* MERGEFORMAT</w:instrText>
      </w:r>
      <w:r>
        <w:rPr>
          <w:rFonts w:ascii="宋体" w:hAnsi="宋体" w:cs="仿宋"/>
          <w:caps/>
          <w:sz w:val="24"/>
        </w:rPr>
        <w:fldChar w:fldCharType="end"/>
      </w:r>
    </w:p>
    <w:p w14:paraId="27BC0B96">
      <w:pPr>
        <w:pStyle w:val="366"/>
        <w:numPr>
          <w:ilvl w:val="2"/>
          <w:numId w:val="11"/>
        </w:numPr>
        <w:tabs>
          <w:tab w:val="left" w:pos="1134"/>
        </w:tabs>
        <w:kinsoku w:val="0"/>
        <w:spacing w:before="156" w:beforeLines="50" w:line="360" w:lineRule="auto"/>
        <w:ind w:left="0" w:firstLine="482" w:firstLineChars="200"/>
        <w:outlineLvl w:val="2"/>
        <w:rPr>
          <w:rFonts w:hint="eastAsia" w:ascii="宋体" w:hAnsi="宋体"/>
          <w:b/>
          <w:sz w:val="24"/>
        </w:rPr>
      </w:pPr>
      <w:r>
        <w:rPr>
          <w:rFonts w:hint="eastAsia" w:ascii="宋体" w:hAnsi="宋体" w:cstheme="minorBidi"/>
          <w:b/>
          <w:sz w:val="24"/>
        </w:rPr>
        <w:t>电梯与</w:t>
      </w:r>
      <w:r>
        <w:rPr>
          <w:rFonts w:hint="eastAsia" w:ascii="宋体" w:hAnsi="宋体" w:cs="仿宋"/>
          <w:b/>
          <w:caps/>
          <w:sz w:val="24"/>
        </w:rPr>
        <w:t>室内装修工程的工作界面划分</w:t>
      </w:r>
    </w:p>
    <w:p w14:paraId="729247A2">
      <w:pPr>
        <w:pStyle w:val="366"/>
        <w:numPr>
          <w:ilvl w:val="0"/>
          <w:numId w:val="0"/>
        </w:numPr>
        <w:tabs>
          <w:tab w:val="left" w:pos="851"/>
          <w:tab w:val="left" w:pos="1560"/>
        </w:tabs>
        <w:kinsoku w:val="0"/>
        <w:autoSpaceDE w:val="0"/>
        <w:autoSpaceDN w:val="0"/>
        <w:spacing w:line="360" w:lineRule="auto"/>
        <w:rPr>
          <w:rFonts w:hint="eastAsia" w:ascii="宋体" w:hAnsi="宋体" w:cs="仿宋"/>
          <w:b/>
          <w:caps/>
          <w:color w:val="0000FF"/>
          <w:sz w:val="24"/>
        </w:rPr>
      </w:pPr>
      <w:r>
        <w:rPr>
          <w:rFonts w:hint="eastAsia" w:ascii="宋体" w:hAnsi="宋体" w:cs="仿宋"/>
          <w:b/>
          <w:caps/>
          <w:sz w:val="24"/>
          <w:lang w:val="en-US" w:eastAsia="zh-CN"/>
        </w:rPr>
        <w:t>1.</w:t>
      </w:r>
      <w:r>
        <w:rPr>
          <w:rFonts w:hint="eastAsia" w:ascii="宋体" w:hAnsi="宋体" w:cs="仿宋"/>
          <w:b/>
          <w:caps/>
          <w:sz w:val="24"/>
        </w:rPr>
        <w:t>室内装修工程负责</w:t>
      </w:r>
    </w:p>
    <w:p w14:paraId="5B83CE18">
      <w:pPr>
        <w:pStyle w:val="366"/>
        <w:numPr>
          <w:ilvl w:val="0"/>
          <w:numId w:val="19"/>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负责装修区域电梯安装完成后的所有收边收口工作。</w:t>
      </w:r>
    </w:p>
    <w:p w14:paraId="3EA24EF1">
      <w:pPr>
        <w:pStyle w:val="366"/>
        <w:numPr>
          <w:ilvl w:val="0"/>
          <w:numId w:val="19"/>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负责装修区域安装于电梯厅装修面上电梯设施的定位、开孔及安装后的收边收口工作。</w:t>
      </w:r>
    </w:p>
    <w:p w14:paraId="5A2AD0F8">
      <w:pPr>
        <w:pStyle w:val="366"/>
        <w:numPr>
          <w:ilvl w:val="0"/>
          <w:numId w:val="19"/>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sz w:val="24"/>
        </w:rPr>
        <w:t>负责装修区域到站灯、电梯按钮在饰面上的定位、开孔工作，电梯承包人负责到站</w:t>
      </w:r>
      <w:r>
        <w:rPr>
          <w:rFonts w:hint="eastAsia" w:ascii="宋体" w:hAnsi="宋体" w:cs="仿宋"/>
          <w:caps/>
          <w:color w:val="000000" w:themeColor="text1"/>
          <w:sz w:val="24"/>
          <w14:textFill>
            <w14:solidFill>
              <w14:schemeClr w14:val="tx1"/>
            </w14:solidFill>
          </w14:textFill>
        </w:rPr>
        <w:t>灯、电梯按钮、层显灯供货与安装。</w:t>
      </w:r>
    </w:p>
    <w:p w14:paraId="642EB686">
      <w:pPr>
        <w:pStyle w:val="366"/>
        <w:numPr>
          <w:ilvl w:val="0"/>
          <w:numId w:val="0"/>
        </w:numPr>
        <w:tabs>
          <w:tab w:val="left" w:pos="851"/>
          <w:tab w:val="left" w:pos="1560"/>
        </w:tabs>
        <w:kinsoku w:val="0"/>
        <w:autoSpaceDE w:val="0"/>
        <w:autoSpaceDN w:val="0"/>
        <w:spacing w:line="360" w:lineRule="auto"/>
        <w:rPr>
          <w:rFonts w:hint="eastAsia" w:ascii="宋体" w:hAnsi="宋体" w:cs="仿宋"/>
          <w:b/>
          <w:caps/>
          <w:color w:val="000000" w:themeColor="text1"/>
          <w:sz w:val="24"/>
          <w14:textFill>
            <w14:solidFill>
              <w14:schemeClr w14:val="tx1"/>
            </w14:solidFill>
          </w14:textFill>
        </w:rPr>
      </w:pPr>
      <w:r>
        <w:rPr>
          <w:rFonts w:hint="eastAsia" w:ascii="宋体" w:hAnsi="宋体" w:cs="仿宋"/>
          <w:b/>
          <w:caps/>
          <w:color w:val="000000" w:themeColor="text1"/>
          <w:sz w:val="24"/>
          <w:lang w:val="en-US" w:eastAsia="zh-CN"/>
          <w14:textFill>
            <w14:solidFill>
              <w14:schemeClr w14:val="tx1"/>
            </w14:solidFill>
          </w14:textFill>
        </w:rPr>
        <w:t>2.</w:t>
      </w:r>
      <w:r>
        <w:rPr>
          <w:rFonts w:hint="eastAsia" w:ascii="宋体" w:hAnsi="宋体" w:cs="仿宋"/>
          <w:b/>
          <w:caps/>
          <w:color w:val="000000" w:themeColor="text1"/>
          <w:sz w:val="24"/>
          <w14:textFill>
            <w14:solidFill>
              <w14:schemeClr w14:val="tx1"/>
            </w14:solidFill>
          </w14:textFill>
        </w:rPr>
        <w:t>电梯采购与安装工程负责：</w:t>
      </w:r>
    </w:p>
    <w:p w14:paraId="1D71F137">
      <w:pPr>
        <w:pStyle w:val="366"/>
        <w:numPr>
          <w:ilvl w:val="0"/>
          <w:numId w:val="20"/>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负责所有电梯的装饰装修。</w:t>
      </w:r>
    </w:p>
    <w:p w14:paraId="3A4DA5D1">
      <w:pPr>
        <w:pStyle w:val="366"/>
        <w:numPr>
          <w:ilvl w:val="0"/>
          <w:numId w:val="20"/>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负责电梯厅门、大门套的供应与安装。</w:t>
      </w:r>
    </w:p>
    <w:p w14:paraId="22A67AB6">
      <w:pPr>
        <w:pStyle w:val="366"/>
        <w:numPr>
          <w:ilvl w:val="0"/>
          <w:numId w:val="20"/>
        </w:numPr>
        <w:tabs>
          <w:tab w:val="left" w:pos="993"/>
          <w:tab w:val="left" w:pos="1560"/>
        </w:tabs>
        <w:kinsoku w:val="0"/>
        <w:autoSpaceDE w:val="0"/>
        <w:autoSpaceDN w:val="0"/>
        <w:spacing w:line="360" w:lineRule="auto"/>
        <w:ind w:left="0" w:firstLine="480" w:firstLineChars="200"/>
        <w:rPr>
          <w:rFonts w:hint="eastAsia" w:ascii="宋体" w:hAnsi="宋体"/>
          <w:kern w:val="0"/>
          <w:sz w:val="24"/>
        </w:rPr>
      </w:pPr>
      <w:r>
        <w:rPr>
          <w:rFonts w:hint="eastAsia" w:ascii="宋体" w:hAnsi="宋体" w:cs="仿宋"/>
          <w:caps/>
          <w:sz w:val="24"/>
        </w:rPr>
        <w:t>负责厅门中线、标高线定位等，并各方签字拍照留存。</w:t>
      </w:r>
      <w:r>
        <w:rPr>
          <w:sz w:val="24"/>
        </w:rPr>
        <w:fldChar w:fldCharType="begin"/>
      </w:r>
      <w:r>
        <w:rPr>
          <w:sz w:val="24"/>
        </w:rPr>
        <w:instrText xml:space="preserve">AUTOTEXT  技术要求 \* MERGEFORMAT</w:instrText>
      </w:r>
      <w:r>
        <w:rPr>
          <w:sz w:val="24"/>
        </w:rPr>
        <w:fldChar w:fldCharType="end"/>
      </w:r>
    </w:p>
    <w:p w14:paraId="5C1E6A5E"/>
    <w:sectPr>
      <w:pgSz w:w="11907" w:h="16840"/>
      <w:pgMar w:top="1418" w:right="1531" w:bottom="1418" w:left="1531" w:header="851" w:footer="851"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Arial Unicode MS">
    <w:panose1 w:val="020B0604020202020204"/>
    <w:charset w:val="86"/>
    <w:family w:val="swiss"/>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华文隶书">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8D08A">
    <w:pPr>
      <w:pStyle w:val="5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B2EE3A">
                          <w:pPr>
                            <w:pStyle w:val="5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AB2EE3A">
                    <w:pPr>
                      <w:pStyle w:val="5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v:textbox>
            </v:shape>
          </w:pict>
        </mc:Fallback>
      </mc:AlternateContent>
    </w:r>
  </w:p>
  <w:p w14:paraId="130B578A">
    <w:pPr>
      <w:pStyle w:val="5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9A297">
    <w:pPr>
      <w:pStyle w:val="5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5B898E">
                          <w:pPr>
                            <w:pStyle w:val="5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85B898E">
                    <w:pPr>
                      <w:pStyle w:val="5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v:textbox>
            </v:shape>
          </w:pict>
        </mc:Fallback>
      </mc:AlternateContent>
    </w:r>
  </w:p>
  <w:p w14:paraId="0FC098DE">
    <w:pPr>
      <w:pStyle w:val="5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5622E">
    <w:pPr>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E6D27A">
                          <w:pPr>
                            <w:pStyle w:val="53"/>
                          </w:pPr>
                          <w:r>
                            <w:t xml:space="preserve">第 </w:t>
                          </w:r>
                          <w:r>
                            <w:fldChar w:fldCharType="begin"/>
                          </w:r>
                          <w:r>
                            <w:instrText xml:space="preserve"> PAGE  \* MERGEFORMAT </w:instrText>
                          </w:r>
                          <w:r>
                            <w:fldChar w:fldCharType="separate"/>
                          </w:r>
                          <w:r>
                            <w:t>15</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AE6D27A">
                    <w:pPr>
                      <w:pStyle w:val="53"/>
                    </w:pPr>
                    <w:r>
                      <w:t xml:space="preserve">第 </w:t>
                    </w:r>
                    <w:r>
                      <w:fldChar w:fldCharType="begin"/>
                    </w:r>
                    <w:r>
                      <w:instrText xml:space="preserve"> PAGE  \* MERGEFORMAT </w:instrText>
                    </w:r>
                    <w:r>
                      <w:fldChar w:fldCharType="separate"/>
                    </w:r>
                    <w:r>
                      <w:t>15</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v:textbox>
            </v:shape>
          </w:pict>
        </mc:Fallback>
      </mc:AlternateContent>
    </w:r>
  </w:p>
  <w:p w14:paraId="3128B85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321A5">
    <w:pPr>
      <w:pStyle w:val="5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AF4C3D">
                          <w:pPr>
                            <w:pStyle w:val="53"/>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5AF4C3D">
                    <w:pPr>
                      <w:pStyle w:val="53"/>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v:textbox>
            </v:shape>
          </w:pict>
        </mc:Fallback>
      </mc:AlternateContent>
    </w:r>
  </w:p>
  <w:p w14:paraId="03CF8C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7B99F">
    <w:pPr>
      <w:rPr>
        <w:rFonts w:hint="eastAsia" w:ascii="宋体"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E8E11">
    <w:pPr>
      <w:pStyle w:val="21"/>
      <w:ind w:firstLine="420"/>
    </w:pPr>
  </w:p>
  <w:p w14:paraId="012AABBB">
    <w:pPr>
      <w:pStyle w:val="21"/>
      <w:ind w:firstLine="420"/>
      <w:jc w:val="left"/>
    </w:pPr>
  </w:p>
  <w:p w14:paraId="64532B3B">
    <w:pPr>
      <w:pStyle w:val="21"/>
      <w:ind w:left="420" w:firstLine="42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2"/>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5"/>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34"/>
      <w:lvlText w:val="%1."/>
      <w:lvlJc w:val="left"/>
      <w:pPr>
        <w:tabs>
          <w:tab w:val="left" w:pos="1200"/>
        </w:tabs>
        <w:ind w:left="1200" w:hanging="360"/>
      </w:pPr>
    </w:lvl>
  </w:abstractNum>
  <w:abstractNum w:abstractNumId="3">
    <w:nsid w:val="FFFFFF7F"/>
    <w:multiLevelType w:val="singleLevel"/>
    <w:tmpl w:val="FFFFFF7F"/>
    <w:lvl w:ilvl="0" w:tentative="0">
      <w:start w:val="1"/>
      <w:numFmt w:val="decimal"/>
      <w:pStyle w:val="15"/>
      <w:lvlText w:val="%1."/>
      <w:lvlJc w:val="left"/>
      <w:pPr>
        <w:tabs>
          <w:tab w:val="left" w:pos="780"/>
        </w:tabs>
        <w:ind w:left="780" w:hanging="360"/>
      </w:pPr>
    </w:lvl>
  </w:abstractNum>
  <w:abstractNum w:abstractNumId="4">
    <w:nsid w:val="FFFFFF81"/>
    <w:multiLevelType w:val="singleLevel"/>
    <w:tmpl w:val="FFFFFF81"/>
    <w:lvl w:ilvl="0" w:tentative="0">
      <w:start w:val="1"/>
      <w:numFmt w:val="bullet"/>
      <w:pStyle w:val="17"/>
      <w:lvlText w:val=""/>
      <w:lvlJc w:val="left"/>
      <w:pPr>
        <w:tabs>
          <w:tab w:val="left" w:pos="1620"/>
        </w:tabs>
        <w:ind w:left="1620" w:hanging="360"/>
      </w:pPr>
      <w:rPr>
        <w:rFonts w:hint="default" w:ascii="Wingdings" w:hAnsi="Wingdings"/>
      </w:rPr>
    </w:lvl>
  </w:abstractNum>
  <w:abstractNum w:abstractNumId="5">
    <w:nsid w:val="FFFFFF82"/>
    <w:multiLevelType w:val="singleLevel"/>
    <w:tmpl w:val="FFFFFF82"/>
    <w:lvl w:ilvl="0" w:tentative="0">
      <w:start w:val="1"/>
      <w:numFmt w:val="bullet"/>
      <w:pStyle w:val="32"/>
      <w:lvlText w:val=""/>
      <w:lvlJc w:val="left"/>
      <w:pPr>
        <w:tabs>
          <w:tab w:val="left" w:pos="1200"/>
        </w:tabs>
        <w:ind w:left="1200" w:hanging="360"/>
      </w:pPr>
      <w:rPr>
        <w:rFonts w:hint="default" w:ascii="Wingdings" w:hAnsi="Wingdings"/>
      </w:rPr>
    </w:lvl>
  </w:abstractNum>
  <w:abstractNum w:abstractNumId="6">
    <w:nsid w:val="FFFFFF83"/>
    <w:multiLevelType w:val="singleLevel"/>
    <w:tmpl w:val="FFFFFF83"/>
    <w:lvl w:ilvl="0" w:tentative="0">
      <w:start w:val="1"/>
      <w:numFmt w:val="bullet"/>
      <w:pStyle w:val="38"/>
      <w:lvlText w:val=""/>
      <w:lvlJc w:val="left"/>
      <w:pPr>
        <w:tabs>
          <w:tab w:val="left" w:pos="780"/>
        </w:tabs>
        <w:ind w:left="780" w:hanging="360"/>
      </w:pPr>
      <w:rPr>
        <w:rFonts w:hint="default" w:ascii="Wingdings" w:hAnsi="Wingdings"/>
      </w:rPr>
    </w:lvl>
  </w:abstractNum>
  <w:abstractNum w:abstractNumId="7">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8">
    <w:nsid w:val="FFFFFF89"/>
    <w:multiLevelType w:val="singleLevel"/>
    <w:tmpl w:val="FFFFFF89"/>
    <w:lvl w:ilvl="0" w:tentative="0">
      <w:start w:val="1"/>
      <w:numFmt w:val="bullet"/>
      <w:pStyle w:val="23"/>
      <w:lvlText w:val=""/>
      <w:lvlJc w:val="left"/>
      <w:pPr>
        <w:tabs>
          <w:tab w:val="left" w:pos="360"/>
        </w:tabs>
        <w:ind w:left="360" w:hanging="360"/>
      </w:pPr>
      <w:rPr>
        <w:rFonts w:hint="default" w:ascii="Wingdings" w:hAnsi="Wingdings"/>
      </w:rPr>
    </w:lvl>
  </w:abstractNum>
  <w:abstractNum w:abstractNumId="9">
    <w:nsid w:val="073A7661"/>
    <w:multiLevelType w:val="multilevel"/>
    <w:tmpl w:val="073A7661"/>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0E643B25"/>
    <w:multiLevelType w:val="multilevel"/>
    <w:tmpl w:val="0E643B25"/>
    <w:lvl w:ilvl="0" w:tentative="0">
      <w:start w:val="1"/>
      <w:numFmt w:val="decimal"/>
      <w:lvlText w:val="37.%1."/>
      <w:lvlJc w:val="left"/>
      <w:pPr>
        <w:ind w:left="902" w:hanging="420"/>
      </w:pPr>
    </w:lvl>
    <w:lvl w:ilvl="1" w:tentative="0">
      <w:start w:val="1"/>
      <w:numFmt w:val="lowerLetter"/>
      <w:lvlText w:val="%2)"/>
      <w:lvlJc w:val="left"/>
      <w:pPr>
        <w:ind w:left="840" w:hanging="420"/>
      </w:pPr>
    </w:lvl>
    <w:lvl w:ilvl="2" w:tentative="0">
      <w:start w:val="1"/>
      <w:numFmt w:val="chineseCountingThousand"/>
      <w:lvlText w:val="(%3)"/>
      <w:lvlJc w:val="left"/>
      <w:pPr>
        <w:ind w:left="6373" w:hanging="420"/>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D057DE1"/>
    <w:multiLevelType w:val="multilevel"/>
    <w:tmpl w:val="1D057DE1"/>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
    <w:nsid w:val="22FF4662"/>
    <w:multiLevelType w:val="multilevel"/>
    <w:tmpl w:val="22FF4662"/>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
    <w:nsid w:val="2D8D328D"/>
    <w:multiLevelType w:val="multilevel"/>
    <w:tmpl w:val="2D8D328D"/>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30B41B81"/>
    <w:multiLevelType w:val="multilevel"/>
    <w:tmpl w:val="30B41B81"/>
    <w:lvl w:ilvl="0" w:tentative="0">
      <w:start w:val="1"/>
      <w:numFmt w:val="decimal"/>
      <w:lvlText w:val="(%1)"/>
      <w:lvlJc w:val="left"/>
      <w:pPr>
        <w:ind w:left="900" w:hanging="420"/>
      </w:pPr>
      <w:rPr>
        <w:rFonts w:hint="eastAsia" w:ascii="宋体" w:hAnsi="宋体" w:eastAsia="宋体"/>
        <w:sz w:val="24"/>
        <w:szCs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5">
    <w:nsid w:val="31BCE6F5"/>
    <w:multiLevelType w:val="multilevel"/>
    <w:tmpl w:val="31BCE6F5"/>
    <w:lvl w:ilvl="0" w:tentative="0">
      <w:start w:val="1"/>
      <w:numFmt w:val="decimal"/>
      <w:suff w:val="nothing"/>
      <w:lvlText w:val="%1."/>
      <w:lvlJc w:val="left"/>
      <w:pPr>
        <w:ind w:left="420" w:hanging="420"/>
      </w:p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52C92EAE"/>
    <w:multiLevelType w:val="multilevel"/>
    <w:tmpl w:val="52C92EAE"/>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7">
    <w:nsid w:val="5F35AA0E"/>
    <w:multiLevelType w:val="multilevel"/>
    <w:tmpl w:val="5F35AA0E"/>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8">
    <w:nsid w:val="6B1F5AA5"/>
    <w:multiLevelType w:val="multilevel"/>
    <w:tmpl w:val="6B1F5AA5"/>
    <w:lvl w:ilvl="0" w:tentative="0">
      <w:start w:val="1"/>
      <w:numFmt w:val="decimal"/>
      <w:lvlText w:val="(%1)"/>
      <w:lvlJc w:val="left"/>
      <w:pPr>
        <w:ind w:left="900" w:hanging="420"/>
      </w:pPr>
      <w:rPr>
        <w:rFonts w:hint="eastAsia" w:ascii="宋体" w:hAnsi="宋体" w:eastAsia="宋体"/>
        <w:sz w:val="24"/>
        <w:szCs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9">
    <w:nsid w:val="73887025"/>
    <w:multiLevelType w:val="multilevel"/>
    <w:tmpl w:val="73887025"/>
    <w:lvl w:ilvl="0" w:tentative="0">
      <w:start w:val="1"/>
      <w:numFmt w:val="decimal"/>
      <w:suff w:val="nothing"/>
      <w:lvlText w:val="%1."/>
      <w:lvlJc w:val="left"/>
      <w:pPr>
        <w:ind w:left="180" w:firstLine="0"/>
      </w:pPr>
      <w:rPr>
        <w:rFonts w:hint="eastAsia" w:ascii="宋体" w:hAnsi="宋体" w:eastAsia="宋体"/>
        <w:b w:val="0"/>
        <w:i w:val="0"/>
        <w:caps w:val="0"/>
        <w:strike w:val="0"/>
        <w:dstrike w:val="0"/>
        <w:vanish w:val="0"/>
        <w:spacing w:val="0"/>
        <w:position w:val="0"/>
        <w:sz w:val="24"/>
        <w:szCs w:val="24"/>
        <w:vertAlign w:val="baseline"/>
      </w:rPr>
    </w:lvl>
    <w:lvl w:ilvl="1" w:tentative="0">
      <w:start w:val="1"/>
      <w:numFmt w:val="decimal"/>
      <w:pStyle w:val="360"/>
      <w:suff w:val="nothing"/>
      <w:lvlText w:val="%1.%2"/>
      <w:lvlJc w:val="left"/>
      <w:pPr>
        <w:ind w:left="4736" w:hanging="3836"/>
      </w:pPr>
      <w:rPr>
        <w:rFonts w:hint="eastAsia" w:ascii="Times New Roman" w:hAnsi="Times New Roman" w:cs="Times New Roman"/>
        <w:b w:val="0"/>
        <w:bCs w:val="0"/>
        <w:i w:val="0"/>
        <w:iCs w:val="0"/>
        <w:caps w:val="0"/>
        <w:smallCaps w:val="0"/>
        <w:strike w:val="0"/>
        <w:dstrike w:val="0"/>
        <w:vanish w:val="0"/>
        <w:spacing w:val="0"/>
        <w:position w:val="0"/>
        <w:sz w:val="24"/>
        <w:szCs w:val="24"/>
        <w:u w:val="none"/>
        <w:vertAlign w:val="baseline"/>
      </w:rPr>
    </w:lvl>
    <w:lvl w:ilvl="2" w:tentative="0">
      <w:start w:val="1"/>
      <w:numFmt w:val="decimal"/>
      <w:suff w:val="nothing"/>
      <w:lvlText w:val="%3）"/>
      <w:lvlJc w:val="left"/>
      <w:pPr>
        <w:ind w:left="890" w:hanging="170"/>
      </w:pPr>
      <w:rPr>
        <w:b w:val="0"/>
        <w:i w:val="0"/>
        <w:strike w:val="0"/>
        <w:color w:val="000000"/>
      </w:rPr>
    </w:lvl>
    <w:lvl w:ilvl="3" w:tentative="0">
      <w:start w:val="1"/>
      <w:numFmt w:val="decimal"/>
      <w:suff w:val="nothing"/>
      <w:lvlText w:val="%1.%2.%3.%4"/>
      <w:lvlJc w:val="left"/>
      <w:pPr>
        <w:ind w:left="284" w:hanging="227"/>
      </w:pPr>
      <w:rPr>
        <w:rFonts w:hint="eastAsia"/>
        <w:b w:val="0"/>
        <w:i w:val="0"/>
      </w:rPr>
    </w:lvl>
    <w:lvl w:ilvl="4" w:tentative="0">
      <w:start w:val="1"/>
      <w:numFmt w:val="decimal"/>
      <w:suff w:val="nothing"/>
      <w:lvlText w:val="%1.%2.%3.%4.%5"/>
      <w:lvlJc w:val="left"/>
      <w:pPr>
        <w:ind w:left="397" w:hanging="340"/>
      </w:pPr>
      <w:rPr>
        <w:rFonts w:hint="eastAsia" w:ascii="宋体" w:eastAsia="宋体"/>
        <w:b w:val="0"/>
        <w:i w:val="0"/>
        <w:caps w:val="0"/>
        <w:strike w:val="0"/>
        <w:dstrike w:val="0"/>
        <w:snapToGrid w:val="0"/>
        <w:vanish w:val="0"/>
        <w:color w:val="auto"/>
        <w:spacing w:val="0"/>
        <w:kern w:val="0"/>
        <w:position w:val="0"/>
        <w:sz w:val="24"/>
        <w:szCs w:val="24"/>
        <w:u w:val="none"/>
        <w:vertAlign w:val="baseline"/>
      </w:rPr>
    </w:lvl>
    <w:lvl w:ilvl="5" w:tentative="0">
      <w:start w:val="1"/>
      <w:numFmt w:val="decimal"/>
      <w:lvlText w:val="%1.%2.%3.%4.%5.%6"/>
      <w:lvlJc w:val="left"/>
      <w:pPr>
        <w:tabs>
          <w:tab w:val="left" w:pos="3720"/>
        </w:tabs>
        <w:ind w:left="3414" w:hanging="1134"/>
      </w:pPr>
      <w:rPr>
        <w:rFonts w:hint="eastAsia"/>
      </w:rPr>
    </w:lvl>
    <w:lvl w:ilvl="6" w:tentative="0">
      <w:start w:val="1"/>
      <w:numFmt w:val="decimal"/>
      <w:lvlText w:val="%1.%2.%3.%4.%5.%6.%7"/>
      <w:lvlJc w:val="left"/>
      <w:pPr>
        <w:tabs>
          <w:tab w:val="left" w:pos="4505"/>
        </w:tabs>
        <w:ind w:left="3981" w:hanging="1276"/>
      </w:pPr>
      <w:rPr>
        <w:rFonts w:hint="eastAsia"/>
      </w:rPr>
    </w:lvl>
    <w:lvl w:ilvl="7" w:tentative="0">
      <w:start w:val="1"/>
      <w:numFmt w:val="decimal"/>
      <w:lvlText w:val="%1.%2.%3.%4.%5.%6.%7.%8"/>
      <w:lvlJc w:val="left"/>
      <w:pPr>
        <w:tabs>
          <w:tab w:val="left" w:pos="5290"/>
        </w:tabs>
        <w:ind w:left="4548" w:hanging="1418"/>
      </w:pPr>
      <w:rPr>
        <w:rFonts w:hint="eastAsia"/>
      </w:rPr>
    </w:lvl>
    <w:lvl w:ilvl="8" w:tentative="0">
      <w:start w:val="1"/>
      <w:numFmt w:val="decimal"/>
      <w:lvlText w:val="%1.%2.%3.%4.%5.%6.%7.%8.%9"/>
      <w:lvlJc w:val="left"/>
      <w:pPr>
        <w:tabs>
          <w:tab w:val="left" w:pos="5716"/>
        </w:tabs>
        <w:ind w:left="5256" w:hanging="1700"/>
      </w:pPr>
      <w:rPr>
        <w:rFonts w:hint="eastAsia"/>
      </w:rPr>
    </w:lvl>
  </w:abstractNum>
  <w:num w:numId="1">
    <w:abstractNumId w:val="3"/>
  </w:num>
  <w:num w:numId="2">
    <w:abstractNumId w:val="4"/>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9"/>
  </w:num>
  <w:num w:numId="11">
    <w:abstractNumId w:val="10"/>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1"/>
  </w:num>
  <w:num w:numId="19">
    <w:abstractNumId w:val="17"/>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BhN2NhMWFkNmZkYTY2NWQ2OWY1MzFlOTAwZTJmMWUifQ=="/>
  </w:docVars>
  <w:rsids>
    <w:rsidRoot w:val="009006F3"/>
    <w:rsid w:val="000038CF"/>
    <w:rsid w:val="0000436F"/>
    <w:rsid w:val="00010397"/>
    <w:rsid w:val="00010D39"/>
    <w:rsid w:val="00011A01"/>
    <w:rsid w:val="000300FB"/>
    <w:rsid w:val="0003159C"/>
    <w:rsid w:val="00031D77"/>
    <w:rsid w:val="00036172"/>
    <w:rsid w:val="00036A74"/>
    <w:rsid w:val="000459BB"/>
    <w:rsid w:val="00047151"/>
    <w:rsid w:val="000471E3"/>
    <w:rsid w:val="0005318A"/>
    <w:rsid w:val="00053D79"/>
    <w:rsid w:val="00067D8B"/>
    <w:rsid w:val="00071B9B"/>
    <w:rsid w:val="00076221"/>
    <w:rsid w:val="00095E16"/>
    <w:rsid w:val="000A32CF"/>
    <w:rsid w:val="000B21F3"/>
    <w:rsid w:val="000B3992"/>
    <w:rsid w:val="000B6D73"/>
    <w:rsid w:val="000B6D86"/>
    <w:rsid w:val="000B72FD"/>
    <w:rsid w:val="000C0102"/>
    <w:rsid w:val="000D17DF"/>
    <w:rsid w:val="000D55F3"/>
    <w:rsid w:val="000D6079"/>
    <w:rsid w:val="000D633F"/>
    <w:rsid w:val="000E28D9"/>
    <w:rsid w:val="000E5155"/>
    <w:rsid w:val="000F0448"/>
    <w:rsid w:val="000F159E"/>
    <w:rsid w:val="000F4264"/>
    <w:rsid w:val="000F4851"/>
    <w:rsid w:val="000F4EBD"/>
    <w:rsid w:val="00100EAE"/>
    <w:rsid w:val="001025E6"/>
    <w:rsid w:val="00103B48"/>
    <w:rsid w:val="00106051"/>
    <w:rsid w:val="00121816"/>
    <w:rsid w:val="001238DA"/>
    <w:rsid w:val="00136C48"/>
    <w:rsid w:val="0013726E"/>
    <w:rsid w:val="0014455E"/>
    <w:rsid w:val="00144F14"/>
    <w:rsid w:val="0014798F"/>
    <w:rsid w:val="00164C5C"/>
    <w:rsid w:val="00174BB2"/>
    <w:rsid w:val="00196A29"/>
    <w:rsid w:val="00196D72"/>
    <w:rsid w:val="001B071A"/>
    <w:rsid w:val="001C11E6"/>
    <w:rsid w:val="001C3E24"/>
    <w:rsid w:val="001C42F5"/>
    <w:rsid w:val="001C4F8C"/>
    <w:rsid w:val="001D50A5"/>
    <w:rsid w:val="001D6845"/>
    <w:rsid w:val="001E6648"/>
    <w:rsid w:val="001E6FE5"/>
    <w:rsid w:val="001E794D"/>
    <w:rsid w:val="001F0B1D"/>
    <w:rsid w:val="002015B5"/>
    <w:rsid w:val="00205F5C"/>
    <w:rsid w:val="00206337"/>
    <w:rsid w:val="0021378B"/>
    <w:rsid w:val="00215BC4"/>
    <w:rsid w:val="0021712F"/>
    <w:rsid w:val="002213E0"/>
    <w:rsid w:val="00224850"/>
    <w:rsid w:val="00226476"/>
    <w:rsid w:val="0024071E"/>
    <w:rsid w:val="002415E2"/>
    <w:rsid w:val="0024275D"/>
    <w:rsid w:val="00245B68"/>
    <w:rsid w:val="002519DD"/>
    <w:rsid w:val="00251CBD"/>
    <w:rsid w:val="00257B50"/>
    <w:rsid w:val="00261381"/>
    <w:rsid w:val="00272781"/>
    <w:rsid w:val="002740CF"/>
    <w:rsid w:val="00274526"/>
    <w:rsid w:val="00275610"/>
    <w:rsid w:val="00284218"/>
    <w:rsid w:val="00291EB2"/>
    <w:rsid w:val="002970ED"/>
    <w:rsid w:val="002A27D4"/>
    <w:rsid w:val="002A3F8E"/>
    <w:rsid w:val="002B6107"/>
    <w:rsid w:val="002B7CF1"/>
    <w:rsid w:val="002C4BEF"/>
    <w:rsid w:val="002C6ABD"/>
    <w:rsid w:val="002D2FB3"/>
    <w:rsid w:val="002D6D34"/>
    <w:rsid w:val="002E0F0D"/>
    <w:rsid w:val="002E422D"/>
    <w:rsid w:val="003002FB"/>
    <w:rsid w:val="00302463"/>
    <w:rsid w:val="00310960"/>
    <w:rsid w:val="00320BA7"/>
    <w:rsid w:val="003276C8"/>
    <w:rsid w:val="00346357"/>
    <w:rsid w:val="00354E48"/>
    <w:rsid w:val="0035563B"/>
    <w:rsid w:val="0036039B"/>
    <w:rsid w:val="00360DC4"/>
    <w:rsid w:val="0036740E"/>
    <w:rsid w:val="00370F87"/>
    <w:rsid w:val="0037537D"/>
    <w:rsid w:val="00395AD4"/>
    <w:rsid w:val="003A0EFD"/>
    <w:rsid w:val="003A1C7B"/>
    <w:rsid w:val="003A42FE"/>
    <w:rsid w:val="003B44FE"/>
    <w:rsid w:val="003D090B"/>
    <w:rsid w:val="003D5B35"/>
    <w:rsid w:val="003E4972"/>
    <w:rsid w:val="003E4CC7"/>
    <w:rsid w:val="003E7480"/>
    <w:rsid w:val="003F2390"/>
    <w:rsid w:val="003F4986"/>
    <w:rsid w:val="00401BB7"/>
    <w:rsid w:val="00405AB7"/>
    <w:rsid w:val="00411CBA"/>
    <w:rsid w:val="00416EEA"/>
    <w:rsid w:val="00417860"/>
    <w:rsid w:val="00420FE2"/>
    <w:rsid w:val="00426298"/>
    <w:rsid w:val="004270B3"/>
    <w:rsid w:val="00436902"/>
    <w:rsid w:val="00452477"/>
    <w:rsid w:val="0045442B"/>
    <w:rsid w:val="004549BB"/>
    <w:rsid w:val="00454EFE"/>
    <w:rsid w:val="00455176"/>
    <w:rsid w:val="004617DC"/>
    <w:rsid w:val="00461E2E"/>
    <w:rsid w:val="00462190"/>
    <w:rsid w:val="00465113"/>
    <w:rsid w:val="00474F2D"/>
    <w:rsid w:val="00474FCC"/>
    <w:rsid w:val="004757AF"/>
    <w:rsid w:val="00481BC0"/>
    <w:rsid w:val="004867B4"/>
    <w:rsid w:val="00494CF4"/>
    <w:rsid w:val="004B6104"/>
    <w:rsid w:val="004C21E5"/>
    <w:rsid w:val="004C2F3B"/>
    <w:rsid w:val="004D2F23"/>
    <w:rsid w:val="004D456C"/>
    <w:rsid w:val="0050129E"/>
    <w:rsid w:val="005035B6"/>
    <w:rsid w:val="00504D1D"/>
    <w:rsid w:val="00506A0F"/>
    <w:rsid w:val="00530EC8"/>
    <w:rsid w:val="00533DF7"/>
    <w:rsid w:val="00535A62"/>
    <w:rsid w:val="00537603"/>
    <w:rsid w:val="00551EED"/>
    <w:rsid w:val="00552BD5"/>
    <w:rsid w:val="0055301E"/>
    <w:rsid w:val="005549E4"/>
    <w:rsid w:val="00556AD2"/>
    <w:rsid w:val="005659B6"/>
    <w:rsid w:val="0057205E"/>
    <w:rsid w:val="005721B5"/>
    <w:rsid w:val="0057592F"/>
    <w:rsid w:val="00575F41"/>
    <w:rsid w:val="00577D26"/>
    <w:rsid w:val="005842F6"/>
    <w:rsid w:val="00592F76"/>
    <w:rsid w:val="0059376C"/>
    <w:rsid w:val="005944F4"/>
    <w:rsid w:val="00595638"/>
    <w:rsid w:val="005B0E69"/>
    <w:rsid w:val="005B5C4C"/>
    <w:rsid w:val="005D262B"/>
    <w:rsid w:val="005D5C0C"/>
    <w:rsid w:val="005F0AD3"/>
    <w:rsid w:val="005F257D"/>
    <w:rsid w:val="005F54C1"/>
    <w:rsid w:val="005F6B20"/>
    <w:rsid w:val="005F7D4E"/>
    <w:rsid w:val="00622365"/>
    <w:rsid w:val="00624DA0"/>
    <w:rsid w:val="00626045"/>
    <w:rsid w:val="006349FA"/>
    <w:rsid w:val="0063709B"/>
    <w:rsid w:val="0064240A"/>
    <w:rsid w:val="00645FE8"/>
    <w:rsid w:val="00646AA8"/>
    <w:rsid w:val="0065420F"/>
    <w:rsid w:val="006652F8"/>
    <w:rsid w:val="006678D4"/>
    <w:rsid w:val="0067253B"/>
    <w:rsid w:val="00673D90"/>
    <w:rsid w:val="006768E6"/>
    <w:rsid w:val="00677373"/>
    <w:rsid w:val="0069060A"/>
    <w:rsid w:val="00693AEC"/>
    <w:rsid w:val="006962D4"/>
    <w:rsid w:val="006A44E2"/>
    <w:rsid w:val="006B3B2A"/>
    <w:rsid w:val="006C0F75"/>
    <w:rsid w:val="006C380F"/>
    <w:rsid w:val="006C6A82"/>
    <w:rsid w:val="006D1C15"/>
    <w:rsid w:val="006D25A2"/>
    <w:rsid w:val="006E6C0F"/>
    <w:rsid w:val="006E70E7"/>
    <w:rsid w:val="006F17A6"/>
    <w:rsid w:val="006F3553"/>
    <w:rsid w:val="006F7367"/>
    <w:rsid w:val="007032E5"/>
    <w:rsid w:val="00705979"/>
    <w:rsid w:val="0071541A"/>
    <w:rsid w:val="00721EDD"/>
    <w:rsid w:val="00741CC5"/>
    <w:rsid w:val="00744DB0"/>
    <w:rsid w:val="007450F8"/>
    <w:rsid w:val="00755621"/>
    <w:rsid w:val="00770A66"/>
    <w:rsid w:val="00772A13"/>
    <w:rsid w:val="00774CC7"/>
    <w:rsid w:val="00783666"/>
    <w:rsid w:val="0079734D"/>
    <w:rsid w:val="00797B81"/>
    <w:rsid w:val="007C03C8"/>
    <w:rsid w:val="007C1A71"/>
    <w:rsid w:val="007C7C1A"/>
    <w:rsid w:val="007C7D50"/>
    <w:rsid w:val="007D0385"/>
    <w:rsid w:val="007D5041"/>
    <w:rsid w:val="007F0209"/>
    <w:rsid w:val="007F6250"/>
    <w:rsid w:val="00800F4F"/>
    <w:rsid w:val="00805917"/>
    <w:rsid w:val="00810DE8"/>
    <w:rsid w:val="00811984"/>
    <w:rsid w:val="008141AD"/>
    <w:rsid w:val="008158F7"/>
    <w:rsid w:val="00817937"/>
    <w:rsid w:val="008207E5"/>
    <w:rsid w:val="0082372F"/>
    <w:rsid w:val="0082394E"/>
    <w:rsid w:val="0082767D"/>
    <w:rsid w:val="00830206"/>
    <w:rsid w:val="00837D5D"/>
    <w:rsid w:val="008417E4"/>
    <w:rsid w:val="00862D65"/>
    <w:rsid w:val="00871066"/>
    <w:rsid w:val="00871C97"/>
    <w:rsid w:val="00873DA3"/>
    <w:rsid w:val="0087470E"/>
    <w:rsid w:val="00884B06"/>
    <w:rsid w:val="00887091"/>
    <w:rsid w:val="008A1E72"/>
    <w:rsid w:val="008B2467"/>
    <w:rsid w:val="008B386A"/>
    <w:rsid w:val="008B4902"/>
    <w:rsid w:val="008B61BC"/>
    <w:rsid w:val="008C4320"/>
    <w:rsid w:val="008C747E"/>
    <w:rsid w:val="008C75B5"/>
    <w:rsid w:val="008C7BA7"/>
    <w:rsid w:val="008D3E78"/>
    <w:rsid w:val="008D7E46"/>
    <w:rsid w:val="008E42A8"/>
    <w:rsid w:val="008F083F"/>
    <w:rsid w:val="008F451E"/>
    <w:rsid w:val="008F541F"/>
    <w:rsid w:val="009006F3"/>
    <w:rsid w:val="00904D33"/>
    <w:rsid w:val="00906CE1"/>
    <w:rsid w:val="00911ED7"/>
    <w:rsid w:val="0091527E"/>
    <w:rsid w:val="00920B63"/>
    <w:rsid w:val="00927B8F"/>
    <w:rsid w:val="00930103"/>
    <w:rsid w:val="00933C43"/>
    <w:rsid w:val="009345BE"/>
    <w:rsid w:val="00943A0C"/>
    <w:rsid w:val="00954CBC"/>
    <w:rsid w:val="009647D5"/>
    <w:rsid w:val="00965DDA"/>
    <w:rsid w:val="00973001"/>
    <w:rsid w:val="00975FE5"/>
    <w:rsid w:val="00980DD8"/>
    <w:rsid w:val="0098271F"/>
    <w:rsid w:val="00984B52"/>
    <w:rsid w:val="00986A37"/>
    <w:rsid w:val="00990BDC"/>
    <w:rsid w:val="0099230C"/>
    <w:rsid w:val="00997DBC"/>
    <w:rsid w:val="009A0894"/>
    <w:rsid w:val="009A3C21"/>
    <w:rsid w:val="009A756A"/>
    <w:rsid w:val="009B5076"/>
    <w:rsid w:val="009C24B0"/>
    <w:rsid w:val="009C2AFA"/>
    <w:rsid w:val="009C672F"/>
    <w:rsid w:val="009D06AC"/>
    <w:rsid w:val="009D2D3F"/>
    <w:rsid w:val="009D36D6"/>
    <w:rsid w:val="009D54B8"/>
    <w:rsid w:val="009D6067"/>
    <w:rsid w:val="009D6F03"/>
    <w:rsid w:val="009E0744"/>
    <w:rsid w:val="009E0F5D"/>
    <w:rsid w:val="009E284B"/>
    <w:rsid w:val="009E412C"/>
    <w:rsid w:val="009F0CAB"/>
    <w:rsid w:val="009F2761"/>
    <w:rsid w:val="00A03467"/>
    <w:rsid w:val="00A10E5A"/>
    <w:rsid w:val="00A31474"/>
    <w:rsid w:val="00A32015"/>
    <w:rsid w:val="00A523F4"/>
    <w:rsid w:val="00A64B88"/>
    <w:rsid w:val="00A67DEA"/>
    <w:rsid w:val="00A70080"/>
    <w:rsid w:val="00A7200F"/>
    <w:rsid w:val="00A7439D"/>
    <w:rsid w:val="00A7610A"/>
    <w:rsid w:val="00A8084B"/>
    <w:rsid w:val="00A80AA4"/>
    <w:rsid w:val="00A83D1B"/>
    <w:rsid w:val="00A83E17"/>
    <w:rsid w:val="00A85B13"/>
    <w:rsid w:val="00A8797F"/>
    <w:rsid w:val="00A9001C"/>
    <w:rsid w:val="00A9101B"/>
    <w:rsid w:val="00A929C7"/>
    <w:rsid w:val="00AA7DC7"/>
    <w:rsid w:val="00AA7E2B"/>
    <w:rsid w:val="00AB0E91"/>
    <w:rsid w:val="00AB5BA6"/>
    <w:rsid w:val="00AC7B44"/>
    <w:rsid w:val="00AD3E85"/>
    <w:rsid w:val="00AD424F"/>
    <w:rsid w:val="00AF2745"/>
    <w:rsid w:val="00B01022"/>
    <w:rsid w:val="00B065E1"/>
    <w:rsid w:val="00B06C68"/>
    <w:rsid w:val="00B112CD"/>
    <w:rsid w:val="00B1201E"/>
    <w:rsid w:val="00B17E6F"/>
    <w:rsid w:val="00B21834"/>
    <w:rsid w:val="00B3341F"/>
    <w:rsid w:val="00B33EB4"/>
    <w:rsid w:val="00B44DBA"/>
    <w:rsid w:val="00B544B5"/>
    <w:rsid w:val="00B64347"/>
    <w:rsid w:val="00B704C6"/>
    <w:rsid w:val="00B709F5"/>
    <w:rsid w:val="00B814CB"/>
    <w:rsid w:val="00B86C5E"/>
    <w:rsid w:val="00B92F6C"/>
    <w:rsid w:val="00B947A0"/>
    <w:rsid w:val="00B95835"/>
    <w:rsid w:val="00B97112"/>
    <w:rsid w:val="00BA2893"/>
    <w:rsid w:val="00BA52E3"/>
    <w:rsid w:val="00BA5C2A"/>
    <w:rsid w:val="00BB016F"/>
    <w:rsid w:val="00BB61B4"/>
    <w:rsid w:val="00BC182C"/>
    <w:rsid w:val="00BC4619"/>
    <w:rsid w:val="00BE1A05"/>
    <w:rsid w:val="00BE4218"/>
    <w:rsid w:val="00C11176"/>
    <w:rsid w:val="00C124E0"/>
    <w:rsid w:val="00C17A3C"/>
    <w:rsid w:val="00C26D78"/>
    <w:rsid w:val="00C34CAA"/>
    <w:rsid w:val="00C37BBF"/>
    <w:rsid w:val="00C45252"/>
    <w:rsid w:val="00C50BB4"/>
    <w:rsid w:val="00C5428A"/>
    <w:rsid w:val="00C624DD"/>
    <w:rsid w:val="00C62AE6"/>
    <w:rsid w:val="00C66BD4"/>
    <w:rsid w:val="00C7132A"/>
    <w:rsid w:val="00C81F84"/>
    <w:rsid w:val="00C83EBB"/>
    <w:rsid w:val="00C931F5"/>
    <w:rsid w:val="00C93EAC"/>
    <w:rsid w:val="00C95FAB"/>
    <w:rsid w:val="00CA3D17"/>
    <w:rsid w:val="00CA50EF"/>
    <w:rsid w:val="00CB3075"/>
    <w:rsid w:val="00CB450D"/>
    <w:rsid w:val="00CC0839"/>
    <w:rsid w:val="00CD4E60"/>
    <w:rsid w:val="00CE55FC"/>
    <w:rsid w:val="00CE6AD7"/>
    <w:rsid w:val="00CF035F"/>
    <w:rsid w:val="00CF5124"/>
    <w:rsid w:val="00CF6759"/>
    <w:rsid w:val="00D01172"/>
    <w:rsid w:val="00D03C51"/>
    <w:rsid w:val="00D05C6F"/>
    <w:rsid w:val="00D101CF"/>
    <w:rsid w:val="00D138E9"/>
    <w:rsid w:val="00D177D6"/>
    <w:rsid w:val="00D21585"/>
    <w:rsid w:val="00D26600"/>
    <w:rsid w:val="00D32133"/>
    <w:rsid w:val="00D47C58"/>
    <w:rsid w:val="00D54C8D"/>
    <w:rsid w:val="00D55F5F"/>
    <w:rsid w:val="00D571FE"/>
    <w:rsid w:val="00D64ECC"/>
    <w:rsid w:val="00D7494C"/>
    <w:rsid w:val="00D76264"/>
    <w:rsid w:val="00D77D01"/>
    <w:rsid w:val="00D77E17"/>
    <w:rsid w:val="00D81366"/>
    <w:rsid w:val="00D839C2"/>
    <w:rsid w:val="00D85FE3"/>
    <w:rsid w:val="00D87899"/>
    <w:rsid w:val="00D904AB"/>
    <w:rsid w:val="00DB068D"/>
    <w:rsid w:val="00DB250D"/>
    <w:rsid w:val="00DB2566"/>
    <w:rsid w:val="00DB312A"/>
    <w:rsid w:val="00DB3540"/>
    <w:rsid w:val="00DB5BFB"/>
    <w:rsid w:val="00DC2AB1"/>
    <w:rsid w:val="00DC6C2C"/>
    <w:rsid w:val="00DD7B78"/>
    <w:rsid w:val="00DF794D"/>
    <w:rsid w:val="00E06DE6"/>
    <w:rsid w:val="00E15294"/>
    <w:rsid w:val="00E15510"/>
    <w:rsid w:val="00E1622F"/>
    <w:rsid w:val="00E2046D"/>
    <w:rsid w:val="00E328A8"/>
    <w:rsid w:val="00E32C8B"/>
    <w:rsid w:val="00E46175"/>
    <w:rsid w:val="00E467C9"/>
    <w:rsid w:val="00E61EFD"/>
    <w:rsid w:val="00E6391E"/>
    <w:rsid w:val="00E6691A"/>
    <w:rsid w:val="00E76DF7"/>
    <w:rsid w:val="00E82271"/>
    <w:rsid w:val="00E8336A"/>
    <w:rsid w:val="00E8408D"/>
    <w:rsid w:val="00E84B7E"/>
    <w:rsid w:val="00E91D02"/>
    <w:rsid w:val="00E925FF"/>
    <w:rsid w:val="00E95278"/>
    <w:rsid w:val="00EA0657"/>
    <w:rsid w:val="00EA3335"/>
    <w:rsid w:val="00EA4E38"/>
    <w:rsid w:val="00EA533A"/>
    <w:rsid w:val="00EB1856"/>
    <w:rsid w:val="00EC32E0"/>
    <w:rsid w:val="00EC3307"/>
    <w:rsid w:val="00EC47B4"/>
    <w:rsid w:val="00ED1BBE"/>
    <w:rsid w:val="00ED2978"/>
    <w:rsid w:val="00EE35D1"/>
    <w:rsid w:val="00EE58E5"/>
    <w:rsid w:val="00EE6C48"/>
    <w:rsid w:val="00EE7EC1"/>
    <w:rsid w:val="00EF0234"/>
    <w:rsid w:val="00EF1B28"/>
    <w:rsid w:val="00EF574C"/>
    <w:rsid w:val="00EF77F9"/>
    <w:rsid w:val="00F008BE"/>
    <w:rsid w:val="00F01346"/>
    <w:rsid w:val="00F03028"/>
    <w:rsid w:val="00F03F4D"/>
    <w:rsid w:val="00F04813"/>
    <w:rsid w:val="00F15BFE"/>
    <w:rsid w:val="00F17B7C"/>
    <w:rsid w:val="00F2044C"/>
    <w:rsid w:val="00F35081"/>
    <w:rsid w:val="00F36A0C"/>
    <w:rsid w:val="00F45398"/>
    <w:rsid w:val="00F4659B"/>
    <w:rsid w:val="00F46A32"/>
    <w:rsid w:val="00F47D1D"/>
    <w:rsid w:val="00F60E33"/>
    <w:rsid w:val="00F7331F"/>
    <w:rsid w:val="00F825C6"/>
    <w:rsid w:val="00F868C5"/>
    <w:rsid w:val="00F94609"/>
    <w:rsid w:val="00F97A5C"/>
    <w:rsid w:val="00FA35F2"/>
    <w:rsid w:val="00FC04EB"/>
    <w:rsid w:val="00FC7E28"/>
    <w:rsid w:val="00FD4C4A"/>
    <w:rsid w:val="00FF156A"/>
    <w:rsid w:val="00FF456E"/>
    <w:rsid w:val="01007DDD"/>
    <w:rsid w:val="01030C8E"/>
    <w:rsid w:val="01270476"/>
    <w:rsid w:val="012B1344"/>
    <w:rsid w:val="01314102"/>
    <w:rsid w:val="013F09EA"/>
    <w:rsid w:val="01774AE8"/>
    <w:rsid w:val="019829C0"/>
    <w:rsid w:val="019B2CEC"/>
    <w:rsid w:val="019B4639"/>
    <w:rsid w:val="01B73473"/>
    <w:rsid w:val="01C563DB"/>
    <w:rsid w:val="01C66E2A"/>
    <w:rsid w:val="01D601F0"/>
    <w:rsid w:val="01E301CE"/>
    <w:rsid w:val="01E32B3E"/>
    <w:rsid w:val="01E675E3"/>
    <w:rsid w:val="01F4640D"/>
    <w:rsid w:val="01FA5761"/>
    <w:rsid w:val="01FA7F49"/>
    <w:rsid w:val="01FF302F"/>
    <w:rsid w:val="02030AA2"/>
    <w:rsid w:val="021D060E"/>
    <w:rsid w:val="023D429D"/>
    <w:rsid w:val="02595F89"/>
    <w:rsid w:val="025D0EC0"/>
    <w:rsid w:val="02714395"/>
    <w:rsid w:val="02780509"/>
    <w:rsid w:val="029621C5"/>
    <w:rsid w:val="02B21449"/>
    <w:rsid w:val="02B926F6"/>
    <w:rsid w:val="02BB616A"/>
    <w:rsid w:val="02BC7184"/>
    <w:rsid w:val="02D43269"/>
    <w:rsid w:val="02D54953"/>
    <w:rsid w:val="02DB30EA"/>
    <w:rsid w:val="02EC01FE"/>
    <w:rsid w:val="02F22254"/>
    <w:rsid w:val="031A2A3D"/>
    <w:rsid w:val="033C706D"/>
    <w:rsid w:val="035C4A82"/>
    <w:rsid w:val="03634626"/>
    <w:rsid w:val="03702177"/>
    <w:rsid w:val="03AA77FC"/>
    <w:rsid w:val="03AD0DCD"/>
    <w:rsid w:val="03AF72F5"/>
    <w:rsid w:val="03CF3B32"/>
    <w:rsid w:val="03CF75C5"/>
    <w:rsid w:val="03DB52BA"/>
    <w:rsid w:val="03DD5992"/>
    <w:rsid w:val="03EE6D15"/>
    <w:rsid w:val="04193C09"/>
    <w:rsid w:val="04204FAC"/>
    <w:rsid w:val="042D7F58"/>
    <w:rsid w:val="04614377"/>
    <w:rsid w:val="0499138C"/>
    <w:rsid w:val="04C1464D"/>
    <w:rsid w:val="04CD6E25"/>
    <w:rsid w:val="04D708DB"/>
    <w:rsid w:val="04DD308D"/>
    <w:rsid w:val="04E77F97"/>
    <w:rsid w:val="04FF7043"/>
    <w:rsid w:val="0526296A"/>
    <w:rsid w:val="054B5371"/>
    <w:rsid w:val="055E326C"/>
    <w:rsid w:val="057701EF"/>
    <w:rsid w:val="057B3518"/>
    <w:rsid w:val="058604B3"/>
    <w:rsid w:val="058645FB"/>
    <w:rsid w:val="058822B9"/>
    <w:rsid w:val="05A567C8"/>
    <w:rsid w:val="05C038B1"/>
    <w:rsid w:val="05C208EA"/>
    <w:rsid w:val="05C84B5B"/>
    <w:rsid w:val="05D44B5F"/>
    <w:rsid w:val="05D62C67"/>
    <w:rsid w:val="05DF4DB7"/>
    <w:rsid w:val="05E321E5"/>
    <w:rsid w:val="05E82689"/>
    <w:rsid w:val="05F06B24"/>
    <w:rsid w:val="05F11CB7"/>
    <w:rsid w:val="05FB775C"/>
    <w:rsid w:val="06131743"/>
    <w:rsid w:val="061340E1"/>
    <w:rsid w:val="0621592C"/>
    <w:rsid w:val="06224324"/>
    <w:rsid w:val="06224394"/>
    <w:rsid w:val="06247378"/>
    <w:rsid w:val="062F7BB3"/>
    <w:rsid w:val="06677BB5"/>
    <w:rsid w:val="066816A8"/>
    <w:rsid w:val="06691689"/>
    <w:rsid w:val="066A5DDD"/>
    <w:rsid w:val="066E3E30"/>
    <w:rsid w:val="067A5F0E"/>
    <w:rsid w:val="068F2883"/>
    <w:rsid w:val="06AD379A"/>
    <w:rsid w:val="06AD62E4"/>
    <w:rsid w:val="06B55198"/>
    <w:rsid w:val="06BA5DC2"/>
    <w:rsid w:val="06BC3E7A"/>
    <w:rsid w:val="06BF1C77"/>
    <w:rsid w:val="06D136F2"/>
    <w:rsid w:val="06DE13D5"/>
    <w:rsid w:val="06E94B33"/>
    <w:rsid w:val="06F63BCE"/>
    <w:rsid w:val="07166AAC"/>
    <w:rsid w:val="0717032D"/>
    <w:rsid w:val="07276DB4"/>
    <w:rsid w:val="07335658"/>
    <w:rsid w:val="07367D3A"/>
    <w:rsid w:val="073C0E29"/>
    <w:rsid w:val="07503EA4"/>
    <w:rsid w:val="075974A8"/>
    <w:rsid w:val="07672E8A"/>
    <w:rsid w:val="077975A9"/>
    <w:rsid w:val="079F5A47"/>
    <w:rsid w:val="07A0224B"/>
    <w:rsid w:val="07A5586B"/>
    <w:rsid w:val="07A711DD"/>
    <w:rsid w:val="07BD6209"/>
    <w:rsid w:val="07C75411"/>
    <w:rsid w:val="07C97B41"/>
    <w:rsid w:val="07E93468"/>
    <w:rsid w:val="081447CD"/>
    <w:rsid w:val="08224BD9"/>
    <w:rsid w:val="082C30D0"/>
    <w:rsid w:val="08423156"/>
    <w:rsid w:val="08536EA6"/>
    <w:rsid w:val="085426DF"/>
    <w:rsid w:val="086B7B8B"/>
    <w:rsid w:val="08752496"/>
    <w:rsid w:val="087E3DE3"/>
    <w:rsid w:val="089F0874"/>
    <w:rsid w:val="08D52BA5"/>
    <w:rsid w:val="08D8751D"/>
    <w:rsid w:val="08DC07D1"/>
    <w:rsid w:val="08EE3084"/>
    <w:rsid w:val="08F26B0A"/>
    <w:rsid w:val="08F64E77"/>
    <w:rsid w:val="090E20D9"/>
    <w:rsid w:val="09122845"/>
    <w:rsid w:val="09136330"/>
    <w:rsid w:val="0930627A"/>
    <w:rsid w:val="09376339"/>
    <w:rsid w:val="095B4EB8"/>
    <w:rsid w:val="09662933"/>
    <w:rsid w:val="097F5726"/>
    <w:rsid w:val="09992A8B"/>
    <w:rsid w:val="09B17237"/>
    <w:rsid w:val="09BD15CB"/>
    <w:rsid w:val="09C11168"/>
    <w:rsid w:val="09C4185D"/>
    <w:rsid w:val="09DE17B7"/>
    <w:rsid w:val="09E65CA1"/>
    <w:rsid w:val="09FA5480"/>
    <w:rsid w:val="09FD005E"/>
    <w:rsid w:val="09FE2CB8"/>
    <w:rsid w:val="0A0534E5"/>
    <w:rsid w:val="0A12159A"/>
    <w:rsid w:val="0A122F1E"/>
    <w:rsid w:val="0A1B6F9B"/>
    <w:rsid w:val="0A206F95"/>
    <w:rsid w:val="0A262139"/>
    <w:rsid w:val="0A2847C9"/>
    <w:rsid w:val="0A2C5AD9"/>
    <w:rsid w:val="0A326B00"/>
    <w:rsid w:val="0A3B126D"/>
    <w:rsid w:val="0A4A2216"/>
    <w:rsid w:val="0A6F4119"/>
    <w:rsid w:val="0A736CFA"/>
    <w:rsid w:val="0A9247BB"/>
    <w:rsid w:val="0A9A2E2C"/>
    <w:rsid w:val="0AD910A6"/>
    <w:rsid w:val="0ADB10BF"/>
    <w:rsid w:val="0ADB537A"/>
    <w:rsid w:val="0AE20526"/>
    <w:rsid w:val="0B085E57"/>
    <w:rsid w:val="0B0C7034"/>
    <w:rsid w:val="0B11603C"/>
    <w:rsid w:val="0B124EF3"/>
    <w:rsid w:val="0B22015B"/>
    <w:rsid w:val="0B2226D0"/>
    <w:rsid w:val="0B290095"/>
    <w:rsid w:val="0B2B6ED7"/>
    <w:rsid w:val="0B37734E"/>
    <w:rsid w:val="0B52158F"/>
    <w:rsid w:val="0B5866D7"/>
    <w:rsid w:val="0B5F3278"/>
    <w:rsid w:val="0B6268CC"/>
    <w:rsid w:val="0B6716B7"/>
    <w:rsid w:val="0B696925"/>
    <w:rsid w:val="0B6B051B"/>
    <w:rsid w:val="0B803CF6"/>
    <w:rsid w:val="0B8E65A6"/>
    <w:rsid w:val="0B8F0AB9"/>
    <w:rsid w:val="0BA76130"/>
    <w:rsid w:val="0BBC333A"/>
    <w:rsid w:val="0BBD7473"/>
    <w:rsid w:val="0BC049E1"/>
    <w:rsid w:val="0BC57921"/>
    <w:rsid w:val="0BD60666"/>
    <w:rsid w:val="0BDE6F3F"/>
    <w:rsid w:val="0BF24921"/>
    <w:rsid w:val="0BFA10CA"/>
    <w:rsid w:val="0C02470B"/>
    <w:rsid w:val="0C0D2345"/>
    <w:rsid w:val="0C1666D9"/>
    <w:rsid w:val="0C367768"/>
    <w:rsid w:val="0C3B2956"/>
    <w:rsid w:val="0C3E0708"/>
    <w:rsid w:val="0C4436B2"/>
    <w:rsid w:val="0C4B064B"/>
    <w:rsid w:val="0C516487"/>
    <w:rsid w:val="0C581001"/>
    <w:rsid w:val="0C5E17B9"/>
    <w:rsid w:val="0C8C621C"/>
    <w:rsid w:val="0C8F7C68"/>
    <w:rsid w:val="0CA25C4A"/>
    <w:rsid w:val="0CB03C5C"/>
    <w:rsid w:val="0CB6378F"/>
    <w:rsid w:val="0CC01F78"/>
    <w:rsid w:val="0CC063F2"/>
    <w:rsid w:val="0CE81E80"/>
    <w:rsid w:val="0CEA4BC3"/>
    <w:rsid w:val="0D131E4E"/>
    <w:rsid w:val="0D240717"/>
    <w:rsid w:val="0D266795"/>
    <w:rsid w:val="0D2F4BD7"/>
    <w:rsid w:val="0D436832"/>
    <w:rsid w:val="0D444B80"/>
    <w:rsid w:val="0D6D59C4"/>
    <w:rsid w:val="0D995783"/>
    <w:rsid w:val="0DBE4F48"/>
    <w:rsid w:val="0DC11C57"/>
    <w:rsid w:val="0DC22EE9"/>
    <w:rsid w:val="0DE05473"/>
    <w:rsid w:val="0DE76280"/>
    <w:rsid w:val="0DE84BE3"/>
    <w:rsid w:val="0DF74AFB"/>
    <w:rsid w:val="0E0E5576"/>
    <w:rsid w:val="0E201E05"/>
    <w:rsid w:val="0E4F438D"/>
    <w:rsid w:val="0E521A7D"/>
    <w:rsid w:val="0E556E4A"/>
    <w:rsid w:val="0E566FFD"/>
    <w:rsid w:val="0E64407F"/>
    <w:rsid w:val="0E681B47"/>
    <w:rsid w:val="0E6D08D0"/>
    <w:rsid w:val="0E793AA3"/>
    <w:rsid w:val="0E8562BC"/>
    <w:rsid w:val="0E9C0B85"/>
    <w:rsid w:val="0EA45DEF"/>
    <w:rsid w:val="0EB05913"/>
    <w:rsid w:val="0EB339E7"/>
    <w:rsid w:val="0EE1711E"/>
    <w:rsid w:val="0EED28E7"/>
    <w:rsid w:val="0EF14009"/>
    <w:rsid w:val="0F027FFF"/>
    <w:rsid w:val="0F0835C7"/>
    <w:rsid w:val="0F0C33E0"/>
    <w:rsid w:val="0F2D74C0"/>
    <w:rsid w:val="0F361ADD"/>
    <w:rsid w:val="0F572663"/>
    <w:rsid w:val="0F5A76D6"/>
    <w:rsid w:val="0F6B35CB"/>
    <w:rsid w:val="0F6C14FB"/>
    <w:rsid w:val="0F761235"/>
    <w:rsid w:val="0F884113"/>
    <w:rsid w:val="0F901DD4"/>
    <w:rsid w:val="0FA54E34"/>
    <w:rsid w:val="0FBD133E"/>
    <w:rsid w:val="0FC67C66"/>
    <w:rsid w:val="0FD925F4"/>
    <w:rsid w:val="0FDC56D1"/>
    <w:rsid w:val="0FF60CFB"/>
    <w:rsid w:val="1000492C"/>
    <w:rsid w:val="100131FC"/>
    <w:rsid w:val="10405EEE"/>
    <w:rsid w:val="10473DEF"/>
    <w:rsid w:val="105B0939"/>
    <w:rsid w:val="10896596"/>
    <w:rsid w:val="10A5403F"/>
    <w:rsid w:val="10C37237"/>
    <w:rsid w:val="10C37C77"/>
    <w:rsid w:val="10CE3264"/>
    <w:rsid w:val="10E260AD"/>
    <w:rsid w:val="10F85716"/>
    <w:rsid w:val="11026897"/>
    <w:rsid w:val="11171912"/>
    <w:rsid w:val="11380EA0"/>
    <w:rsid w:val="113E0BD2"/>
    <w:rsid w:val="11580064"/>
    <w:rsid w:val="11603705"/>
    <w:rsid w:val="116120C9"/>
    <w:rsid w:val="11631926"/>
    <w:rsid w:val="1169006E"/>
    <w:rsid w:val="117532E4"/>
    <w:rsid w:val="11777364"/>
    <w:rsid w:val="11786FBB"/>
    <w:rsid w:val="118F63C2"/>
    <w:rsid w:val="119D7CF9"/>
    <w:rsid w:val="11D94860"/>
    <w:rsid w:val="11EB7294"/>
    <w:rsid w:val="11EE5A02"/>
    <w:rsid w:val="11FC1EE2"/>
    <w:rsid w:val="1206509A"/>
    <w:rsid w:val="12106B41"/>
    <w:rsid w:val="121119EF"/>
    <w:rsid w:val="12181500"/>
    <w:rsid w:val="121A6914"/>
    <w:rsid w:val="125D2B9A"/>
    <w:rsid w:val="125E66E4"/>
    <w:rsid w:val="1277284F"/>
    <w:rsid w:val="12865682"/>
    <w:rsid w:val="128B7D0F"/>
    <w:rsid w:val="12B207DE"/>
    <w:rsid w:val="12D148EA"/>
    <w:rsid w:val="12DE7CCD"/>
    <w:rsid w:val="12EB1797"/>
    <w:rsid w:val="12FA6C95"/>
    <w:rsid w:val="12FD39DE"/>
    <w:rsid w:val="130B2DE4"/>
    <w:rsid w:val="13412F98"/>
    <w:rsid w:val="13442264"/>
    <w:rsid w:val="13471F13"/>
    <w:rsid w:val="137071DC"/>
    <w:rsid w:val="138A0949"/>
    <w:rsid w:val="1393060F"/>
    <w:rsid w:val="139C3067"/>
    <w:rsid w:val="139F6118"/>
    <w:rsid w:val="13A172B8"/>
    <w:rsid w:val="13B766AC"/>
    <w:rsid w:val="13CC54E1"/>
    <w:rsid w:val="13E57156"/>
    <w:rsid w:val="13EF143F"/>
    <w:rsid w:val="14277827"/>
    <w:rsid w:val="142F742F"/>
    <w:rsid w:val="143F5F85"/>
    <w:rsid w:val="14512D1A"/>
    <w:rsid w:val="14524CA8"/>
    <w:rsid w:val="147C72F5"/>
    <w:rsid w:val="1486522A"/>
    <w:rsid w:val="148E2033"/>
    <w:rsid w:val="14D7671F"/>
    <w:rsid w:val="14E00FF1"/>
    <w:rsid w:val="14E03757"/>
    <w:rsid w:val="14F9122E"/>
    <w:rsid w:val="151717F3"/>
    <w:rsid w:val="1522499B"/>
    <w:rsid w:val="15315C7D"/>
    <w:rsid w:val="15356D54"/>
    <w:rsid w:val="153621E9"/>
    <w:rsid w:val="15B75325"/>
    <w:rsid w:val="15C4552F"/>
    <w:rsid w:val="15C74F90"/>
    <w:rsid w:val="15F10830"/>
    <w:rsid w:val="160E709B"/>
    <w:rsid w:val="162C6F31"/>
    <w:rsid w:val="165272D3"/>
    <w:rsid w:val="165C7DD5"/>
    <w:rsid w:val="165E3157"/>
    <w:rsid w:val="16682547"/>
    <w:rsid w:val="166C3C38"/>
    <w:rsid w:val="168E73DC"/>
    <w:rsid w:val="16924EAD"/>
    <w:rsid w:val="169538E0"/>
    <w:rsid w:val="169A7B4B"/>
    <w:rsid w:val="16A25CCD"/>
    <w:rsid w:val="16BE334F"/>
    <w:rsid w:val="16BE474A"/>
    <w:rsid w:val="16E9266E"/>
    <w:rsid w:val="171D15EF"/>
    <w:rsid w:val="1722505A"/>
    <w:rsid w:val="17285513"/>
    <w:rsid w:val="173A018D"/>
    <w:rsid w:val="174C1FD6"/>
    <w:rsid w:val="17642905"/>
    <w:rsid w:val="17691B38"/>
    <w:rsid w:val="178329B9"/>
    <w:rsid w:val="17873DC8"/>
    <w:rsid w:val="17912ADE"/>
    <w:rsid w:val="179911F9"/>
    <w:rsid w:val="17A24CE3"/>
    <w:rsid w:val="17B01FFA"/>
    <w:rsid w:val="17B213CF"/>
    <w:rsid w:val="17B9260F"/>
    <w:rsid w:val="17C05D3D"/>
    <w:rsid w:val="17C858D8"/>
    <w:rsid w:val="17E041B0"/>
    <w:rsid w:val="17E718EE"/>
    <w:rsid w:val="17FA0A68"/>
    <w:rsid w:val="180E11EF"/>
    <w:rsid w:val="18196E0B"/>
    <w:rsid w:val="181E17BE"/>
    <w:rsid w:val="183535FF"/>
    <w:rsid w:val="183D0B4A"/>
    <w:rsid w:val="18490B2F"/>
    <w:rsid w:val="18493C8B"/>
    <w:rsid w:val="18704DAF"/>
    <w:rsid w:val="18743ADD"/>
    <w:rsid w:val="187B6989"/>
    <w:rsid w:val="189A7A13"/>
    <w:rsid w:val="189F5331"/>
    <w:rsid w:val="18C65656"/>
    <w:rsid w:val="18C92B5D"/>
    <w:rsid w:val="18CB5CDB"/>
    <w:rsid w:val="18FE063A"/>
    <w:rsid w:val="1906506F"/>
    <w:rsid w:val="19093734"/>
    <w:rsid w:val="191A7DA9"/>
    <w:rsid w:val="192029D8"/>
    <w:rsid w:val="19475493"/>
    <w:rsid w:val="194C083E"/>
    <w:rsid w:val="194E4817"/>
    <w:rsid w:val="19547075"/>
    <w:rsid w:val="1968300C"/>
    <w:rsid w:val="19690D81"/>
    <w:rsid w:val="196B500E"/>
    <w:rsid w:val="1994222D"/>
    <w:rsid w:val="199D2209"/>
    <w:rsid w:val="19BB189B"/>
    <w:rsid w:val="19D21766"/>
    <w:rsid w:val="19D55AAB"/>
    <w:rsid w:val="19E63672"/>
    <w:rsid w:val="19E81CAD"/>
    <w:rsid w:val="19F0777A"/>
    <w:rsid w:val="19F618F8"/>
    <w:rsid w:val="19FA3CD5"/>
    <w:rsid w:val="1A070776"/>
    <w:rsid w:val="1A0C7CFE"/>
    <w:rsid w:val="1A1373BC"/>
    <w:rsid w:val="1A1826F3"/>
    <w:rsid w:val="1A2941FB"/>
    <w:rsid w:val="1A2F3862"/>
    <w:rsid w:val="1A330A40"/>
    <w:rsid w:val="1A4C1518"/>
    <w:rsid w:val="1A4C776A"/>
    <w:rsid w:val="1A613215"/>
    <w:rsid w:val="1A6C4DF6"/>
    <w:rsid w:val="1A7902E9"/>
    <w:rsid w:val="1A847299"/>
    <w:rsid w:val="1AA15E5A"/>
    <w:rsid w:val="1AB04A9E"/>
    <w:rsid w:val="1AC955D6"/>
    <w:rsid w:val="1ADC4EFF"/>
    <w:rsid w:val="1AE23C8F"/>
    <w:rsid w:val="1AEF139D"/>
    <w:rsid w:val="1AF81DBF"/>
    <w:rsid w:val="1AF87D54"/>
    <w:rsid w:val="1B016A8D"/>
    <w:rsid w:val="1B060745"/>
    <w:rsid w:val="1B20070F"/>
    <w:rsid w:val="1B304531"/>
    <w:rsid w:val="1B3B0A96"/>
    <w:rsid w:val="1B3D4834"/>
    <w:rsid w:val="1B434400"/>
    <w:rsid w:val="1B4E32F0"/>
    <w:rsid w:val="1B6B419A"/>
    <w:rsid w:val="1B7B528D"/>
    <w:rsid w:val="1BA005EC"/>
    <w:rsid w:val="1BBA10D3"/>
    <w:rsid w:val="1BBE036A"/>
    <w:rsid w:val="1BBE6BA7"/>
    <w:rsid w:val="1BC7045C"/>
    <w:rsid w:val="1BC86DFC"/>
    <w:rsid w:val="1BE228F6"/>
    <w:rsid w:val="1BF33C17"/>
    <w:rsid w:val="1C054B5A"/>
    <w:rsid w:val="1C190D68"/>
    <w:rsid w:val="1C3400D3"/>
    <w:rsid w:val="1C4D1801"/>
    <w:rsid w:val="1C5A0E91"/>
    <w:rsid w:val="1C8B4EF3"/>
    <w:rsid w:val="1C926460"/>
    <w:rsid w:val="1C9444C1"/>
    <w:rsid w:val="1CC30B2C"/>
    <w:rsid w:val="1CCC2244"/>
    <w:rsid w:val="1CD37616"/>
    <w:rsid w:val="1CE11E57"/>
    <w:rsid w:val="1CE44CE0"/>
    <w:rsid w:val="1CED0A6E"/>
    <w:rsid w:val="1CFA6E48"/>
    <w:rsid w:val="1D202AAB"/>
    <w:rsid w:val="1D2A6D72"/>
    <w:rsid w:val="1D3C41D4"/>
    <w:rsid w:val="1D3D4B56"/>
    <w:rsid w:val="1D63203A"/>
    <w:rsid w:val="1D7A1361"/>
    <w:rsid w:val="1D833251"/>
    <w:rsid w:val="1D9536EE"/>
    <w:rsid w:val="1DB550C0"/>
    <w:rsid w:val="1DBD3D02"/>
    <w:rsid w:val="1DC85359"/>
    <w:rsid w:val="1DE04734"/>
    <w:rsid w:val="1DF17EBE"/>
    <w:rsid w:val="1DF418D0"/>
    <w:rsid w:val="1DF90B39"/>
    <w:rsid w:val="1DF95726"/>
    <w:rsid w:val="1DFB2CCC"/>
    <w:rsid w:val="1E025C66"/>
    <w:rsid w:val="1E14327E"/>
    <w:rsid w:val="1E3B7F6F"/>
    <w:rsid w:val="1E4802BC"/>
    <w:rsid w:val="1E497B2C"/>
    <w:rsid w:val="1E600873"/>
    <w:rsid w:val="1E681225"/>
    <w:rsid w:val="1E913C51"/>
    <w:rsid w:val="1E9D6FF8"/>
    <w:rsid w:val="1E9E79E3"/>
    <w:rsid w:val="1EB73055"/>
    <w:rsid w:val="1ED1222A"/>
    <w:rsid w:val="1EE233FC"/>
    <w:rsid w:val="1EFC6F66"/>
    <w:rsid w:val="1F0A56A3"/>
    <w:rsid w:val="1F15288F"/>
    <w:rsid w:val="1F474756"/>
    <w:rsid w:val="1F9B6067"/>
    <w:rsid w:val="1FA851BA"/>
    <w:rsid w:val="1FB41718"/>
    <w:rsid w:val="1FD12FFD"/>
    <w:rsid w:val="1FD935CD"/>
    <w:rsid w:val="1FE071C8"/>
    <w:rsid w:val="1FEB4AD2"/>
    <w:rsid w:val="1FF04C58"/>
    <w:rsid w:val="1FF93C43"/>
    <w:rsid w:val="2008251B"/>
    <w:rsid w:val="2030476C"/>
    <w:rsid w:val="203E00FA"/>
    <w:rsid w:val="206D6DA0"/>
    <w:rsid w:val="20AA7DE0"/>
    <w:rsid w:val="20B8230A"/>
    <w:rsid w:val="20B96C1B"/>
    <w:rsid w:val="20C853DD"/>
    <w:rsid w:val="20D64231"/>
    <w:rsid w:val="20DB6E18"/>
    <w:rsid w:val="20DE79A1"/>
    <w:rsid w:val="20EF4014"/>
    <w:rsid w:val="20F50FF3"/>
    <w:rsid w:val="210F1865"/>
    <w:rsid w:val="212061D1"/>
    <w:rsid w:val="212A785C"/>
    <w:rsid w:val="21340CE9"/>
    <w:rsid w:val="21565EB4"/>
    <w:rsid w:val="2158539F"/>
    <w:rsid w:val="216070FF"/>
    <w:rsid w:val="216655B5"/>
    <w:rsid w:val="217D5851"/>
    <w:rsid w:val="219375BE"/>
    <w:rsid w:val="21A47E8B"/>
    <w:rsid w:val="21AE1995"/>
    <w:rsid w:val="21C223EB"/>
    <w:rsid w:val="21CA2C89"/>
    <w:rsid w:val="21CB421D"/>
    <w:rsid w:val="21D150CA"/>
    <w:rsid w:val="21D164C3"/>
    <w:rsid w:val="21E20B43"/>
    <w:rsid w:val="21E437B6"/>
    <w:rsid w:val="21E57F7E"/>
    <w:rsid w:val="21EE48C0"/>
    <w:rsid w:val="21FE00D8"/>
    <w:rsid w:val="22246A9B"/>
    <w:rsid w:val="22356757"/>
    <w:rsid w:val="225F3912"/>
    <w:rsid w:val="226E1DFE"/>
    <w:rsid w:val="22743D02"/>
    <w:rsid w:val="227D7B49"/>
    <w:rsid w:val="227E486D"/>
    <w:rsid w:val="22805941"/>
    <w:rsid w:val="229B2843"/>
    <w:rsid w:val="22A3024F"/>
    <w:rsid w:val="22B1717A"/>
    <w:rsid w:val="22B84595"/>
    <w:rsid w:val="22BC0D28"/>
    <w:rsid w:val="22C36A98"/>
    <w:rsid w:val="22CC2751"/>
    <w:rsid w:val="22DE327F"/>
    <w:rsid w:val="23007F6C"/>
    <w:rsid w:val="23054FBA"/>
    <w:rsid w:val="23111934"/>
    <w:rsid w:val="23120529"/>
    <w:rsid w:val="2318398B"/>
    <w:rsid w:val="232B4872"/>
    <w:rsid w:val="23394E32"/>
    <w:rsid w:val="233A7A38"/>
    <w:rsid w:val="233B09AC"/>
    <w:rsid w:val="23462BAE"/>
    <w:rsid w:val="2360043C"/>
    <w:rsid w:val="236E4867"/>
    <w:rsid w:val="23AB4A50"/>
    <w:rsid w:val="23B87A99"/>
    <w:rsid w:val="23D74548"/>
    <w:rsid w:val="23DD141F"/>
    <w:rsid w:val="23DD21D6"/>
    <w:rsid w:val="23EF06B2"/>
    <w:rsid w:val="24136411"/>
    <w:rsid w:val="24243EDD"/>
    <w:rsid w:val="24311EAA"/>
    <w:rsid w:val="243C62DF"/>
    <w:rsid w:val="24483E19"/>
    <w:rsid w:val="245D3D46"/>
    <w:rsid w:val="24737C1C"/>
    <w:rsid w:val="24743411"/>
    <w:rsid w:val="247578BD"/>
    <w:rsid w:val="248666AC"/>
    <w:rsid w:val="2491778F"/>
    <w:rsid w:val="249C7315"/>
    <w:rsid w:val="24A763A1"/>
    <w:rsid w:val="24D20D8B"/>
    <w:rsid w:val="24D2265D"/>
    <w:rsid w:val="24E4755D"/>
    <w:rsid w:val="24FD24E4"/>
    <w:rsid w:val="25192BF6"/>
    <w:rsid w:val="251F61F4"/>
    <w:rsid w:val="25201F1F"/>
    <w:rsid w:val="252E56C2"/>
    <w:rsid w:val="25346D66"/>
    <w:rsid w:val="253D16F5"/>
    <w:rsid w:val="253E11DF"/>
    <w:rsid w:val="25496473"/>
    <w:rsid w:val="25501288"/>
    <w:rsid w:val="25617249"/>
    <w:rsid w:val="257117E2"/>
    <w:rsid w:val="257D5D08"/>
    <w:rsid w:val="25BF6267"/>
    <w:rsid w:val="25C90176"/>
    <w:rsid w:val="25DC1B36"/>
    <w:rsid w:val="25DF66EC"/>
    <w:rsid w:val="25ED609B"/>
    <w:rsid w:val="262519C2"/>
    <w:rsid w:val="26292C55"/>
    <w:rsid w:val="26350FCE"/>
    <w:rsid w:val="263552FC"/>
    <w:rsid w:val="26815CFA"/>
    <w:rsid w:val="26870498"/>
    <w:rsid w:val="268B3031"/>
    <w:rsid w:val="26A75E89"/>
    <w:rsid w:val="26B209C3"/>
    <w:rsid w:val="26EC6045"/>
    <w:rsid w:val="26FB0C32"/>
    <w:rsid w:val="270842EC"/>
    <w:rsid w:val="272A0CB2"/>
    <w:rsid w:val="2738175B"/>
    <w:rsid w:val="274F1B05"/>
    <w:rsid w:val="27592241"/>
    <w:rsid w:val="27593486"/>
    <w:rsid w:val="275F675B"/>
    <w:rsid w:val="2762237B"/>
    <w:rsid w:val="2764014B"/>
    <w:rsid w:val="27662892"/>
    <w:rsid w:val="27683459"/>
    <w:rsid w:val="27697726"/>
    <w:rsid w:val="27844C1E"/>
    <w:rsid w:val="278A15D6"/>
    <w:rsid w:val="279428EF"/>
    <w:rsid w:val="27BF5A1F"/>
    <w:rsid w:val="27E33FCF"/>
    <w:rsid w:val="27EE1F54"/>
    <w:rsid w:val="27F66064"/>
    <w:rsid w:val="28062817"/>
    <w:rsid w:val="28076B3A"/>
    <w:rsid w:val="281A7760"/>
    <w:rsid w:val="2821514E"/>
    <w:rsid w:val="288E04FF"/>
    <w:rsid w:val="28961ACB"/>
    <w:rsid w:val="28AC2C36"/>
    <w:rsid w:val="28AE2CB1"/>
    <w:rsid w:val="28BD2DC1"/>
    <w:rsid w:val="28C53F7E"/>
    <w:rsid w:val="28EB7EA9"/>
    <w:rsid w:val="28F669FF"/>
    <w:rsid w:val="28FC0457"/>
    <w:rsid w:val="292B085A"/>
    <w:rsid w:val="29377DD7"/>
    <w:rsid w:val="2961683B"/>
    <w:rsid w:val="2968598D"/>
    <w:rsid w:val="297A053D"/>
    <w:rsid w:val="297C2283"/>
    <w:rsid w:val="29806EEA"/>
    <w:rsid w:val="29934C9D"/>
    <w:rsid w:val="2999586A"/>
    <w:rsid w:val="29C22BCA"/>
    <w:rsid w:val="29D805E8"/>
    <w:rsid w:val="29E17ECF"/>
    <w:rsid w:val="29E76956"/>
    <w:rsid w:val="29FC4EA9"/>
    <w:rsid w:val="2A132BF8"/>
    <w:rsid w:val="2A134983"/>
    <w:rsid w:val="2A1B5350"/>
    <w:rsid w:val="2A1D720F"/>
    <w:rsid w:val="2A2A290F"/>
    <w:rsid w:val="2A2B4A17"/>
    <w:rsid w:val="2A2C1192"/>
    <w:rsid w:val="2A350D71"/>
    <w:rsid w:val="2A42093A"/>
    <w:rsid w:val="2A4E7E20"/>
    <w:rsid w:val="2A6F57B4"/>
    <w:rsid w:val="2A7378C2"/>
    <w:rsid w:val="2A741B4B"/>
    <w:rsid w:val="2A946283"/>
    <w:rsid w:val="2A9D748B"/>
    <w:rsid w:val="2AA07309"/>
    <w:rsid w:val="2AA12E51"/>
    <w:rsid w:val="2ABF0394"/>
    <w:rsid w:val="2ADC4043"/>
    <w:rsid w:val="2AE278D2"/>
    <w:rsid w:val="2AF86037"/>
    <w:rsid w:val="2AFA2EF6"/>
    <w:rsid w:val="2B002356"/>
    <w:rsid w:val="2B010F22"/>
    <w:rsid w:val="2B2C7FCB"/>
    <w:rsid w:val="2B3C2AFE"/>
    <w:rsid w:val="2B3F2CD7"/>
    <w:rsid w:val="2B512E08"/>
    <w:rsid w:val="2B7C052D"/>
    <w:rsid w:val="2B867FC1"/>
    <w:rsid w:val="2B9F3B9D"/>
    <w:rsid w:val="2BA9442D"/>
    <w:rsid w:val="2BB30165"/>
    <w:rsid w:val="2BBA1A67"/>
    <w:rsid w:val="2BD66F2D"/>
    <w:rsid w:val="2C0713DD"/>
    <w:rsid w:val="2C114E5A"/>
    <w:rsid w:val="2C265D43"/>
    <w:rsid w:val="2C307D8F"/>
    <w:rsid w:val="2C331028"/>
    <w:rsid w:val="2C435746"/>
    <w:rsid w:val="2C470D58"/>
    <w:rsid w:val="2C491284"/>
    <w:rsid w:val="2C574F23"/>
    <w:rsid w:val="2C5A0CA7"/>
    <w:rsid w:val="2C5D439B"/>
    <w:rsid w:val="2C641421"/>
    <w:rsid w:val="2C783E54"/>
    <w:rsid w:val="2C82133C"/>
    <w:rsid w:val="2CA60680"/>
    <w:rsid w:val="2CC31DA2"/>
    <w:rsid w:val="2CDA3439"/>
    <w:rsid w:val="2CF83DFB"/>
    <w:rsid w:val="2CFE3E38"/>
    <w:rsid w:val="2CFF5212"/>
    <w:rsid w:val="2D0A3299"/>
    <w:rsid w:val="2D0F565D"/>
    <w:rsid w:val="2D3B78DC"/>
    <w:rsid w:val="2D4B0B59"/>
    <w:rsid w:val="2D5663D4"/>
    <w:rsid w:val="2D5F0A26"/>
    <w:rsid w:val="2D6E7AD2"/>
    <w:rsid w:val="2D7015A2"/>
    <w:rsid w:val="2D716504"/>
    <w:rsid w:val="2D8F4AA9"/>
    <w:rsid w:val="2DA22D6D"/>
    <w:rsid w:val="2DB32707"/>
    <w:rsid w:val="2DB408C9"/>
    <w:rsid w:val="2DC10248"/>
    <w:rsid w:val="2DE36FAE"/>
    <w:rsid w:val="2DF56484"/>
    <w:rsid w:val="2DFB6B58"/>
    <w:rsid w:val="2E005845"/>
    <w:rsid w:val="2E0B550F"/>
    <w:rsid w:val="2E3253F3"/>
    <w:rsid w:val="2E38766E"/>
    <w:rsid w:val="2E5B11E3"/>
    <w:rsid w:val="2E5B3BD1"/>
    <w:rsid w:val="2E6D6094"/>
    <w:rsid w:val="2EA34831"/>
    <w:rsid w:val="2EA66EAB"/>
    <w:rsid w:val="2EAC2126"/>
    <w:rsid w:val="2ED311DB"/>
    <w:rsid w:val="2EDF5FE8"/>
    <w:rsid w:val="2F030682"/>
    <w:rsid w:val="2F0B2260"/>
    <w:rsid w:val="2F133C70"/>
    <w:rsid w:val="2F144754"/>
    <w:rsid w:val="2F180338"/>
    <w:rsid w:val="2F3359D1"/>
    <w:rsid w:val="2F37251C"/>
    <w:rsid w:val="2F38272E"/>
    <w:rsid w:val="2F4E277C"/>
    <w:rsid w:val="2F517B1D"/>
    <w:rsid w:val="2F562954"/>
    <w:rsid w:val="2F57785C"/>
    <w:rsid w:val="2F617CEB"/>
    <w:rsid w:val="2F644D96"/>
    <w:rsid w:val="2F6726E2"/>
    <w:rsid w:val="2F6C6391"/>
    <w:rsid w:val="2F7C5D34"/>
    <w:rsid w:val="2F9211BE"/>
    <w:rsid w:val="2F9D71EC"/>
    <w:rsid w:val="2FAA3062"/>
    <w:rsid w:val="2FD05050"/>
    <w:rsid w:val="2FF46D00"/>
    <w:rsid w:val="2FF55025"/>
    <w:rsid w:val="2FFC56FC"/>
    <w:rsid w:val="30057F18"/>
    <w:rsid w:val="300A45DD"/>
    <w:rsid w:val="30221E96"/>
    <w:rsid w:val="302445D5"/>
    <w:rsid w:val="30274F26"/>
    <w:rsid w:val="3029711B"/>
    <w:rsid w:val="302F0B31"/>
    <w:rsid w:val="303D4E06"/>
    <w:rsid w:val="30420A7B"/>
    <w:rsid w:val="304739B7"/>
    <w:rsid w:val="304B2B4D"/>
    <w:rsid w:val="30532922"/>
    <w:rsid w:val="305573D4"/>
    <w:rsid w:val="30723588"/>
    <w:rsid w:val="30763A2C"/>
    <w:rsid w:val="308415B4"/>
    <w:rsid w:val="30B22300"/>
    <w:rsid w:val="30BF2928"/>
    <w:rsid w:val="30C262CF"/>
    <w:rsid w:val="30DF2E29"/>
    <w:rsid w:val="30E312E9"/>
    <w:rsid w:val="30E61B19"/>
    <w:rsid w:val="30F27A2B"/>
    <w:rsid w:val="311D2533"/>
    <w:rsid w:val="3130116D"/>
    <w:rsid w:val="316311EC"/>
    <w:rsid w:val="31634E97"/>
    <w:rsid w:val="316B0055"/>
    <w:rsid w:val="317A364E"/>
    <w:rsid w:val="319705FE"/>
    <w:rsid w:val="31A64643"/>
    <w:rsid w:val="31BB302F"/>
    <w:rsid w:val="31D74BA8"/>
    <w:rsid w:val="3200075F"/>
    <w:rsid w:val="32004D8C"/>
    <w:rsid w:val="32041E52"/>
    <w:rsid w:val="320E388A"/>
    <w:rsid w:val="3211025B"/>
    <w:rsid w:val="32447EA8"/>
    <w:rsid w:val="32571551"/>
    <w:rsid w:val="32580101"/>
    <w:rsid w:val="326A6F01"/>
    <w:rsid w:val="32707DD2"/>
    <w:rsid w:val="327C1FC9"/>
    <w:rsid w:val="32AC3CF1"/>
    <w:rsid w:val="32C52901"/>
    <w:rsid w:val="32CD18C5"/>
    <w:rsid w:val="32E16E55"/>
    <w:rsid w:val="32E3325E"/>
    <w:rsid w:val="32E665E3"/>
    <w:rsid w:val="32F9638D"/>
    <w:rsid w:val="330D29B1"/>
    <w:rsid w:val="331929C1"/>
    <w:rsid w:val="3340303D"/>
    <w:rsid w:val="33407669"/>
    <w:rsid w:val="334E279A"/>
    <w:rsid w:val="33501916"/>
    <w:rsid w:val="336E5852"/>
    <w:rsid w:val="33742C53"/>
    <w:rsid w:val="337A0309"/>
    <w:rsid w:val="337E22EA"/>
    <w:rsid w:val="338A27E0"/>
    <w:rsid w:val="33965815"/>
    <w:rsid w:val="33D41F6D"/>
    <w:rsid w:val="33DA25D8"/>
    <w:rsid w:val="33F5556F"/>
    <w:rsid w:val="33FD2379"/>
    <w:rsid w:val="340024A1"/>
    <w:rsid w:val="34333047"/>
    <w:rsid w:val="346358D3"/>
    <w:rsid w:val="3474236F"/>
    <w:rsid w:val="347726BD"/>
    <w:rsid w:val="348236C2"/>
    <w:rsid w:val="348447E9"/>
    <w:rsid w:val="3491429F"/>
    <w:rsid w:val="34B066AE"/>
    <w:rsid w:val="34B2462E"/>
    <w:rsid w:val="34C1504C"/>
    <w:rsid w:val="34C870DD"/>
    <w:rsid w:val="34DA1C51"/>
    <w:rsid w:val="34E60D94"/>
    <w:rsid w:val="34ED0AE0"/>
    <w:rsid w:val="34F37BE6"/>
    <w:rsid w:val="34F90399"/>
    <w:rsid w:val="34FA148D"/>
    <w:rsid w:val="3516718F"/>
    <w:rsid w:val="35324ABB"/>
    <w:rsid w:val="35335F5E"/>
    <w:rsid w:val="354C3FCD"/>
    <w:rsid w:val="35661E07"/>
    <w:rsid w:val="35692D7A"/>
    <w:rsid w:val="35740515"/>
    <w:rsid w:val="35752B0D"/>
    <w:rsid w:val="358D4C59"/>
    <w:rsid w:val="35B201B7"/>
    <w:rsid w:val="35B72B2D"/>
    <w:rsid w:val="35BE2FAC"/>
    <w:rsid w:val="35C140B0"/>
    <w:rsid w:val="35C21B10"/>
    <w:rsid w:val="35C3283E"/>
    <w:rsid w:val="35CD468F"/>
    <w:rsid w:val="35D16B1D"/>
    <w:rsid w:val="35D17D26"/>
    <w:rsid w:val="35D3068A"/>
    <w:rsid w:val="35E01858"/>
    <w:rsid w:val="35E745A8"/>
    <w:rsid w:val="360E4BC5"/>
    <w:rsid w:val="3643398D"/>
    <w:rsid w:val="36715E1E"/>
    <w:rsid w:val="367E7792"/>
    <w:rsid w:val="369E4A0B"/>
    <w:rsid w:val="36A87118"/>
    <w:rsid w:val="36AE2ADD"/>
    <w:rsid w:val="36BD0886"/>
    <w:rsid w:val="36BD7A9C"/>
    <w:rsid w:val="36E804B0"/>
    <w:rsid w:val="36FB2AF6"/>
    <w:rsid w:val="36FD551A"/>
    <w:rsid w:val="37057DF4"/>
    <w:rsid w:val="37092D71"/>
    <w:rsid w:val="371924F7"/>
    <w:rsid w:val="37333C96"/>
    <w:rsid w:val="37434BCD"/>
    <w:rsid w:val="374D7D23"/>
    <w:rsid w:val="37525CA8"/>
    <w:rsid w:val="37683775"/>
    <w:rsid w:val="3774050C"/>
    <w:rsid w:val="377A441F"/>
    <w:rsid w:val="378A0EF1"/>
    <w:rsid w:val="37A4696F"/>
    <w:rsid w:val="37BA1F38"/>
    <w:rsid w:val="37C11E1C"/>
    <w:rsid w:val="37C56C27"/>
    <w:rsid w:val="37DB49A1"/>
    <w:rsid w:val="38063CC6"/>
    <w:rsid w:val="381256F7"/>
    <w:rsid w:val="38154A69"/>
    <w:rsid w:val="38223359"/>
    <w:rsid w:val="38284E56"/>
    <w:rsid w:val="38420406"/>
    <w:rsid w:val="384C1C98"/>
    <w:rsid w:val="386B64B2"/>
    <w:rsid w:val="386C241A"/>
    <w:rsid w:val="389066A0"/>
    <w:rsid w:val="38B17CAF"/>
    <w:rsid w:val="38BC2036"/>
    <w:rsid w:val="38BF5BEA"/>
    <w:rsid w:val="38D64501"/>
    <w:rsid w:val="38E466D1"/>
    <w:rsid w:val="38E75550"/>
    <w:rsid w:val="38F42A7B"/>
    <w:rsid w:val="38F53930"/>
    <w:rsid w:val="38F64868"/>
    <w:rsid w:val="38F738AF"/>
    <w:rsid w:val="38FD3D31"/>
    <w:rsid w:val="38FF4281"/>
    <w:rsid w:val="39002D63"/>
    <w:rsid w:val="39237DC4"/>
    <w:rsid w:val="39344875"/>
    <w:rsid w:val="393D3264"/>
    <w:rsid w:val="394D1DED"/>
    <w:rsid w:val="394E6143"/>
    <w:rsid w:val="396A0EEB"/>
    <w:rsid w:val="39794965"/>
    <w:rsid w:val="39803098"/>
    <w:rsid w:val="398D77CD"/>
    <w:rsid w:val="398E73BA"/>
    <w:rsid w:val="399E42F4"/>
    <w:rsid w:val="39A162B5"/>
    <w:rsid w:val="39A46EED"/>
    <w:rsid w:val="39B3114D"/>
    <w:rsid w:val="39BA4957"/>
    <w:rsid w:val="39C85138"/>
    <w:rsid w:val="39CA57BA"/>
    <w:rsid w:val="39D24E8B"/>
    <w:rsid w:val="39D77B23"/>
    <w:rsid w:val="3A0879B0"/>
    <w:rsid w:val="3A2F6A30"/>
    <w:rsid w:val="3A3651E6"/>
    <w:rsid w:val="3A4A5BEB"/>
    <w:rsid w:val="3A500214"/>
    <w:rsid w:val="3A6A0DB2"/>
    <w:rsid w:val="3A6F33E9"/>
    <w:rsid w:val="3A7A359E"/>
    <w:rsid w:val="3A827EE2"/>
    <w:rsid w:val="3A9F123C"/>
    <w:rsid w:val="3AA732DF"/>
    <w:rsid w:val="3AA92903"/>
    <w:rsid w:val="3ABB15CC"/>
    <w:rsid w:val="3ABD2233"/>
    <w:rsid w:val="3AC30195"/>
    <w:rsid w:val="3ACB1DFC"/>
    <w:rsid w:val="3AD305FC"/>
    <w:rsid w:val="3AD45825"/>
    <w:rsid w:val="3AD60C5E"/>
    <w:rsid w:val="3AE52791"/>
    <w:rsid w:val="3AF23462"/>
    <w:rsid w:val="3B412DB9"/>
    <w:rsid w:val="3B4D038A"/>
    <w:rsid w:val="3B5F14D7"/>
    <w:rsid w:val="3B632329"/>
    <w:rsid w:val="3B9F76EF"/>
    <w:rsid w:val="3BAF7B0E"/>
    <w:rsid w:val="3BC82339"/>
    <w:rsid w:val="3BE3115D"/>
    <w:rsid w:val="3BE345C2"/>
    <w:rsid w:val="3BE80B24"/>
    <w:rsid w:val="3BF91BD1"/>
    <w:rsid w:val="3BFF5F9E"/>
    <w:rsid w:val="3C007955"/>
    <w:rsid w:val="3C271273"/>
    <w:rsid w:val="3C2D3BDC"/>
    <w:rsid w:val="3C2E5813"/>
    <w:rsid w:val="3C2E6A2D"/>
    <w:rsid w:val="3C4C345F"/>
    <w:rsid w:val="3C5D6CF7"/>
    <w:rsid w:val="3C6678D5"/>
    <w:rsid w:val="3C67794E"/>
    <w:rsid w:val="3C6F20F8"/>
    <w:rsid w:val="3C887AB0"/>
    <w:rsid w:val="3CB82F3D"/>
    <w:rsid w:val="3CBC7B8F"/>
    <w:rsid w:val="3CD024DE"/>
    <w:rsid w:val="3CE073CD"/>
    <w:rsid w:val="3CF514FB"/>
    <w:rsid w:val="3D007514"/>
    <w:rsid w:val="3D026575"/>
    <w:rsid w:val="3D136E28"/>
    <w:rsid w:val="3D211F38"/>
    <w:rsid w:val="3D2A03C3"/>
    <w:rsid w:val="3D324002"/>
    <w:rsid w:val="3D425886"/>
    <w:rsid w:val="3D441781"/>
    <w:rsid w:val="3D4C54EA"/>
    <w:rsid w:val="3D4C6289"/>
    <w:rsid w:val="3D4D7639"/>
    <w:rsid w:val="3D4F26CE"/>
    <w:rsid w:val="3D5455AB"/>
    <w:rsid w:val="3D5E672C"/>
    <w:rsid w:val="3D661298"/>
    <w:rsid w:val="3D712EC0"/>
    <w:rsid w:val="3D805817"/>
    <w:rsid w:val="3D86462C"/>
    <w:rsid w:val="3D865732"/>
    <w:rsid w:val="3DB36744"/>
    <w:rsid w:val="3DD7709D"/>
    <w:rsid w:val="3DDA4D08"/>
    <w:rsid w:val="3DE64B7A"/>
    <w:rsid w:val="3DE73B07"/>
    <w:rsid w:val="3DF51656"/>
    <w:rsid w:val="3DF52781"/>
    <w:rsid w:val="3E0362FB"/>
    <w:rsid w:val="3E057091"/>
    <w:rsid w:val="3E063040"/>
    <w:rsid w:val="3E4376D3"/>
    <w:rsid w:val="3E443354"/>
    <w:rsid w:val="3E701321"/>
    <w:rsid w:val="3E777E77"/>
    <w:rsid w:val="3E847FAD"/>
    <w:rsid w:val="3EAA41DC"/>
    <w:rsid w:val="3ECC0AC5"/>
    <w:rsid w:val="3F07436C"/>
    <w:rsid w:val="3F0765FC"/>
    <w:rsid w:val="3F0C7667"/>
    <w:rsid w:val="3F0E1536"/>
    <w:rsid w:val="3F124C4C"/>
    <w:rsid w:val="3F311430"/>
    <w:rsid w:val="3F4A37F0"/>
    <w:rsid w:val="3F5B404B"/>
    <w:rsid w:val="3F623744"/>
    <w:rsid w:val="3F63212C"/>
    <w:rsid w:val="3F6476D1"/>
    <w:rsid w:val="3FA33390"/>
    <w:rsid w:val="3FAB3357"/>
    <w:rsid w:val="3FAC4683"/>
    <w:rsid w:val="3FB073BB"/>
    <w:rsid w:val="3FB079A2"/>
    <w:rsid w:val="3FC00A2F"/>
    <w:rsid w:val="3FC440C7"/>
    <w:rsid w:val="3FCE5FDC"/>
    <w:rsid w:val="3FFD33E6"/>
    <w:rsid w:val="40077E71"/>
    <w:rsid w:val="402247BB"/>
    <w:rsid w:val="40463E1D"/>
    <w:rsid w:val="40647B6A"/>
    <w:rsid w:val="40692865"/>
    <w:rsid w:val="406D6DE1"/>
    <w:rsid w:val="40736925"/>
    <w:rsid w:val="408F73AF"/>
    <w:rsid w:val="40AF4A24"/>
    <w:rsid w:val="40C553E2"/>
    <w:rsid w:val="40D50814"/>
    <w:rsid w:val="40DF16EB"/>
    <w:rsid w:val="40DF1743"/>
    <w:rsid w:val="40F53099"/>
    <w:rsid w:val="412871E3"/>
    <w:rsid w:val="41291FD8"/>
    <w:rsid w:val="41556A69"/>
    <w:rsid w:val="415720D4"/>
    <w:rsid w:val="41577062"/>
    <w:rsid w:val="415E31D5"/>
    <w:rsid w:val="4169470B"/>
    <w:rsid w:val="416C195F"/>
    <w:rsid w:val="417C7CB9"/>
    <w:rsid w:val="418A02DF"/>
    <w:rsid w:val="41921718"/>
    <w:rsid w:val="419B5B21"/>
    <w:rsid w:val="419F61C4"/>
    <w:rsid w:val="41E504A4"/>
    <w:rsid w:val="421535C8"/>
    <w:rsid w:val="42190EE0"/>
    <w:rsid w:val="421D37F9"/>
    <w:rsid w:val="42276243"/>
    <w:rsid w:val="422C718F"/>
    <w:rsid w:val="42343D8E"/>
    <w:rsid w:val="423F040A"/>
    <w:rsid w:val="42565366"/>
    <w:rsid w:val="425F6844"/>
    <w:rsid w:val="42662BD3"/>
    <w:rsid w:val="427524E1"/>
    <w:rsid w:val="427D7C3A"/>
    <w:rsid w:val="42955823"/>
    <w:rsid w:val="42C930F4"/>
    <w:rsid w:val="42CB2B12"/>
    <w:rsid w:val="42DF63D0"/>
    <w:rsid w:val="42F420AD"/>
    <w:rsid w:val="42F53ADB"/>
    <w:rsid w:val="42FF7273"/>
    <w:rsid w:val="431F7AA9"/>
    <w:rsid w:val="4324108B"/>
    <w:rsid w:val="43345918"/>
    <w:rsid w:val="43464458"/>
    <w:rsid w:val="434A08AC"/>
    <w:rsid w:val="435267C9"/>
    <w:rsid w:val="43592111"/>
    <w:rsid w:val="435A5916"/>
    <w:rsid w:val="435E6435"/>
    <w:rsid w:val="43772756"/>
    <w:rsid w:val="43934C44"/>
    <w:rsid w:val="43973063"/>
    <w:rsid w:val="43AA46E9"/>
    <w:rsid w:val="43B3011F"/>
    <w:rsid w:val="43C95804"/>
    <w:rsid w:val="43CE0D06"/>
    <w:rsid w:val="43D22666"/>
    <w:rsid w:val="43DA6E1F"/>
    <w:rsid w:val="43E83838"/>
    <w:rsid w:val="43FA5F26"/>
    <w:rsid w:val="441011D4"/>
    <w:rsid w:val="441D0C4F"/>
    <w:rsid w:val="44280F66"/>
    <w:rsid w:val="442F7FE0"/>
    <w:rsid w:val="444D4E19"/>
    <w:rsid w:val="445A645C"/>
    <w:rsid w:val="447547C1"/>
    <w:rsid w:val="447F6D49"/>
    <w:rsid w:val="44897EC6"/>
    <w:rsid w:val="448A21D2"/>
    <w:rsid w:val="44933866"/>
    <w:rsid w:val="44982A84"/>
    <w:rsid w:val="44A82980"/>
    <w:rsid w:val="44CD40D7"/>
    <w:rsid w:val="44DB0BD9"/>
    <w:rsid w:val="44E9344A"/>
    <w:rsid w:val="450300BF"/>
    <w:rsid w:val="45035CA5"/>
    <w:rsid w:val="45077460"/>
    <w:rsid w:val="451C7FCF"/>
    <w:rsid w:val="45443849"/>
    <w:rsid w:val="454A024C"/>
    <w:rsid w:val="454B165B"/>
    <w:rsid w:val="456E2B4B"/>
    <w:rsid w:val="457A3BB6"/>
    <w:rsid w:val="458333B9"/>
    <w:rsid w:val="459A1EA9"/>
    <w:rsid w:val="45B61DB8"/>
    <w:rsid w:val="45E03FA5"/>
    <w:rsid w:val="45F564D8"/>
    <w:rsid w:val="45F85A90"/>
    <w:rsid w:val="462C5D1F"/>
    <w:rsid w:val="4642228B"/>
    <w:rsid w:val="464570B5"/>
    <w:rsid w:val="46490791"/>
    <w:rsid w:val="46695C60"/>
    <w:rsid w:val="466D0856"/>
    <w:rsid w:val="466E004D"/>
    <w:rsid w:val="46736A03"/>
    <w:rsid w:val="467F61CC"/>
    <w:rsid w:val="46893A72"/>
    <w:rsid w:val="468A6EED"/>
    <w:rsid w:val="46AC71BA"/>
    <w:rsid w:val="46B36369"/>
    <w:rsid w:val="46C914C6"/>
    <w:rsid w:val="46F24702"/>
    <w:rsid w:val="471172DC"/>
    <w:rsid w:val="47297955"/>
    <w:rsid w:val="47297B30"/>
    <w:rsid w:val="474021F1"/>
    <w:rsid w:val="47471ACF"/>
    <w:rsid w:val="474C6347"/>
    <w:rsid w:val="476D02B7"/>
    <w:rsid w:val="47731A42"/>
    <w:rsid w:val="47825E7D"/>
    <w:rsid w:val="47886CE3"/>
    <w:rsid w:val="479042AC"/>
    <w:rsid w:val="4798302E"/>
    <w:rsid w:val="479B1265"/>
    <w:rsid w:val="47A82AEE"/>
    <w:rsid w:val="47B330F4"/>
    <w:rsid w:val="47C82EED"/>
    <w:rsid w:val="47CC1E4B"/>
    <w:rsid w:val="47CC4E33"/>
    <w:rsid w:val="47E22912"/>
    <w:rsid w:val="47E604F1"/>
    <w:rsid w:val="47EF52C3"/>
    <w:rsid w:val="47F44584"/>
    <w:rsid w:val="47FB32ED"/>
    <w:rsid w:val="47FD3CCD"/>
    <w:rsid w:val="48171938"/>
    <w:rsid w:val="481B2020"/>
    <w:rsid w:val="481F458F"/>
    <w:rsid w:val="48270D4B"/>
    <w:rsid w:val="482A76A0"/>
    <w:rsid w:val="484474DC"/>
    <w:rsid w:val="485C289E"/>
    <w:rsid w:val="487A778E"/>
    <w:rsid w:val="488E4D2F"/>
    <w:rsid w:val="48A770B8"/>
    <w:rsid w:val="48B71461"/>
    <w:rsid w:val="48C37529"/>
    <w:rsid w:val="48D31207"/>
    <w:rsid w:val="48E16AFA"/>
    <w:rsid w:val="49125CF3"/>
    <w:rsid w:val="493E1571"/>
    <w:rsid w:val="4950245B"/>
    <w:rsid w:val="495367DE"/>
    <w:rsid w:val="496E3289"/>
    <w:rsid w:val="497A134E"/>
    <w:rsid w:val="49871AE5"/>
    <w:rsid w:val="499D7963"/>
    <w:rsid w:val="49A4054A"/>
    <w:rsid w:val="49AA0369"/>
    <w:rsid w:val="49B706DA"/>
    <w:rsid w:val="49DD7EF0"/>
    <w:rsid w:val="49FF6414"/>
    <w:rsid w:val="4A08701A"/>
    <w:rsid w:val="4A212C0C"/>
    <w:rsid w:val="4A5676C5"/>
    <w:rsid w:val="4A606796"/>
    <w:rsid w:val="4A6901FD"/>
    <w:rsid w:val="4A7E1E70"/>
    <w:rsid w:val="4A7E7F52"/>
    <w:rsid w:val="4A890EC8"/>
    <w:rsid w:val="4A984594"/>
    <w:rsid w:val="4AB00FED"/>
    <w:rsid w:val="4ABA6FFC"/>
    <w:rsid w:val="4AC81032"/>
    <w:rsid w:val="4AC93AC5"/>
    <w:rsid w:val="4ACB5578"/>
    <w:rsid w:val="4ACC6167"/>
    <w:rsid w:val="4AD31255"/>
    <w:rsid w:val="4ADB3EDF"/>
    <w:rsid w:val="4AE4386B"/>
    <w:rsid w:val="4B0661AE"/>
    <w:rsid w:val="4B294959"/>
    <w:rsid w:val="4B3C4946"/>
    <w:rsid w:val="4B4A4DE3"/>
    <w:rsid w:val="4B8370E6"/>
    <w:rsid w:val="4B90095D"/>
    <w:rsid w:val="4B945604"/>
    <w:rsid w:val="4BAF2DC3"/>
    <w:rsid w:val="4BC2022F"/>
    <w:rsid w:val="4BD203D7"/>
    <w:rsid w:val="4BD503DA"/>
    <w:rsid w:val="4BE939AB"/>
    <w:rsid w:val="4BEF7DD1"/>
    <w:rsid w:val="4BF42B4C"/>
    <w:rsid w:val="4BF7081C"/>
    <w:rsid w:val="4C384F8C"/>
    <w:rsid w:val="4C682A00"/>
    <w:rsid w:val="4C9427CE"/>
    <w:rsid w:val="4C982698"/>
    <w:rsid w:val="4CD052C8"/>
    <w:rsid w:val="4CD728E5"/>
    <w:rsid w:val="4CF670D9"/>
    <w:rsid w:val="4CF741E3"/>
    <w:rsid w:val="4D0604D7"/>
    <w:rsid w:val="4D0A5734"/>
    <w:rsid w:val="4D1A2333"/>
    <w:rsid w:val="4D287FD9"/>
    <w:rsid w:val="4D5723B9"/>
    <w:rsid w:val="4D636877"/>
    <w:rsid w:val="4D66699B"/>
    <w:rsid w:val="4D6746A4"/>
    <w:rsid w:val="4D680D39"/>
    <w:rsid w:val="4DAE0DDA"/>
    <w:rsid w:val="4DBD7175"/>
    <w:rsid w:val="4DDE7902"/>
    <w:rsid w:val="4DE5075D"/>
    <w:rsid w:val="4DE83738"/>
    <w:rsid w:val="4DFF44EB"/>
    <w:rsid w:val="4E071A4D"/>
    <w:rsid w:val="4E191136"/>
    <w:rsid w:val="4E1B08A1"/>
    <w:rsid w:val="4E1D2E56"/>
    <w:rsid w:val="4E2300D4"/>
    <w:rsid w:val="4E246465"/>
    <w:rsid w:val="4E3A2A35"/>
    <w:rsid w:val="4E4E356B"/>
    <w:rsid w:val="4E6408DC"/>
    <w:rsid w:val="4E647DD2"/>
    <w:rsid w:val="4E653DCD"/>
    <w:rsid w:val="4E671F9D"/>
    <w:rsid w:val="4EDC1858"/>
    <w:rsid w:val="4EEB4E1E"/>
    <w:rsid w:val="4EF35326"/>
    <w:rsid w:val="4F073684"/>
    <w:rsid w:val="4F0A430C"/>
    <w:rsid w:val="4F1B56F6"/>
    <w:rsid w:val="4F2C1948"/>
    <w:rsid w:val="4F2E5377"/>
    <w:rsid w:val="4F5839BF"/>
    <w:rsid w:val="4F651A4B"/>
    <w:rsid w:val="4F772328"/>
    <w:rsid w:val="4F964328"/>
    <w:rsid w:val="4FA4380D"/>
    <w:rsid w:val="4FA57EE9"/>
    <w:rsid w:val="4FBD2BDD"/>
    <w:rsid w:val="4FBE64F6"/>
    <w:rsid w:val="4FC27459"/>
    <w:rsid w:val="4FD03B91"/>
    <w:rsid w:val="4FDE4818"/>
    <w:rsid w:val="4FF83C5F"/>
    <w:rsid w:val="4FFE1776"/>
    <w:rsid w:val="500A4BA7"/>
    <w:rsid w:val="50161A66"/>
    <w:rsid w:val="50625567"/>
    <w:rsid w:val="506F4349"/>
    <w:rsid w:val="50740DC7"/>
    <w:rsid w:val="50756C98"/>
    <w:rsid w:val="508D46EC"/>
    <w:rsid w:val="508E5E0A"/>
    <w:rsid w:val="50B60389"/>
    <w:rsid w:val="50D02B31"/>
    <w:rsid w:val="50DD64D9"/>
    <w:rsid w:val="50EE61A1"/>
    <w:rsid w:val="51255AFF"/>
    <w:rsid w:val="514D2BFB"/>
    <w:rsid w:val="5173607E"/>
    <w:rsid w:val="518C5434"/>
    <w:rsid w:val="519D3F34"/>
    <w:rsid w:val="51BB533D"/>
    <w:rsid w:val="51EB714B"/>
    <w:rsid w:val="51F06C6A"/>
    <w:rsid w:val="51F85506"/>
    <w:rsid w:val="51FC692C"/>
    <w:rsid w:val="5210469A"/>
    <w:rsid w:val="521106B6"/>
    <w:rsid w:val="52133DD3"/>
    <w:rsid w:val="52171E30"/>
    <w:rsid w:val="5217598C"/>
    <w:rsid w:val="521F2A93"/>
    <w:rsid w:val="523B2DAE"/>
    <w:rsid w:val="52677FDF"/>
    <w:rsid w:val="52754DA9"/>
    <w:rsid w:val="52BE045B"/>
    <w:rsid w:val="52CE3013"/>
    <w:rsid w:val="52D079F7"/>
    <w:rsid w:val="52D14458"/>
    <w:rsid w:val="52EF193F"/>
    <w:rsid w:val="52F263F9"/>
    <w:rsid w:val="530137AC"/>
    <w:rsid w:val="530A3B9E"/>
    <w:rsid w:val="531620E8"/>
    <w:rsid w:val="5320580C"/>
    <w:rsid w:val="532F0DD7"/>
    <w:rsid w:val="53360A3A"/>
    <w:rsid w:val="53590F6E"/>
    <w:rsid w:val="53627EBD"/>
    <w:rsid w:val="536C35F0"/>
    <w:rsid w:val="53722483"/>
    <w:rsid w:val="537F3142"/>
    <w:rsid w:val="538029A8"/>
    <w:rsid w:val="53834FD5"/>
    <w:rsid w:val="539A286D"/>
    <w:rsid w:val="539F3857"/>
    <w:rsid w:val="53A6436C"/>
    <w:rsid w:val="53B9371C"/>
    <w:rsid w:val="53C71C38"/>
    <w:rsid w:val="53CD1D9A"/>
    <w:rsid w:val="53D345F7"/>
    <w:rsid w:val="53E403BC"/>
    <w:rsid w:val="53E8601D"/>
    <w:rsid w:val="54243242"/>
    <w:rsid w:val="543E43A7"/>
    <w:rsid w:val="545037A1"/>
    <w:rsid w:val="54600741"/>
    <w:rsid w:val="5469397E"/>
    <w:rsid w:val="54741D03"/>
    <w:rsid w:val="547621F4"/>
    <w:rsid w:val="54842524"/>
    <w:rsid w:val="54AF0F32"/>
    <w:rsid w:val="54D233FC"/>
    <w:rsid w:val="54DF6FAE"/>
    <w:rsid w:val="54E73AD5"/>
    <w:rsid w:val="54ED0C26"/>
    <w:rsid w:val="54FF44F3"/>
    <w:rsid w:val="551457F6"/>
    <w:rsid w:val="55261CF0"/>
    <w:rsid w:val="552E6B4D"/>
    <w:rsid w:val="55437877"/>
    <w:rsid w:val="55472B0C"/>
    <w:rsid w:val="55477219"/>
    <w:rsid w:val="556952D0"/>
    <w:rsid w:val="55740219"/>
    <w:rsid w:val="557A1A2E"/>
    <w:rsid w:val="558F2D21"/>
    <w:rsid w:val="55A658EA"/>
    <w:rsid w:val="55AC42F9"/>
    <w:rsid w:val="55BA6FEA"/>
    <w:rsid w:val="55BC520C"/>
    <w:rsid w:val="55BD27EE"/>
    <w:rsid w:val="55D97A2A"/>
    <w:rsid w:val="55E90ADC"/>
    <w:rsid w:val="55F45A88"/>
    <w:rsid w:val="56001765"/>
    <w:rsid w:val="5605434F"/>
    <w:rsid w:val="560A313D"/>
    <w:rsid w:val="56151EF8"/>
    <w:rsid w:val="561C6AAD"/>
    <w:rsid w:val="564D130C"/>
    <w:rsid w:val="564F5AAD"/>
    <w:rsid w:val="565913BF"/>
    <w:rsid w:val="56676CEB"/>
    <w:rsid w:val="566B274A"/>
    <w:rsid w:val="56786942"/>
    <w:rsid w:val="567949F5"/>
    <w:rsid w:val="569A1D1C"/>
    <w:rsid w:val="56A3298F"/>
    <w:rsid w:val="56AA2FE6"/>
    <w:rsid w:val="56DA5F21"/>
    <w:rsid w:val="56EC27B1"/>
    <w:rsid w:val="56EE0B55"/>
    <w:rsid w:val="56F46793"/>
    <w:rsid w:val="56F52781"/>
    <w:rsid w:val="56FE078C"/>
    <w:rsid w:val="570D1A54"/>
    <w:rsid w:val="571628DD"/>
    <w:rsid w:val="571B1C99"/>
    <w:rsid w:val="57273191"/>
    <w:rsid w:val="573B379A"/>
    <w:rsid w:val="575C1BAD"/>
    <w:rsid w:val="5763570A"/>
    <w:rsid w:val="576A5F02"/>
    <w:rsid w:val="576F7B1B"/>
    <w:rsid w:val="5779167F"/>
    <w:rsid w:val="577C0CA4"/>
    <w:rsid w:val="57947DA4"/>
    <w:rsid w:val="579B4A98"/>
    <w:rsid w:val="57A514CE"/>
    <w:rsid w:val="57BF0AF5"/>
    <w:rsid w:val="57C71A93"/>
    <w:rsid w:val="57E8472A"/>
    <w:rsid w:val="57EC0BD6"/>
    <w:rsid w:val="57F024B2"/>
    <w:rsid w:val="57FB2E7E"/>
    <w:rsid w:val="582339F8"/>
    <w:rsid w:val="5848098A"/>
    <w:rsid w:val="585213B2"/>
    <w:rsid w:val="58541700"/>
    <w:rsid w:val="585F3B25"/>
    <w:rsid w:val="5896735B"/>
    <w:rsid w:val="58A10DDC"/>
    <w:rsid w:val="58B04D4B"/>
    <w:rsid w:val="58C5456D"/>
    <w:rsid w:val="58CD32AB"/>
    <w:rsid w:val="58D71228"/>
    <w:rsid w:val="58EF29B6"/>
    <w:rsid w:val="58FA7015"/>
    <w:rsid w:val="59023245"/>
    <w:rsid w:val="59085A71"/>
    <w:rsid w:val="59197AD9"/>
    <w:rsid w:val="593D7F54"/>
    <w:rsid w:val="594F273B"/>
    <w:rsid w:val="59537D85"/>
    <w:rsid w:val="59556B2F"/>
    <w:rsid w:val="595D6D9D"/>
    <w:rsid w:val="596D75D7"/>
    <w:rsid w:val="59775BCA"/>
    <w:rsid w:val="59910336"/>
    <w:rsid w:val="59980143"/>
    <w:rsid w:val="59B07CC9"/>
    <w:rsid w:val="59B20540"/>
    <w:rsid w:val="59BD50C1"/>
    <w:rsid w:val="59D4676D"/>
    <w:rsid w:val="59EE7C11"/>
    <w:rsid w:val="5A053E5C"/>
    <w:rsid w:val="5A171868"/>
    <w:rsid w:val="5A2F4761"/>
    <w:rsid w:val="5A614D45"/>
    <w:rsid w:val="5A681836"/>
    <w:rsid w:val="5A7E3BF3"/>
    <w:rsid w:val="5A820237"/>
    <w:rsid w:val="5A9102A6"/>
    <w:rsid w:val="5AD45B05"/>
    <w:rsid w:val="5AEB022E"/>
    <w:rsid w:val="5AEB39C3"/>
    <w:rsid w:val="5AEC1DE1"/>
    <w:rsid w:val="5AEF5DC4"/>
    <w:rsid w:val="5B150B9B"/>
    <w:rsid w:val="5B2707A6"/>
    <w:rsid w:val="5B465534"/>
    <w:rsid w:val="5B545E5B"/>
    <w:rsid w:val="5B563D79"/>
    <w:rsid w:val="5B662D8D"/>
    <w:rsid w:val="5B70039F"/>
    <w:rsid w:val="5B7D515B"/>
    <w:rsid w:val="5B80151B"/>
    <w:rsid w:val="5B8357EA"/>
    <w:rsid w:val="5B8C7115"/>
    <w:rsid w:val="5B9C19CA"/>
    <w:rsid w:val="5BA43FE1"/>
    <w:rsid w:val="5BEB4F9B"/>
    <w:rsid w:val="5BEC60DC"/>
    <w:rsid w:val="5BF22C32"/>
    <w:rsid w:val="5BF32D8A"/>
    <w:rsid w:val="5BFC23C7"/>
    <w:rsid w:val="5C056E65"/>
    <w:rsid w:val="5C1C7189"/>
    <w:rsid w:val="5C3A1FA0"/>
    <w:rsid w:val="5C410BD4"/>
    <w:rsid w:val="5C4D70F7"/>
    <w:rsid w:val="5C4E7AD4"/>
    <w:rsid w:val="5C766C17"/>
    <w:rsid w:val="5C7D3B5B"/>
    <w:rsid w:val="5C7E18DA"/>
    <w:rsid w:val="5C8E7BFA"/>
    <w:rsid w:val="5CAB28FA"/>
    <w:rsid w:val="5CB94045"/>
    <w:rsid w:val="5CCB4E11"/>
    <w:rsid w:val="5CEC0862"/>
    <w:rsid w:val="5D0A028C"/>
    <w:rsid w:val="5D0A6B67"/>
    <w:rsid w:val="5D0E7914"/>
    <w:rsid w:val="5D2E6413"/>
    <w:rsid w:val="5D3F7646"/>
    <w:rsid w:val="5D4F3B63"/>
    <w:rsid w:val="5D5027FD"/>
    <w:rsid w:val="5D5551CE"/>
    <w:rsid w:val="5D5D0AC4"/>
    <w:rsid w:val="5D622806"/>
    <w:rsid w:val="5D6A7A7F"/>
    <w:rsid w:val="5D824DB8"/>
    <w:rsid w:val="5D8E0700"/>
    <w:rsid w:val="5D902B9C"/>
    <w:rsid w:val="5D936E26"/>
    <w:rsid w:val="5D9417EB"/>
    <w:rsid w:val="5D943A5F"/>
    <w:rsid w:val="5D9C58DF"/>
    <w:rsid w:val="5DEA12E9"/>
    <w:rsid w:val="5DF539C2"/>
    <w:rsid w:val="5DF74830"/>
    <w:rsid w:val="5E0328F3"/>
    <w:rsid w:val="5E0B408B"/>
    <w:rsid w:val="5E0E07BA"/>
    <w:rsid w:val="5E2006A3"/>
    <w:rsid w:val="5E2C5F1A"/>
    <w:rsid w:val="5E5E2634"/>
    <w:rsid w:val="5E6C61DC"/>
    <w:rsid w:val="5E702F94"/>
    <w:rsid w:val="5E8E7BCB"/>
    <w:rsid w:val="5E9B7256"/>
    <w:rsid w:val="5EA55B03"/>
    <w:rsid w:val="5EB0334F"/>
    <w:rsid w:val="5EE4753E"/>
    <w:rsid w:val="5F015A72"/>
    <w:rsid w:val="5F1F713E"/>
    <w:rsid w:val="5F2521FE"/>
    <w:rsid w:val="5F2D6514"/>
    <w:rsid w:val="5F345409"/>
    <w:rsid w:val="5F3A3C31"/>
    <w:rsid w:val="5F5A335C"/>
    <w:rsid w:val="5F61320B"/>
    <w:rsid w:val="5F750A8C"/>
    <w:rsid w:val="5F7E6B45"/>
    <w:rsid w:val="5FB75C53"/>
    <w:rsid w:val="5FCC63D2"/>
    <w:rsid w:val="5FD33DBA"/>
    <w:rsid w:val="5FE67666"/>
    <w:rsid w:val="5FE94997"/>
    <w:rsid w:val="5FFB6372"/>
    <w:rsid w:val="601D370B"/>
    <w:rsid w:val="601F0F7E"/>
    <w:rsid w:val="60275DC6"/>
    <w:rsid w:val="604746F0"/>
    <w:rsid w:val="60574D80"/>
    <w:rsid w:val="6082576E"/>
    <w:rsid w:val="609202AE"/>
    <w:rsid w:val="60940794"/>
    <w:rsid w:val="60995007"/>
    <w:rsid w:val="60A95555"/>
    <w:rsid w:val="60B5539D"/>
    <w:rsid w:val="60BA3559"/>
    <w:rsid w:val="60BB3312"/>
    <w:rsid w:val="60C40413"/>
    <w:rsid w:val="60D14EE5"/>
    <w:rsid w:val="60E13FDE"/>
    <w:rsid w:val="60E77D95"/>
    <w:rsid w:val="6104196B"/>
    <w:rsid w:val="61271B17"/>
    <w:rsid w:val="61370B60"/>
    <w:rsid w:val="613A5C17"/>
    <w:rsid w:val="614C4F26"/>
    <w:rsid w:val="615702F9"/>
    <w:rsid w:val="61585C2F"/>
    <w:rsid w:val="615C1B2A"/>
    <w:rsid w:val="61635F3D"/>
    <w:rsid w:val="6165434D"/>
    <w:rsid w:val="616A0113"/>
    <w:rsid w:val="61721217"/>
    <w:rsid w:val="61814998"/>
    <w:rsid w:val="6181592E"/>
    <w:rsid w:val="618C4F2B"/>
    <w:rsid w:val="6193188D"/>
    <w:rsid w:val="61940951"/>
    <w:rsid w:val="619D39D4"/>
    <w:rsid w:val="61A5066F"/>
    <w:rsid w:val="61A61830"/>
    <w:rsid w:val="61B7242F"/>
    <w:rsid w:val="61C0122D"/>
    <w:rsid w:val="61C80397"/>
    <w:rsid w:val="61CB4784"/>
    <w:rsid w:val="61D26DA0"/>
    <w:rsid w:val="61D54F6F"/>
    <w:rsid w:val="61D80FF1"/>
    <w:rsid w:val="61E31FE8"/>
    <w:rsid w:val="61EF1883"/>
    <w:rsid w:val="61FB609F"/>
    <w:rsid w:val="621924E2"/>
    <w:rsid w:val="62215E1D"/>
    <w:rsid w:val="62290D69"/>
    <w:rsid w:val="62296160"/>
    <w:rsid w:val="62373E29"/>
    <w:rsid w:val="623B785C"/>
    <w:rsid w:val="623F5BB4"/>
    <w:rsid w:val="625510F8"/>
    <w:rsid w:val="62647EFC"/>
    <w:rsid w:val="62795DED"/>
    <w:rsid w:val="627A0AB5"/>
    <w:rsid w:val="627B7D00"/>
    <w:rsid w:val="628250F6"/>
    <w:rsid w:val="62936BF7"/>
    <w:rsid w:val="62A55A5A"/>
    <w:rsid w:val="62AF2A7A"/>
    <w:rsid w:val="62B93A1B"/>
    <w:rsid w:val="62CA639D"/>
    <w:rsid w:val="62DF515C"/>
    <w:rsid w:val="62E92162"/>
    <w:rsid w:val="62EB6C4B"/>
    <w:rsid w:val="63010E03"/>
    <w:rsid w:val="630B6BFB"/>
    <w:rsid w:val="631A6130"/>
    <w:rsid w:val="63337985"/>
    <w:rsid w:val="633F24C7"/>
    <w:rsid w:val="634751DA"/>
    <w:rsid w:val="63572774"/>
    <w:rsid w:val="635740B1"/>
    <w:rsid w:val="636348C2"/>
    <w:rsid w:val="63713E52"/>
    <w:rsid w:val="638C1BF5"/>
    <w:rsid w:val="63965572"/>
    <w:rsid w:val="63984A8E"/>
    <w:rsid w:val="639B42D9"/>
    <w:rsid w:val="63A57598"/>
    <w:rsid w:val="63B313C7"/>
    <w:rsid w:val="63BF5E84"/>
    <w:rsid w:val="63D043F1"/>
    <w:rsid w:val="63E2799D"/>
    <w:rsid w:val="6430596D"/>
    <w:rsid w:val="643638CE"/>
    <w:rsid w:val="64370AB2"/>
    <w:rsid w:val="64376CE7"/>
    <w:rsid w:val="644A1F71"/>
    <w:rsid w:val="644C0E32"/>
    <w:rsid w:val="64584946"/>
    <w:rsid w:val="646B4B6E"/>
    <w:rsid w:val="6481138B"/>
    <w:rsid w:val="648E3BA0"/>
    <w:rsid w:val="64C14B20"/>
    <w:rsid w:val="64D9595C"/>
    <w:rsid w:val="64E451B0"/>
    <w:rsid w:val="64F05D4C"/>
    <w:rsid w:val="64FD459A"/>
    <w:rsid w:val="650E4745"/>
    <w:rsid w:val="6512052D"/>
    <w:rsid w:val="651D4A71"/>
    <w:rsid w:val="652A3FD0"/>
    <w:rsid w:val="65342C08"/>
    <w:rsid w:val="654451B4"/>
    <w:rsid w:val="65670FC0"/>
    <w:rsid w:val="658C5065"/>
    <w:rsid w:val="659D6F2E"/>
    <w:rsid w:val="659E482A"/>
    <w:rsid w:val="65B04480"/>
    <w:rsid w:val="65B1242A"/>
    <w:rsid w:val="65C9134D"/>
    <w:rsid w:val="65CF123A"/>
    <w:rsid w:val="65D520A7"/>
    <w:rsid w:val="65DD6A95"/>
    <w:rsid w:val="65E91F38"/>
    <w:rsid w:val="66033F73"/>
    <w:rsid w:val="66146412"/>
    <w:rsid w:val="66156029"/>
    <w:rsid w:val="662D006C"/>
    <w:rsid w:val="66454F35"/>
    <w:rsid w:val="664C150F"/>
    <w:rsid w:val="66564586"/>
    <w:rsid w:val="666577F3"/>
    <w:rsid w:val="666674EB"/>
    <w:rsid w:val="66753EF4"/>
    <w:rsid w:val="667B2E6D"/>
    <w:rsid w:val="66A662E9"/>
    <w:rsid w:val="66D9129D"/>
    <w:rsid w:val="66D95F9D"/>
    <w:rsid w:val="66ED3557"/>
    <w:rsid w:val="66EE5B9F"/>
    <w:rsid w:val="671A0A74"/>
    <w:rsid w:val="672030DD"/>
    <w:rsid w:val="672579B3"/>
    <w:rsid w:val="67277EB0"/>
    <w:rsid w:val="672E3FFE"/>
    <w:rsid w:val="673E5A70"/>
    <w:rsid w:val="67441BB0"/>
    <w:rsid w:val="67466E7D"/>
    <w:rsid w:val="67586A70"/>
    <w:rsid w:val="675F3E5F"/>
    <w:rsid w:val="677E7B48"/>
    <w:rsid w:val="67940C5B"/>
    <w:rsid w:val="67AC673A"/>
    <w:rsid w:val="67AF062D"/>
    <w:rsid w:val="67B873DF"/>
    <w:rsid w:val="67CA48C6"/>
    <w:rsid w:val="67E70063"/>
    <w:rsid w:val="67EB1A9A"/>
    <w:rsid w:val="67ED0D6F"/>
    <w:rsid w:val="68017F68"/>
    <w:rsid w:val="68051960"/>
    <w:rsid w:val="680852D7"/>
    <w:rsid w:val="681F14DA"/>
    <w:rsid w:val="68291FA2"/>
    <w:rsid w:val="683B63F6"/>
    <w:rsid w:val="684F365A"/>
    <w:rsid w:val="685052E4"/>
    <w:rsid w:val="68545A32"/>
    <w:rsid w:val="68594AF9"/>
    <w:rsid w:val="686502CF"/>
    <w:rsid w:val="68806E8F"/>
    <w:rsid w:val="688D1B90"/>
    <w:rsid w:val="689524D5"/>
    <w:rsid w:val="68CA4204"/>
    <w:rsid w:val="68DD4A24"/>
    <w:rsid w:val="68F617C9"/>
    <w:rsid w:val="68F72142"/>
    <w:rsid w:val="690F4583"/>
    <w:rsid w:val="691774E1"/>
    <w:rsid w:val="69264AEB"/>
    <w:rsid w:val="692E7EC6"/>
    <w:rsid w:val="695928D6"/>
    <w:rsid w:val="695B09BA"/>
    <w:rsid w:val="696515A8"/>
    <w:rsid w:val="696D1EDE"/>
    <w:rsid w:val="698C32DA"/>
    <w:rsid w:val="6990559D"/>
    <w:rsid w:val="699102C2"/>
    <w:rsid w:val="69A8105B"/>
    <w:rsid w:val="69A82984"/>
    <w:rsid w:val="69AF3109"/>
    <w:rsid w:val="69C67F6C"/>
    <w:rsid w:val="69CE45D7"/>
    <w:rsid w:val="69F4398B"/>
    <w:rsid w:val="69FD7671"/>
    <w:rsid w:val="6A094C0C"/>
    <w:rsid w:val="6A2954F8"/>
    <w:rsid w:val="6A477FC1"/>
    <w:rsid w:val="6A4A4E05"/>
    <w:rsid w:val="6A55309E"/>
    <w:rsid w:val="6A5E7947"/>
    <w:rsid w:val="6A5F6DAD"/>
    <w:rsid w:val="6A615EE7"/>
    <w:rsid w:val="6A691298"/>
    <w:rsid w:val="6A6C6A8E"/>
    <w:rsid w:val="6A877E9B"/>
    <w:rsid w:val="6A8A10B4"/>
    <w:rsid w:val="6A952C2B"/>
    <w:rsid w:val="6A9A719B"/>
    <w:rsid w:val="6A9D62C5"/>
    <w:rsid w:val="6AAD76EB"/>
    <w:rsid w:val="6AC060DB"/>
    <w:rsid w:val="6AD911C9"/>
    <w:rsid w:val="6ADB5C16"/>
    <w:rsid w:val="6ADC15B9"/>
    <w:rsid w:val="6AF37A32"/>
    <w:rsid w:val="6B0B54AE"/>
    <w:rsid w:val="6B2A61F9"/>
    <w:rsid w:val="6B3C4CC1"/>
    <w:rsid w:val="6B4377FA"/>
    <w:rsid w:val="6B5537BD"/>
    <w:rsid w:val="6B5A19C8"/>
    <w:rsid w:val="6B691DBC"/>
    <w:rsid w:val="6B7048B3"/>
    <w:rsid w:val="6B85360D"/>
    <w:rsid w:val="6B9914AC"/>
    <w:rsid w:val="6BA66569"/>
    <w:rsid w:val="6BB37D39"/>
    <w:rsid w:val="6BB640C5"/>
    <w:rsid w:val="6BB64F87"/>
    <w:rsid w:val="6BD03BD0"/>
    <w:rsid w:val="6BD404B3"/>
    <w:rsid w:val="6BDB2B55"/>
    <w:rsid w:val="6C0C42E4"/>
    <w:rsid w:val="6C0F1117"/>
    <w:rsid w:val="6C1345FE"/>
    <w:rsid w:val="6C143027"/>
    <w:rsid w:val="6C251869"/>
    <w:rsid w:val="6C3E4762"/>
    <w:rsid w:val="6C3E7E38"/>
    <w:rsid w:val="6C411A7B"/>
    <w:rsid w:val="6C4D1747"/>
    <w:rsid w:val="6C5D74E0"/>
    <w:rsid w:val="6C64581A"/>
    <w:rsid w:val="6C824CCC"/>
    <w:rsid w:val="6C922387"/>
    <w:rsid w:val="6C9A7365"/>
    <w:rsid w:val="6CA83959"/>
    <w:rsid w:val="6CAE352F"/>
    <w:rsid w:val="6CB45548"/>
    <w:rsid w:val="6CB631CD"/>
    <w:rsid w:val="6CC87219"/>
    <w:rsid w:val="6CFC20B6"/>
    <w:rsid w:val="6D095D28"/>
    <w:rsid w:val="6D1B29A6"/>
    <w:rsid w:val="6D1F6FD2"/>
    <w:rsid w:val="6D3D4351"/>
    <w:rsid w:val="6D477F05"/>
    <w:rsid w:val="6D7705F1"/>
    <w:rsid w:val="6D772950"/>
    <w:rsid w:val="6D8F4FB6"/>
    <w:rsid w:val="6D9E0E0C"/>
    <w:rsid w:val="6DA02832"/>
    <w:rsid w:val="6DB058CF"/>
    <w:rsid w:val="6DB74734"/>
    <w:rsid w:val="6DCA39C2"/>
    <w:rsid w:val="6DCA6ED3"/>
    <w:rsid w:val="6DCC1515"/>
    <w:rsid w:val="6DCF227F"/>
    <w:rsid w:val="6DD3344F"/>
    <w:rsid w:val="6E051543"/>
    <w:rsid w:val="6E0B6C15"/>
    <w:rsid w:val="6E0F17B6"/>
    <w:rsid w:val="6E157D8C"/>
    <w:rsid w:val="6E2521E8"/>
    <w:rsid w:val="6E276AFF"/>
    <w:rsid w:val="6E2F1DFC"/>
    <w:rsid w:val="6E423A76"/>
    <w:rsid w:val="6E710963"/>
    <w:rsid w:val="6EA013A3"/>
    <w:rsid w:val="6EC3002E"/>
    <w:rsid w:val="6ECC2C07"/>
    <w:rsid w:val="6ED86EE4"/>
    <w:rsid w:val="6EFA6B23"/>
    <w:rsid w:val="6F114515"/>
    <w:rsid w:val="6F1C0D24"/>
    <w:rsid w:val="6F247406"/>
    <w:rsid w:val="6F4B59B2"/>
    <w:rsid w:val="6F545E95"/>
    <w:rsid w:val="6F63024C"/>
    <w:rsid w:val="6F6577BB"/>
    <w:rsid w:val="6F854425"/>
    <w:rsid w:val="6F981017"/>
    <w:rsid w:val="6FAC3647"/>
    <w:rsid w:val="6FB10FF9"/>
    <w:rsid w:val="6FCC0A95"/>
    <w:rsid w:val="6FCF079E"/>
    <w:rsid w:val="6FD63F7D"/>
    <w:rsid w:val="6FD93CB2"/>
    <w:rsid w:val="6FFA1CF1"/>
    <w:rsid w:val="700B5B2D"/>
    <w:rsid w:val="700E7028"/>
    <w:rsid w:val="70131412"/>
    <w:rsid w:val="701943DB"/>
    <w:rsid w:val="703C7524"/>
    <w:rsid w:val="704A3F8A"/>
    <w:rsid w:val="70600F16"/>
    <w:rsid w:val="706920D9"/>
    <w:rsid w:val="70692EA9"/>
    <w:rsid w:val="706D3F6C"/>
    <w:rsid w:val="707029DF"/>
    <w:rsid w:val="70785D38"/>
    <w:rsid w:val="707D7516"/>
    <w:rsid w:val="7086584A"/>
    <w:rsid w:val="70A86A67"/>
    <w:rsid w:val="70BD1A88"/>
    <w:rsid w:val="70CA5691"/>
    <w:rsid w:val="70D51189"/>
    <w:rsid w:val="70D76DB3"/>
    <w:rsid w:val="70E749E4"/>
    <w:rsid w:val="70F13404"/>
    <w:rsid w:val="70F774D3"/>
    <w:rsid w:val="711B0840"/>
    <w:rsid w:val="71215B47"/>
    <w:rsid w:val="712612F0"/>
    <w:rsid w:val="71346239"/>
    <w:rsid w:val="71422622"/>
    <w:rsid w:val="714F13D9"/>
    <w:rsid w:val="715D248C"/>
    <w:rsid w:val="717225B7"/>
    <w:rsid w:val="71783A4B"/>
    <w:rsid w:val="717C245B"/>
    <w:rsid w:val="718B43E1"/>
    <w:rsid w:val="71A04047"/>
    <w:rsid w:val="71A741E3"/>
    <w:rsid w:val="71C02989"/>
    <w:rsid w:val="71D53ADB"/>
    <w:rsid w:val="71E210EB"/>
    <w:rsid w:val="71EF202A"/>
    <w:rsid w:val="71FE7CA8"/>
    <w:rsid w:val="72033C47"/>
    <w:rsid w:val="720606FE"/>
    <w:rsid w:val="72304A83"/>
    <w:rsid w:val="72511EA8"/>
    <w:rsid w:val="72652CFE"/>
    <w:rsid w:val="7267672D"/>
    <w:rsid w:val="72870181"/>
    <w:rsid w:val="728B3EDA"/>
    <w:rsid w:val="728C65EB"/>
    <w:rsid w:val="72B6465D"/>
    <w:rsid w:val="72C45AFB"/>
    <w:rsid w:val="72C82824"/>
    <w:rsid w:val="733011BA"/>
    <w:rsid w:val="73305450"/>
    <w:rsid w:val="733C1483"/>
    <w:rsid w:val="734A024C"/>
    <w:rsid w:val="735447B9"/>
    <w:rsid w:val="7356406C"/>
    <w:rsid w:val="735C3F35"/>
    <w:rsid w:val="73A025D5"/>
    <w:rsid w:val="73A55718"/>
    <w:rsid w:val="73B83F28"/>
    <w:rsid w:val="74171BB3"/>
    <w:rsid w:val="74297741"/>
    <w:rsid w:val="744002FB"/>
    <w:rsid w:val="74404255"/>
    <w:rsid w:val="74447201"/>
    <w:rsid w:val="74525EA5"/>
    <w:rsid w:val="74546FD8"/>
    <w:rsid w:val="74672DD7"/>
    <w:rsid w:val="746E7D3B"/>
    <w:rsid w:val="74980757"/>
    <w:rsid w:val="749A59AC"/>
    <w:rsid w:val="74B6381B"/>
    <w:rsid w:val="74B723B1"/>
    <w:rsid w:val="74B80DF9"/>
    <w:rsid w:val="74C4154C"/>
    <w:rsid w:val="74C67EA2"/>
    <w:rsid w:val="74C81C9F"/>
    <w:rsid w:val="74DE687F"/>
    <w:rsid w:val="74F13ECD"/>
    <w:rsid w:val="74FF2523"/>
    <w:rsid w:val="74FF6EC8"/>
    <w:rsid w:val="75002AAD"/>
    <w:rsid w:val="75163790"/>
    <w:rsid w:val="75187405"/>
    <w:rsid w:val="75467D40"/>
    <w:rsid w:val="75502DDF"/>
    <w:rsid w:val="75510A2F"/>
    <w:rsid w:val="75516903"/>
    <w:rsid w:val="755507DC"/>
    <w:rsid w:val="757354B8"/>
    <w:rsid w:val="7574591B"/>
    <w:rsid w:val="758650B2"/>
    <w:rsid w:val="758C1772"/>
    <w:rsid w:val="75A977A0"/>
    <w:rsid w:val="75C10EDA"/>
    <w:rsid w:val="75C31803"/>
    <w:rsid w:val="75C537CD"/>
    <w:rsid w:val="75CC79A7"/>
    <w:rsid w:val="75D124B3"/>
    <w:rsid w:val="75D76C3E"/>
    <w:rsid w:val="75E77F1F"/>
    <w:rsid w:val="75F67BD1"/>
    <w:rsid w:val="75FD5416"/>
    <w:rsid w:val="75FD747A"/>
    <w:rsid w:val="760B4CDC"/>
    <w:rsid w:val="760E0BC9"/>
    <w:rsid w:val="761212B3"/>
    <w:rsid w:val="76127CAC"/>
    <w:rsid w:val="761D7654"/>
    <w:rsid w:val="76272334"/>
    <w:rsid w:val="763B5F78"/>
    <w:rsid w:val="763E7FFA"/>
    <w:rsid w:val="76456A20"/>
    <w:rsid w:val="765E0814"/>
    <w:rsid w:val="76675CDA"/>
    <w:rsid w:val="768928F9"/>
    <w:rsid w:val="76923AB5"/>
    <w:rsid w:val="76BC0FC6"/>
    <w:rsid w:val="76BC5C03"/>
    <w:rsid w:val="76BC5E1E"/>
    <w:rsid w:val="76CA4E14"/>
    <w:rsid w:val="76D44436"/>
    <w:rsid w:val="76D66A80"/>
    <w:rsid w:val="76DD12EE"/>
    <w:rsid w:val="77231221"/>
    <w:rsid w:val="77354B90"/>
    <w:rsid w:val="773F662F"/>
    <w:rsid w:val="7756292E"/>
    <w:rsid w:val="776239EF"/>
    <w:rsid w:val="7771418D"/>
    <w:rsid w:val="777D61AA"/>
    <w:rsid w:val="77853F06"/>
    <w:rsid w:val="77955421"/>
    <w:rsid w:val="77A120ED"/>
    <w:rsid w:val="77A30EBE"/>
    <w:rsid w:val="77A70605"/>
    <w:rsid w:val="77C9523B"/>
    <w:rsid w:val="77D02B29"/>
    <w:rsid w:val="77D04BA3"/>
    <w:rsid w:val="77D20931"/>
    <w:rsid w:val="77DC7A1E"/>
    <w:rsid w:val="78180AB2"/>
    <w:rsid w:val="78292BCA"/>
    <w:rsid w:val="782C31FE"/>
    <w:rsid w:val="782D0C9F"/>
    <w:rsid w:val="78314F19"/>
    <w:rsid w:val="78320EC2"/>
    <w:rsid w:val="78566568"/>
    <w:rsid w:val="787F6DC1"/>
    <w:rsid w:val="7890707E"/>
    <w:rsid w:val="78935F5A"/>
    <w:rsid w:val="789437F7"/>
    <w:rsid w:val="789813A2"/>
    <w:rsid w:val="78A530D4"/>
    <w:rsid w:val="78A93976"/>
    <w:rsid w:val="78BC486A"/>
    <w:rsid w:val="78C37F93"/>
    <w:rsid w:val="78CD5455"/>
    <w:rsid w:val="78EE72EA"/>
    <w:rsid w:val="78F13953"/>
    <w:rsid w:val="78F175C7"/>
    <w:rsid w:val="78F658EC"/>
    <w:rsid w:val="78FD4CB1"/>
    <w:rsid w:val="7940555A"/>
    <w:rsid w:val="794442C3"/>
    <w:rsid w:val="79782D35"/>
    <w:rsid w:val="79C30D0A"/>
    <w:rsid w:val="79C3234A"/>
    <w:rsid w:val="79C52447"/>
    <w:rsid w:val="79CD78DB"/>
    <w:rsid w:val="79D15A1A"/>
    <w:rsid w:val="79E273E5"/>
    <w:rsid w:val="79E3390F"/>
    <w:rsid w:val="79E36B28"/>
    <w:rsid w:val="79ED3DA3"/>
    <w:rsid w:val="7A335635"/>
    <w:rsid w:val="7A4C20BB"/>
    <w:rsid w:val="7A533550"/>
    <w:rsid w:val="7A6238B0"/>
    <w:rsid w:val="7A6A0B8A"/>
    <w:rsid w:val="7A764B23"/>
    <w:rsid w:val="7AA8546C"/>
    <w:rsid w:val="7AB010C3"/>
    <w:rsid w:val="7AC431F8"/>
    <w:rsid w:val="7AC44BFA"/>
    <w:rsid w:val="7AC865F6"/>
    <w:rsid w:val="7ACA54CC"/>
    <w:rsid w:val="7AD01085"/>
    <w:rsid w:val="7ADF5290"/>
    <w:rsid w:val="7B07759D"/>
    <w:rsid w:val="7B172201"/>
    <w:rsid w:val="7B2A5FAB"/>
    <w:rsid w:val="7B424F78"/>
    <w:rsid w:val="7B4B5F8B"/>
    <w:rsid w:val="7B6657A3"/>
    <w:rsid w:val="7B690BA5"/>
    <w:rsid w:val="7B722DA2"/>
    <w:rsid w:val="7B7C36BF"/>
    <w:rsid w:val="7B862F60"/>
    <w:rsid w:val="7B8E4CC5"/>
    <w:rsid w:val="7B980537"/>
    <w:rsid w:val="7BB7617E"/>
    <w:rsid w:val="7BD80EDF"/>
    <w:rsid w:val="7BE3630E"/>
    <w:rsid w:val="7BE54931"/>
    <w:rsid w:val="7BF54DFC"/>
    <w:rsid w:val="7C1441FF"/>
    <w:rsid w:val="7C1C36FA"/>
    <w:rsid w:val="7C256289"/>
    <w:rsid w:val="7C305719"/>
    <w:rsid w:val="7C542BA6"/>
    <w:rsid w:val="7C703170"/>
    <w:rsid w:val="7C734816"/>
    <w:rsid w:val="7C8174B2"/>
    <w:rsid w:val="7C833114"/>
    <w:rsid w:val="7C90557B"/>
    <w:rsid w:val="7C977EE1"/>
    <w:rsid w:val="7CC511D4"/>
    <w:rsid w:val="7CCA01BF"/>
    <w:rsid w:val="7CDE434A"/>
    <w:rsid w:val="7CE1639B"/>
    <w:rsid w:val="7CFE695D"/>
    <w:rsid w:val="7D1C3A71"/>
    <w:rsid w:val="7D21560D"/>
    <w:rsid w:val="7D251B8E"/>
    <w:rsid w:val="7D25793D"/>
    <w:rsid w:val="7D3231F4"/>
    <w:rsid w:val="7D482EE8"/>
    <w:rsid w:val="7D643EAC"/>
    <w:rsid w:val="7D766FD5"/>
    <w:rsid w:val="7D7D344C"/>
    <w:rsid w:val="7DA662D9"/>
    <w:rsid w:val="7DC13C5E"/>
    <w:rsid w:val="7DC82A25"/>
    <w:rsid w:val="7E2514DD"/>
    <w:rsid w:val="7E360FA4"/>
    <w:rsid w:val="7E4000DE"/>
    <w:rsid w:val="7E45720E"/>
    <w:rsid w:val="7E464D80"/>
    <w:rsid w:val="7E4A06D3"/>
    <w:rsid w:val="7E513120"/>
    <w:rsid w:val="7E5B5B73"/>
    <w:rsid w:val="7E637CE9"/>
    <w:rsid w:val="7E6E5448"/>
    <w:rsid w:val="7E7A20B2"/>
    <w:rsid w:val="7E8231B6"/>
    <w:rsid w:val="7E9246A8"/>
    <w:rsid w:val="7E9A7CC9"/>
    <w:rsid w:val="7E9B3F51"/>
    <w:rsid w:val="7EB22545"/>
    <w:rsid w:val="7EBC738F"/>
    <w:rsid w:val="7EC53AF2"/>
    <w:rsid w:val="7ED6178D"/>
    <w:rsid w:val="7EE01819"/>
    <w:rsid w:val="7EE3318D"/>
    <w:rsid w:val="7EE40706"/>
    <w:rsid w:val="7EE4728A"/>
    <w:rsid w:val="7EF754D9"/>
    <w:rsid w:val="7F0B7494"/>
    <w:rsid w:val="7F0F4ADA"/>
    <w:rsid w:val="7F316888"/>
    <w:rsid w:val="7F430C7F"/>
    <w:rsid w:val="7F580D7A"/>
    <w:rsid w:val="7F5931D8"/>
    <w:rsid w:val="7F651FB0"/>
    <w:rsid w:val="7F6E15BE"/>
    <w:rsid w:val="7F7967AA"/>
    <w:rsid w:val="7FB040C8"/>
    <w:rsid w:val="7FB431FE"/>
    <w:rsid w:val="7FBE16BE"/>
    <w:rsid w:val="7FD10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name="index heading"/>
    <w:lsdException w:qFormat="1" w:uiPriority="35" w:name="caption"/>
    <w:lsdException w:qFormat="1" w:unhideWhenUsed="0" w:uiPriority="0" w:name="table of figures"/>
    <w:lsdException w:qFormat="1" w:unhideWhenUsed="0" w:uiPriority="0" w:name="envelope address"/>
    <w:lsdException w:qFormat="1" w:unhideWhenUsed="0" w:uiPriority="0" w:name="envelope return"/>
    <w:lsdException w:qFormat="1" w:unhideWhenUsed="0" w:uiPriority="0" w:name="footnote reference"/>
    <w:lsdException w:qFormat="1" w:uiPriority="0" w:semiHidden="0" w:name="annotation reference"/>
    <w:lsdException w:qFormat="1" w:unhideWhenUsed="0"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qFormat="1" w:unhideWhenUsed="0" w:uiPriority="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semiHidden="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11" w:semiHidden="0" w:name="Subtitle"/>
    <w:lsdException w:qFormat="1" w:unhideWhenUsed="0" w:uiPriority="0" w:name="Salutation"/>
    <w:lsdException w:qFormat="1" w:unhideWhenUsed="0" w:uiPriority="0" w:semiHidden="0" w:name="Date"/>
    <w:lsdException w:qFormat="1" w:uiPriority="0" w:name="Body Text First Indent"/>
    <w:lsdException w:qFormat="1" w:unhideWhenUsed="0" w:uiPriority="0" w:semiHidden="0" w:name="Body Text First Indent 2"/>
    <w:lsdException w:qFormat="1" w:unhideWhenUsed="0" w:uiPriority="0" w:name="Note Heading"/>
    <w:lsdException w:qFormat="1" w:unhideWhenUsed="0" w:uiPriority="0" w:semiHidden="0" w:name="Body Text 2"/>
    <w:lsdException w:qFormat="1" w:unhideWhenUsed="0" w:uiPriority="0" w:name="Body Text 3"/>
    <w:lsdException w:qFormat="1" w:unhideWhenUsed="0" w:uiPriority="0" w:semiHidden="0" w:name="Body Text Indent 2"/>
    <w:lsdException w:qFormat="1" w:unhideWhenUsed="0" w:uiPriority="0" w:semiHidden="0" w:name="Body Text Indent 3"/>
    <w:lsdException w:qFormat="1" w:unhideWhenUsed="0" w:uiPriority="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name="E-mail Signature"/>
    <w:lsdException w:qFormat="1" w:uiPriority="99" w:semiHidden="0" w:name="Normal (Web)"/>
    <w:lsdException w:qFormat="1" w:unhideWhenUsed="0" w:uiPriority="0" w:name="HTML Acronym"/>
    <w:lsdException w:qFormat="1" w:unhideWhenUsed="0" w:uiPriority="0" w:name="HTML Address"/>
    <w:lsdException w:qFormat="1" w:uiPriority="0" w:semiHidden="0" w:name="HTML Cite"/>
    <w:lsdException w:qFormat="1" w:uiPriority="0" w:semiHidden="0" w:name="HTML Code"/>
    <w:lsdException w:qFormat="1" w:uiPriority="0" w:semiHidden="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iPriority="0" w:semiHidden="0" w:name="HTML Variable"/>
    <w:lsdException w:qFormat="1" w:uiPriority="99" w:name="Normal Table"/>
    <w:lsdException w:qFormat="1" w:uiPriority="0" w:semiHidden="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semiHidden="0" w:name="Balloon Text"/>
    <w:lsdException w:qFormat="1" w:unhideWhenUsed="0" w:uiPriority="59" w:semiHidden="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64"/>
    <w:qFormat/>
    <w:uiPriority w:val="0"/>
    <w:pPr>
      <w:keepNext/>
      <w:keepLines/>
      <w:widowControl/>
      <w:spacing w:before="340" w:after="330"/>
      <w:jc w:val="left"/>
      <w:outlineLvl w:val="0"/>
    </w:pPr>
    <w:rPr>
      <w:rFonts w:ascii="华文细黑"/>
      <w:b/>
      <w:bCs/>
      <w:snapToGrid w:val="0"/>
      <w:kern w:val="0"/>
      <w:sz w:val="28"/>
      <w:szCs w:val="44"/>
    </w:rPr>
  </w:style>
  <w:style w:type="paragraph" w:styleId="5">
    <w:name w:val="heading 2"/>
    <w:basedOn w:val="1"/>
    <w:next w:val="1"/>
    <w:link w:val="171"/>
    <w:qFormat/>
    <w:uiPriority w:val="0"/>
    <w:pPr>
      <w:spacing w:before="260" w:after="260"/>
      <w:jc w:val="left"/>
      <w:outlineLvl w:val="1"/>
    </w:pPr>
    <w:rPr>
      <w:rFonts w:ascii="华文细黑" w:hAnsi="华文细黑"/>
      <w:b/>
      <w:bCs/>
      <w:kern w:val="0"/>
      <w:szCs w:val="32"/>
    </w:rPr>
  </w:style>
  <w:style w:type="paragraph" w:styleId="6">
    <w:name w:val="heading 3"/>
    <w:basedOn w:val="1"/>
    <w:next w:val="1"/>
    <w:link w:val="182"/>
    <w:qFormat/>
    <w:uiPriority w:val="0"/>
    <w:pPr>
      <w:keepNext/>
      <w:keepLines/>
      <w:widowControl/>
      <w:spacing w:before="260" w:after="260" w:line="416" w:lineRule="auto"/>
      <w:jc w:val="left"/>
      <w:outlineLvl w:val="2"/>
    </w:pPr>
    <w:rPr>
      <w:rFonts w:eastAsia="华文细黑"/>
      <w:bCs/>
      <w:kern w:val="0"/>
      <w:sz w:val="36"/>
      <w:szCs w:val="32"/>
    </w:rPr>
  </w:style>
  <w:style w:type="paragraph" w:styleId="7">
    <w:name w:val="heading 4"/>
    <w:basedOn w:val="1"/>
    <w:next w:val="1"/>
    <w:link w:val="209"/>
    <w:qFormat/>
    <w:uiPriority w:val="0"/>
    <w:pPr>
      <w:keepNext/>
      <w:keepLines/>
      <w:widowControl/>
      <w:spacing w:before="280" w:after="290" w:line="376" w:lineRule="auto"/>
      <w:jc w:val="left"/>
      <w:outlineLvl w:val="3"/>
    </w:pPr>
    <w:rPr>
      <w:rFonts w:ascii="Arial" w:hAnsi="Arial" w:eastAsia="黑体"/>
      <w:b/>
      <w:bCs/>
      <w:kern w:val="0"/>
      <w:sz w:val="28"/>
      <w:szCs w:val="28"/>
    </w:rPr>
  </w:style>
  <w:style w:type="paragraph" w:styleId="8">
    <w:name w:val="heading 5"/>
    <w:basedOn w:val="1"/>
    <w:next w:val="1"/>
    <w:link w:val="196"/>
    <w:qFormat/>
    <w:uiPriority w:val="0"/>
    <w:pPr>
      <w:keepNext/>
      <w:keepLines/>
      <w:widowControl/>
      <w:spacing w:before="280" w:after="290" w:line="376" w:lineRule="auto"/>
      <w:jc w:val="left"/>
      <w:outlineLvl w:val="4"/>
    </w:pPr>
    <w:rPr>
      <w:b/>
      <w:bCs/>
      <w:kern w:val="0"/>
      <w:sz w:val="28"/>
      <w:szCs w:val="28"/>
    </w:rPr>
  </w:style>
  <w:style w:type="paragraph" w:styleId="9">
    <w:name w:val="heading 6"/>
    <w:basedOn w:val="1"/>
    <w:next w:val="1"/>
    <w:link w:val="172"/>
    <w:qFormat/>
    <w:uiPriority w:val="0"/>
    <w:pPr>
      <w:keepNext/>
      <w:keepLines/>
      <w:widowControl/>
      <w:spacing w:before="240" w:after="64" w:line="320" w:lineRule="auto"/>
      <w:jc w:val="left"/>
      <w:outlineLvl w:val="5"/>
    </w:pPr>
    <w:rPr>
      <w:rFonts w:ascii="Arial" w:hAnsi="Arial" w:eastAsia="黑体"/>
      <w:b/>
      <w:bCs/>
      <w:kern w:val="0"/>
      <w:sz w:val="24"/>
    </w:rPr>
  </w:style>
  <w:style w:type="paragraph" w:styleId="10">
    <w:name w:val="heading 7"/>
    <w:basedOn w:val="1"/>
    <w:next w:val="1"/>
    <w:link w:val="189"/>
    <w:qFormat/>
    <w:uiPriority w:val="0"/>
    <w:pPr>
      <w:keepNext/>
      <w:keepLines/>
      <w:widowControl/>
      <w:spacing w:before="240" w:after="64" w:line="320" w:lineRule="auto"/>
      <w:jc w:val="left"/>
      <w:outlineLvl w:val="6"/>
    </w:pPr>
    <w:rPr>
      <w:b/>
      <w:bCs/>
      <w:kern w:val="0"/>
      <w:sz w:val="24"/>
    </w:rPr>
  </w:style>
  <w:style w:type="paragraph" w:styleId="11">
    <w:name w:val="heading 8"/>
    <w:basedOn w:val="1"/>
    <w:next w:val="1"/>
    <w:link w:val="203"/>
    <w:qFormat/>
    <w:uiPriority w:val="0"/>
    <w:pPr>
      <w:keepNext/>
      <w:keepLines/>
      <w:widowControl/>
      <w:spacing w:before="240" w:after="64" w:line="320" w:lineRule="auto"/>
      <w:jc w:val="left"/>
      <w:outlineLvl w:val="7"/>
    </w:pPr>
    <w:rPr>
      <w:rFonts w:ascii="Arial" w:hAnsi="Arial" w:eastAsia="黑体"/>
      <w:kern w:val="0"/>
      <w:sz w:val="24"/>
    </w:rPr>
  </w:style>
  <w:style w:type="paragraph" w:styleId="12">
    <w:name w:val="heading 9"/>
    <w:basedOn w:val="1"/>
    <w:next w:val="1"/>
    <w:link w:val="193"/>
    <w:qFormat/>
    <w:uiPriority w:val="0"/>
    <w:pPr>
      <w:keepNext/>
      <w:keepLines/>
      <w:widowControl/>
      <w:spacing w:before="240" w:after="64" w:line="320" w:lineRule="auto"/>
      <w:jc w:val="left"/>
      <w:outlineLvl w:val="8"/>
    </w:pPr>
    <w:rPr>
      <w:rFonts w:ascii="Arial" w:hAnsi="Arial" w:eastAsia="黑体"/>
      <w:kern w:val="0"/>
      <w:sz w:val="20"/>
      <w:szCs w:val="21"/>
    </w:rPr>
  </w:style>
  <w:style w:type="character" w:default="1" w:styleId="129">
    <w:name w:val="Default Paragraph Font"/>
    <w:semiHidden/>
    <w:unhideWhenUsed/>
    <w:qFormat/>
    <w:uiPriority w:val="1"/>
  </w:style>
  <w:style w:type="table" w:default="1" w:styleId="8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06"/>
    <w:qFormat/>
    <w:uiPriority w:val="0"/>
    <w:pPr>
      <w:spacing w:line="320" w:lineRule="exact"/>
    </w:pPr>
    <w:rPr>
      <w:kern w:val="0"/>
      <w:sz w:val="20"/>
    </w:rPr>
  </w:style>
  <w:style w:type="paragraph" w:styleId="3">
    <w:name w:val="Title"/>
    <w:basedOn w:val="1"/>
    <w:next w:val="1"/>
    <w:link w:val="177"/>
    <w:qFormat/>
    <w:uiPriority w:val="0"/>
    <w:pPr>
      <w:spacing w:before="240" w:after="60"/>
      <w:jc w:val="center"/>
      <w:outlineLvl w:val="0"/>
    </w:pPr>
    <w:rPr>
      <w:rFonts w:ascii="Cambria" w:hAnsi="Cambria"/>
      <w:b/>
      <w:bCs/>
      <w:kern w:val="0"/>
      <w:sz w:val="32"/>
      <w:szCs w:val="32"/>
    </w:rPr>
  </w:style>
  <w:style w:type="paragraph" w:styleId="13">
    <w:name w:val="List 3"/>
    <w:basedOn w:val="1"/>
    <w:semiHidden/>
    <w:qFormat/>
    <w:uiPriority w:val="0"/>
    <w:pPr>
      <w:adjustRightInd/>
      <w:snapToGrid/>
      <w:spacing w:line="240" w:lineRule="auto"/>
      <w:ind w:left="100" w:leftChars="400" w:hanging="200" w:hangingChars="200"/>
    </w:pPr>
  </w:style>
  <w:style w:type="paragraph" w:styleId="14">
    <w:name w:val="toc 7"/>
    <w:basedOn w:val="1"/>
    <w:next w:val="1"/>
    <w:qFormat/>
    <w:uiPriority w:val="0"/>
    <w:pPr>
      <w:widowControl/>
      <w:ind w:left="1440"/>
      <w:jc w:val="left"/>
    </w:pPr>
    <w:rPr>
      <w:kern w:val="0"/>
      <w:sz w:val="18"/>
      <w:szCs w:val="18"/>
    </w:rPr>
  </w:style>
  <w:style w:type="paragraph" w:styleId="15">
    <w:name w:val="List Number 2"/>
    <w:basedOn w:val="1"/>
    <w:semiHidden/>
    <w:qFormat/>
    <w:uiPriority w:val="0"/>
    <w:pPr>
      <w:numPr>
        <w:ilvl w:val="0"/>
        <w:numId w:val="1"/>
      </w:numPr>
      <w:adjustRightInd/>
      <w:snapToGrid/>
      <w:spacing w:line="240" w:lineRule="auto"/>
    </w:pPr>
  </w:style>
  <w:style w:type="paragraph" w:styleId="16">
    <w:name w:val="Note Heading"/>
    <w:basedOn w:val="1"/>
    <w:next w:val="1"/>
    <w:link w:val="221"/>
    <w:semiHidden/>
    <w:qFormat/>
    <w:uiPriority w:val="0"/>
    <w:pPr>
      <w:adjustRightInd/>
      <w:snapToGrid/>
      <w:spacing w:line="240" w:lineRule="auto"/>
      <w:jc w:val="center"/>
    </w:pPr>
    <w:rPr>
      <w:rFonts w:cs="Calibri"/>
      <w:kern w:val="0"/>
      <w:sz w:val="20"/>
    </w:rPr>
  </w:style>
  <w:style w:type="paragraph" w:styleId="17">
    <w:name w:val="List Bullet 4"/>
    <w:basedOn w:val="1"/>
    <w:semiHidden/>
    <w:qFormat/>
    <w:uiPriority w:val="0"/>
    <w:pPr>
      <w:numPr>
        <w:ilvl w:val="0"/>
        <w:numId w:val="2"/>
      </w:numPr>
      <w:adjustRightInd/>
      <w:snapToGrid/>
      <w:spacing w:line="240" w:lineRule="auto"/>
    </w:pPr>
  </w:style>
  <w:style w:type="paragraph" w:styleId="18">
    <w:name w:val="index 8"/>
    <w:basedOn w:val="1"/>
    <w:next w:val="1"/>
    <w:semiHidden/>
    <w:qFormat/>
    <w:uiPriority w:val="0"/>
    <w:pPr>
      <w:adjustRightInd/>
      <w:snapToGrid/>
      <w:spacing w:line="240" w:lineRule="auto"/>
      <w:ind w:left="1680" w:hanging="210"/>
      <w:jc w:val="left"/>
    </w:pPr>
    <w:rPr>
      <w:sz w:val="20"/>
      <w:szCs w:val="20"/>
    </w:rPr>
  </w:style>
  <w:style w:type="paragraph" w:styleId="19">
    <w:name w:val="E-mail Signature"/>
    <w:basedOn w:val="1"/>
    <w:link w:val="222"/>
    <w:semiHidden/>
    <w:qFormat/>
    <w:uiPriority w:val="0"/>
    <w:pPr>
      <w:adjustRightInd/>
      <w:snapToGrid/>
      <w:spacing w:line="240" w:lineRule="auto"/>
    </w:pPr>
    <w:rPr>
      <w:rFonts w:cs="Calibri"/>
      <w:kern w:val="0"/>
      <w:sz w:val="20"/>
    </w:rPr>
  </w:style>
  <w:style w:type="paragraph" w:styleId="20">
    <w:name w:val="List Number"/>
    <w:basedOn w:val="1"/>
    <w:semiHidden/>
    <w:qFormat/>
    <w:uiPriority w:val="0"/>
    <w:pPr>
      <w:numPr>
        <w:ilvl w:val="0"/>
        <w:numId w:val="3"/>
      </w:numPr>
      <w:adjustRightInd/>
      <w:snapToGrid/>
      <w:spacing w:line="240" w:lineRule="auto"/>
    </w:pPr>
  </w:style>
  <w:style w:type="paragraph" w:styleId="21">
    <w:name w:val="Normal Indent"/>
    <w:basedOn w:val="1"/>
    <w:qFormat/>
    <w:uiPriority w:val="0"/>
    <w:pPr>
      <w:ind w:firstLine="961" w:firstLineChars="200"/>
    </w:pPr>
    <w:rPr>
      <w:szCs w:val="20"/>
    </w:rPr>
  </w:style>
  <w:style w:type="paragraph" w:styleId="22">
    <w:name w:val="index 5"/>
    <w:basedOn w:val="1"/>
    <w:next w:val="1"/>
    <w:semiHidden/>
    <w:qFormat/>
    <w:uiPriority w:val="0"/>
    <w:pPr>
      <w:adjustRightInd/>
      <w:snapToGrid/>
      <w:spacing w:line="240" w:lineRule="auto"/>
      <w:ind w:left="1050" w:hanging="210"/>
      <w:jc w:val="left"/>
    </w:pPr>
    <w:rPr>
      <w:sz w:val="20"/>
      <w:szCs w:val="20"/>
    </w:rPr>
  </w:style>
  <w:style w:type="paragraph" w:styleId="23">
    <w:name w:val="List Bullet"/>
    <w:basedOn w:val="1"/>
    <w:semiHidden/>
    <w:qFormat/>
    <w:uiPriority w:val="0"/>
    <w:pPr>
      <w:numPr>
        <w:ilvl w:val="0"/>
        <w:numId w:val="4"/>
      </w:numPr>
      <w:adjustRightInd/>
      <w:snapToGrid/>
      <w:spacing w:line="240" w:lineRule="auto"/>
    </w:pPr>
  </w:style>
  <w:style w:type="paragraph" w:styleId="24">
    <w:name w:val="envelope address"/>
    <w:basedOn w:val="1"/>
    <w:semiHidden/>
    <w:qFormat/>
    <w:uiPriority w:val="0"/>
    <w:pPr>
      <w:framePr w:w="7920" w:h="1980" w:hRule="exact" w:hSpace="180" w:wrap="around" w:vAnchor="margin" w:hAnchor="page" w:xAlign="center" w:yAlign="bottom"/>
      <w:adjustRightInd/>
      <w:spacing w:line="240" w:lineRule="auto"/>
      <w:ind w:left="100" w:leftChars="1400"/>
    </w:pPr>
    <w:rPr>
      <w:rFonts w:ascii="Arial" w:hAnsi="Arial" w:cs="Arial"/>
      <w:sz w:val="24"/>
    </w:rPr>
  </w:style>
  <w:style w:type="paragraph" w:styleId="25">
    <w:name w:val="Document Map"/>
    <w:basedOn w:val="1"/>
    <w:link w:val="173"/>
    <w:qFormat/>
    <w:uiPriority w:val="0"/>
    <w:pPr>
      <w:widowControl/>
      <w:shd w:val="clear" w:color="auto" w:fill="000080"/>
      <w:jc w:val="left"/>
    </w:pPr>
    <w:rPr>
      <w:kern w:val="0"/>
      <w:sz w:val="24"/>
    </w:rPr>
  </w:style>
  <w:style w:type="paragraph" w:styleId="26">
    <w:name w:val="toa heading"/>
    <w:basedOn w:val="1"/>
    <w:next w:val="1"/>
    <w:semiHidden/>
    <w:qFormat/>
    <w:uiPriority w:val="0"/>
    <w:pPr>
      <w:autoSpaceDE w:val="0"/>
      <w:autoSpaceDN w:val="0"/>
      <w:snapToGrid/>
      <w:spacing w:before="120" w:after="60"/>
      <w:ind w:right="-425"/>
    </w:pPr>
    <w:rPr>
      <w:rFonts w:ascii="Arial" w:hAnsi="Arial"/>
      <w:color w:val="000000"/>
      <w:sz w:val="24"/>
      <w:szCs w:val="20"/>
    </w:rPr>
  </w:style>
  <w:style w:type="paragraph" w:styleId="27">
    <w:name w:val="annotation text"/>
    <w:basedOn w:val="1"/>
    <w:link w:val="175"/>
    <w:qFormat/>
    <w:uiPriority w:val="0"/>
    <w:pPr>
      <w:jc w:val="left"/>
    </w:pPr>
    <w:rPr>
      <w:kern w:val="0"/>
      <w:sz w:val="20"/>
    </w:rPr>
  </w:style>
  <w:style w:type="paragraph" w:styleId="28">
    <w:name w:val="index 6"/>
    <w:basedOn w:val="1"/>
    <w:next w:val="1"/>
    <w:semiHidden/>
    <w:qFormat/>
    <w:uiPriority w:val="0"/>
    <w:pPr>
      <w:adjustRightInd/>
      <w:snapToGrid/>
      <w:spacing w:line="240" w:lineRule="auto"/>
      <w:ind w:left="1260" w:hanging="210"/>
      <w:jc w:val="left"/>
    </w:pPr>
    <w:rPr>
      <w:sz w:val="20"/>
      <w:szCs w:val="20"/>
    </w:rPr>
  </w:style>
  <w:style w:type="paragraph" w:styleId="29">
    <w:name w:val="Salutation"/>
    <w:basedOn w:val="1"/>
    <w:next w:val="1"/>
    <w:link w:val="223"/>
    <w:semiHidden/>
    <w:qFormat/>
    <w:uiPriority w:val="0"/>
    <w:pPr>
      <w:adjustRightInd/>
      <w:snapToGrid/>
      <w:spacing w:line="240" w:lineRule="auto"/>
    </w:pPr>
    <w:rPr>
      <w:rFonts w:cs="Calibri"/>
      <w:kern w:val="0"/>
      <w:sz w:val="20"/>
    </w:rPr>
  </w:style>
  <w:style w:type="paragraph" w:styleId="30">
    <w:name w:val="Body Text 3"/>
    <w:basedOn w:val="1"/>
    <w:link w:val="224"/>
    <w:semiHidden/>
    <w:qFormat/>
    <w:uiPriority w:val="0"/>
    <w:pPr>
      <w:adjustRightInd/>
      <w:snapToGrid/>
      <w:spacing w:after="120" w:line="240" w:lineRule="auto"/>
    </w:pPr>
    <w:rPr>
      <w:rFonts w:cs="Calibri"/>
      <w:kern w:val="0"/>
      <w:sz w:val="16"/>
      <w:szCs w:val="16"/>
    </w:rPr>
  </w:style>
  <w:style w:type="paragraph" w:styleId="31">
    <w:name w:val="Closing"/>
    <w:basedOn w:val="1"/>
    <w:link w:val="225"/>
    <w:semiHidden/>
    <w:qFormat/>
    <w:uiPriority w:val="0"/>
    <w:pPr>
      <w:adjustRightInd/>
      <w:snapToGrid/>
      <w:spacing w:line="240" w:lineRule="auto"/>
      <w:ind w:left="100" w:leftChars="2100"/>
    </w:pPr>
    <w:rPr>
      <w:rFonts w:cs="Calibri"/>
      <w:kern w:val="0"/>
      <w:sz w:val="20"/>
    </w:rPr>
  </w:style>
  <w:style w:type="paragraph" w:styleId="32">
    <w:name w:val="List Bullet 3"/>
    <w:basedOn w:val="1"/>
    <w:semiHidden/>
    <w:qFormat/>
    <w:uiPriority w:val="0"/>
    <w:pPr>
      <w:numPr>
        <w:ilvl w:val="0"/>
        <w:numId w:val="5"/>
      </w:numPr>
      <w:adjustRightInd/>
      <w:snapToGrid/>
      <w:spacing w:line="240" w:lineRule="auto"/>
    </w:pPr>
  </w:style>
  <w:style w:type="paragraph" w:styleId="33">
    <w:name w:val="Body Text Indent"/>
    <w:basedOn w:val="1"/>
    <w:link w:val="163"/>
    <w:qFormat/>
    <w:uiPriority w:val="99"/>
    <w:pPr>
      <w:ind w:firstLine="961" w:firstLineChars="200"/>
    </w:pPr>
    <w:rPr>
      <w:rFonts w:ascii="宋体" w:hAnsi="宋体"/>
      <w:kern w:val="0"/>
      <w:sz w:val="24"/>
      <w:szCs w:val="20"/>
    </w:rPr>
  </w:style>
  <w:style w:type="paragraph" w:styleId="34">
    <w:name w:val="List Number 3"/>
    <w:basedOn w:val="1"/>
    <w:semiHidden/>
    <w:qFormat/>
    <w:uiPriority w:val="0"/>
    <w:pPr>
      <w:numPr>
        <w:ilvl w:val="0"/>
        <w:numId w:val="6"/>
      </w:numPr>
      <w:adjustRightInd/>
      <w:snapToGrid/>
      <w:spacing w:line="240" w:lineRule="auto"/>
    </w:pPr>
  </w:style>
  <w:style w:type="paragraph" w:styleId="35">
    <w:name w:val="List 2"/>
    <w:basedOn w:val="1"/>
    <w:semiHidden/>
    <w:qFormat/>
    <w:uiPriority w:val="0"/>
    <w:pPr>
      <w:adjustRightInd/>
      <w:snapToGrid/>
      <w:spacing w:line="240" w:lineRule="auto"/>
      <w:ind w:left="100" w:leftChars="200" w:hanging="200" w:hangingChars="200"/>
    </w:pPr>
  </w:style>
  <w:style w:type="paragraph" w:styleId="36">
    <w:name w:val="List Continue"/>
    <w:basedOn w:val="1"/>
    <w:semiHidden/>
    <w:qFormat/>
    <w:uiPriority w:val="0"/>
    <w:pPr>
      <w:adjustRightInd/>
      <w:snapToGrid/>
      <w:spacing w:after="120" w:line="240" w:lineRule="auto"/>
      <w:ind w:left="420" w:leftChars="200"/>
    </w:pPr>
  </w:style>
  <w:style w:type="paragraph" w:styleId="37">
    <w:name w:val="Block Text"/>
    <w:basedOn w:val="1"/>
    <w:semiHidden/>
    <w:qFormat/>
    <w:uiPriority w:val="0"/>
    <w:pPr>
      <w:adjustRightInd/>
      <w:snapToGrid/>
      <w:spacing w:after="120" w:line="240" w:lineRule="auto"/>
      <w:ind w:left="1440" w:leftChars="700" w:right="1440" w:rightChars="700"/>
    </w:pPr>
  </w:style>
  <w:style w:type="paragraph" w:styleId="38">
    <w:name w:val="List Bullet 2"/>
    <w:basedOn w:val="1"/>
    <w:semiHidden/>
    <w:qFormat/>
    <w:uiPriority w:val="0"/>
    <w:pPr>
      <w:numPr>
        <w:ilvl w:val="0"/>
        <w:numId w:val="7"/>
      </w:numPr>
      <w:adjustRightInd/>
      <w:snapToGrid/>
      <w:spacing w:line="240" w:lineRule="auto"/>
    </w:pPr>
  </w:style>
  <w:style w:type="paragraph" w:styleId="39">
    <w:name w:val="HTML Address"/>
    <w:basedOn w:val="1"/>
    <w:link w:val="226"/>
    <w:semiHidden/>
    <w:qFormat/>
    <w:uiPriority w:val="0"/>
    <w:pPr>
      <w:adjustRightInd/>
      <w:snapToGrid/>
      <w:spacing w:line="240" w:lineRule="auto"/>
    </w:pPr>
    <w:rPr>
      <w:rFonts w:cs="Calibri"/>
      <w:i/>
      <w:iCs/>
      <w:kern w:val="0"/>
      <w:sz w:val="20"/>
    </w:rPr>
  </w:style>
  <w:style w:type="paragraph" w:styleId="40">
    <w:name w:val="index 4"/>
    <w:basedOn w:val="1"/>
    <w:next w:val="1"/>
    <w:semiHidden/>
    <w:qFormat/>
    <w:uiPriority w:val="0"/>
    <w:pPr>
      <w:adjustRightInd/>
      <w:snapToGrid/>
      <w:spacing w:line="240" w:lineRule="auto"/>
      <w:ind w:left="840" w:hanging="210"/>
      <w:jc w:val="left"/>
    </w:pPr>
    <w:rPr>
      <w:sz w:val="20"/>
      <w:szCs w:val="20"/>
    </w:rPr>
  </w:style>
  <w:style w:type="paragraph" w:styleId="41">
    <w:name w:val="toc 5"/>
    <w:basedOn w:val="1"/>
    <w:next w:val="1"/>
    <w:qFormat/>
    <w:uiPriority w:val="0"/>
    <w:pPr>
      <w:widowControl/>
      <w:ind w:left="960"/>
      <w:jc w:val="left"/>
    </w:pPr>
    <w:rPr>
      <w:kern w:val="0"/>
      <w:sz w:val="18"/>
      <w:szCs w:val="18"/>
    </w:rPr>
  </w:style>
  <w:style w:type="paragraph" w:styleId="42">
    <w:name w:val="toc 3"/>
    <w:basedOn w:val="1"/>
    <w:next w:val="1"/>
    <w:qFormat/>
    <w:uiPriority w:val="39"/>
    <w:pPr>
      <w:widowControl/>
      <w:ind w:left="480"/>
      <w:jc w:val="left"/>
    </w:pPr>
    <w:rPr>
      <w:i/>
      <w:iCs/>
      <w:kern w:val="0"/>
      <w:sz w:val="20"/>
      <w:szCs w:val="20"/>
    </w:rPr>
  </w:style>
  <w:style w:type="paragraph" w:styleId="43">
    <w:name w:val="Plain Text"/>
    <w:basedOn w:val="1"/>
    <w:next w:val="1"/>
    <w:link w:val="204"/>
    <w:qFormat/>
    <w:uiPriority w:val="0"/>
    <w:rPr>
      <w:rFonts w:ascii="宋体" w:hAnsi="Courier New"/>
      <w:kern w:val="0"/>
      <w:sz w:val="20"/>
      <w:szCs w:val="21"/>
    </w:rPr>
  </w:style>
  <w:style w:type="paragraph" w:styleId="44">
    <w:name w:val="List Bullet 5"/>
    <w:basedOn w:val="1"/>
    <w:semiHidden/>
    <w:qFormat/>
    <w:uiPriority w:val="0"/>
    <w:pPr>
      <w:tabs>
        <w:tab w:val="left" w:pos="2040"/>
      </w:tabs>
      <w:adjustRightInd/>
      <w:snapToGrid/>
      <w:spacing w:line="240" w:lineRule="auto"/>
      <w:ind w:left="2040" w:hanging="360"/>
    </w:pPr>
  </w:style>
  <w:style w:type="paragraph" w:styleId="45">
    <w:name w:val="List Number 4"/>
    <w:basedOn w:val="1"/>
    <w:semiHidden/>
    <w:qFormat/>
    <w:uiPriority w:val="0"/>
    <w:pPr>
      <w:numPr>
        <w:ilvl w:val="0"/>
        <w:numId w:val="8"/>
      </w:numPr>
      <w:adjustRightInd/>
      <w:snapToGrid/>
      <w:spacing w:line="240" w:lineRule="auto"/>
    </w:pPr>
  </w:style>
  <w:style w:type="paragraph" w:styleId="46">
    <w:name w:val="toc 8"/>
    <w:basedOn w:val="1"/>
    <w:next w:val="1"/>
    <w:qFormat/>
    <w:uiPriority w:val="0"/>
    <w:pPr>
      <w:widowControl/>
      <w:ind w:left="1680"/>
      <w:jc w:val="left"/>
    </w:pPr>
    <w:rPr>
      <w:kern w:val="0"/>
      <w:sz w:val="18"/>
      <w:szCs w:val="18"/>
    </w:rPr>
  </w:style>
  <w:style w:type="paragraph" w:styleId="47">
    <w:name w:val="index 3"/>
    <w:basedOn w:val="1"/>
    <w:next w:val="1"/>
    <w:semiHidden/>
    <w:qFormat/>
    <w:uiPriority w:val="0"/>
    <w:pPr>
      <w:adjustRightInd/>
      <w:snapToGrid/>
      <w:spacing w:line="240" w:lineRule="auto"/>
      <w:ind w:left="630" w:hanging="210"/>
      <w:jc w:val="left"/>
    </w:pPr>
    <w:rPr>
      <w:sz w:val="20"/>
      <w:szCs w:val="20"/>
    </w:rPr>
  </w:style>
  <w:style w:type="paragraph" w:styleId="48">
    <w:name w:val="Date"/>
    <w:basedOn w:val="1"/>
    <w:next w:val="1"/>
    <w:link w:val="179"/>
    <w:qFormat/>
    <w:uiPriority w:val="0"/>
    <w:pPr>
      <w:ind w:left="100" w:leftChars="2500"/>
    </w:pPr>
    <w:rPr>
      <w:kern w:val="0"/>
      <w:sz w:val="20"/>
    </w:rPr>
  </w:style>
  <w:style w:type="paragraph" w:styleId="49">
    <w:name w:val="Body Text Indent 2"/>
    <w:basedOn w:val="1"/>
    <w:link w:val="199"/>
    <w:qFormat/>
    <w:uiPriority w:val="0"/>
    <w:pPr>
      <w:ind w:firstLine="640" w:firstLineChars="200"/>
    </w:pPr>
    <w:rPr>
      <w:rFonts w:eastAsia="仿宋_GB2312"/>
      <w:kern w:val="0"/>
      <w:sz w:val="32"/>
    </w:rPr>
  </w:style>
  <w:style w:type="paragraph" w:styleId="50">
    <w:name w:val="endnote text"/>
    <w:basedOn w:val="1"/>
    <w:link w:val="227"/>
    <w:semiHidden/>
    <w:qFormat/>
    <w:uiPriority w:val="0"/>
    <w:pPr>
      <w:adjustRightInd/>
      <w:spacing w:line="240" w:lineRule="auto"/>
      <w:jc w:val="left"/>
    </w:pPr>
  </w:style>
  <w:style w:type="paragraph" w:styleId="51">
    <w:name w:val="List Continue 5"/>
    <w:basedOn w:val="1"/>
    <w:semiHidden/>
    <w:qFormat/>
    <w:uiPriority w:val="0"/>
    <w:pPr>
      <w:adjustRightInd/>
      <w:snapToGrid/>
      <w:spacing w:after="120" w:line="240" w:lineRule="auto"/>
      <w:ind w:left="2100" w:leftChars="1000"/>
    </w:pPr>
  </w:style>
  <w:style w:type="paragraph" w:styleId="52">
    <w:name w:val="Balloon Text"/>
    <w:basedOn w:val="1"/>
    <w:link w:val="187"/>
    <w:qFormat/>
    <w:uiPriority w:val="0"/>
    <w:rPr>
      <w:kern w:val="0"/>
      <w:sz w:val="18"/>
      <w:szCs w:val="18"/>
    </w:rPr>
  </w:style>
  <w:style w:type="paragraph" w:styleId="53">
    <w:name w:val="footer"/>
    <w:basedOn w:val="1"/>
    <w:link w:val="174"/>
    <w:unhideWhenUsed/>
    <w:qFormat/>
    <w:uiPriority w:val="99"/>
    <w:pPr>
      <w:tabs>
        <w:tab w:val="center" w:pos="4153"/>
        <w:tab w:val="right" w:pos="8306"/>
      </w:tabs>
      <w:jc w:val="left"/>
    </w:pPr>
    <w:rPr>
      <w:kern w:val="0"/>
      <w:sz w:val="18"/>
      <w:szCs w:val="18"/>
    </w:rPr>
  </w:style>
  <w:style w:type="paragraph" w:styleId="54">
    <w:name w:val="envelope return"/>
    <w:basedOn w:val="1"/>
    <w:semiHidden/>
    <w:qFormat/>
    <w:uiPriority w:val="0"/>
    <w:pPr>
      <w:adjustRightInd/>
      <w:spacing w:line="240" w:lineRule="auto"/>
    </w:pPr>
    <w:rPr>
      <w:rFonts w:ascii="Arial" w:hAnsi="Arial" w:cs="Arial"/>
    </w:rPr>
  </w:style>
  <w:style w:type="paragraph" w:styleId="55">
    <w:name w:val="header"/>
    <w:basedOn w:val="1"/>
    <w:link w:val="190"/>
    <w:unhideWhenUsed/>
    <w:qFormat/>
    <w:uiPriority w:val="0"/>
    <w:pPr>
      <w:pBdr>
        <w:bottom w:val="single" w:color="auto" w:sz="6" w:space="1"/>
      </w:pBdr>
      <w:tabs>
        <w:tab w:val="center" w:pos="4153"/>
        <w:tab w:val="right" w:pos="8306"/>
      </w:tabs>
      <w:jc w:val="center"/>
    </w:pPr>
    <w:rPr>
      <w:kern w:val="0"/>
      <w:sz w:val="18"/>
      <w:szCs w:val="18"/>
    </w:rPr>
  </w:style>
  <w:style w:type="paragraph" w:styleId="56">
    <w:name w:val="Signature"/>
    <w:basedOn w:val="1"/>
    <w:link w:val="228"/>
    <w:semiHidden/>
    <w:qFormat/>
    <w:uiPriority w:val="0"/>
    <w:pPr>
      <w:adjustRightInd/>
      <w:snapToGrid/>
      <w:spacing w:line="240" w:lineRule="auto"/>
      <w:ind w:left="100" w:leftChars="2100"/>
    </w:pPr>
    <w:rPr>
      <w:rFonts w:cs="Calibri"/>
      <w:kern w:val="0"/>
      <w:sz w:val="20"/>
    </w:rPr>
  </w:style>
  <w:style w:type="paragraph" w:styleId="57">
    <w:name w:val="toc 1"/>
    <w:basedOn w:val="1"/>
    <w:next w:val="1"/>
    <w:qFormat/>
    <w:uiPriority w:val="39"/>
    <w:pPr>
      <w:widowControl/>
      <w:spacing w:before="120" w:after="120"/>
      <w:jc w:val="left"/>
    </w:pPr>
    <w:rPr>
      <w:bCs/>
      <w:caps/>
      <w:kern w:val="0"/>
      <w:sz w:val="24"/>
      <w:szCs w:val="20"/>
    </w:rPr>
  </w:style>
  <w:style w:type="paragraph" w:styleId="58">
    <w:name w:val="List Continue 4"/>
    <w:basedOn w:val="1"/>
    <w:semiHidden/>
    <w:qFormat/>
    <w:uiPriority w:val="0"/>
    <w:pPr>
      <w:adjustRightInd/>
      <w:snapToGrid/>
      <w:spacing w:after="120" w:line="240" w:lineRule="auto"/>
      <w:ind w:left="1680" w:leftChars="800"/>
    </w:pPr>
  </w:style>
  <w:style w:type="paragraph" w:styleId="59">
    <w:name w:val="toc 4"/>
    <w:basedOn w:val="1"/>
    <w:next w:val="1"/>
    <w:qFormat/>
    <w:uiPriority w:val="0"/>
    <w:pPr>
      <w:widowControl/>
      <w:ind w:left="720"/>
      <w:jc w:val="left"/>
    </w:pPr>
    <w:rPr>
      <w:kern w:val="0"/>
      <w:sz w:val="18"/>
      <w:szCs w:val="18"/>
    </w:rPr>
  </w:style>
  <w:style w:type="paragraph" w:styleId="60">
    <w:name w:val="index heading"/>
    <w:basedOn w:val="1"/>
    <w:next w:val="61"/>
    <w:semiHidden/>
    <w:qFormat/>
    <w:uiPriority w:val="0"/>
    <w:pPr>
      <w:adjustRightInd/>
      <w:snapToGrid/>
      <w:spacing w:before="120" w:after="120" w:line="240" w:lineRule="auto"/>
      <w:jc w:val="left"/>
    </w:pPr>
    <w:rPr>
      <w:b/>
      <w:bCs/>
      <w:i/>
      <w:iCs/>
      <w:sz w:val="20"/>
      <w:szCs w:val="20"/>
    </w:rPr>
  </w:style>
  <w:style w:type="paragraph" w:styleId="61">
    <w:name w:val="index 1"/>
    <w:basedOn w:val="1"/>
    <w:next w:val="1"/>
    <w:qFormat/>
    <w:uiPriority w:val="0"/>
    <w:rPr>
      <w:rFonts w:ascii="宋体"/>
      <w:b/>
      <w:color w:val="0000FF"/>
      <w:sz w:val="24"/>
    </w:rPr>
  </w:style>
  <w:style w:type="paragraph" w:styleId="62">
    <w:name w:val="List Number 5"/>
    <w:basedOn w:val="1"/>
    <w:semiHidden/>
    <w:qFormat/>
    <w:uiPriority w:val="0"/>
    <w:pPr>
      <w:numPr>
        <w:ilvl w:val="0"/>
        <w:numId w:val="9"/>
      </w:numPr>
      <w:adjustRightInd/>
      <w:snapToGrid/>
      <w:spacing w:line="240" w:lineRule="auto"/>
    </w:pPr>
  </w:style>
  <w:style w:type="paragraph" w:styleId="63">
    <w:name w:val="List"/>
    <w:basedOn w:val="1"/>
    <w:semiHidden/>
    <w:qFormat/>
    <w:uiPriority w:val="0"/>
    <w:pPr>
      <w:adjustRightInd/>
      <w:snapToGrid/>
      <w:spacing w:line="240" w:lineRule="auto"/>
      <w:ind w:left="200" w:hanging="200" w:hangingChars="200"/>
    </w:pPr>
  </w:style>
  <w:style w:type="paragraph" w:styleId="64">
    <w:name w:val="footnote text"/>
    <w:basedOn w:val="1"/>
    <w:link w:val="229"/>
    <w:semiHidden/>
    <w:qFormat/>
    <w:uiPriority w:val="0"/>
    <w:pPr>
      <w:adjustRightInd/>
      <w:spacing w:line="240" w:lineRule="auto"/>
      <w:jc w:val="left"/>
    </w:pPr>
    <w:rPr>
      <w:sz w:val="18"/>
      <w:szCs w:val="20"/>
    </w:rPr>
  </w:style>
  <w:style w:type="paragraph" w:styleId="65">
    <w:name w:val="toc 6"/>
    <w:basedOn w:val="1"/>
    <w:next w:val="1"/>
    <w:qFormat/>
    <w:uiPriority w:val="0"/>
    <w:pPr>
      <w:widowControl/>
      <w:ind w:left="1200"/>
      <w:jc w:val="left"/>
    </w:pPr>
    <w:rPr>
      <w:kern w:val="0"/>
      <w:sz w:val="18"/>
      <w:szCs w:val="18"/>
    </w:rPr>
  </w:style>
  <w:style w:type="paragraph" w:styleId="66">
    <w:name w:val="List 5"/>
    <w:basedOn w:val="1"/>
    <w:qFormat/>
    <w:uiPriority w:val="0"/>
    <w:pPr>
      <w:ind w:left="2100" w:hanging="420"/>
    </w:pPr>
    <w:rPr>
      <w:szCs w:val="20"/>
    </w:rPr>
  </w:style>
  <w:style w:type="paragraph" w:styleId="67">
    <w:name w:val="Body Text Indent 3"/>
    <w:basedOn w:val="1"/>
    <w:link w:val="166"/>
    <w:qFormat/>
    <w:uiPriority w:val="0"/>
    <w:pPr>
      <w:spacing w:line="400" w:lineRule="exact"/>
      <w:ind w:firstLine="630"/>
    </w:pPr>
    <w:rPr>
      <w:rFonts w:ascii="宋体" w:hAnsi="宋体"/>
      <w:kern w:val="0"/>
      <w:sz w:val="20"/>
    </w:rPr>
  </w:style>
  <w:style w:type="paragraph" w:styleId="68">
    <w:name w:val="index 7"/>
    <w:basedOn w:val="1"/>
    <w:next w:val="1"/>
    <w:semiHidden/>
    <w:qFormat/>
    <w:uiPriority w:val="0"/>
    <w:pPr>
      <w:adjustRightInd/>
      <w:snapToGrid/>
      <w:spacing w:line="240" w:lineRule="auto"/>
      <w:ind w:left="1470" w:hanging="210"/>
      <w:jc w:val="left"/>
    </w:pPr>
    <w:rPr>
      <w:sz w:val="20"/>
      <w:szCs w:val="20"/>
    </w:rPr>
  </w:style>
  <w:style w:type="paragraph" w:styleId="69">
    <w:name w:val="index 9"/>
    <w:basedOn w:val="1"/>
    <w:next w:val="1"/>
    <w:semiHidden/>
    <w:qFormat/>
    <w:uiPriority w:val="0"/>
    <w:pPr>
      <w:adjustRightInd/>
      <w:snapToGrid/>
      <w:spacing w:line="240" w:lineRule="auto"/>
      <w:ind w:left="1890" w:hanging="210"/>
      <w:jc w:val="left"/>
    </w:pPr>
    <w:rPr>
      <w:sz w:val="20"/>
      <w:szCs w:val="20"/>
    </w:rPr>
  </w:style>
  <w:style w:type="paragraph" w:styleId="70">
    <w:name w:val="table of figures"/>
    <w:basedOn w:val="1"/>
    <w:next w:val="1"/>
    <w:semiHidden/>
    <w:qFormat/>
    <w:uiPriority w:val="0"/>
    <w:pPr>
      <w:adjustRightInd/>
      <w:snapToGrid/>
      <w:spacing w:line="240" w:lineRule="auto"/>
      <w:ind w:left="200" w:leftChars="200" w:hanging="200" w:hangingChars="200"/>
    </w:pPr>
    <w:rPr>
      <w:sz w:val="24"/>
    </w:rPr>
  </w:style>
  <w:style w:type="paragraph" w:styleId="71">
    <w:name w:val="toc 2"/>
    <w:basedOn w:val="1"/>
    <w:next w:val="1"/>
    <w:qFormat/>
    <w:uiPriority w:val="39"/>
    <w:pPr>
      <w:widowControl/>
      <w:ind w:left="240"/>
      <w:jc w:val="left"/>
    </w:pPr>
    <w:rPr>
      <w:smallCaps/>
      <w:kern w:val="0"/>
      <w:sz w:val="20"/>
      <w:szCs w:val="20"/>
    </w:rPr>
  </w:style>
  <w:style w:type="paragraph" w:styleId="72">
    <w:name w:val="toc 9"/>
    <w:basedOn w:val="1"/>
    <w:next w:val="1"/>
    <w:qFormat/>
    <w:uiPriority w:val="0"/>
    <w:pPr>
      <w:widowControl/>
      <w:ind w:left="1920"/>
      <w:jc w:val="left"/>
    </w:pPr>
    <w:rPr>
      <w:kern w:val="0"/>
      <w:sz w:val="18"/>
      <w:szCs w:val="18"/>
    </w:rPr>
  </w:style>
  <w:style w:type="paragraph" w:styleId="73">
    <w:name w:val="Body Text 2"/>
    <w:basedOn w:val="1"/>
    <w:link w:val="185"/>
    <w:qFormat/>
    <w:uiPriority w:val="0"/>
    <w:pPr>
      <w:widowControl/>
      <w:jc w:val="left"/>
    </w:pPr>
    <w:rPr>
      <w:rFonts w:ascii="楷体_GB2312" w:hAnsi="宋体" w:eastAsia="楷体_GB2312"/>
      <w:color w:val="000000"/>
      <w:kern w:val="0"/>
      <w:sz w:val="20"/>
      <w:szCs w:val="21"/>
    </w:rPr>
  </w:style>
  <w:style w:type="paragraph" w:styleId="74">
    <w:name w:val="List 4"/>
    <w:basedOn w:val="1"/>
    <w:semiHidden/>
    <w:qFormat/>
    <w:uiPriority w:val="0"/>
    <w:pPr>
      <w:adjustRightInd/>
      <w:snapToGrid/>
      <w:spacing w:line="240" w:lineRule="auto"/>
      <w:ind w:left="100" w:leftChars="600" w:hanging="200" w:hangingChars="200"/>
    </w:pPr>
  </w:style>
  <w:style w:type="paragraph" w:styleId="75">
    <w:name w:val="List Continue 2"/>
    <w:basedOn w:val="1"/>
    <w:semiHidden/>
    <w:qFormat/>
    <w:uiPriority w:val="0"/>
    <w:pPr>
      <w:adjustRightInd/>
      <w:snapToGrid/>
      <w:spacing w:after="120" w:line="240" w:lineRule="auto"/>
      <w:ind w:left="840" w:leftChars="400"/>
    </w:pPr>
  </w:style>
  <w:style w:type="paragraph" w:styleId="76">
    <w:name w:val="Message Header"/>
    <w:basedOn w:val="1"/>
    <w:link w:val="230"/>
    <w:semiHidden/>
    <w:qFormat/>
    <w:uiPriority w:val="0"/>
    <w:pPr>
      <w:pBdr>
        <w:top w:val="single" w:color="auto" w:sz="6" w:space="1"/>
        <w:left w:val="single" w:color="auto" w:sz="6" w:space="1"/>
        <w:bottom w:val="single" w:color="auto" w:sz="6" w:space="1"/>
        <w:right w:val="single" w:color="auto" w:sz="6" w:space="1"/>
      </w:pBdr>
      <w:shd w:val="pct20" w:color="auto" w:fill="auto"/>
      <w:adjustRightInd/>
      <w:snapToGrid/>
      <w:spacing w:line="240" w:lineRule="auto"/>
      <w:ind w:left="1080" w:leftChars="500" w:hanging="1080" w:hangingChars="500"/>
    </w:pPr>
    <w:rPr>
      <w:rFonts w:ascii="Arial" w:hAnsi="Arial" w:cs="Calibri"/>
      <w:kern w:val="0"/>
      <w:sz w:val="24"/>
    </w:rPr>
  </w:style>
  <w:style w:type="paragraph" w:styleId="77">
    <w:name w:val="HTML Preformatted"/>
    <w:basedOn w:val="1"/>
    <w:link w:val="231"/>
    <w:semiHidden/>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line="240" w:lineRule="auto"/>
      <w:jc w:val="left"/>
    </w:pPr>
    <w:rPr>
      <w:rFonts w:ascii="宋体" w:hAnsi="宋体" w:cs="Calibri"/>
      <w:color w:val="000000"/>
      <w:kern w:val="0"/>
      <w:sz w:val="24"/>
    </w:rPr>
  </w:style>
  <w:style w:type="paragraph" w:styleId="78">
    <w:name w:val="Normal (Web)"/>
    <w:basedOn w:val="1"/>
    <w:unhideWhenUsed/>
    <w:qFormat/>
    <w:uiPriority w:val="99"/>
    <w:pPr>
      <w:spacing w:before="100" w:beforeAutospacing="1" w:after="100" w:afterAutospacing="1"/>
      <w:jc w:val="left"/>
    </w:pPr>
    <w:rPr>
      <w:kern w:val="0"/>
      <w:sz w:val="24"/>
    </w:rPr>
  </w:style>
  <w:style w:type="paragraph" w:styleId="79">
    <w:name w:val="List Continue 3"/>
    <w:basedOn w:val="1"/>
    <w:semiHidden/>
    <w:qFormat/>
    <w:uiPriority w:val="0"/>
    <w:pPr>
      <w:adjustRightInd/>
      <w:snapToGrid/>
      <w:spacing w:after="120" w:line="240" w:lineRule="auto"/>
      <w:ind w:left="1260" w:leftChars="600"/>
    </w:pPr>
  </w:style>
  <w:style w:type="paragraph" w:styleId="80">
    <w:name w:val="index 2"/>
    <w:basedOn w:val="1"/>
    <w:next w:val="1"/>
    <w:semiHidden/>
    <w:qFormat/>
    <w:uiPriority w:val="0"/>
    <w:pPr>
      <w:adjustRightInd/>
      <w:snapToGrid/>
      <w:spacing w:line="240" w:lineRule="auto"/>
      <w:ind w:left="420" w:hanging="210"/>
      <w:jc w:val="left"/>
    </w:pPr>
    <w:rPr>
      <w:sz w:val="20"/>
      <w:szCs w:val="20"/>
    </w:rPr>
  </w:style>
  <w:style w:type="paragraph" w:styleId="81">
    <w:name w:val="annotation subject"/>
    <w:basedOn w:val="27"/>
    <w:next w:val="27"/>
    <w:link w:val="184"/>
    <w:unhideWhenUsed/>
    <w:qFormat/>
    <w:uiPriority w:val="0"/>
    <w:rPr>
      <w:b/>
      <w:bCs/>
    </w:rPr>
  </w:style>
  <w:style w:type="paragraph" w:styleId="82">
    <w:name w:val="Body Text First Indent"/>
    <w:basedOn w:val="2"/>
    <w:link w:val="261"/>
    <w:semiHidden/>
    <w:unhideWhenUsed/>
    <w:qFormat/>
    <w:uiPriority w:val="0"/>
    <w:pPr>
      <w:ind w:firstLine="420" w:firstLineChars="100"/>
    </w:pPr>
  </w:style>
  <w:style w:type="paragraph" w:styleId="83">
    <w:name w:val="Body Text First Indent 2"/>
    <w:basedOn w:val="33"/>
    <w:next w:val="1"/>
    <w:link w:val="232"/>
    <w:qFormat/>
    <w:uiPriority w:val="0"/>
    <w:pPr>
      <w:ind w:firstLine="0" w:firstLineChars="0"/>
    </w:pPr>
    <w:rPr>
      <w:rFonts w:ascii="仿宋_GB2312" w:hAnsi="仿宋_GB2312"/>
      <w:sz w:val="21"/>
    </w:rPr>
  </w:style>
  <w:style w:type="table" w:styleId="85">
    <w:name w:val="Table Grid"/>
    <w:basedOn w:val="8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6">
    <w:name w:val="Table Theme"/>
    <w:basedOn w:val="84"/>
    <w:semiHidden/>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7">
    <w:name w:val="Table Colorful 1"/>
    <w:basedOn w:val="84"/>
    <w:semiHidden/>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88">
    <w:name w:val="Table Colorful 2"/>
    <w:basedOn w:val="84"/>
    <w:semiHidden/>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89">
    <w:name w:val="Table Colorful 3"/>
    <w:basedOn w:val="84"/>
    <w:semiHidden/>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0">
    <w:name w:val="Table Elegant"/>
    <w:basedOn w:val="84"/>
    <w:semiHidden/>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1">
    <w:name w:val="Table Classic 1"/>
    <w:basedOn w:val="84"/>
    <w:semiHidden/>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2">
    <w:name w:val="Table Classic 2"/>
    <w:basedOn w:val="84"/>
    <w:semiHidden/>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3">
    <w:name w:val="Table Classic 3"/>
    <w:basedOn w:val="84"/>
    <w:semiHidden/>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4">
    <w:name w:val="Table Classic 4"/>
    <w:basedOn w:val="84"/>
    <w:semiHidden/>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5">
    <w:name w:val="Table Simple 1"/>
    <w:basedOn w:val="84"/>
    <w:semiHidden/>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96">
    <w:name w:val="Table Simple 2"/>
    <w:basedOn w:val="84"/>
    <w:semiHidden/>
    <w:qFormat/>
    <w:uiPriority w:val="0"/>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7">
    <w:name w:val="Table Simple 3"/>
    <w:basedOn w:val="84"/>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98">
    <w:name w:val="Table Subtle 1"/>
    <w:basedOn w:val="84"/>
    <w:semiHidden/>
    <w:qFormat/>
    <w:uiPriority w:val="0"/>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9">
    <w:name w:val="Table Subtle 2"/>
    <w:basedOn w:val="84"/>
    <w:semiHidden/>
    <w:qFormat/>
    <w:uiPriority w:val="0"/>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0">
    <w:name w:val="Table 3D effects 1"/>
    <w:basedOn w:val="84"/>
    <w:semiHidden/>
    <w:qFormat/>
    <w:uiPriority w:val="0"/>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1">
    <w:name w:val="Table 3D effects 2"/>
    <w:basedOn w:val="84"/>
    <w:semiHidden/>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2">
    <w:name w:val="Table 3D effects 3"/>
    <w:basedOn w:val="84"/>
    <w:semiHidden/>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3">
    <w:name w:val="Table List 1"/>
    <w:basedOn w:val="84"/>
    <w:semiHidden/>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4">
    <w:name w:val="Table List 2"/>
    <w:basedOn w:val="84"/>
    <w:semiHidden/>
    <w:qFormat/>
    <w:uiPriority w:val="0"/>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5">
    <w:name w:val="Table List 3"/>
    <w:basedOn w:val="84"/>
    <w:semiHidden/>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06">
    <w:name w:val="Table List 4"/>
    <w:basedOn w:val="84"/>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07">
    <w:name w:val="Table List 5"/>
    <w:basedOn w:val="84"/>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08">
    <w:name w:val="Table List 6"/>
    <w:basedOn w:val="84"/>
    <w:semiHidden/>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09">
    <w:name w:val="Table List 7"/>
    <w:basedOn w:val="84"/>
    <w:semiHidden/>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0">
    <w:name w:val="Table List 8"/>
    <w:basedOn w:val="84"/>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1">
    <w:name w:val="Table Contemporary"/>
    <w:basedOn w:val="84"/>
    <w:semiHidden/>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2">
    <w:name w:val="Table Columns 1"/>
    <w:basedOn w:val="84"/>
    <w:semiHidden/>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3">
    <w:name w:val="Table Columns 2"/>
    <w:basedOn w:val="84"/>
    <w:semiHidden/>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4">
    <w:name w:val="Table Columns 3"/>
    <w:basedOn w:val="84"/>
    <w:semiHidden/>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5">
    <w:name w:val="Table Columns 4"/>
    <w:basedOn w:val="84"/>
    <w:semiHidden/>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6">
    <w:name w:val="Table Columns 5"/>
    <w:basedOn w:val="84"/>
    <w:semiHidden/>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7">
    <w:name w:val="Table Grid 1"/>
    <w:basedOn w:val="84"/>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2"/>
    <w:basedOn w:val="84"/>
    <w:semiHidden/>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9">
    <w:name w:val="Table Grid 3"/>
    <w:basedOn w:val="84"/>
    <w:semiHidden/>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0">
    <w:name w:val="Table Grid 4"/>
    <w:basedOn w:val="84"/>
    <w:semiHidden/>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1">
    <w:name w:val="Table Grid 5"/>
    <w:basedOn w:val="84"/>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6"/>
    <w:basedOn w:val="84"/>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3">
    <w:name w:val="Table Grid 7"/>
    <w:basedOn w:val="84"/>
    <w:semiHidden/>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8"/>
    <w:basedOn w:val="84"/>
    <w:semiHidden/>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5">
    <w:name w:val="Table Web 1"/>
    <w:basedOn w:val="84"/>
    <w:semiHidden/>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6">
    <w:name w:val="Table Web 2"/>
    <w:basedOn w:val="84"/>
    <w:semiHidden/>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7">
    <w:name w:val="Table Web 3"/>
    <w:basedOn w:val="84"/>
    <w:semiHidden/>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8">
    <w:name w:val="Table Professional"/>
    <w:basedOn w:val="84"/>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styleId="130">
    <w:name w:val="Strong"/>
    <w:qFormat/>
    <w:uiPriority w:val="22"/>
    <w:rPr>
      <w:b/>
      <w:bCs/>
    </w:rPr>
  </w:style>
  <w:style w:type="character" w:styleId="131">
    <w:name w:val="endnote reference"/>
    <w:semiHidden/>
    <w:qFormat/>
    <w:uiPriority w:val="0"/>
    <w:rPr>
      <w:vertAlign w:val="superscript"/>
    </w:rPr>
  </w:style>
  <w:style w:type="character" w:styleId="132">
    <w:name w:val="page number"/>
    <w:basedOn w:val="129"/>
    <w:qFormat/>
    <w:uiPriority w:val="0"/>
  </w:style>
  <w:style w:type="character" w:styleId="133">
    <w:name w:val="FollowedHyperlink"/>
    <w:basedOn w:val="129"/>
    <w:unhideWhenUsed/>
    <w:qFormat/>
    <w:uiPriority w:val="99"/>
    <w:rPr>
      <w:color w:val="333333"/>
      <w:u w:val="none"/>
      <w:vertAlign w:val="baseline"/>
    </w:rPr>
  </w:style>
  <w:style w:type="character" w:styleId="134">
    <w:name w:val="Emphasis"/>
    <w:basedOn w:val="129"/>
    <w:qFormat/>
    <w:uiPriority w:val="20"/>
  </w:style>
  <w:style w:type="character" w:styleId="135">
    <w:name w:val="line number"/>
    <w:basedOn w:val="129"/>
    <w:semiHidden/>
    <w:qFormat/>
    <w:uiPriority w:val="0"/>
  </w:style>
  <w:style w:type="character" w:styleId="136">
    <w:name w:val="HTML Definition"/>
    <w:basedOn w:val="129"/>
    <w:unhideWhenUsed/>
    <w:qFormat/>
    <w:uiPriority w:val="0"/>
  </w:style>
  <w:style w:type="character" w:styleId="137">
    <w:name w:val="HTML Typewriter"/>
    <w:semiHidden/>
    <w:qFormat/>
    <w:uiPriority w:val="0"/>
    <w:rPr>
      <w:rFonts w:ascii="Courier New" w:hAnsi="Courier New" w:cs="Courier New"/>
      <w:sz w:val="20"/>
      <w:szCs w:val="20"/>
    </w:rPr>
  </w:style>
  <w:style w:type="character" w:styleId="138">
    <w:name w:val="HTML Acronym"/>
    <w:basedOn w:val="129"/>
    <w:semiHidden/>
    <w:qFormat/>
    <w:uiPriority w:val="0"/>
  </w:style>
  <w:style w:type="character" w:styleId="139">
    <w:name w:val="HTML Variable"/>
    <w:basedOn w:val="129"/>
    <w:unhideWhenUsed/>
    <w:qFormat/>
    <w:uiPriority w:val="0"/>
  </w:style>
  <w:style w:type="character" w:styleId="140">
    <w:name w:val="Hyperlink"/>
    <w:basedOn w:val="129"/>
    <w:qFormat/>
    <w:uiPriority w:val="99"/>
    <w:rPr>
      <w:rFonts w:ascii="Times New Roman" w:hAnsi="Times New Roman" w:eastAsia="宋体"/>
      <w:color w:val="FF0000"/>
      <w:u w:val="single"/>
      <w:vertAlign w:val="baseline"/>
    </w:rPr>
  </w:style>
  <w:style w:type="character" w:styleId="141">
    <w:name w:val="HTML Code"/>
    <w:basedOn w:val="129"/>
    <w:unhideWhenUsed/>
    <w:qFormat/>
    <w:uiPriority w:val="0"/>
    <w:rPr>
      <w:rFonts w:ascii="Courier New" w:hAnsi="Courier New"/>
      <w:sz w:val="20"/>
    </w:rPr>
  </w:style>
  <w:style w:type="character" w:styleId="142">
    <w:name w:val="annotation reference"/>
    <w:unhideWhenUsed/>
    <w:qFormat/>
    <w:uiPriority w:val="0"/>
    <w:rPr>
      <w:sz w:val="21"/>
      <w:szCs w:val="21"/>
    </w:rPr>
  </w:style>
  <w:style w:type="character" w:styleId="143">
    <w:name w:val="HTML Cite"/>
    <w:basedOn w:val="129"/>
    <w:unhideWhenUsed/>
    <w:qFormat/>
    <w:uiPriority w:val="0"/>
  </w:style>
  <w:style w:type="character" w:styleId="144">
    <w:name w:val="footnote reference"/>
    <w:semiHidden/>
    <w:qFormat/>
    <w:uiPriority w:val="0"/>
    <w:rPr>
      <w:vertAlign w:val="superscript"/>
    </w:rPr>
  </w:style>
  <w:style w:type="character" w:styleId="145">
    <w:name w:val="HTML Keyboard"/>
    <w:semiHidden/>
    <w:qFormat/>
    <w:uiPriority w:val="0"/>
    <w:rPr>
      <w:rFonts w:ascii="Courier New" w:hAnsi="Courier New" w:cs="Courier New"/>
      <w:sz w:val="20"/>
      <w:szCs w:val="20"/>
    </w:rPr>
  </w:style>
  <w:style w:type="character" w:styleId="146">
    <w:name w:val="HTML Sample"/>
    <w:semiHidden/>
    <w:qFormat/>
    <w:uiPriority w:val="0"/>
    <w:rPr>
      <w:rFonts w:ascii="Courier New" w:hAnsi="Courier New" w:cs="Courier New"/>
    </w:rPr>
  </w:style>
  <w:style w:type="paragraph" w:customStyle="1" w:styleId="147">
    <w:name w:val="Fließtext"/>
    <w:basedOn w:val="1"/>
    <w:qFormat/>
    <w:uiPriority w:val="99"/>
    <w:pPr>
      <w:overflowPunct w:val="0"/>
      <w:autoSpaceDE w:val="0"/>
      <w:autoSpaceDN w:val="0"/>
      <w:textAlignment w:val="baseline"/>
    </w:pPr>
    <w:rPr>
      <w:kern w:val="28"/>
    </w:rPr>
  </w:style>
  <w:style w:type="paragraph" w:customStyle="1" w:styleId="148">
    <w:name w:val="Char Char Char Char Char Char Char Char Char Char"/>
    <w:basedOn w:val="1"/>
    <w:qFormat/>
    <w:uiPriority w:val="0"/>
    <w:rPr>
      <w:rFonts w:ascii="Tahoma" w:hAnsi="Tahoma"/>
      <w:sz w:val="24"/>
      <w:szCs w:val="20"/>
    </w:rPr>
  </w:style>
  <w:style w:type="paragraph" w:customStyle="1" w:styleId="149">
    <w:name w:val="Char Char Char Char"/>
    <w:basedOn w:val="1"/>
    <w:qFormat/>
    <w:uiPriority w:val="0"/>
    <w:pPr>
      <w:tabs>
        <w:tab w:val="left" w:pos="360"/>
      </w:tabs>
    </w:pPr>
    <w:rPr>
      <w:sz w:val="24"/>
    </w:rPr>
  </w:style>
  <w:style w:type="paragraph" w:customStyle="1" w:styleId="150">
    <w:name w:val="Char1"/>
    <w:basedOn w:val="1"/>
    <w:qFormat/>
    <w:uiPriority w:val="0"/>
    <w:pPr>
      <w:tabs>
        <w:tab w:val="left" w:pos="360"/>
      </w:tabs>
    </w:pPr>
    <w:rPr>
      <w:sz w:val="24"/>
    </w:rPr>
  </w:style>
  <w:style w:type="paragraph" w:customStyle="1" w:styleId="151">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52">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paragraph" w:customStyle="1" w:styleId="153">
    <w:name w:val="彩色列表 - 强调文字颜色 11"/>
    <w:basedOn w:val="1"/>
    <w:qFormat/>
    <w:uiPriority w:val="0"/>
    <w:pPr>
      <w:ind w:firstLine="420" w:firstLineChars="200"/>
    </w:pPr>
    <w:rPr>
      <w:rFonts w:ascii="Calibri" w:hAnsi="Calibri"/>
      <w:szCs w:val="22"/>
    </w:rPr>
  </w:style>
  <w:style w:type="paragraph" w:customStyle="1" w:styleId="15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55">
    <w:name w:val="列出段落1"/>
    <w:basedOn w:val="1"/>
    <w:qFormat/>
    <w:uiPriority w:val="0"/>
    <w:pPr>
      <w:ind w:firstLine="420" w:firstLineChars="200"/>
    </w:pPr>
  </w:style>
  <w:style w:type="paragraph" w:customStyle="1" w:styleId="156">
    <w:name w:val="_Style 59"/>
    <w:qFormat/>
    <w:uiPriority w:val="71"/>
    <w:rPr>
      <w:rFonts w:ascii="Times New Roman" w:hAnsi="Times New Roman" w:eastAsia="宋体" w:cs="Times New Roman"/>
      <w:kern w:val="2"/>
      <w:sz w:val="21"/>
      <w:szCs w:val="24"/>
      <w:lang w:val="en-US" w:eastAsia="zh-CN" w:bidi="ar-SA"/>
    </w:rPr>
  </w:style>
  <w:style w:type="paragraph" w:customStyle="1" w:styleId="157">
    <w:name w:val="彩色底纹 - 强调文字颜色 11"/>
    <w:semiHidden/>
    <w:qFormat/>
    <w:uiPriority w:val="99"/>
    <w:rPr>
      <w:rFonts w:ascii="Times New Roman" w:hAnsi="Times New Roman" w:eastAsia="宋体" w:cs="Times New Roman"/>
      <w:kern w:val="2"/>
      <w:sz w:val="21"/>
      <w:szCs w:val="24"/>
      <w:lang w:val="en-US" w:eastAsia="zh-CN" w:bidi="ar-SA"/>
    </w:rPr>
  </w:style>
  <w:style w:type="paragraph" w:customStyle="1" w:styleId="158">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
    <w:name w:val="Char"/>
    <w:basedOn w:val="1"/>
    <w:qFormat/>
    <w:uiPriority w:val="0"/>
    <w:pPr>
      <w:tabs>
        <w:tab w:val="left" w:pos="360"/>
      </w:tabs>
    </w:pPr>
    <w:rPr>
      <w:sz w:val="24"/>
    </w:rPr>
  </w:style>
  <w:style w:type="paragraph" w:customStyle="1" w:styleId="160">
    <w:name w:val="正文文本 (2)1"/>
    <w:basedOn w:val="1"/>
    <w:link w:val="162"/>
    <w:qFormat/>
    <w:uiPriority w:val="99"/>
    <w:pPr>
      <w:shd w:val="clear" w:color="auto" w:fill="FFFFFF"/>
      <w:spacing w:after="1320" w:line="240" w:lineRule="atLeast"/>
      <w:jc w:val="left"/>
    </w:pPr>
    <w:rPr>
      <w:rFonts w:ascii="MingLiU" w:eastAsia="MingLiU"/>
      <w:spacing w:val="20"/>
      <w:kern w:val="0"/>
      <w:sz w:val="19"/>
      <w:szCs w:val="19"/>
    </w:rPr>
  </w:style>
  <w:style w:type="character" w:customStyle="1" w:styleId="161">
    <w:name w:val="文档结构图 Char1"/>
    <w:qFormat/>
    <w:uiPriority w:val="99"/>
    <w:rPr>
      <w:rFonts w:ascii="宋体" w:hAnsi="Times New Roman" w:eastAsia="宋体" w:cs="Times New Roman"/>
      <w:sz w:val="18"/>
      <w:szCs w:val="18"/>
    </w:rPr>
  </w:style>
  <w:style w:type="character" w:customStyle="1" w:styleId="162">
    <w:name w:val="正文文本 (2)_"/>
    <w:link w:val="160"/>
    <w:qFormat/>
    <w:uiPriority w:val="99"/>
    <w:rPr>
      <w:rFonts w:ascii="MingLiU" w:eastAsia="MingLiU" w:cs="MingLiU"/>
      <w:spacing w:val="20"/>
      <w:sz w:val="19"/>
      <w:szCs w:val="19"/>
      <w:shd w:val="clear" w:color="auto" w:fill="FFFFFF"/>
    </w:rPr>
  </w:style>
  <w:style w:type="character" w:customStyle="1" w:styleId="163">
    <w:name w:val="正文文本缩进 字符"/>
    <w:link w:val="33"/>
    <w:qFormat/>
    <w:uiPriority w:val="0"/>
    <w:rPr>
      <w:rFonts w:ascii="宋体" w:hAnsi="宋体" w:eastAsia="宋体" w:cs="Times New Roman"/>
      <w:sz w:val="24"/>
      <w:szCs w:val="20"/>
    </w:rPr>
  </w:style>
  <w:style w:type="character" w:customStyle="1" w:styleId="164">
    <w:name w:val="标题 1 字符"/>
    <w:link w:val="4"/>
    <w:qFormat/>
    <w:uiPriority w:val="0"/>
    <w:rPr>
      <w:rFonts w:ascii="华文细黑" w:hAnsi="Times New Roman" w:eastAsia="宋体" w:cs="Times New Roman"/>
      <w:b/>
      <w:bCs/>
      <w:snapToGrid w:val="0"/>
      <w:kern w:val="0"/>
      <w:sz w:val="28"/>
      <w:szCs w:val="44"/>
    </w:rPr>
  </w:style>
  <w:style w:type="character" w:customStyle="1" w:styleId="165">
    <w:name w:val="日期 Char2"/>
    <w:semiHidden/>
    <w:qFormat/>
    <w:uiPriority w:val="0"/>
    <w:rPr>
      <w:rFonts w:ascii="Times New Roman" w:hAnsi="Times New Roman" w:eastAsia="宋体" w:cs="Times New Roman"/>
      <w:szCs w:val="24"/>
    </w:rPr>
  </w:style>
  <w:style w:type="character" w:customStyle="1" w:styleId="166">
    <w:name w:val="正文文本缩进 3 字符"/>
    <w:link w:val="67"/>
    <w:qFormat/>
    <w:uiPriority w:val="0"/>
    <w:rPr>
      <w:rFonts w:ascii="宋体" w:hAnsi="宋体" w:eastAsia="宋体" w:cs="Times New Roman"/>
      <w:szCs w:val="24"/>
    </w:rPr>
  </w:style>
  <w:style w:type="character" w:customStyle="1" w:styleId="167">
    <w:name w:val="正文文本 (32) + 10.5 pt5"/>
    <w:qFormat/>
    <w:uiPriority w:val="99"/>
    <w:rPr>
      <w:rFonts w:ascii="MingLiU" w:eastAsia="MingLiU" w:cs="MingLiU"/>
      <w:sz w:val="21"/>
      <w:szCs w:val="21"/>
      <w:u w:val="none"/>
    </w:rPr>
  </w:style>
  <w:style w:type="character" w:customStyle="1" w:styleId="168">
    <w:name w:val="正文文本 (32) + 10.5 pt"/>
    <w:qFormat/>
    <w:uiPriority w:val="99"/>
    <w:rPr>
      <w:rFonts w:ascii="MingLiU" w:eastAsia="MingLiU" w:cs="MingLiU"/>
      <w:sz w:val="21"/>
      <w:szCs w:val="21"/>
      <w:u w:val="none"/>
    </w:rPr>
  </w:style>
  <w:style w:type="character" w:customStyle="1" w:styleId="169">
    <w:name w:val="Char Char16"/>
    <w:qFormat/>
    <w:uiPriority w:val="0"/>
    <w:rPr>
      <w:rFonts w:ascii="华文细黑" w:hAnsi="Arial" w:eastAsia="宋体"/>
      <w:b/>
      <w:bCs/>
      <w:sz w:val="44"/>
      <w:szCs w:val="32"/>
      <w:lang w:val="en-US" w:eastAsia="zh-CN" w:bidi="ar-SA"/>
    </w:rPr>
  </w:style>
  <w:style w:type="character" w:customStyle="1" w:styleId="170">
    <w:name w:val="l-btn-text"/>
    <w:basedOn w:val="129"/>
    <w:qFormat/>
    <w:uiPriority w:val="0"/>
  </w:style>
  <w:style w:type="character" w:customStyle="1" w:styleId="171">
    <w:name w:val="标题 2 字符"/>
    <w:link w:val="5"/>
    <w:qFormat/>
    <w:uiPriority w:val="0"/>
    <w:rPr>
      <w:rFonts w:ascii="华文细黑" w:hAnsi="华文细黑" w:eastAsia="宋体" w:cs="Times New Roman"/>
      <w:b/>
      <w:bCs/>
      <w:kern w:val="0"/>
      <w:sz w:val="21"/>
      <w:szCs w:val="32"/>
    </w:rPr>
  </w:style>
  <w:style w:type="character" w:customStyle="1" w:styleId="172">
    <w:name w:val="标题 6 字符"/>
    <w:link w:val="9"/>
    <w:qFormat/>
    <w:uiPriority w:val="0"/>
    <w:rPr>
      <w:rFonts w:ascii="Arial" w:hAnsi="Arial" w:eastAsia="黑体" w:cs="Times New Roman"/>
      <w:b/>
      <w:bCs/>
      <w:kern w:val="0"/>
      <w:sz w:val="24"/>
      <w:szCs w:val="24"/>
    </w:rPr>
  </w:style>
  <w:style w:type="character" w:customStyle="1" w:styleId="173">
    <w:name w:val="文档结构图 字符"/>
    <w:link w:val="25"/>
    <w:qFormat/>
    <w:uiPriority w:val="0"/>
    <w:rPr>
      <w:rFonts w:ascii="Times New Roman" w:hAnsi="Times New Roman"/>
      <w:sz w:val="24"/>
      <w:szCs w:val="24"/>
      <w:shd w:val="clear" w:color="auto" w:fill="000080"/>
    </w:rPr>
  </w:style>
  <w:style w:type="character" w:customStyle="1" w:styleId="174">
    <w:name w:val="页脚 字符1"/>
    <w:link w:val="53"/>
    <w:qFormat/>
    <w:uiPriority w:val="99"/>
    <w:rPr>
      <w:rFonts w:ascii="Times New Roman" w:hAnsi="Times New Roman" w:eastAsia="宋体" w:cs="Times New Roman"/>
      <w:sz w:val="18"/>
      <w:szCs w:val="18"/>
    </w:rPr>
  </w:style>
  <w:style w:type="character" w:customStyle="1" w:styleId="175">
    <w:name w:val="批注文字 字符1"/>
    <w:link w:val="27"/>
    <w:qFormat/>
    <w:uiPriority w:val="99"/>
    <w:rPr>
      <w:rFonts w:ascii="Times New Roman" w:hAnsi="Times New Roman"/>
      <w:szCs w:val="24"/>
    </w:rPr>
  </w:style>
  <w:style w:type="character" w:customStyle="1" w:styleId="176">
    <w:name w:val="f-fr3"/>
    <w:basedOn w:val="129"/>
    <w:qFormat/>
    <w:uiPriority w:val="0"/>
  </w:style>
  <w:style w:type="character" w:customStyle="1" w:styleId="177">
    <w:name w:val="标题 字符"/>
    <w:link w:val="3"/>
    <w:qFormat/>
    <w:uiPriority w:val="0"/>
    <w:rPr>
      <w:rFonts w:ascii="Cambria" w:hAnsi="Cambria" w:eastAsia="宋体" w:cs="Times New Roman"/>
      <w:b/>
      <w:bCs/>
      <w:sz w:val="32"/>
      <w:szCs w:val="32"/>
    </w:rPr>
  </w:style>
  <w:style w:type="character" w:customStyle="1" w:styleId="178">
    <w:name w:val="l-btn-left1"/>
    <w:basedOn w:val="129"/>
    <w:qFormat/>
    <w:uiPriority w:val="0"/>
  </w:style>
  <w:style w:type="character" w:customStyle="1" w:styleId="179">
    <w:name w:val="日期 字符"/>
    <w:link w:val="48"/>
    <w:qFormat/>
    <w:uiPriority w:val="0"/>
    <w:rPr>
      <w:szCs w:val="24"/>
    </w:rPr>
  </w:style>
  <w:style w:type="character" w:customStyle="1" w:styleId="180">
    <w:name w:val="l-btn-left"/>
    <w:basedOn w:val="129"/>
    <w:qFormat/>
    <w:uiPriority w:val="0"/>
  </w:style>
  <w:style w:type="character" w:customStyle="1" w:styleId="181">
    <w:name w:val="time"/>
    <w:basedOn w:val="129"/>
    <w:qFormat/>
    <w:uiPriority w:val="0"/>
  </w:style>
  <w:style w:type="character" w:customStyle="1" w:styleId="182">
    <w:name w:val="标题 3 字符"/>
    <w:link w:val="6"/>
    <w:qFormat/>
    <w:uiPriority w:val="0"/>
    <w:rPr>
      <w:rFonts w:ascii="Times New Roman" w:hAnsi="Times New Roman" w:eastAsia="华文细黑" w:cs="Times New Roman"/>
      <w:bCs/>
      <w:kern w:val="0"/>
      <w:sz w:val="36"/>
      <w:szCs w:val="32"/>
    </w:rPr>
  </w:style>
  <w:style w:type="character" w:customStyle="1" w:styleId="183">
    <w:name w:val="f-fr5"/>
    <w:basedOn w:val="129"/>
    <w:qFormat/>
    <w:uiPriority w:val="0"/>
    <w:rPr>
      <w:color w:val="FFFFFF"/>
      <w:sz w:val="27"/>
      <w:szCs w:val="27"/>
    </w:rPr>
  </w:style>
  <w:style w:type="character" w:customStyle="1" w:styleId="184">
    <w:name w:val="批注主题 字符1"/>
    <w:link w:val="81"/>
    <w:qFormat/>
    <w:uiPriority w:val="99"/>
    <w:rPr>
      <w:rFonts w:ascii="Times New Roman" w:hAnsi="Times New Roman" w:eastAsia="宋体" w:cs="Times New Roman"/>
      <w:b/>
      <w:bCs/>
      <w:szCs w:val="24"/>
    </w:rPr>
  </w:style>
  <w:style w:type="character" w:customStyle="1" w:styleId="185">
    <w:name w:val="正文文本 2 字符"/>
    <w:link w:val="73"/>
    <w:qFormat/>
    <w:uiPriority w:val="0"/>
    <w:rPr>
      <w:rFonts w:ascii="楷体_GB2312" w:hAnsi="宋体" w:eastAsia="楷体_GB2312" w:cs="Times New Roman"/>
      <w:color w:val="000000"/>
      <w:kern w:val="0"/>
      <w:szCs w:val="21"/>
    </w:rPr>
  </w:style>
  <w:style w:type="character" w:customStyle="1" w:styleId="186">
    <w:name w:val="datebox"/>
    <w:basedOn w:val="129"/>
    <w:qFormat/>
    <w:uiPriority w:val="0"/>
  </w:style>
  <w:style w:type="character" w:customStyle="1" w:styleId="187">
    <w:name w:val="批注框文本 字符1"/>
    <w:link w:val="52"/>
    <w:qFormat/>
    <w:uiPriority w:val="99"/>
    <w:rPr>
      <w:rFonts w:ascii="Times New Roman" w:hAnsi="Times New Roman" w:eastAsia="宋体" w:cs="Times New Roman"/>
      <w:kern w:val="0"/>
      <w:sz w:val="18"/>
      <w:szCs w:val="18"/>
    </w:rPr>
  </w:style>
  <w:style w:type="character" w:customStyle="1" w:styleId="188">
    <w:name w:val="l-btn-left3"/>
    <w:basedOn w:val="129"/>
    <w:qFormat/>
    <w:uiPriority w:val="0"/>
  </w:style>
  <w:style w:type="character" w:customStyle="1" w:styleId="189">
    <w:name w:val="标题 7 字符"/>
    <w:link w:val="10"/>
    <w:qFormat/>
    <w:uiPriority w:val="0"/>
    <w:rPr>
      <w:rFonts w:ascii="Times New Roman" w:hAnsi="Times New Roman" w:eastAsia="宋体" w:cs="Times New Roman"/>
      <w:b/>
      <w:bCs/>
      <w:kern w:val="0"/>
      <w:sz w:val="24"/>
      <w:szCs w:val="24"/>
    </w:rPr>
  </w:style>
  <w:style w:type="character" w:customStyle="1" w:styleId="190">
    <w:name w:val="页眉 字符1"/>
    <w:link w:val="55"/>
    <w:qFormat/>
    <w:uiPriority w:val="99"/>
    <w:rPr>
      <w:rFonts w:ascii="Times New Roman" w:hAnsi="Times New Roman" w:eastAsia="宋体" w:cs="Times New Roman"/>
      <w:sz w:val="18"/>
      <w:szCs w:val="18"/>
    </w:rPr>
  </w:style>
  <w:style w:type="character" w:customStyle="1" w:styleId="191">
    <w:name w:val="l-btn-left2"/>
    <w:basedOn w:val="129"/>
    <w:qFormat/>
    <w:uiPriority w:val="0"/>
  </w:style>
  <w:style w:type="character" w:customStyle="1" w:styleId="192">
    <w:name w:val="f-fl5"/>
    <w:basedOn w:val="129"/>
    <w:qFormat/>
    <w:uiPriority w:val="0"/>
  </w:style>
  <w:style w:type="character" w:customStyle="1" w:styleId="193">
    <w:name w:val="标题 9 字符"/>
    <w:link w:val="12"/>
    <w:qFormat/>
    <w:uiPriority w:val="0"/>
    <w:rPr>
      <w:rFonts w:ascii="Arial" w:hAnsi="Arial" w:eastAsia="黑体" w:cs="Times New Roman"/>
      <w:kern w:val="0"/>
      <w:szCs w:val="21"/>
    </w:rPr>
  </w:style>
  <w:style w:type="character" w:customStyle="1" w:styleId="194">
    <w:name w:val="active6"/>
    <w:basedOn w:val="129"/>
    <w:qFormat/>
    <w:uiPriority w:val="0"/>
  </w:style>
  <w:style w:type="character" w:customStyle="1" w:styleId="195">
    <w:name w:val="f-fl2"/>
    <w:basedOn w:val="129"/>
    <w:qFormat/>
    <w:uiPriority w:val="0"/>
  </w:style>
  <w:style w:type="character" w:customStyle="1" w:styleId="196">
    <w:name w:val="标题 5 字符"/>
    <w:link w:val="8"/>
    <w:qFormat/>
    <w:uiPriority w:val="0"/>
    <w:rPr>
      <w:rFonts w:ascii="Times New Roman" w:hAnsi="Times New Roman" w:eastAsia="宋体" w:cs="Times New Roman"/>
      <w:b/>
      <w:bCs/>
      <w:kern w:val="0"/>
      <w:sz w:val="28"/>
      <w:szCs w:val="28"/>
    </w:rPr>
  </w:style>
  <w:style w:type="character" w:customStyle="1" w:styleId="197">
    <w:name w:val="l-btn-empty"/>
    <w:basedOn w:val="129"/>
    <w:qFormat/>
    <w:uiPriority w:val="0"/>
  </w:style>
  <w:style w:type="character" w:customStyle="1" w:styleId="198">
    <w:name w:val="f-fr2"/>
    <w:basedOn w:val="129"/>
    <w:qFormat/>
    <w:uiPriority w:val="0"/>
  </w:style>
  <w:style w:type="character" w:customStyle="1" w:styleId="199">
    <w:name w:val="正文文本缩进 2 字符"/>
    <w:link w:val="49"/>
    <w:qFormat/>
    <w:uiPriority w:val="0"/>
    <w:rPr>
      <w:rFonts w:ascii="Times New Roman" w:hAnsi="Times New Roman" w:eastAsia="仿宋_GB2312" w:cs="Times New Roman"/>
      <w:sz w:val="32"/>
      <w:szCs w:val="24"/>
    </w:rPr>
  </w:style>
  <w:style w:type="character" w:customStyle="1" w:styleId="200">
    <w:name w:val="日期 Char1"/>
    <w:qFormat/>
    <w:uiPriority w:val="99"/>
    <w:rPr>
      <w:rFonts w:ascii="Times New Roman" w:hAnsi="Times New Roman" w:eastAsia="宋体" w:cs="Times New Roman"/>
      <w:szCs w:val="24"/>
    </w:rPr>
  </w:style>
  <w:style w:type="character" w:customStyle="1" w:styleId="201">
    <w:name w:val="正文文本 (2) + 6 pt"/>
    <w:qFormat/>
    <w:uiPriority w:val="99"/>
    <w:rPr>
      <w:rFonts w:ascii="MingLiU" w:eastAsia="MingLiU" w:cs="MingLiU"/>
      <w:spacing w:val="0"/>
      <w:sz w:val="12"/>
      <w:szCs w:val="12"/>
      <w:u w:val="none"/>
      <w:shd w:val="clear" w:color="auto" w:fill="FFFFFF"/>
    </w:rPr>
  </w:style>
  <w:style w:type="character" w:customStyle="1" w:styleId="202">
    <w:name w:val="f-fl3"/>
    <w:basedOn w:val="129"/>
    <w:qFormat/>
    <w:uiPriority w:val="0"/>
    <w:rPr>
      <w:color w:val="FFFFFF"/>
      <w:sz w:val="27"/>
      <w:szCs w:val="27"/>
      <w:shd w:val="clear" w:color="auto" w:fill="015293"/>
    </w:rPr>
  </w:style>
  <w:style w:type="character" w:customStyle="1" w:styleId="203">
    <w:name w:val="标题 8 字符"/>
    <w:link w:val="11"/>
    <w:qFormat/>
    <w:uiPriority w:val="0"/>
    <w:rPr>
      <w:rFonts w:ascii="Arial" w:hAnsi="Arial" w:eastAsia="黑体" w:cs="Times New Roman"/>
      <w:kern w:val="0"/>
      <w:sz w:val="24"/>
      <w:szCs w:val="24"/>
    </w:rPr>
  </w:style>
  <w:style w:type="character" w:customStyle="1" w:styleId="204">
    <w:name w:val="纯文本 字符"/>
    <w:link w:val="43"/>
    <w:qFormat/>
    <w:uiPriority w:val="0"/>
    <w:rPr>
      <w:rFonts w:ascii="宋体" w:hAnsi="Courier New" w:eastAsia="宋体" w:cs="Courier New"/>
      <w:szCs w:val="21"/>
    </w:rPr>
  </w:style>
  <w:style w:type="character" w:customStyle="1" w:styleId="205">
    <w:name w:val="Char Char161"/>
    <w:qFormat/>
    <w:uiPriority w:val="0"/>
    <w:rPr>
      <w:rFonts w:ascii="华文细黑" w:hAnsi="Arial" w:eastAsia="宋体"/>
      <w:b/>
      <w:bCs/>
      <w:sz w:val="44"/>
      <w:szCs w:val="32"/>
      <w:lang w:val="en-US" w:eastAsia="zh-CN" w:bidi="ar-SA"/>
    </w:rPr>
  </w:style>
  <w:style w:type="character" w:customStyle="1" w:styleId="206">
    <w:name w:val="正文文本 字符"/>
    <w:link w:val="2"/>
    <w:qFormat/>
    <w:uiPriority w:val="0"/>
    <w:rPr>
      <w:rFonts w:ascii="Times New Roman" w:hAnsi="Times New Roman" w:eastAsia="宋体" w:cs="Times New Roman"/>
      <w:b/>
      <w:bCs/>
      <w:szCs w:val="24"/>
    </w:rPr>
  </w:style>
  <w:style w:type="character" w:customStyle="1" w:styleId="207">
    <w:name w:val="批注文字 Char1"/>
    <w:qFormat/>
    <w:uiPriority w:val="0"/>
    <w:rPr>
      <w:rFonts w:ascii="Times New Roman" w:hAnsi="Times New Roman" w:eastAsia="宋体" w:cs="Times New Roman"/>
      <w:szCs w:val="24"/>
    </w:rPr>
  </w:style>
  <w:style w:type="character" w:customStyle="1" w:styleId="208">
    <w:name w:val="f-fl4"/>
    <w:basedOn w:val="129"/>
    <w:qFormat/>
    <w:uiPriority w:val="0"/>
    <w:rPr>
      <w:color w:val="FFFFFF"/>
      <w:sz w:val="27"/>
      <w:szCs w:val="27"/>
      <w:shd w:val="clear" w:color="auto" w:fill="0476D9"/>
    </w:rPr>
  </w:style>
  <w:style w:type="character" w:customStyle="1" w:styleId="209">
    <w:name w:val="标题 4 字符"/>
    <w:link w:val="7"/>
    <w:qFormat/>
    <w:uiPriority w:val="0"/>
    <w:rPr>
      <w:rFonts w:ascii="Arial" w:hAnsi="Arial" w:eastAsia="黑体" w:cs="Times New Roman"/>
      <w:b/>
      <w:bCs/>
      <w:kern w:val="0"/>
      <w:sz w:val="28"/>
      <w:szCs w:val="28"/>
    </w:rPr>
  </w:style>
  <w:style w:type="character" w:customStyle="1" w:styleId="210">
    <w:name w:val="f-fr4"/>
    <w:basedOn w:val="129"/>
    <w:qFormat/>
    <w:uiPriority w:val="0"/>
    <w:rPr>
      <w:color w:val="999999"/>
    </w:rPr>
  </w:style>
  <w:style w:type="character" w:customStyle="1" w:styleId="211">
    <w:name w:val="f-fl6"/>
    <w:basedOn w:val="129"/>
    <w:qFormat/>
    <w:uiPriority w:val="0"/>
  </w:style>
  <w:style w:type="character" w:customStyle="1" w:styleId="212">
    <w:name w:val="defaultfont1"/>
    <w:basedOn w:val="129"/>
    <w:qFormat/>
    <w:uiPriority w:val="0"/>
  </w:style>
  <w:style w:type="paragraph" w:customStyle="1" w:styleId="213">
    <w:name w:val="样式1"/>
    <w:basedOn w:val="1"/>
    <w:qFormat/>
    <w:uiPriority w:val="0"/>
    <w:rPr>
      <w:sz w:val="28"/>
    </w:rPr>
  </w:style>
  <w:style w:type="paragraph" w:customStyle="1" w:styleId="214">
    <w:name w:val="南网格式"/>
    <w:basedOn w:val="1"/>
    <w:qFormat/>
    <w:uiPriority w:val="0"/>
    <w:pPr>
      <w:widowControl/>
      <w:adjustRightInd/>
      <w:snapToGrid/>
      <w:spacing w:before="120"/>
      <w:jc w:val="left"/>
    </w:pPr>
    <w:rPr>
      <w:rFonts w:ascii="宋体" w:hAnsi="宋体"/>
    </w:rPr>
  </w:style>
  <w:style w:type="paragraph" w:customStyle="1" w:styleId="215">
    <w:name w:val="p0"/>
    <w:basedOn w:val="1"/>
    <w:qFormat/>
    <w:uiPriority w:val="0"/>
    <w:pPr>
      <w:widowControl/>
    </w:pPr>
    <w:rPr>
      <w:kern w:val="0"/>
      <w:szCs w:val="21"/>
    </w:rPr>
  </w:style>
  <w:style w:type="paragraph" w:customStyle="1" w:styleId="216">
    <w:name w:val="样式 标题 2 + Times New Roman 四号 非加粗 段前: 5 磅 段后: 0 磅 行距: 固定值 20..."/>
    <w:basedOn w:val="5"/>
    <w:qFormat/>
    <w:uiPriority w:val="0"/>
    <w:pPr>
      <w:spacing w:before="100" w:after="0" w:line="400" w:lineRule="exact"/>
    </w:pPr>
    <w:rPr>
      <w:rFonts w:ascii="Times New Roman" w:hAnsi="Times New Roman" w:cs="宋体"/>
      <w:sz w:val="28"/>
      <w:szCs w:val="20"/>
    </w:rPr>
  </w:style>
  <w:style w:type="paragraph" w:styleId="217">
    <w:name w:val="List Paragraph"/>
    <w:basedOn w:val="1"/>
    <w:qFormat/>
    <w:uiPriority w:val="1"/>
    <w:pPr>
      <w:ind w:firstLine="420" w:firstLineChars="200"/>
    </w:pPr>
  </w:style>
  <w:style w:type="character" w:customStyle="1" w:styleId="218">
    <w:name w:val="纯文本 Char1"/>
    <w:qFormat/>
    <w:locked/>
    <w:uiPriority w:val="0"/>
    <w:rPr>
      <w:rFonts w:ascii="宋体" w:hAnsi="Courier New" w:eastAsia="宋体"/>
    </w:rPr>
  </w:style>
  <w:style w:type="paragraph" w:customStyle="1" w:styleId="219">
    <w:name w:val="Normal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0">
    <w:name w:val="Table Paragraph"/>
    <w:basedOn w:val="1"/>
    <w:qFormat/>
    <w:uiPriority w:val="1"/>
    <w:pPr>
      <w:adjustRightInd/>
      <w:snapToGrid/>
      <w:ind w:firstLine="420" w:firstLineChars="200"/>
    </w:pPr>
    <w:rPr>
      <w:rFonts w:ascii="宋体" w:hAnsi="宋体" w:cs="宋体"/>
      <w:szCs w:val="21"/>
      <w:lang w:val="zh-CN" w:bidi="zh-CN"/>
    </w:rPr>
  </w:style>
  <w:style w:type="character" w:customStyle="1" w:styleId="221">
    <w:name w:val="注释标题 字符"/>
    <w:basedOn w:val="129"/>
    <w:link w:val="16"/>
    <w:semiHidden/>
    <w:qFormat/>
    <w:uiPriority w:val="0"/>
    <w:rPr>
      <w:rFonts w:cs="Calibri"/>
      <w:szCs w:val="24"/>
    </w:rPr>
  </w:style>
  <w:style w:type="character" w:customStyle="1" w:styleId="222">
    <w:name w:val="电子邮件签名 字符"/>
    <w:basedOn w:val="129"/>
    <w:link w:val="19"/>
    <w:semiHidden/>
    <w:qFormat/>
    <w:uiPriority w:val="0"/>
    <w:rPr>
      <w:rFonts w:cs="Calibri"/>
      <w:szCs w:val="24"/>
    </w:rPr>
  </w:style>
  <w:style w:type="character" w:customStyle="1" w:styleId="223">
    <w:name w:val="称呼 字符"/>
    <w:basedOn w:val="129"/>
    <w:link w:val="29"/>
    <w:semiHidden/>
    <w:qFormat/>
    <w:uiPriority w:val="0"/>
    <w:rPr>
      <w:rFonts w:cs="Calibri"/>
      <w:szCs w:val="24"/>
    </w:rPr>
  </w:style>
  <w:style w:type="character" w:customStyle="1" w:styleId="224">
    <w:name w:val="正文文本 3 字符"/>
    <w:basedOn w:val="129"/>
    <w:link w:val="30"/>
    <w:semiHidden/>
    <w:qFormat/>
    <w:uiPriority w:val="0"/>
    <w:rPr>
      <w:rFonts w:cs="Calibri"/>
      <w:sz w:val="16"/>
      <w:szCs w:val="16"/>
    </w:rPr>
  </w:style>
  <w:style w:type="character" w:customStyle="1" w:styleId="225">
    <w:name w:val="结束语 字符"/>
    <w:basedOn w:val="129"/>
    <w:link w:val="31"/>
    <w:semiHidden/>
    <w:qFormat/>
    <w:uiPriority w:val="0"/>
    <w:rPr>
      <w:rFonts w:cs="Calibri"/>
      <w:szCs w:val="24"/>
    </w:rPr>
  </w:style>
  <w:style w:type="character" w:customStyle="1" w:styleId="226">
    <w:name w:val="HTML 地址 字符"/>
    <w:basedOn w:val="129"/>
    <w:link w:val="39"/>
    <w:semiHidden/>
    <w:qFormat/>
    <w:uiPriority w:val="0"/>
    <w:rPr>
      <w:rFonts w:cs="Calibri"/>
      <w:i/>
      <w:iCs/>
      <w:szCs w:val="24"/>
    </w:rPr>
  </w:style>
  <w:style w:type="character" w:customStyle="1" w:styleId="227">
    <w:name w:val="尾注文本 字符"/>
    <w:basedOn w:val="129"/>
    <w:link w:val="50"/>
    <w:semiHidden/>
    <w:qFormat/>
    <w:uiPriority w:val="0"/>
    <w:rPr>
      <w:kern w:val="2"/>
      <w:sz w:val="21"/>
      <w:szCs w:val="24"/>
    </w:rPr>
  </w:style>
  <w:style w:type="character" w:customStyle="1" w:styleId="228">
    <w:name w:val="签名 字符"/>
    <w:basedOn w:val="129"/>
    <w:link w:val="56"/>
    <w:semiHidden/>
    <w:qFormat/>
    <w:uiPriority w:val="0"/>
    <w:rPr>
      <w:rFonts w:cs="Calibri"/>
      <w:szCs w:val="24"/>
    </w:rPr>
  </w:style>
  <w:style w:type="character" w:customStyle="1" w:styleId="229">
    <w:name w:val="脚注文本 字符"/>
    <w:basedOn w:val="129"/>
    <w:link w:val="64"/>
    <w:semiHidden/>
    <w:qFormat/>
    <w:uiPriority w:val="0"/>
    <w:rPr>
      <w:kern w:val="2"/>
      <w:sz w:val="18"/>
    </w:rPr>
  </w:style>
  <w:style w:type="character" w:customStyle="1" w:styleId="230">
    <w:name w:val="信息标题 字符"/>
    <w:basedOn w:val="129"/>
    <w:link w:val="76"/>
    <w:semiHidden/>
    <w:qFormat/>
    <w:uiPriority w:val="0"/>
    <w:rPr>
      <w:rFonts w:ascii="Arial" w:hAnsi="Arial" w:cs="Calibri"/>
      <w:sz w:val="24"/>
      <w:szCs w:val="24"/>
      <w:shd w:val="pct20" w:color="auto" w:fill="auto"/>
    </w:rPr>
  </w:style>
  <w:style w:type="character" w:customStyle="1" w:styleId="231">
    <w:name w:val="HTML 预设格式 字符"/>
    <w:basedOn w:val="129"/>
    <w:link w:val="77"/>
    <w:semiHidden/>
    <w:qFormat/>
    <w:uiPriority w:val="0"/>
    <w:rPr>
      <w:rFonts w:ascii="宋体" w:hAnsi="宋体" w:cs="Calibri"/>
      <w:color w:val="000000"/>
      <w:sz w:val="24"/>
      <w:szCs w:val="24"/>
    </w:rPr>
  </w:style>
  <w:style w:type="character" w:customStyle="1" w:styleId="232">
    <w:name w:val="正文文本首行缩进 2 字符"/>
    <w:basedOn w:val="163"/>
    <w:link w:val="83"/>
    <w:qFormat/>
    <w:uiPriority w:val="0"/>
    <w:rPr>
      <w:rFonts w:ascii="仿宋_GB2312" w:hAnsi="仿宋_GB2312" w:eastAsia="宋体" w:cs="Times New Roman"/>
      <w:sz w:val="21"/>
      <w:szCs w:val="20"/>
    </w:rPr>
  </w:style>
  <w:style w:type="paragraph" w:customStyle="1" w:styleId="233">
    <w:name w:val="xl48"/>
    <w:basedOn w:val="1"/>
    <w:qFormat/>
    <w:uiPriority w:val="0"/>
    <w:pPr>
      <w:widowControl/>
      <w:pBdr>
        <w:bottom w:val="single" w:color="auto" w:sz="4" w:space="0"/>
      </w:pBdr>
      <w:adjustRightInd/>
      <w:snapToGrid/>
      <w:spacing w:before="100" w:beforeAutospacing="1" w:after="100" w:afterAutospacing="1" w:line="240" w:lineRule="auto"/>
      <w:jc w:val="center"/>
      <w:textAlignment w:val="center"/>
    </w:pPr>
    <w:rPr>
      <w:rFonts w:ascii="Calibri" w:hAnsi="Calibri" w:eastAsia="Arial Unicode MS"/>
      <w:kern w:val="0"/>
      <w:sz w:val="24"/>
    </w:rPr>
  </w:style>
  <w:style w:type="paragraph" w:customStyle="1" w:styleId="234">
    <w:name w:val="1"/>
    <w:basedOn w:val="1"/>
    <w:next w:val="43"/>
    <w:qFormat/>
    <w:uiPriority w:val="0"/>
    <w:pPr>
      <w:adjustRightInd/>
      <w:snapToGrid/>
      <w:spacing w:line="240" w:lineRule="auto"/>
    </w:pPr>
    <w:rPr>
      <w:rFonts w:ascii="宋体" w:hAnsi="Courier New"/>
      <w:szCs w:val="20"/>
    </w:rPr>
  </w:style>
  <w:style w:type="paragraph" w:customStyle="1" w:styleId="235">
    <w:name w:val="8"/>
    <w:basedOn w:val="1"/>
    <w:next w:val="43"/>
    <w:qFormat/>
    <w:uiPriority w:val="0"/>
    <w:pPr>
      <w:adjustRightInd/>
      <w:snapToGrid/>
      <w:spacing w:line="240" w:lineRule="auto"/>
    </w:pPr>
    <w:rPr>
      <w:rFonts w:ascii="宋体" w:hAnsi="Courier New"/>
      <w:szCs w:val="20"/>
    </w:rPr>
  </w:style>
  <w:style w:type="paragraph" w:customStyle="1" w:styleId="236">
    <w:name w:val="_Style 55"/>
    <w:basedOn w:val="1"/>
    <w:next w:val="43"/>
    <w:qFormat/>
    <w:uiPriority w:val="0"/>
    <w:pPr>
      <w:adjustRightInd/>
      <w:snapToGrid/>
      <w:spacing w:line="240" w:lineRule="auto"/>
    </w:pPr>
    <w:rPr>
      <w:rFonts w:ascii="宋体" w:hAnsi="Courier New"/>
      <w:szCs w:val="20"/>
    </w:rPr>
  </w:style>
  <w:style w:type="paragraph" w:customStyle="1" w:styleId="237">
    <w:name w:val="7"/>
    <w:basedOn w:val="1"/>
    <w:next w:val="43"/>
    <w:qFormat/>
    <w:uiPriority w:val="0"/>
    <w:pPr>
      <w:adjustRightInd/>
      <w:snapToGrid/>
      <w:spacing w:line="240" w:lineRule="auto"/>
    </w:pPr>
    <w:rPr>
      <w:rFonts w:ascii="宋体" w:hAnsi="Courier New"/>
      <w:szCs w:val="20"/>
    </w:rPr>
  </w:style>
  <w:style w:type="paragraph" w:customStyle="1" w:styleId="238">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39">
    <w:name w:val="批注文字1"/>
    <w:basedOn w:val="238"/>
    <w:semiHidden/>
    <w:qFormat/>
    <w:uiPriority w:val="0"/>
    <w:pPr>
      <w:jc w:val="left"/>
    </w:pPr>
    <w:rPr>
      <w:rFonts w:ascii="Times New Roman" w:hAnsi="Times New Roman"/>
      <w:kern w:val="0"/>
      <w:sz w:val="20"/>
      <w:szCs w:val="20"/>
    </w:rPr>
  </w:style>
  <w:style w:type="paragraph" w:customStyle="1" w:styleId="240">
    <w:name w:val="正文文本缩进2"/>
    <w:basedOn w:val="238"/>
    <w:unhideWhenUsed/>
    <w:qFormat/>
    <w:uiPriority w:val="99"/>
    <w:pPr>
      <w:spacing w:after="120"/>
      <w:ind w:left="420" w:leftChars="200"/>
    </w:pPr>
  </w:style>
  <w:style w:type="paragraph" w:customStyle="1" w:styleId="241">
    <w:name w:val="日期1"/>
    <w:basedOn w:val="238"/>
    <w:next w:val="238"/>
    <w:unhideWhenUsed/>
    <w:qFormat/>
    <w:uiPriority w:val="0"/>
    <w:pPr>
      <w:ind w:left="100" w:leftChars="2500"/>
    </w:pPr>
    <w:rPr>
      <w:rFonts w:ascii="Times New Roman" w:hAnsi="Times New Roman"/>
      <w:kern w:val="0"/>
      <w:sz w:val="20"/>
      <w:szCs w:val="20"/>
    </w:rPr>
  </w:style>
  <w:style w:type="paragraph" w:customStyle="1" w:styleId="242">
    <w:name w:val="List Paragraph_0"/>
    <w:basedOn w:val="219"/>
    <w:qFormat/>
    <w:uiPriority w:val="34"/>
    <w:pPr>
      <w:ind w:firstLine="420" w:firstLineChars="200"/>
    </w:pPr>
  </w:style>
  <w:style w:type="paragraph" w:customStyle="1" w:styleId="243">
    <w:name w:val="Normal_2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44">
    <w:name w:val="Normal_1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5">
    <w:name w:val="Normal_7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246">
    <w:name w:val=".正文"/>
    <w:basedOn w:val="1"/>
    <w:qFormat/>
    <w:uiPriority w:val="0"/>
    <w:pPr>
      <w:adjustRightInd/>
      <w:snapToGrid/>
      <w:spacing w:beforeLines="50" w:line="240" w:lineRule="auto"/>
      <w:ind w:firstLine="200" w:firstLineChars="200"/>
    </w:pPr>
    <w:rPr>
      <w:rFonts w:ascii="Calibri" w:hAnsi="Calibri" w:eastAsia="华文仿宋"/>
      <w:szCs w:val="22"/>
    </w:rPr>
  </w:style>
  <w:style w:type="character" w:customStyle="1" w:styleId="247">
    <w:name w:val="Ｒ07-!正! Char Char"/>
    <w:link w:val="248"/>
    <w:qFormat/>
    <w:uiPriority w:val="0"/>
    <w:rPr>
      <w:rFonts w:ascii="宋体" w:hAnsi="宋体" w:cs="宋体"/>
      <w:snapToGrid w:val="0"/>
      <w:spacing w:val="8"/>
      <w:sz w:val="24"/>
      <w:szCs w:val="24"/>
    </w:rPr>
  </w:style>
  <w:style w:type="paragraph" w:customStyle="1" w:styleId="248">
    <w:name w:val="Ｒ07-!正!"/>
    <w:link w:val="247"/>
    <w:qFormat/>
    <w:uiPriority w:val="0"/>
    <w:pPr>
      <w:wordWrap w:val="0"/>
      <w:spacing w:afterLines="20" w:line="360" w:lineRule="auto"/>
      <w:ind w:firstLine="512" w:firstLineChars="200"/>
    </w:pPr>
    <w:rPr>
      <w:rFonts w:ascii="宋体" w:hAnsi="宋体" w:eastAsia="宋体" w:cs="宋体"/>
      <w:snapToGrid w:val="0"/>
      <w:spacing w:val="8"/>
      <w:sz w:val="24"/>
      <w:szCs w:val="24"/>
      <w:lang w:val="en-US" w:eastAsia="zh-CN" w:bidi="ar-SA"/>
    </w:rPr>
  </w:style>
  <w:style w:type="character" w:customStyle="1" w:styleId="249">
    <w:name w:val="批注主题 Char2"/>
    <w:semiHidden/>
    <w:qFormat/>
    <w:uiPriority w:val="99"/>
    <w:rPr>
      <w:rFonts w:ascii="Times New Roman" w:hAnsi="Times New Roman"/>
      <w:b/>
      <w:bCs/>
      <w:kern w:val="2"/>
      <w:sz w:val="21"/>
      <w:szCs w:val="22"/>
    </w:rPr>
  </w:style>
  <w:style w:type="paragraph" w:customStyle="1" w:styleId="250">
    <w:name w:val="列出段落2"/>
    <w:basedOn w:val="1"/>
    <w:qFormat/>
    <w:uiPriority w:val="34"/>
    <w:pPr>
      <w:adjustRightInd/>
      <w:snapToGrid/>
      <w:spacing w:line="240" w:lineRule="auto"/>
      <w:ind w:firstLine="420" w:firstLineChars="200"/>
    </w:pPr>
    <w:rPr>
      <w:rFonts w:ascii="Calibri" w:hAnsi="Calibri"/>
      <w:szCs w:val="22"/>
    </w:rPr>
  </w:style>
  <w:style w:type="character" w:customStyle="1" w:styleId="251">
    <w:name w:val="正文文本_"/>
    <w:basedOn w:val="129"/>
    <w:link w:val="252"/>
    <w:qFormat/>
    <w:uiPriority w:val="0"/>
    <w:rPr>
      <w:rFonts w:ascii="MingLiU" w:hAnsi="MingLiU" w:eastAsia="MingLiU" w:cs="MingLiU"/>
      <w:shd w:val="clear" w:color="auto" w:fill="FFFFFF"/>
      <w:lang w:val="zh-CN" w:bidi="zh-CN"/>
    </w:rPr>
  </w:style>
  <w:style w:type="paragraph" w:customStyle="1" w:styleId="252">
    <w:name w:val="正文文本1"/>
    <w:basedOn w:val="1"/>
    <w:link w:val="251"/>
    <w:qFormat/>
    <w:uiPriority w:val="0"/>
    <w:pPr>
      <w:shd w:val="clear" w:color="auto" w:fill="FFFFFF"/>
      <w:adjustRightInd/>
      <w:snapToGrid/>
      <w:spacing w:line="468" w:lineRule="auto"/>
      <w:ind w:firstLine="400"/>
      <w:jc w:val="left"/>
    </w:pPr>
    <w:rPr>
      <w:rFonts w:ascii="MingLiU" w:hAnsi="MingLiU" w:eastAsia="MingLiU" w:cs="MingLiU"/>
      <w:kern w:val="0"/>
      <w:sz w:val="20"/>
      <w:szCs w:val="20"/>
      <w:lang w:val="zh-CN" w:bidi="zh-CN"/>
    </w:rPr>
  </w:style>
  <w:style w:type="character" w:customStyle="1" w:styleId="253">
    <w:name w:val="标题 #2_"/>
    <w:basedOn w:val="129"/>
    <w:link w:val="254"/>
    <w:qFormat/>
    <w:uiPriority w:val="0"/>
    <w:rPr>
      <w:rFonts w:ascii="MingLiU" w:hAnsi="MingLiU" w:eastAsia="MingLiU" w:cs="MingLiU"/>
      <w:b/>
      <w:bCs/>
      <w:shd w:val="clear" w:color="auto" w:fill="FFFFFF"/>
      <w:lang w:val="zh-CN" w:bidi="zh-CN"/>
    </w:rPr>
  </w:style>
  <w:style w:type="paragraph" w:customStyle="1" w:styleId="254">
    <w:name w:val="标题 #2"/>
    <w:basedOn w:val="1"/>
    <w:link w:val="253"/>
    <w:qFormat/>
    <w:uiPriority w:val="0"/>
    <w:pPr>
      <w:shd w:val="clear" w:color="auto" w:fill="FFFFFF"/>
      <w:adjustRightInd/>
      <w:snapToGrid/>
      <w:spacing w:line="468" w:lineRule="exact"/>
      <w:ind w:firstLine="430"/>
      <w:jc w:val="left"/>
      <w:outlineLvl w:val="1"/>
    </w:pPr>
    <w:rPr>
      <w:rFonts w:ascii="MingLiU" w:hAnsi="MingLiU" w:eastAsia="MingLiU" w:cs="MingLiU"/>
      <w:b/>
      <w:bCs/>
      <w:kern w:val="0"/>
      <w:sz w:val="20"/>
      <w:szCs w:val="20"/>
      <w:lang w:val="zh-CN" w:bidi="zh-CN"/>
    </w:rPr>
  </w:style>
  <w:style w:type="character" w:customStyle="1" w:styleId="255">
    <w:name w:val="其他_"/>
    <w:basedOn w:val="129"/>
    <w:link w:val="256"/>
    <w:qFormat/>
    <w:uiPriority w:val="0"/>
    <w:rPr>
      <w:rFonts w:ascii="MingLiU" w:hAnsi="MingLiU" w:eastAsia="MingLiU" w:cs="MingLiU"/>
      <w:shd w:val="clear" w:color="auto" w:fill="FFFFFF"/>
      <w:lang w:val="zh-CN" w:bidi="zh-CN"/>
    </w:rPr>
  </w:style>
  <w:style w:type="paragraph" w:customStyle="1" w:styleId="256">
    <w:name w:val="其他"/>
    <w:basedOn w:val="1"/>
    <w:link w:val="255"/>
    <w:qFormat/>
    <w:uiPriority w:val="0"/>
    <w:pPr>
      <w:shd w:val="clear" w:color="auto" w:fill="FFFFFF"/>
      <w:adjustRightInd/>
      <w:snapToGrid/>
      <w:spacing w:line="468" w:lineRule="auto"/>
      <w:ind w:firstLine="400"/>
      <w:jc w:val="left"/>
    </w:pPr>
    <w:rPr>
      <w:rFonts w:ascii="MingLiU" w:hAnsi="MingLiU" w:eastAsia="MingLiU" w:cs="MingLiU"/>
      <w:kern w:val="0"/>
      <w:sz w:val="20"/>
      <w:szCs w:val="20"/>
      <w:lang w:val="zh-CN" w:bidi="zh-CN"/>
    </w:rPr>
  </w:style>
  <w:style w:type="character" w:customStyle="1" w:styleId="257">
    <w:name w:val="正文文本 (4)_"/>
    <w:basedOn w:val="129"/>
    <w:link w:val="258"/>
    <w:qFormat/>
    <w:uiPriority w:val="0"/>
    <w:rPr>
      <w:rFonts w:ascii="Arial Unicode MS" w:hAnsi="Arial Unicode MS" w:eastAsia="Arial Unicode MS" w:cs="Arial Unicode MS"/>
      <w:sz w:val="18"/>
      <w:szCs w:val="18"/>
      <w:shd w:val="clear" w:color="auto" w:fill="FFFFFF"/>
      <w:lang w:val="zh-CN" w:bidi="zh-CN"/>
    </w:rPr>
  </w:style>
  <w:style w:type="paragraph" w:customStyle="1" w:styleId="258">
    <w:name w:val="正文文本 (4)"/>
    <w:basedOn w:val="1"/>
    <w:link w:val="257"/>
    <w:qFormat/>
    <w:uiPriority w:val="0"/>
    <w:pPr>
      <w:shd w:val="clear" w:color="auto" w:fill="FFFFFF"/>
      <w:adjustRightInd/>
      <w:snapToGrid/>
      <w:spacing w:line="466" w:lineRule="auto"/>
      <w:ind w:firstLine="440"/>
      <w:jc w:val="left"/>
    </w:pPr>
    <w:rPr>
      <w:rFonts w:ascii="Arial Unicode MS" w:hAnsi="Arial Unicode MS" w:eastAsia="Arial Unicode MS" w:cs="Arial Unicode MS"/>
      <w:kern w:val="0"/>
      <w:sz w:val="18"/>
      <w:szCs w:val="18"/>
      <w:lang w:val="zh-CN" w:bidi="zh-CN"/>
    </w:rPr>
  </w:style>
  <w:style w:type="paragraph" w:customStyle="1" w:styleId="259">
    <w:name w:val="Normal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0">
    <w:name w:val="Normal_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61">
    <w:name w:val="正文文本首行缩进 字符"/>
    <w:basedOn w:val="206"/>
    <w:link w:val="82"/>
    <w:semiHidden/>
    <w:qFormat/>
    <w:uiPriority w:val="0"/>
    <w:rPr>
      <w:rFonts w:ascii="Times New Roman" w:hAnsi="Times New Roman" w:eastAsia="宋体" w:cs="Times New Roman"/>
      <w:b w:val="0"/>
      <w:bCs w:val="0"/>
      <w:szCs w:val="24"/>
    </w:rPr>
  </w:style>
  <w:style w:type="character" w:customStyle="1" w:styleId="262">
    <w:name w:val="z-窗体底端 Char"/>
    <w:link w:val="263"/>
    <w:qFormat/>
    <w:uiPriority w:val="99"/>
    <w:rPr>
      <w:rFonts w:ascii="Arial" w:hAnsi="Arial"/>
      <w:vanish/>
      <w:sz w:val="16"/>
      <w:szCs w:val="16"/>
    </w:rPr>
  </w:style>
  <w:style w:type="paragraph" w:customStyle="1" w:styleId="263">
    <w:name w:val="z-窗体底端1"/>
    <w:basedOn w:val="1"/>
    <w:next w:val="1"/>
    <w:link w:val="262"/>
    <w:unhideWhenUsed/>
    <w:qFormat/>
    <w:uiPriority w:val="99"/>
    <w:pPr>
      <w:widowControl/>
      <w:pBdr>
        <w:top w:val="single" w:color="auto" w:sz="6" w:space="1"/>
      </w:pBdr>
      <w:adjustRightInd/>
      <w:snapToGrid/>
      <w:spacing w:line="240" w:lineRule="auto"/>
      <w:jc w:val="center"/>
    </w:pPr>
    <w:rPr>
      <w:rFonts w:ascii="Arial" w:hAnsi="Arial"/>
      <w:vanish/>
      <w:kern w:val="0"/>
      <w:sz w:val="16"/>
      <w:szCs w:val="16"/>
    </w:rPr>
  </w:style>
  <w:style w:type="character" w:customStyle="1" w:styleId="264">
    <w:name w:val="z-窗体顶端 Char"/>
    <w:link w:val="265"/>
    <w:qFormat/>
    <w:uiPriority w:val="99"/>
    <w:rPr>
      <w:rFonts w:ascii="Arial" w:hAnsi="Arial"/>
      <w:vanish/>
      <w:sz w:val="16"/>
      <w:szCs w:val="16"/>
    </w:rPr>
  </w:style>
  <w:style w:type="paragraph" w:customStyle="1" w:styleId="265">
    <w:name w:val="z-窗体顶端1"/>
    <w:basedOn w:val="1"/>
    <w:next w:val="1"/>
    <w:link w:val="264"/>
    <w:unhideWhenUsed/>
    <w:qFormat/>
    <w:uiPriority w:val="99"/>
    <w:pPr>
      <w:widowControl/>
      <w:pBdr>
        <w:bottom w:val="single" w:color="auto" w:sz="6" w:space="1"/>
      </w:pBdr>
      <w:adjustRightInd/>
      <w:snapToGrid/>
      <w:spacing w:line="240" w:lineRule="auto"/>
      <w:jc w:val="center"/>
    </w:pPr>
    <w:rPr>
      <w:rFonts w:ascii="Arial" w:hAnsi="Arial"/>
      <w:vanish/>
      <w:kern w:val="0"/>
      <w:sz w:val="16"/>
      <w:szCs w:val="16"/>
    </w:rPr>
  </w:style>
  <w:style w:type="paragraph" w:customStyle="1" w:styleId="266">
    <w:name w:val="style93"/>
    <w:basedOn w:val="1"/>
    <w:qFormat/>
    <w:uiPriority w:val="0"/>
    <w:pPr>
      <w:widowControl/>
      <w:adjustRightInd/>
      <w:snapToGrid/>
      <w:spacing w:before="100" w:beforeAutospacing="1" w:after="100" w:afterAutospacing="1" w:line="240" w:lineRule="auto"/>
      <w:jc w:val="left"/>
    </w:pPr>
    <w:rPr>
      <w:rFonts w:ascii="宋体" w:hAnsi="宋体" w:cs="宋体"/>
      <w:kern w:val="0"/>
      <w:sz w:val="24"/>
    </w:rPr>
  </w:style>
  <w:style w:type="paragraph" w:customStyle="1" w:styleId="267">
    <w:name w:val="WPSOffice手动目录 1"/>
    <w:qFormat/>
    <w:uiPriority w:val="0"/>
    <w:rPr>
      <w:rFonts w:ascii="Calibri" w:hAnsi="Calibri" w:eastAsia="宋体" w:cs="Calibri"/>
      <w:lang w:val="en-US" w:eastAsia="zh-CN" w:bidi="ar-SA"/>
    </w:rPr>
  </w:style>
  <w:style w:type="paragraph" w:customStyle="1" w:styleId="268">
    <w:name w:val="正文_3"/>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character" w:customStyle="1" w:styleId="269">
    <w:name w:val="font01"/>
    <w:basedOn w:val="129"/>
    <w:qFormat/>
    <w:uiPriority w:val="0"/>
    <w:rPr>
      <w:rFonts w:ascii="Times New Roman" w:hAnsi="Times New Roman" w:cs="Times New Roman"/>
      <w:color w:val="000000"/>
      <w:sz w:val="21"/>
      <w:szCs w:val="21"/>
      <w:u w:val="none"/>
    </w:rPr>
  </w:style>
  <w:style w:type="character" w:customStyle="1" w:styleId="270">
    <w:name w:val="font31"/>
    <w:basedOn w:val="129"/>
    <w:qFormat/>
    <w:uiPriority w:val="0"/>
    <w:rPr>
      <w:rFonts w:ascii="宋体" w:hAnsi="宋体" w:eastAsia="宋体" w:cs="宋体"/>
      <w:color w:val="000000"/>
      <w:sz w:val="21"/>
      <w:szCs w:val="21"/>
      <w:u w:val="none"/>
    </w:rPr>
  </w:style>
  <w:style w:type="character" w:customStyle="1" w:styleId="271">
    <w:name w:val="font21"/>
    <w:basedOn w:val="129"/>
    <w:qFormat/>
    <w:uiPriority w:val="0"/>
    <w:rPr>
      <w:rFonts w:ascii="宋体" w:hAnsi="宋体" w:eastAsia="宋体" w:cs="宋体"/>
      <w:color w:val="000000"/>
      <w:sz w:val="21"/>
      <w:szCs w:val="21"/>
      <w:u w:val="none"/>
    </w:rPr>
  </w:style>
  <w:style w:type="character" w:customStyle="1" w:styleId="272">
    <w:name w:val="font41"/>
    <w:basedOn w:val="129"/>
    <w:qFormat/>
    <w:uiPriority w:val="0"/>
    <w:rPr>
      <w:rFonts w:ascii="宋体" w:hAnsi="宋体" w:eastAsia="宋体" w:cs="宋体"/>
      <w:color w:val="000000"/>
      <w:sz w:val="21"/>
      <w:szCs w:val="21"/>
      <w:u w:val="none"/>
    </w:rPr>
  </w:style>
  <w:style w:type="paragraph" w:customStyle="1" w:styleId="273">
    <w:name w:val="msonormal"/>
    <w:basedOn w:val="1"/>
    <w:qFormat/>
    <w:uiPriority w:val="0"/>
    <w:pPr>
      <w:widowControl/>
      <w:adjustRightInd/>
      <w:snapToGrid/>
      <w:spacing w:before="100" w:beforeAutospacing="1" w:after="100" w:afterAutospacing="1" w:line="240" w:lineRule="auto"/>
      <w:jc w:val="left"/>
    </w:pPr>
    <w:rPr>
      <w:rFonts w:ascii="宋体" w:hAnsi="宋体" w:cs="宋体"/>
      <w:kern w:val="0"/>
      <w:sz w:val="24"/>
    </w:rPr>
  </w:style>
  <w:style w:type="paragraph" w:customStyle="1" w:styleId="274">
    <w:name w:val="font5"/>
    <w:basedOn w:val="1"/>
    <w:qFormat/>
    <w:uiPriority w:val="0"/>
    <w:pPr>
      <w:widowControl/>
      <w:adjustRightInd/>
      <w:snapToGrid/>
      <w:spacing w:before="100" w:beforeAutospacing="1" w:after="100" w:afterAutospacing="1" w:line="240" w:lineRule="auto"/>
      <w:jc w:val="left"/>
    </w:pPr>
    <w:rPr>
      <w:rFonts w:ascii="Calibri" w:hAnsi="Calibri" w:cs="Calibri"/>
      <w:color w:val="000000"/>
      <w:kern w:val="0"/>
      <w:szCs w:val="21"/>
    </w:rPr>
  </w:style>
  <w:style w:type="paragraph" w:customStyle="1" w:styleId="275">
    <w:name w:val="font6"/>
    <w:basedOn w:val="1"/>
    <w:qFormat/>
    <w:uiPriority w:val="0"/>
    <w:pPr>
      <w:widowControl/>
      <w:adjustRightInd/>
      <w:snapToGrid/>
      <w:spacing w:before="100" w:beforeAutospacing="1" w:after="100" w:afterAutospacing="1" w:line="240" w:lineRule="auto"/>
      <w:jc w:val="left"/>
    </w:pPr>
    <w:rPr>
      <w:rFonts w:ascii="宋体" w:hAnsi="宋体" w:cs="宋体"/>
      <w:color w:val="000000"/>
      <w:kern w:val="0"/>
      <w:szCs w:val="21"/>
    </w:rPr>
  </w:style>
  <w:style w:type="paragraph" w:customStyle="1" w:styleId="276">
    <w:name w:val="font7"/>
    <w:basedOn w:val="1"/>
    <w:qFormat/>
    <w:uiPriority w:val="0"/>
    <w:pPr>
      <w:widowControl/>
      <w:adjustRightInd/>
      <w:snapToGrid/>
      <w:spacing w:before="100" w:beforeAutospacing="1" w:after="100" w:afterAutospacing="1" w:line="240" w:lineRule="auto"/>
      <w:jc w:val="left"/>
    </w:pPr>
    <w:rPr>
      <w:rFonts w:ascii="宋体" w:hAnsi="宋体" w:cs="宋体"/>
      <w:color w:val="000000"/>
      <w:kern w:val="0"/>
      <w:szCs w:val="21"/>
    </w:rPr>
  </w:style>
  <w:style w:type="paragraph" w:customStyle="1" w:styleId="277">
    <w:name w:val="font8"/>
    <w:basedOn w:val="1"/>
    <w:qFormat/>
    <w:uiPriority w:val="0"/>
    <w:pPr>
      <w:widowControl/>
      <w:adjustRightInd/>
      <w:snapToGrid/>
      <w:spacing w:before="100" w:beforeAutospacing="1" w:after="100" w:afterAutospacing="1" w:line="240" w:lineRule="auto"/>
      <w:jc w:val="left"/>
    </w:pPr>
    <w:rPr>
      <w:color w:val="000000"/>
      <w:kern w:val="0"/>
      <w:szCs w:val="21"/>
    </w:rPr>
  </w:style>
  <w:style w:type="paragraph" w:customStyle="1" w:styleId="278">
    <w:name w:val="font9"/>
    <w:basedOn w:val="1"/>
    <w:qFormat/>
    <w:uiPriority w:val="0"/>
    <w:pPr>
      <w:widowControl/>
      <w:adjustRightInd/>
      <w:snapToGrid/>
      <w:spacing w:before="100" w:beforeAutospacing="1" w:after="100" w:afterAutospacing="1" w:line="240" w:lineRule="auto"/>
      <w:jc w:val="left"/>
    </w:pPr>
    <w:rPr>
      <w:rFonts w:ascii="Calibri" w:hAnsi="Calibri" w:cs="Calibri"/>
      <w:color w:val="000000"/>
      <w:kern w:val="0"/>
      <w:szCs w:val="21"/>
    </w:rPr>
  </w:style>
  <w:style w:type="paragraph" w:customStyle="1" w:styleId="279">
    <w:name w:val="font10"/>
    <w:basedOn w:val="1"/>
    <w:qFormat/>
    <w:uiPriority w:val="0"/>
    <w:pPr>
      <w:widowControl/>
      <w:adjustRightInd/>
      <w:snapToGrid/>
      <w:spacing w:before="100" w:beforeAutospacing="1" w:after="100" w:afterAutospacing="1" w:line="240" w:lineRule="auto"/>
      <w:jc w:val="left"/>
    </w:pPr>
    <w:rPr>
      <w:rFonts w:ascii="等线" w:hAnsi="等线" w:eastAsia="等线" w:cs="宋体"/>
      <w:kern w:val="0"/>
      <w:sz w:val="18"/>
      <w:szCs w:val="18"/>
    </w:rPr>
  </w:style>
  <w:style w:type="paragraph" w:customStyle="1" w:styleId="280">
    <w:name w:val="font11"/>
    <w:basedOn w:val="1"/>
    <w:qFormat/>
    <w:uiPriority w:val="0"/>
    <w:pPr>
      <w:widowControl/>
      <w:adjustRightInd/>
      <w:snapToGrid/>
      <w:spacing w:before="100" w:beforeAutospacing="1" w:after="100" w:afterAutospacing="1" w:line="240" w:lineRule="auto"/>
      <w:jc w:val="left"/>
    </w:pPr>
    <w:rPr>
      <w:rFonts w:ascii="宋体" w:hAnsi="宋体" w:cs="宋体"/>
      <w:color w:val="000000"/>
      <w:kern w:val="0"/>
      <w:szCs w:val="21"/>
    </w:rPr>
  </w:style>
  <w:style w:type="paragraph" w:customStyle="1" w:styleId="281">
    <w:name w:val="xl63"/>
    <w:basedOn w:val="1"/>
    <w:qFormat/>
    <w:uiPriority w:val="0"/>
    <w:pPr>
      <w:widowControl/>
      <w:pBdr>
        <w:top w:val="single" w:color="auto" w:sz="8" w:space="0"/>
        <w:left w:val="single" w:color="auto" w:sz="8" w:space="0"/>
        <w:bottom w:val="single" w:color="auto" w:sz="8" w:space="0"/>
        <w:right w:val="single" w:color="auto" w:sz="8" w:space="0"/>
      </w:pBdr>
      <w:shd w:val="clear" w:color="000000" w:fill="E7E6E6"/>
      <w:adjustRightInd/>
      <w:snapToGrid/>
      <w:spacing w:before="100" w:beforeAutospacing="1" w:after="100" w:afterAutospacing="1" w:line="240" w:lineRule="auto"/>
      <w:jc w:val="center"/>
    </w:pPr>
    <w:rPr>
      <w:rFonts w:ascii="宋体" w:hAnsi="宋体" w:cs="宋体"/>
      <w:b/>
      <w:bCs/>
      <w:kern w:val="0"/>
      <w:szCs w:val="21"/>
    </w:rPr>
  </w:style>
  <w:style w:type="paragraph" w:customStyle="1" w:styleId="282">
    <w:name w:val="xl64"/>
    <w:basedOn w:val="1"/>
    <w:qFormat/>
    <w:uiPriority w:val="0"/>
    <w:pPr>
      <w:widowControl/>
      <w:pBdr>
        <w:top w:val="single" w:color="auto" w:sz="8" w:space="0"/>
        <w:bottom w:val="single" w:color="auto" w:sz="8" w:space="0"/>
        <w:right w:val="single" w:color="auto" w:sz="8" w:space="0"/>
      </w:pBdr>
      <w:shd w:val="clear" w:color="000000" w:fill="E7E6E6"/>
      <w:adjustRightInd/>
      <w:snapToGrid/>
      <w:spacing w:before="100" w:beforeAutospacing="1" w:after="100" w:afterAutospacing="1" w:line="240" w:lineRule="auto"/>
      <w:jc w:val="center"/>
    </w:pPr>
    <w:rPr>
      <w:rFonts w:ascii="宋体" w:hAnsi="宋体" w:cs="宋体"/>
      <w:b/>
      <w:bCs/>
      <w:color w:val="000000"/>
      <w:kern w:val="0"/>
      <w:szCs w:val="21"/>
    </w:rPr>
  </w:style>
  <w:style w:type="paragraph" w:customStyle="1" w:styleId="283">
    <w:name w:val="xl65"/>
    <w:basedOn w:val="1"/>
    <w:qFormat/>
    <w:uiPriority w:val="0"/>
    <w:pPr>
      <w:widowControl/>
      <w:pBdr>
        <w:top w:val="single" w:color="auto" w:sz="8" w:space="0"/>
        <w:bottom w:val="single" w:color="auto" w:sz="8" w:space="0"/>
        <w:right w:val="single" w:color="auto" w:sz="8" w:space="0"/>
      </w:pBdr>
      <w:shd w:val="clear" w:color="000000" w:fill="E7E6E6"/>
      <w:adjustRightInd/>
      <w:snapToGrid/>
      <w:spacing w:before="100" w:beforeAutospacing="1" w:after="100" w:afterAutospacing="1" w:line="240" w:lineRule="auto"/>
      <w:jc w:val="center"/>
    </w:pPr>
    <w:rPr>
      <w:rFonts w:ascii="宋体" w:hAnsi="宋体" w:cs="宋体"/>
      <w:b/>
      <w:bCs/>
      <w:color w:val="000000"/>
      <w:kern w:val="0"/>
      <w:szCs w:val="21"/>
    </w:rPr>
  </w:style>
  <w:style w:type="paragraph" w:customStyle="1" w:styleId="284">
    <w:name w:val="xl66"/>
    <w:basedOn w:val="1"/>
    <w:qFormat/>
    <w:uiPriority w:val="0"/>
    <w:pPr>
      <w:widowControl/>
      <w:pBdr>
        <w:left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285">
    <w:name w:val="xl67"/>
    <w:basedOn w:val="1"/>
    <w:qFormat/>
    <w:uiPriority w:val="0"/>
    <w:pPr>
      <w:widowControl/>
      <w:pBdr>
        <w:left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286">
    <w:name w:val="xl68"/>
    <w:basedOn w:val="1"/>
    <w:qFormat/>
    <w:uiPriority w:val="0"/>
    <w:pPr>
      <w:widowControl/>
      <w:pBdr>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287">
    <w:name w:val="xl69"/>
    <w:basedOn w:val="1"/>
    <w:qFormat/>
    <w:uiPriority w:val="0"/>
    <w:pPr>
      <w:widowControl/>
      <w:pBdr>
        <w:bottom w:val="single" w:color="auto" w:sz="8" w:space="0"/>
        <w:right w:val="single" w:color="auto" w:sz="8" w:space="0"/>
      </w:pBdr>
      <w:adjustRightInd/>
      <w:snapToGrid/>
      <w:spacing w:before="100" w:beforeAutospacing="1" w:after="100" w:afterAutospacing="1" w:line="240" w:lineRule="auto"/>
      <w:jc w:val="center"/>
    </w:pPr>
    <w:rPr>
      <w:rFonts w:ascii="Calibri" w:hAnsi="Calibri" w:cs="Calibri"/>
      <w:kern w:val="0"/>
      <w:szCs w:val="21"/>
    </w:rPr>
  </w:style>
  <w:style w:type="paragraph" w:customStyle="1" w:styleId="288">
    <w:name w:val="xl70"/>
    <w:basedOn w:val="1"/>
    <w:qFormat/>
    <w:uiPriority w:val="0"/>
    <w:pPr>
      <w:widowControl/>
      <w:pBdr>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color w:val="000000"/>
      <w:kern w:val="0"/>
      <w:szCs w:val="21"/>
    </w:rPr>
  </w:style>
  <w:style w:type="paragraph" w:customStyle="1" w:styleId="289">
    <w:name w:val="xl71"/>
    <w:basedOn w:val="1"/>
    <w:qFormat/>
    <w:uiPriority w:val="0"/>
    <w:pPr>
      <w:widowControl/>
      <w:pBdr>
        <w:bottom w:val="single" w:color="auto" w:sz="8" w:space="0"/>
        <w:right w:val="single" w:color="auto" w:sz="8" w:space="0"/>
      </w:pBdr>
      <w:adjustRightInd/>
      <w:snapToGrid/>
      <w:spacing w:before="100" w:beforeAutospacing="1" w:after="100" w:afterAutospacing="1" w:line="240" w:lineRule="auto"/>
      <w:jc w:val="left"/>
    </w:pPr>
    <w:rPr>
      <w:rFonts w:ascii="宋体" w:hAnsi="宋体" w:cs="宋体"/>
      <w:kern w:val="0"/>
      <w:szCs w:val="21"/>
    </w:rPr>
  </w:style>
  <w:style w:type="paragraph" w:customStyle="1" w:styleId="290">
    <w:name w:val="xl72"/>
    <w:basedOn w:val="1"/>
    <w:qFormat/>
    <w:uiPriority w:val="0"/>
    <w:pPr>
      <w:widowControl/>
      <w:pBdr>
        <w:bottom w:val="single" w:color="000000"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291">
    <w:name w:val="xl73"/>
    <w:basedOn w:val="1"/>
    <w:qFormat/>
    <w:uiPriority w:val="0"/>
    <w:pPr>
      <w:widowControl/>
      <w:pBdr>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292">
    <w:name w:val="xl74"/>
    <w:basedOn w:val="1"/>
    <w:qFormat/>
    <w:uiPriority w:val="0"/>
    <w:pPr>
      <w:widowControl/>
      <w:pBdr>
        <w:bottom w:val="single" w:color="auto" w:sz="8" w:space="0"/>
        <w:right w:val="single" w:color="000000"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293">
    <w:name w:val="xl75"/>
    <w:basedOn w:val="1"/>
    <w:qFormat/>
    <w:uiPriority w:val="0"/>
    <w:pPr>
      <w:widowControl/>
      <w:pBdr>
        <w:left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 w:val="24"/>
    </w:rPr>
  </w:style>
  <w:style w:type="paragraph" w:customStyle="1" w:styleId="294">
    <w:name w:val="xl76"/>
    <w:basedOn w:val="1"/>
    <w:qFormat/>
    <w:uiPriority w:val="0"/>
    <w:pPr>
      <w:widowControl/>
      <w:pBdr>
        <w:bottom w:val="single" w:color="auto" w:sz="8" w:space="0"/>
        <w:right w:val="single" w:color="auto" w:sz="8" w:space="0"/>
      </w:pBdr>
      <w:adjustRightInd/>
      <w:snapToGrid/>
      <w:spacing w:before="100" w:beforeAutospacing="1" w:after="100" w:afterAutospacing="1" w:line="240" w:lineRule="auto"/>
      <w:jc w:val="left"/>
    </w:pPr>
    <w:rPr>
      <w:rFonts w:ascii="宋体" w:hAnsi="宋体" w:cs="宋体"/>
      <w:b/>
      <w:bCs/>
      <w:kern w:val="0"/>
      <w:szCs w:val="21"/>
    </w:rPr>
  </w:style>
  <w:style w:type="paragraph" w:customStyle="1" w:styleId="295">
    <w:name w:val="xl77"/>
    <w:basedOn w:val="1"/>
    <w:qFormat/>
    <w:uiPriority w:val="0"/>
    <w:pPr>
      <w:widowControl/>
      <w:pBdr>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296">
    <w:name w:val="xl78"/>
    <w:basedOn w:val="1"/>
    <w:qFormat/>
    <w:uiPriority w:val="0"/>
    <w:pPr>
      <w:widowControl/>
      <w:pBdr>
        <w:bottom w:val="single" w:color="auto" w:sz="8" w:space="0"/>
        <w:right w:val="single" w:color="auto" w:sz="8" w:space="0"/>
      </w:pBdr>
      <w:adjustRightInd/>
      <w:snapToGrid/>
      <w:spacing w:before="100" w:beforeAutospacing="1" w:after="100" w:afterAutospacing="1" w:line="240" w:lineRule="auto"/>
    </w:pPr>
    <w:rPr>
      <w:rFonts w:ascii="宋体" w:hAnsi="宋体" w:cs="宋体"/>
      <w:kern w:val="0"/>
      <w:szCs w:val="21"/>
    </w:rPr>
  </w:style>
  <w:style w:type="paragraph" w:customStyle="1" w:styleId="297">
    <w:name w:val="xl79"/>
    <w:basedOn w:val="1"/>
    <w:qFormat/>
    <w:uiPriority w:val="0"/>
    <w:pPr>
      <w:widowControl/>
      <w:pBdr>
        <w:bottom w:val="single" w:color="auto" w:sz="8" w:space="0"/>
        <w:right w:val="single" w:color="000000" w:sz="8" w:space="0"/>
      </w:pBdr>
      <w:adjustRightInd/>
      <w:snapToGrid/>
      <w:spacing w:before="100" w:beforeAutospacing="1" w:after="100" w:afterAutospacing="1" w:line="240" w:lineRule="auto"/>
      <w:jc w:val="left"/>
    </w:pPr>
    <w:rPr>
      <w:rFonts w:ascii="宋体" w:hAnsi="宋体" w:cs="宋体"/>
      <w:kern w:val="0"/>
      <w:szCs w:val="21"/>
    </w:rPr>
  </w:style>
  <w:style w:type="paragraph" w:customStyle="1" w:styleId="298">
    <w:name w:val="xl80"/>
    <w:basedOn w:val="1"/>
    <w:qFormat/>
    <w:uiPriority w:val="0"/>
    <w:pPr>
      <w:widowControl/>
      <w:pBdr>
        <w:bottom w:val="single" w:color="auto" w:sz="8" w:space="0"/>
        <w:right w:val="single" w:color="000000"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299">
    <w:name w:val="xl81"/>
    <w:basedOn w:val="1"/>
    <w:qFormat/>
    <w:uiPriority w:val="0"/>
    <w:pPr>
      <w:widowControl/>
      <w:adjustRightInd/>
      <w:snapToGrid/>
      <w:spacing w:before="100" w:beforeAutospacing="1" w:after="100" w:afterAutospacing="1" w:line="240" w:lineRule="auto"/>
      <w:jc w:val="left"/>
    </w:pPr>
    <w:rPr>
      <w:rFonts w:ascii="宋体" w:hAnsi="宋体" w:cs="宋体"/>
      <w:kern w:val="0"/>
      <w:sz w:val="24"/>
    </w:rPr>
  </w:style>
  <w:style w:type="paragraph" w:customStyle="1" w:styleId="300">
    <w:name w:val="xl82"/>
    <w:basedOn w:val="1"/>
    <w:qFormat/>
    <w:uiPriority w:val="0"/>
    <w:pPr>
      <w:widowControl/>
      <w:pBdr>
        <w:top w:val="single" w:color="000000" w:sz="8" w:space="0"/>
        <w:left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301">
    <w:name w:val="xl83"/>
    <w:basedOn w:val="1"/>
    <w:qFormat/>
    <w:uiPriority w:val="0"/>
    <w:pPr>
      <w:widowControl/>
      <w:pBdr>
        <w:top w:val="single" w:color="auto" w:sz="8" w:space="0"/>
        <w:left w:val="single" w:color="auto" w:sz="8" w:space="0"/>
        <w:bottom w:val="single" w:color="auto"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302">
    <w:name w:val="xl84"/>
    <w:basedOn w:val="1"/>
    <w:qFormat/>
    <w:uiPriority w:val="0"/>
    <w:pPr>
      <w:widowControl/>
      <w:pBdr>
        <w:top w:val="single" w:color="auto" w:sz="8" w:space="0"/>
        <w:bottom w:val="single" w:color="auto"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303">
    <w:name w:val="xl85"/>
    <w:basedOn w:val="1"/>
    <w:qFormat/>
    <w:uiPriority w:val="0"/>
    <w:pPr>
      <w:widowControl/>
      <w:pBdr>
        <w:top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304">
    <w:name w:val="xl86"/>
    <w:basedOn w:val="1"/>
    <w:qFormat/>
    <w:uiPriority w:val="0"/>
    <w:pPr>
      <w:widowControl/>
      <w:pBdr>
        <w:top w:val="single" w:color="auto" w:sz="8" w:space="0"/>
        <w:left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305">
    <w:name w:val="xl87"/>
    <w:basedOn w:val="1"/>
    <w:qFormat/>
    <w:uiPriority w:val="0"/>
    <w:pPr>
      <w:widowControl/>
      <w:pBdr>
        <w:left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306">
    <w:name w:val="xl88"/>
    <w:basedOn w:val="1"/>
    <w:qFormat/>
    <w:uiPriority w:val="0"/>
    <w:pPr>
      <w:widowControl/>
      <w:pBdr>
        <w:left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307">
    <w:name w:val="xl89"/>
    <w:basedOn w:val="1"/>
    <w:qFormat/>
    <w:uiPriority w:val="0"/>
    <w:pPr>
      <w:widowControl/>
      <w:pBdr>
        <w:top w:val="single" w:color="auto" w:sz="8" w:space="0"/>
        <w:left w:val="single" w:color="auto" w:sz="8" w:space="0"/>
        <w:right w:val="single" w:color="auto" w:sz="8" w:space="0"/>
      </w:pBdr>
      <w:adjustRightInd/>
      <w:snapToGrid/>
      <w:spacing w:before="100" w:beforeAutospacing="1" w:after="100" w:afterAutospacing="1" w:line="240" w:lineRule="auto"/>
      <w:jc w:val="center"/>
    </w:pPr>
    <w:rPr>
      <w:rFonts w:ascii="Calibri" w:hAnsi="Calibri" w:cs="Calibri"/>
      <w:kern w:val="0"/>
      <w:szCs w:val="21"/>
    </w:rPr>
  </w:style>
  <w:style w:type="paragraph" w:customStyle="1" w:styleId="308">
    <w:name w:val="xl90"/>
    <w:basedOn w:val="1"/>
    <w:qFormat/>
    <w:uiPriority w:val="0"/>
    <w:pPr>
      <w:widowControl/>
      <w:pBdr>
        <w:left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Calibri" w:hAnsi="Calibri" w:cs="Calibri"/>
      <w:kern w:val="0"/>
      <w:szCs w:val="21"/>
    </w:rPr>
  </w:style>
  <w:style w:type="paragraph" w:customStyle="1" w:styleId="309">
    <w:name w:val="xl91"/>
    <w:basedOn w:val="1"/>
    <w:qFormat/>
    <w:uiPriority w:val="0"/>
    <w:pPr>
      <w:widowControl/>
      <w:pBdr>
        <w:top w:val="single" w:color="auto" w:sz="8" w:space="0"/>
        <w:left w:val="single" w:color="auto" w:sz="8" w:space="0"/>
        <w:bottom w:val="single" w:color="auto"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310">
    <w:name w:val="xl92"/>
    <w:basedOn w:val="1"/>
    <w:qFormat/>
    <w:uiPriority w:val="0"/>
    <w:pPr>
      <w:widowControl/>
      <w:pBdr>
        <w:top w:val="single" w:color="auto" w:sz="8" w:space="0"/>
        <w:bottom w:val="single" w:color="auto"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311">
    <w:name w:val="xl93"/>
    <w:basedOn w:val="1"/>
    <w:qFormat/>
    <w:uiPriority w:val="0"/>
    <w:pPr>
      <w:widowControl/>
      <w:pBdr>
        <w:top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312">
    <w:name w:val="xl94"/>
    <w:basedOn w:val="1"/>
    <w:qFormat/>
    <w:uiPriority w:val="0"/>
    <w:pPr>
      <w:widowControl/>
      <w:pBdr>
        <w:top w:val="single" w:color="auto" w:sz="8" w:space="0"/>
        <w:left w:val="single" w:color="auto" w:sz="8" w:space="0"/>
        <w:right w:val="single" w:color="auto" w:sz="8" w:space="0"/>
      </w:pBdr>
      <w:adjustRightInd/>
      <w:snapToGrid/>
      <w:spacing w:before="100" w:beforeAutospacing="1" w:after="100" w:afterAutospacing="1" w:line="240" w:lineRule="auto"/>
      <w:jc w:val="center"/>
    </w:pPr>
    <w:rPr>
      <w:rFonts w:ascii="宋体" w:hAnsi="宋体" w:cs="宋体"/>
      <w:color w:val="000000"/>
      <w:kern w:val="0"/>
      <w:szCs w:val="21"/>
    </w:rPr>
  </w:style>
  <w:style w:type="paragraph" w:customStyle="1" w:styleId="313">
    <w:name w:val="xl95"/>
    <w:basedOn w:val="1"/>
    <w:qFormat/>
    <w:uiPriority w:val="0"/>
    <w:pPr>
      <w:widowControl/>
      <w:pBdr>
        <w:left w:val="single" w:color="auto" w:sz="8" w:space="0"/>
        <w:right w:val="single" w:color="auto" w:sz="8" w:space="0"/>
      </w:pBdr>
      <w:adjustRightInd/>
      <w:snapToGrid/>
      <w:spacing w:before="100" w:beforeAutospacing="1" w:after="100" w:afterAutospacing="1" w:line="240" w:lineRule="auto"/>
      <w:jc w:val="center"/>
    </w:pPr>
    <w:rPr>
      <w:rFonts w:ascii="宋体" w:hAnsi="宋体" w:cs="宋体"/>
      <w:color w:val="000000"/>
      <w:kern w:val="0"/>
      <w:szCs w:val="21"/>
    </w:rPr>
  </w:style>
  <w:style w:type="paragraph" w:customStyle="1" w:styleId="314">
    <w:name w:val="xl96"/>
    <w:basedOn w:val="1"/>
    <w:qFormat/>
    <w:uiPriority w:val="0"/>
    <w:pPr>
      <w:widowControl/>
      <w:pBdr>
        <w:left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color w:val="000000"/>
      <w:kern w:val="0"/>
      <w:szCs w:val="21"/>
    </w:rPr>
  </w:style>
  <w:style w:type="paragraph" w:customStyle="1" w:styleId="315">
    <w:name w:val="xl97"/>
    <w:basedOn w:val="1"/>
    <w:qFormat/>
    <w:uiPriority w:val="0"/>
    <w:pPr>
      <w:widowControl/>
      <w:pBdr>
        <w:top w:val="single" w:color="auto" w:sz="8" w:space="0"/>
        <w:bottom w:val="single" w:color="auto" w:sz="8" w:space="0"/>
        <w:right w:val="single" w:color="000000"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316">
    <w:name w:val="xl98"/>
    <w:basedOn w:val="1"/>
    <w:qFormat/>
    <w:uiPriority w:val="0"/>
    <w:pPr>
      <w:widowControl/>
      <w:pBdr>
        <w:top w:val="single" w:color="auto" w:sz="8" w:space="0"/>
        <w:bottom w:val="single" w:color="auto" w:sz="8" w:space="0"/>
        <w:right w:val="single" w:color="000000"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317">
    <w:name w:val="xl99"/>
    <w:basedOn w:val="1"/>
    <w:qFormat/>
    <w:uiPriority w:val="0"/>
    <w:pPr>
      <w:widowControl/>
      <w:pBdr>
        <w:top w:val="single" w:color="auto" w:sz="8" w:space="0"/>
        <w:left w:val="single" w:color="auto" w:sz="8" w:space="0"/>
        <w:right w:val="single" w:color="000000"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318">
    <w:name w:val="xl100"/>
    <w:basedOn w:val="1"/>
    <w:qFormat/>
    <w:uiPriority w:val="0"/>
    <w:pPr>
      <w:widowControl/>
      <w:pBdr>
        <w:left w:val="single" w:color="auto" w:sz="8" w:space="0"/>
        <w:bottom w:val="single" w:color="auto" w:sz="8" w:space="0"/>
        <w:right w:val="single" w:color="000000"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319">
    <w:name w:val="xl101"/>
    <w:basedOn w:val="1"/>
    <w:qFormat/>
    <w:uiPriority w:val="0"/>
    <w:pPr>
      <w:widowControl/>
      <w:pBdr>
        <w:top w:val="single" w:color="auto" w:sz="8" w:space="0"/>
        <w:left w:val="single" w:color="auto" w:sz="8" w:space="0"/>
        <w:right w:val="single" w:color="auto" w:sz="8" w:space="0"/>
      </w:pBdr>
      <w:adjustRightInd/>
      <w:snapToGrid/>
      <w:spacing w:before="100" w:beforeAutospacing="1" w:after="100" w:afterAutospacing="1" w:line="240" w:lineRule="auto"/>
      <w:jc w:val="left"/>
    </w:pPr>
    <w:rPr>
      <w:rFonts w:ascii="宋体" w:hAnsi="宋体" w:cs="宋体"/>
      <w:kern w:val="0"/>
      <w:szCs w:val="21"/>
    </w:rPr>
  </w:style>
  <w:style w:type="paragraph" w:customStyle="1" w:styleId="320">
    <w:name w:val="xl102"/>
    <w:basedOn w:val="1"/>
    <w:qFormat/>
    <w:uiPriority w:val="0"/>
    <w:pPr>
      <w:widowControl/>
      <w:pBdr>
        <w:left w:val="single" w:color="auto" w:sz="8" w:space="0"/>
        <w:right w:val="single" w:color="auto" w:sz="8" w:space="0"/>
      </w:pBdr>
      <w:adjustRightInd/>
      <w:snapToGrid/>
      <w:spacing w:before="100" w:beforeAutospacing="1" w:after="100" w:afterAutospacing="1" w:line="240" w:lineRule="auto"/>
      <w:jc w:val="left"/>
    </w:pPr>
    <w:rPr>
      <w:rFonts w:ascii="宋体" w:hAnsi="宋体" w:cs="宋体"/>
      <w:kern w:val="0"/>
      <w:szCs w:val="21"/>
    </w:rPr>
  </w:style>
  <w:style w:type="paragraph" w:customStyle="1" w:styleId="321">
    <w:name w:val="xl103"/>
    <w:basedOn w:val="1"/>
    <w:qFormat/>
    <w:uiPriority w:val="0"/>
    <w:pPr>
      <w:widowControl/>
      <w:pBdr>
        <w:left w:val="single" w:color="auto" w:sz="8" w:space="0"/>
        <w:bottom w:val="single" w:color="auto" w:sz="8" w:space="0"/>
        <w:right w:val="single" w:color="auto" w:sz="8" w:space="0"/>
      </w:pBdr>
      <w:adjustRightInd/>
      <w:snapToGrid/>
      <w:spacing w:before="100" w:beforeAutospacing="1" w:after="100" w:afterAutospacing="1" w:line="240" w:lineRule="auto"/>
      <w:jc w:val="left"/>
    </w:pPr>
    <w:rPr>
      <w:rFonts w:ascii="宋体" w:hAnsi="宋体" w:cs="宋体"/>
      <w:kern w:val="0"/>
      <w:szCs w:val="21"/>
    </w:rPr>
  </w:style>
  <w:style w:type="paragraph" w:customStyle="1" w:styleId="322">
    <w:name w:val="xl104"/>
    <w:basedOn w:val="1"/>
    <w:qFormat/>
    <w:uiPriority w:val="0"/>
    <w:pPr>
      <w:widowControl/>
      <w:pBdr>
        <w:left w:val="single" w:color="auto" w:sz="8" w:space="0"/>
        <w:right w:val="single" w:color="000000"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323">
    <w:name w:val="xl105"/>
    <w:basedOn w:val="1"/>
    <w:qFormat/>
    <w:uiPriority w:val="0"/>
    <w:pPr>
      <w:widowControl/>
      <w:pBdr>
        <w:left w:val="single" w:color="auto" w:sz="8" w:space="0"/>
        <w:bottom w:val="single" w:color="000000"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324">
    <w:name w:val="xl106"/>
    <w:basedOn w:val="1"/>
    <w:qFormat/>
    <w:uiPriority w:val="0"/>
    <w:pPr>
      <w:widowControl/>
      <w:pBdr>
        <w:left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325">
    <w:name w:val="xl107"/>
    <w:basedOn w:val="1"/>
    <w:qFormat/>
    <w:uiPriority w:val="0"/>
    <w:pPr>
      <w:widowControl/>
      <w:pBdr>
        <w:left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 w:val="24"/>
    </w:rPr>
  </w:style>
  <w:style w:type="paragraph" w:customStyle="1" w:styleId="326">
    <w:name w:val="Normal_0_2"/>
    <w:qFormat/>
    <w:uiPriority w:val="0"/>
    <w:pPr>
      <w:widowControl w:val="0"/>
      <w:jc w:val="both"/>
    </w:pPr>
    <w:rPr>
      <w:rFonts w:ascii="Times New Roman" w:hAnsi="Times New Roman" w:eastAsia="宋体" w:cs="Times New Roman"/>
      <w:lang w:val="en-US" w:eastAsia="zh-CN" w:bidi="ar-SA"/>
    </w:rPr>
  </w:style>
  <w:style w:type="table" w:customStyle="1" w:styleId="327">
    <w:name w:val="Table Grid_0"/>
    <w:basedOn w:val="84"/>
    <w:qFormat/>
    <w:uiPriority w:val="0"/>
    <w:pPr>
      <w:widowControl w:val="0"/>
      <w:jc w:val="both"/>
    </w:pPr>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8">
    <w:name w:val="style93_0"/>
    <w:basedOn w:val="1"/>
    <w:qFormat/>
    <w:uiPriority w:val="0"/>
    <w:pPr>
      <w:widowControl/>
      <w:adjustRightInd/>
      <w:snapToGrid/>
      <w:spacing w:before="100" w:beforeAutospacing="1" w:after="100" w:afterAutospacing="1" w:line="240" w:lineRule="auto"/>
      <w:jc w:val="left"/>
    </w:pPr>
    <w:rPr>
      <w:rFonts w:ascii="宋体" w:hAnsi="宋体" w:cs="宋体"/>
      <w:kern w:val="0"/>
      <w:sz w:val="24"/>
    </w:rPr>
  </w:style>
  <w:style w:type="paragraph" w:customStyle="1" w:styleId="329">
    <w:name w:val="Normal_4_0"/>
    <w:qFormat/>
    <w:uiPriority w:val="0"/>
    <w:pPr>
      <w:widowControl w:val="0"/>
      <w:jc w:val="both"/>
    </w:pPr>
    <w:rPr>
      <w:rFonts w:ascii="Times New Roman" w:hAnsi="Times New Roman" w:eastAsia="宋体" w:cs="Times New Roman"/>
      <w:lang w:val="en-US" w:eastAsia="zh-CN" w:bidi="ar-SA"/>
    </w:rPr>
  </w:style>
  <w:style w:type="character" w:customStyle="1" w:styleId="330">
    <w:name w:val="unnamed211"/>
    <w:semiHidden/>
    <w:qFormat/>
    <w:uiPriority w:val="0"/>
    <w:rPr>
      <w:sz w:val="23"/>
      <w:szCs w:val="23"/>
    </w:rPr>
  </w:style>
  <w:style w:type="character" w:customStyle="1" w:styleId="331">
    <w:name w:val="ss1"/>
    <w:semiHidden/>
    <w:qFormat/>
    <w:uiPriority w:val="0"/>
    <w:rPr>
      <w:rFonts w:hint="default" w:ascii="ˎ̥" w:hAnsi="ˎ̥"/>
      <w:color w:val="000000"/>
      <w:sz w:val="18"/>
      <w:szCs w:val="18"/>
      <w:u w:val="none"/>
    </w:rPr>
  </w:style>
  <w:style w:type="character" w:customStyle="1" w:styleId="332">
    <w:name w:val="f142"/>
    <w:semiHidden/>
    <w:qFormat/>
    <w:uiPriority w:val="0"/>
    <w:rPr>
      <w:sz w:val="21"/>
      <w:szCs w:val="21"/>
    </w:rPr>
  </w:style>
  <w:style w:type="character" w:customStyle="1" w:styleId="333">
    <w:name w:val="f14b1"/>
    <w:semiHidden/>
    <w:qFormat/>
    <w:uiPriority w:val="0"/>
    <w:rPr>
      <w:b/>
      <w:bCs/>
      <w:sz w:val="21"/>
      <w:szCs w:val="21"/>
    </w:rPr>
  </w:style>
  <w:style w:type="character" w:customStyle="1" w:styleId="334">
    <w:name w:val="ggwenhao"/>
    <w:basedOn w:val="129"/>
    <w:semiHidden/>
    <w:qFormat/>
    <w:uiPriority w:val="0"/>
  </w:style>
  <w:style w:type="character" w:customStyle="1" w:styleId="335">
    <w:name w:val="ca-41"/>
    <w:qFormat/>
    <w:uiPriority w:val="0"/>
    <w:rPr>
      <w:rFonts w:hint="eastAsia" w:ascii="黑体" w:eastAsia="黑体"/>
      <w:b/>
      <w:bCs/>
      <w:spacing w:val="-20"/>
      <w:sz w:val="30"/>
      <w:szCs w:val="30"/>
    </w:rPr>
  </w:style>
  <w:style w:type="character" w:customStyle="1" w:styleId="336">
    <w:name w:val="注释标题 Char1"/>
    <w:basedOn w:val="129"/>
    <w:semiHidden/>
    <w:qFormat/>
    <w:uiPriority w:val="99"/>
    <w:rPr>
      <w:rFonts w:ascii="Times New Roman" w:hAnsi="Times New Roman" w:eastAsia="宋体" w:cs="Times New Roman"/>
      <w:szCs w:val="20"/>
    </w:rPr>
  </w:style>
  <w:style w:type="character" w:customStyle="1" w:styleId="337">
    <w:name w:val="正文文本 3 Char1"/>
    <w:basedOn w:val="129"/>
    <w:semiHidden/>
    <w:qFormat/>
    <w:uiPriority w:val="99"/>
    <w:rPr>
      <w:rFonts w:ascii="Times New Roman" w:hAnsi="Times New Roman" w:eastAsia="宋体" w:cs="Times New Roman"/>
      <w:sz w:val="16"/>
      <w:szCs w:val="16"/>
    </w:rPr>
  </w:style>
  <w:style w:type="character" w:customStyle="1" w:styleId="338">
    <w:name w:val="批注主题 Char1"/>
    <w:basedOn w:val="207"/>
    <w:semiHidden/>
    <w:qFormat/>
    <w:uiPriority w:val="99"/>
    <w:rPr>
      <w:rFonts w:ascii="Times New Roman" w:hAnsi="Times New Roman" w:eastAsia="宋体" w:cs="Times New Roman"/>
      <w:b/>
      <w:bCs/>
      <w:szCs w:val="20"/>
    </w:rPr>
  </w:style>
  <w:style w:type="character" w:customStyle="1" w:styleId="339">
    <w:name w:val="正文首行缩进 Char1"/>
    <w:basedOn w:val="206"/>
    <w:semiHidden/>
    <w:qFormat/>
    <w:uiPriority w:val="99"/>
    <w:rPr>
      <w:rFonts w:ascii="Times New Roman" w:hAnsi="Times New Roman" w:eastAsia="宋体" w:cs="Times New Roman"/>
      <w:b w:val="0"/>
      <w:bCs w:val="0"/>
      <w:kern w:val="2"/>
      <w:sz w:val="21"/>
      <w:szCs w:val="20"/>
    </w:rPr>
  </w:style>
  <w:style w:type="character" w:customStyle="1" w:styleId="340">
    <w:name w:val="结束语 Char1"/>
    <w:basedOn w:val="129"/>
    <w:semiHidden/>
    <w:qFormat/>
    <w:uiPriority w:val="99"/>
    <w:rPr>
      <w:rFonts w:ascii="Times New Roman" w:hAnsi="Times New Roman" w:eastAsia="宋体" w:cs="Times New Roman"/>
      <w:szCs w:val="20"/>
    </w:rPr>
  </w:style>
  <w:style w:type="character" w:customStyle="1" w:styleId="341">
    <w:name w:val="称呼 Char1"/>
    <w:basedOn w:val="129"/>
    <w:semiHidden/>
    <w:qFormat/>
    <w:uiPriority w:val="99"/>
    <w:rPr>
      <w:rFonts w:ascii="Times New Roman" w:hAnsi="Times New Roman" w:eastAsia="宋体" w:cs="Times New Roman"/>
      <w:szCs w:val="20"/>
    </w:rPr>
  </w:style>
  <w:style w:type="character" w:customStyle="1" w:styleId="342">
    <w:name w:val="电子邮件签名 Char1"/>
    <w:basedOn w:val="129"/>
    <w:semiHidden/>
    <w:qFormat/>
    <w:uiPriority w:val="99"/>
    <w:rPr>
      <w:rFonts w:ascii="Times New Roman" w:hAnsi="Times New Roman" w:eastAsia="宋体" w:cs="Times New Roman"/>
      <w:szCs w:val="20"/>
    </w:rPr>
  </w:style>
  <w:style w:type="character" w:customStyle="1" w:styleId="343">
    <w:name w:val="签名 Char1"/>
    <w:basedOn w:val="129"/>
    <w:semiHidden/>
    <w:qFormat/>
    <w:uiPriority w:val="99"/>
    <w:rPr>
      <w:rFonts w:ascii="Times New Roman" w:hAnsi="Times New Roman" w:eastAsia="宋体" w:cs="Times New Roman"/>
      <w:szCs w:val="20"/>
    </w:rPr>
  </w:style>
  <w:style w:type="character" w:customStyle="1" w:styleId="344">
    <w:name w:val="正文文本缩进 2 Char1"/>
    <w:basedOn w:val="129"/>
    <w:semiHidden/>
    <w:qFormat/>
    <w:uiPriority w:val="99"/>
    <w:rPr>
      <w:rFonts w:ascii="Times New Roman" w:hAnsi="Times New Roman" w:eastAsia="宋体" w:cs="Times New Roman"/>
      <w:szCs w:val="20"/>
    </w:rPr>
  </w:style>
  <w:style w:type="character" w:customStyle="1" w:styleId="345">
    <w:name w:val="HTML 预设格式 Char1"/>
    <w:basedOn w:val="129"/>
    <w:semiHidden/>
    <w:qFormat/>
    <w:uiPriority w:val="99"/>
    <w:rPr>
      <w:rFonts w:ascii="Courier New" w:hAnsi="Courier New" w:eastAsia="宋体" w:cs="Courier New"/>
      <w:sz w:val="20"/>
      <w:szCs w:val="20"/>
    </w:rPr>
  </w:style>
  <w:style w:type="character" w:customStyle="1" w:styleId="346">
    <w:name w:val="页眉 Char1"/>
    <w:basedOn w:val="129"/>
    <w:semiHidden/>
    <w:qFormat/>
    <w:uiPriority w:val="99"/>
    <w:rPr>
      <w:rFonts w:ascii="Times New Roman" w:hAnsi="Times New Roman" w:eastAsia="宋体" w:cs="Times New Roman"/>
      <w:sz w:val="18"/>
      <w:szCs w:val="18"/>
    </w:rPr>
  </w:style>
  <w:style w:type="character" w:customStyle="1" w:styleId="347">
    <w:name w:val="HTML 地址 Char1"/>
    <w:basedOn w:val="129"/>
    <w:semiHidden/>
    <w:qFormat/>
    <w:uiPriority w:val="99"/>
    <w:rPr>
      <w:rFonts w:ascii="Times New Roman" w:hAnsi="Times New Roman" w:eastAsia="宋体" w:cs="Times New Roman"/>
      <w:i/>
      <w:iCs/>
      <w:szCs w:val="20"/>
    </w:rPr>
  </w:style>
  <w:style w:type="character" w:customStyle="1" w:styleId="348">
    <w:name w:val="正文首行缩进 2 Char1"/>
    <w:basedOn w:val="163"/>
    <w:semiHidden/>
    <w:qFormat/>
    <w:uiPriority w:val="99"/>
    <w:rPr>
      <w:rFonts w:ascii="Times New Roman" w:hAnsi="Times New Roman" w:eastAsia="宋体" w:cs="Times New Roman"/>
      <w:kern w:val="2"/>
      <w:sz w:val="21"/>
      <w:szCs w:val="20"/>
    </w:rPr>
  </w:style>
  <w:style w:type="character" w:customStyle="1" w:styleId="349">
    <w:name w:val="批注框文本 Char1"/>
    <w:basedOn w:val="129"/>
    <w:semiHidden/>
    <w:qFormat/>
    <w:uiPriority w:val="99"/>
    <w:rPr>
      <w:rFonts w:ascii="Times New Roman" w:hAnsi="Times New Roman" w:eastAsia="宋体" w:cs="Times New Roman"/>
      <w:sz w:val="18"/>
      <w:szCs w:val="18"/>
    </w:rPr>
  </w:style>
  <w:style w:type="character" w:customStyle="1" w:styleId="350">
    <w:name w:val="页脚 Char1"/>
    <w:basedOn w:val="129"/>
    <w:semiHidden/>
    <w:qFormat/>
    <w:uiPriority w:val="99"/>
    <w:rPr>
      <w:rFonts w:ascii="Times New Roman" w:hAnsi="Times New Roman" w:eastAsia="宋体" w:cs="Times New Roman"/>
      <w:sz w:val="18"/>
      <w:szCs w:val="18"/>
    </w:rPr>
  </w:style>
  <w:style w:type="character" w:customStyle="1" w:styleId="351">
    <w:name w:val="信息标题 Char1"/>
    <w:basedOn w:val="129"/>
    <w:semiHidden/>
    <w:qFormat/>
    <w:uiPriority w:val="99"/>
    <w:rPr>
      <w:rFonts w:asciiTheme="majorHAnsi" w:hAnsiTheme="majorHAnsi" w:eastAsiaTheme="majorEastAsia" w:cstheme="majorBidi"/>
      <w:sz w:val="24"/>
      <w:szCs w:val="24"/>
      <w:shd w:val="pct20" w:color="auto" w:fill="auto"/>
    </w:rPr>
  </w:style>
  <w:style w:type="paragraph" w:customStyle="1" w:styleId="352">
    <w:name w:val="ggbody"/>
    <w:basedOn w:val="1"/>
    <w:semiHidden/>
    <w:qFormat/>
    <w:uiPriority w:val="0"/>
    <w:pPr>
      <w:widowControl/>
      <w:adjustRightInd/>
      <w:snapToGrid/>
      <w:spacing w:before="100" w:beforeAutospacing="1" w:after="100" w:afterAutospacing="1" w:line="330" w:lineRule="atLeast"/>
      <w:jc w:val="left"/>
    </w:pPr>
    <w:rPr>
      <w:rFonts w:ascii="宋体" w:hAnsi="宋体" w:cs="宋体"/>
      <w:kern w:val="0"/>
      <w:sz w:val="23"/>
      <w:szCs w:val="23"/>
    </w:rPr>
  </w:style>
  <w:style w:type="paragraph" w:customStyle="1" w:styleId="353">
    <w:name w:val="ggtitle"/>
    <w:basedOn w:val="1"/>
    <w:semiHidden/>
    <w:qFormat/>
    <w:uiPriority w:val="0"/>
    <w:pPr>
      <w:widowControl/>
      <w:adjustRightInd/>
      <w:snapToGrid/>
      <w:spacing w:before="100" w:beforeAutospacing="1" w:after="100" w:afterAutospacing="1" w:line="330" w:lineRule="atLeast"/>
      <w:jc w:val="left"/>
    </w:pPr>
    <w:rPr>
      <w:rFonts w:ascii="宋体" w:hAnsi="宋体" w:cs="宋体"/>
      <w:kern w:val="0"/>
      <w:sz w:val="23"/>
      <w:szCs w:val="23"/>
    </w:rPr>
  </w:style>
  <w:style w:type="character" w:customStyle="1" w:styleId="354">
    <w:name w:val="Char Char23"/>
    <w:semiHidden/>
    <w:qFormat/>
    <w:uiPriority w:val="0"/>
    <w:rPr>
      <w:rFonts w:ascii="Times New Roman" w:hAnsi="Times New Roman" w:eastAsia="宋体" w:cs="Times New Roman"/>
      <w:b/>
      <w:bCs/>
      <w:szCs w:val="24"/>
    </w:rPr>
  </w:style>
  <w:style w:type="character" w:customStyle="1" w:styleId="355">
    <w:name w:val="脚注文本 Char1"/>
    <w:basedOn w:val="129"/>
    <w:semiHidden/>
    <w:qFormat/>
    <w:uiPriority w:val="99"/>
    <w:rPr>
      <w:rFonts w:ascii="Times New Roman" w:hAnsi="Times New Roman" w:eastAsia="宋体" w:cs="Times New Roman"/>
      <w:sz w:val="18"/>
      <w:szCs w:val="18"/>
    </w:rPr>
  </w:style>
  <w:style w:type="character" w:customStyle="1" w:styleId="356">
    <w:name w:val="尾注文本 Char1"/>
    <w:basedOn w:val="129"/>
    <w:semiHidden/>
    <w:qFormat/>
    <w:uiPriority w:val="99"/>
    <w:rPr>
      <w:rFonts w:ascii="Times New Roman" w:hAnsi="Times New Roman" w:eastAsia="宋体" w:cs="Times New Roman"/>
      <w:szCs w:val="20"/>
    </w:rPr>
  </w:style>
  <w:style w:type="paragraph" w:customStyle="1" w:styleId="357">
    <w:name w:val="_Style 10"/>
    <w:qFormat/>
    <w:uiPriority w:val="0"/>
    <w:rPr>
      <w:rFonts w:ascii="Calibri" w:hAnsi="Calibri" w:eastAsia="宋体" w:cs="Times New Roman"/>
      <w:kern w:val="2"/>
      <w:sz w:val="21"/>
      <w:szCs w:val="22"/>
      <w:lang w:val="en-US" w:eastAsia="zh-CN" w:bidi="ar-SA"/>
    </w:rPr>
  </w:style>
  <w:style w:type="paragraph" w:customStyle="1" w:styleId="358">
    <w:name w:val="TOC 标题1"/>
    <w:basedOn w:val="4"/>
    <w:next w:val="1"/>
    <w:unhideWhenUsed/>
    <w:qFormat/>
    <w:uiPriority w:val="39"/>
    <w:pPr>
      <w:adjustRightInd/>
      <w:snapToGrid/>
      <w:spacing w:before="480" w:after="0" w:line="276" w:lineRule="auto"/>
      <w:outlineLvl w:val="9"/>
    </w:pPr>
    <w:rPr>
      <w:rFonts w:asciiTheme="majorHAnsi" w:hAnsiTheme="majorHAnsi" w:eastAsiaTheme="majorEastAsia" w:cstheme="majorBidi"/>
      <w:snapToGrid/>
      <w:color w:val="376092" w:themeColor="accent1" w:themeShade="BF"/>
      <w:szCs w:val="28"/>
    </w:rPr>
  </w:style>
  <w:style w:type="paragraph" w:customStyle="1" w:styleId="359">
    <w:name w:val="reader-word-layer"/>
    <w:basedOn w:val="1"/>
    <w:qFormat/>
    <w:uiPriority w:val="0"/>
    <w:pPr>
      <w:widowControl/>
      <w:adjustRightInd/>
      <w:snapToGrid/>
      <w:spacing w:before="100" w:beforeAutospacing="1" w:after="100" w:afterAutospacing="1" w:line="240" w:lineRule="auto"/>
      <w:jc w:val="left"/>
    </w:pPr>
    <w:rPr>
      <w:rFonts w:ascii="宋体" w:hAnsi="宋体" w:cs="宋体"/>
      <w:kern w:val="0"/>
      <w:sz w:val="24"/>
    </w:rPr>
  </w:style>
  <w:style w:type="paragraph" w:customStyle="1" w:styleId="360">
    <w:name w:val="USE 2"/>
    <w:basedOn w:val="1"/>
    <w:qFormat/>
    <w:uiPriority w:val="0"/>
    <w:pPr>
      <w:numPr>
        <w:ilvl w:val="1"/>
        <w:numId w:val="10"/>
      </w:numPr>
      <w:adjustRightInd/>
      <w:snapToGrid/>
      <w:jc w:val="left"/>
    </w:pPr>
    <w:rPr>
      <w:rFonts w:ascii="宋体" w:hAnsi="宋体"/>
      <w:sz w:val="24"/>
      <w:szCs w:val="22"/>
    </w:rPr>
  </w:style>
  <w:style w:type="character" w:customStyle="1" w:styleId="361">
    <w:name w:val="批注文字 字符"/>
    <w:qFormat/>
    <w:uiPriority w:val="0"/>
    <w:rPr>
      <w:kern w:val="2"/>
      <w:sz w:val="21"/>
      <w:szCs w:val="22"/>
    </w:rPr>
  </w:style>
  <w:style w:type="character" w:customStyle="1" w:styleId="362">
    <w:name w:val="批注主题 字符"/>
    <w:qFormat/>
    <w:uiPriority w:val="0"/>
    <w:rPr>
      <w:b/>
      <w:bCs/>
      <w:kern w:val="2"/>
      <w:sz w:val="21"/>
      <w:szCs w:val="22"/>
    </w:rPr>
  </w:style>
  <w:style w:type="character" w:customStyle="1" w:styleId="363">
    <w:name w:val="批注框文本 字符"/>
    <w:qFormat/>
    <w:uiPriority w:val="0"/>
    <w:rPr>
      <w:kern w:val="2"/>
      <w:sz w:val="18"/>
      <w:szCs w:val="18"/>
    </w:rPr>
  </w:style>
  <w:style w:type="character" w:customStyle="1" w:styleId="364">
    <w:name w:val="页眉 字符"/>
    <w:qFormat/>
    <w:uiPriority w:val="0"/>
    <w:rPr>
      <w:kern w:val="2"/>
      <w:sz w:val="18"/>
      <w:szCs w:val="18"/>
    </w:rPr>
  </w:style>
  <w:style w:type="character" w:customStyle="1" w:styleId="365">
    <w:name w:val="页脚 字符"/>
    <w:qFormat/>
    <w:uiPriority w:val="0"/>
    <w:rPr>
      <w:kern w:val="2"/>
      <w:sz w:val="18"/>
      <w:szCs w:val="18"/>
    </w:rPr>
  </w:style>
  <w:style w:type="paragraph" w:customStyle="1" w:styleId="366">
    <w:name w:val="Normal_3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367">
    <w:name w:val="List Paragraph_1"/>
    <w:basedOn w:val="260"/>
    <w:qFormat/>
    <w:uiPriority w:val="34"/>
    <w:pPr>
      <w:spacing w:line="360" w:lineRule="auto"/>
      <w:ind w:firstLine="420" w:firstLineChars="200"/>
      <w:jc w:val="left"/>
    </w:pPr>
    <w:rPr>
      <w:rFonts w:ascii="宋体" w:hAnsi="宋体"/>
    </w:rPr>
  </w:style>
  <w:style w:type="paragraph" w:customStyle="1" w:styleId="368">
    <w:name w:val="Normal_5"/>
    <w:qFormat/>
    <w:uiPriority w:val="0"/>
    <w:pPr>
      <w:widowControl w:val="0"/>
      <w:jc w:val="both"/>
    </w:pPr>
    <w:rPr>
      <w:rFonts w:ascii="Calibri" w:hAnsi="Calibri" w:eastAsia="宋体" w:cs="Times New Roman"/>
      <w:kern w:val="2"/>
      <w:sz w:val="21"/>
      <w:lang w:val="en-US" w:eastAsia="zh-CN" w:bidi="ar-SA"/>
    </w:rPr>
  </w:style>
  <w:style w:type="table" w:customStyle="1" w:styleId="369">
    <w:name w:val="Table Grid_1"/>
    <w:basedOn w:val="84"/>
    <w:qFormat/>
    <w:uiPriority w:val="39"/>
    <w:rPr>
      <w:rFonts w:ascii="等线" w:hAnsi="等线"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Normal_1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FD8B6F-088D-41DF-9339-B4BCA7635043}">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19</Pages>
  <Words>11470</Words>
  <Characters>12288</Characters>
  <Lines>24</Lines>
  <Paragraphs>25</Paragraphs>
  <TotalTime>0</TotalTime>
  <ScaleCrop>false</ScaleCrop>
  <LinksUpToDate>false</LinksUpToDate>
  <CharactersWithSpaces>12318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2023-12-26T02:45:00Z</dcterms:created>
  <dc:creator>唐艺瑄</dc:creator>
  <cp:lastModifiedBy>小k</cp:lastModifiedBy>
  <cp:lastPrinted>2020-01-19T04:26:00Z</cp:lastPrinted>
  <dcterms:modified xsi:type="dcterms:W3CDTF">2025-09-04T04:02:34Z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03FAB11ADED84748B460F44077A96E9B_13</vt:lpwstr>
  </property>
  <property fmtid="{D5CDD505-2E9C-101B-9397-08002B2CF9AE}" pid="4" name="KSOTemplateDocerSaveRecord">
    <vt:lpwstr>eyJoZGlkIjoiYjNkYTlhY2RlZTdlY2VmZjgxODA5YzViZThhYjE5NDQiLCJ1c2VySWQiOiIzMzIwMDY4NzEifQ==</vt:lpwstr>
  </property>
</Properties>
</file>