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45FE8">
      <w:pPr>
        <w:pStyle w:val="8"/>
        <w:jc w:val="center"/>
        <w:rPr>
          <w:rFonts w:ascii="隶书" w:eastAsia="隶书"/>
          <w:sz w:val="56"/>
          <w:szCs w:val="56"/>
          <w:highlight w:val="none"/>
        </w:rPr>
      </w:pPr>
    </w:p>
    <w:p w14:paraId="49F0B40B">
      <w:pPr>
        <w:pStyle w:val="18"/>
        <w:rPr>
          <w:rFonts w:hint="eastAsia" w:ascii="黑体" w:hAnsi="黑体" w:eastAsia="黑体" w:cs="黑体"/>
          <w:kern w:val="2"/>
          <w:sz w:val="52"/>
          <w:szCs w:val="52"/>
          <w:highlight w:val="none"/>
          <w:lang w:val="en-US" w:eastAsia="zh-CN" w:bidi="ar-SA"/>
        </w:rPr>
      </w:pPr>
    </w:p>
    <w:p w14:paraId="52D6C7AC">
      <w:pPr>
        <w:pStyle w:val="8"/>
        <w:jc w:val="center"/>
        <w:rPr>
          <w:rFonts w:hint="eastAsia" w:ascii="黑体" w:hAnsi="黑体" w:eastAsia="黑体" w:cs="黑体"/>
          <w:kern w:val="2"/>
          <w:sz w:val="52"/>
          <w:szCs w:val="5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52"/>
          <w:szCs w:val="52"/>
          <w:highlight w:val="none"/>
          <w:lang w:val="en-US" w:eastAsia="zh-CN" w:bidi="ar-SA"/>
        </w:rPr>
        <w:t>广州供电局2025年知识产权管理体系年度监督审核项目</w:t>
      </w:r>
    </w:p>
    <w:p w14:paraId="4762FF88">
      <w:pPr>
        <w:pStyle w:val="8"/>
        <w:jc w:val="center"/>
        <w:rPr>
          <w:rFonts w:ascii="隶书" w:eastAsia="隶书"/>
          <w:sz w:val="48"/>
          <w:szCs w:val="48"/>
          <w:highlight w:val="none"/>
        </w:rPr>
      </w:pPr>
    </w:p>
    <w:p w14:paraId="11410F87">
      <w:pPr>
        <w:pStyle w:val="8"/>
        <w:jc w:val="center"/>
        <w:rPr>
          <w:rFonts w:ascii="黑体" w:hAnsi="黑体" w:eastAsia="黑体" w:cs="黑体"/>
          <w:sz w:val="52"/>
          <w:szCs w:val="52"/>
          <w:highlight w:val="none"/>
        </w:rPr>
      </w:pPr>
      <w:r>
        <w:rPr>
          <w:rFonts w:hint="eastAsia" w:ascii="黑体" w:hAnsi="黑体" w:eastAsia="黑体" w:cs="黑体"/>
          <w:sz w:val="52"/>
          <w:szCs w:val="52"/>
          <w:highlight w:val="none"/>
        </w:rPr>
        <w:t>技术规范书</w:t>
      </w:r>
    </w:p>
    <w:p w14:paraId="1E84A3D5"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 w14:paraId="6CA5D0FF">
      <w:pPr>
        <w:spacing w:before="156" w:beforeLines="50"/>
        <w:jc w:val="center"/>
        <w:rPr>
          <w:rFonts w:ascii="楷体_GB2312" w:hAnsi="宋体" w:eastAsia="楷体_GB2312"/>
          <w:sz w:val="32"/>
          <w:szCs w:val="32"/>
          <w:highlight w:val="none"/>
        </w:rPr>
      </w:pPr>
    </w:p>
    <w:p w14:paraId="046CF066">
      <w:pPr>
        <w:spacing w:before="156" w:beforeLines="50"/>
        <w:rPr>
          <w:rFonts w:ascii="楷体_GB2312" w:hAnsi="宋体" w:eastAsia="楷体_GB2312"/>
          <w:sz w:val="32"/>
          <w:szCs w:val="32"/>
          <w:highlight w:val="none"/>
        </w:rPr>
      </w:pPr>
    </w:p>
    <w:p w14:paraId="76162E71">
      <w:pPr>
        <w:pStyle w:val="19"/>
        <w:rPr>
          <w:rStyle w:val="21"/>
          <w:rFonts w:ascii="黑体" w:hAnsi="黑体" w:eastAsia="黑体" w:cs="黑体"/>
          <w:highlight w:val="none"/>
        </w:rPr>
      </w:pPr>
    </w:p>
    <w:p w14:paraId="495D43F0">
      <w:pPr>
        <w:pStyle w:val="19"/>
        <w:rPr>
          <w:rStyle w:val="21"/>
          <w:rFonts w:ascii="黑体" w:hAnsi="黑体" w:eastAsia="黑体" w:cs="黑体"/>
          <w:highlight w:val="none"/>
        </w:rPr>
      </w:pPr>
    </w:p>
    <w:p w14:paraId="460B988D">
      <w:pPr>
        <w:pStyle w:val="19"/>
        <w:rPr>
          <w:rFonts w:ascii="黑体" w:hAnsi="黑体" w:eastAsia="黑体" w:cs="黑体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21"/>
          <w:rFonts w:hint="eastAsia" w:ascii="黑体" w:hAnsi="黑体" w:eastAsia="黑体" w:cs="黑体"/>
          <w:highlight w:val="none"/>
          <w:lang w:val="en-US" w:eastAsia="zh-CN"/>
        </w:rPr>
        <w:t>2025</w:t>
      </w:r>
      <w:r>
        <w:rPr>
          <w:rStyle w:val="21"/>
          <w:rFonts w:hint="eastAsia" w:ascii="黑体" w:hAnsi="黑体" w:eastAsia="黑体" w:cs="黑体"/>
          <w:highlight w:val="none"/>
        </w:rPr>
        <w:t>年</w:t>
      </w:r>
      <w:r>
        <w:rPr>
          <w:rStyle w:val="21"/>
          <w:rFonts w:hint="eastAsia" w:ascii="黑体" w:hAnsi="黑体" w:eastAsia="黑体" w:cs="黑体"/>
          <w:highlight w:val="none"/>
          <w:lang w:val="en-US" w:eastAsia="zh-CN"/>
        </w:rPr>
        <w:t>9</w:t>
      </w:r>
      <w:r>
        <w:rPr>
          <w:rStyle w:val="21"/>
          <w:rFonts w:hint="eastAsia" w:ascii="黑体" w:hAnsi="黑体" w:eastAsia="黑体" w:cs="黑体"/>
          <w:highlight w:val="none"/>
        </w:rPr>
        <w:t>月</w:t>
      </w:r>
    </w:p>
    <w:p w14:paraId="0190F74D"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bookmarkStart w:id="0" w:name="_Toc26266"/>
      <w:bookmarkStart w:id="1" w:name="_Toc6059"/>
      <w:bookmarkStart w:id="2" w:name="_Toc29868"/>
    </w:p>
    <w:p w14:paraId="6AD1F3ED"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  <w:highlight w:val="none"/>
        </w:rPr>
        <w:t>目录</w:t>
      </w:r>
      <w:bookmarkEnd w:id="0"/>
      <w:bookmarkEnd w:id="1"/>
      <w:bookmarkEnd w:id="2"/>
    </w:p>
    <w:p w14:paraId="125F933B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b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b/>
          <w:sz w:val="24"/>
          <w:highlight w:val="none"/>
        </w:rPr>
        <w:instrText xml:space="preserve">TOC \o "1-2" \h \u </w:instrText>
      </w:r>
      <w:r>
        <w:rPr>
          <w:rFonts w:hint="eastAsia" w:ascii="黑体" w:hAnsi="黑体" w:eastAsia="黑体" w:cs="黑体"/>
          <w:b/>
          <w:sz w:val="24"/>
          <w:highlight w:val="none"/>
        </w:rPr>
        <w:fldChar w:fldCharType="separate"/>
      </w:r>
    </w:p>
    <w:p w14:paraId="17AFF395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"_Toc16459"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 xml:space="preserve">1  </w:t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4"/>
          <w:highlight w:val="none"/>
        </w:rPr>
        <w:t>概况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_Toc16459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6D9DD28E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"_Toc7671"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kern w:val="0"/>
          <w:sz w:val="24"/>
          <w:highlight w:val="none"/>
        </w:rPr>
        <w:t xml:space="preserve">2  </w:t>
      </w:r>
      <w:r>
        <w:rPr>
          <w:rFonts w:hint="eastAsia" w:ascii="黑体" w:hAnsi="黑体" w:eastAsia="黑体" w:cs="黑体"/>
          <w:sz w:val="24"/>
          <w:highlight w:val="none"/>
        </w:rPr>
        <w:t>项目要求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_Toc7671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281A3E13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"_Toc16082"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  技术服务的要求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14B83BB4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"_Toc21612"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  时间进度要求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_Toc21612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3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54C5451F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"_Toc8651"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5  交付与验收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_Toc8651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279E73F6">
      <w:pPr>
        <w:pStyle w:val="11"/>
        <w:tabs>
          <w:tab w:val="right" w:leader="dot" w:pos="8306"/>
        </w:tabs>
        <w:spacing w:line="560" w:lineRule="exact"/>
        <w:rPr>
          <w:rFonts w:ascii="黑体" w:hAnsi="黑体" w:eastAsia="黑体" w:cs="黑体"/>
          <w:sz w:val="24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\l "_Toc859" </w:instrText>
      </w:r>
      <w:r>
        <w:rPr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6  投标技术文件要求</w:t>
      </w:r>
      <w:r>
        <w:rPr>
          <w:rFonts w:hint="eastAsia" w:ascii="黑体" w:hAnsi="黑体" w:eastAsia="黑体" w:cs="黑体"/>
          <w:sz w:val="24"/>
          <w:highlight w:val="none"/>
        </w:rPr>
        <w:tab/>
      </w:r>
      <w:r>
        <w:rPr>
          <w:rFonts w:hint="eastAsia" w:ascii="黑体" w:hAnsi="黑体" w:eastAsia="黑体" w:cs="黑体"/>
          <w:sz w:val="24"/>
          <w:highlight w:val="none"/>
        </w:rPr>
        <w:fldChar w:fldCharType="begin"/>
      </w:r>
      <w:r>
        <w:rPr>
          <w:rFonts w:hint="eastAsia" w:ascii="黑体" w:hAnsi="黑体" w:eastAsia="黑体" w:cs="黑体"/>
          <w:sz w:val="24"/>
          <w:highlight w:val="none"/>
        </w:rPr>
        <w:instrText xml:space="preserve"> PAGEREF _Toc859 </w:instrText>
      </w:r>
      <w:r>
        <w:rPr>
          <w:rFonts w:hint="eastAsia" w:ascii="黑体" w:hAnsi="黑体" w:eastAsia="黑体" w:cs="黑体"/>
          <w:sz w:val="24"/>
          <w:highlight w:val="none"/>
        </w:rPr>
        <w:fldChar w:fldCharType="separate"/>
      </w:r>
      <w:r>
        <w:rPr>
          <w:rFonts w:hint="eastAsia" w:ascii="黑体" w:hAnsi="黑体" w:eastAsia="黑体" w:cs="黑体"/>
          <w:sz w:val="24"/>
          <w:highlight w:val="none"/>
        </w:rPr>
        <w:t>4</w:t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5927B88E">
      <w:pPr>
        <w:spacing w:line="560" w:lineRule="exact"/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fldChar w:fldCharType="end"/>
      </w:r>
    </w:p>
    <w:p w14:paraId="56A7B212">
      <w:pPr>
        <w:rPr>
          <w:rFonts w:hint="eastAsia" w:ascii="黑体" w:hAnsi="黑体" w:eastAsia="黑体" w:cs="黑体"/>
          <w:sz w:val="24"/>
          <w:highlight w:val="none"/>
        </w:rPr>
      </w:pPr>
      <w:r>
        <w:rPr>
          <w:rFonts w:hint="eastAsia" w:ascii="黑体" w:hAnsi="黑体" w:eastAsia="黑体" w:cs="黑体"/>
          <w:sz w:val="24"/>
          <w:highlight w:val="none"/>
        </w:rPr>
        <w:br w:type="page"/>
      </w:r>
    </w:p>
    <w:p w14:paraId="14422BBF">
      <w:pPr>
        <w:pStyle w:val="2"/>
        <w:rPr>
          <w:highlight w:val="none"/>
        </w:rPr>
      </w:pPr>
    </w:p>
    <w:p w14:paraId="18E3691F">
      <w:pPr>
        <w:spacing w:line="480" w:lineRule="auto"/>
        <w:jc w:val="center"/>
        <w:outlineLvl w:val="0"/>
        <w:rPr>
          <w:rFonts w:ascii="宋体" w:hAnsi="宋体"/>
          <w:b/>
          <w:sz w:val="32"/>
          <w:highlight w:val="none"/>
        </w:rPr>
      </w:pPr>
      <w:bookmarkStart w:id="3" w:name="_Toc266713645"/>
      <w:bookmarkStart w:id="4" w:name="_Toc32342"/>
      <w:bookmarkStart w:id="5" w:name="_Toc9243"/>
      <w:bookmarkStart w:id="6" w:name="_Toc19589"/>
      <w:r>
        <w:rPr>
          <w:rFonts w:hint="eastAsia" w:ascii="宋体" w:hAnsi="宋体"/>
          <w:b/>
          <w:sz w:val="32"/>
          <w:highlight w:val="none"/>
        </w:rPr>
        <w:t>总 则</w:t>
      </w:r>
      <w:bookmarkEnd w:id="3"/>
      <w:bookmarkEnd w:id="4"/>
      <w:bookmarkEnd w:id="5"/>
      <w:bookmarkEnd w:id="6"/>
    </w:p>
    <w:p w14:paraId="34C18B66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本文件为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该采购项目的</w:t>
      </w:r>
      <w:r>
        <w:rPr>
          <w:rFonts w:hint="eastAsia" w:ascii="宋体" w:hAnsi="宋体"/>
          <w:bCs/>
          <w:sz w:val="24"/>
          <w:highlight w:val="none"/>
        </w:rPr>
        <w:t>技术招标文件。</w:t>
      </w:r>
    </w:p>
    <w:p w14:paraId="54A7D6E7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本文件所描述的各</w:t>
      </w:r>
      <w:r>
        <w:rPr>
          <w:rFonts w:hint="eastAsia" w:hAnsi="宋体"/>
          <w:bCs/>
          <w:sz w:val="24"/>
          <w:highlight w:val="none"/>
        </w:rPr>
        <w:t>项技术要求</w:t>
      </w:r>
      <w:r>
        <w:rPr>
          <w:rFonts w:hint="eastAsia" w:ascii="宋体" w:hAnsi="宋体"/>
          <w:bCs/>
          <w:sz w:val="24"/>
          <w:highlight w:val="none"/>
        </w:rPr>
        <w:t>仅供投标方编制投标文件之用。</w:t>
      </w:r>
    </w:p>
    <w:p w14:paraId="3BFA4858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本标书仅描述基本的技术需求，并未对一切技术细节做出规定，也未充分引述有关标准和技术条文，投标方应根据需求目标提供进一步具体的可满足要求的</w:t>
      </w:r>
      <w:r>
        <w:rPr>
          <w:rFonts w:hint="eastAsia" w:hAnsi="宋体"/>
          <w:bCs/>
          <w:sz w:val="24"/>
          <w:highlight w:val="none"/>
        </w:rPr>
        <w:t>技术</w:t>
      </w:r>
      <w:r>
        <w:rPr>
          <w:rFonts w:hint="eastAsia" w:ascii="宋体" w:hAnsi="宋体"/>
          <w:bCs/>
          <w:sz w:val="24"/>
          <w:highlight w:val="none"/>
        </w:rPr>
        <w:t>指标。</w:t>
      </w:r>
    </w:p>
    <w:p w14:paraId="28292F1D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投标技术文件要求文字精练、数据准确、表述及图示清晰明确，具有针对性。</w:t>
      </w:r>
    </w:p>
    <w:p w14:paraId="637389DA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投标方在投标技术文件中应对本标书逐项予以说明和答复,应如实反映投标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与本技术规范书的技术差异。如果投标方没有提出技术差异，而在执行合同的过程中，招标方发现投标方提供的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与其投标技术文件的条文存在差异，招标方</w:t>
      </w:r>
      <w:r>
        <w:rPr>
          <w:rFonts w:hint="eastAsia" w:hAnsi="宋体"/>
          <w:bCs/>
          <w:sz w:val="24"/>
          <w:szCs w:val="22"/>
          <w:highlight w:val="none"/>
        </w:rPr>
        <w:t>将</w:t>
      </w:r>
      <w:r>
        <w:rPr>
          <w:rFonts w:hint="eastAsia" w:ascii="宋体" w:hAnsi="宋体"/>
          <w:bCs/>
          <w:sz w:val="24"/>
          <w:szCs w:val="22"/>
          <w:highlight w:val="none"/>
        </w:rPr>
        <w:t>追究投标方违约责任</w:t>
      </w:r>
      <w:r>
        <w:rPr>
          <w:rFonts w:hint="eastAsia" w:ascii="宋体" w:hAnsi="宋体"/>
          <w:bCs/>
          <w:sz w:val="24"/>
          <w:highlight w:val="none"/>
        </w:rPr>
        <w:t>。</w:t>
      </w:r>
    </w:p>
    <w:p w14:paraId="0DA0FB19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投标方应在投标技术部分按本技术规范书的要求</w:t>
      </w:r>
      <w:r>
        <w:rPr>
          <w:rFonts w:hint="eastAsia" w:hAnsi="宋体"/>
          <w:bCs/>
          <w:sz w:val="24"/>
          <w:szCs w:val="22"/>
          <w:highlight w:val="none"/>
        </w:rPr>
        <w:t>内容</w:t>
      </w:r>
      <w:r>
        <w:rPr>
          <w:rFonts w:hint="eastAsia" w:ascii="宋体" w:hAnsi="宋体"/>
          <w:bCs/>
          <w:sz w:val="24"/>
          <w:szCs w:val="22"/>
          <w:highlight w:val="none"/>
        </w:rPr>
        <w:t>如实详细填写投标</w:t>
      </w:r>
      <w:r>
        <w:rPr>
          <w:rFonts w:hint="eastAsia" w:hAnsi="宋体"/>
          <w:bCs/>
          <w:sz w:val="24"/>
          <w:szCs w:val="22"/>
          <w:highlight w:val="none"/>
        </w:rPr>
        <w:t>服务</w:t>
      </w:r>
      <w:r>
        <w:rPr>
          <w:rFonts w:hint="eastAsia" w:ascii="宋体" w:hAnsi="宋体"/>
          <w:bCs/>
          <w:sz w:val="24"/>
          <w:szCs w:val="22"/>
          <w:highlight w:val="none"/>
        </w:rPr>
        <w:t>的</w:t>
      </w:r>
      <w:r>
        <w:rPr>
          <w:rFonts w:hint="eastAsia" w:hAnsi="宋体"/>
          <w:bCs/>
          <w:sz w:val="24"/>
          <w:szCs w:val="22"/>
          <w:highlight w:val="none"/>
        </w:rPr>
        <w:t>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，并在投标商务部分</w:t>
      </w:r>
      <w:r>
        <w:rPr>
          <w:rFonts w:hint="eastAsia" w:hAnsi="宋体"/>
          <w:bCs/>
          <w:sz w:val="24"/>
          <w:szCs w:val="22"/>
          <w:highlight w:val="none"/>
        </w:rPr>
        <w:t>（或报价部分）</w:t>
      </w:r>
      <w:r>
        <w:rPr>
          <w:rFonts w:hint="eastAsia" w:ascii="宋体" w:hAnsi="宋体"/>
          <w:bCs/>
          <w:sz w:val="24"/>
          <w:szCs w:val="22"/>
          <w:highlight w:val="none"/>
        </w:rPr>
        <w:t>按</w:t>
      </w:r>
      <w:r>
        <w:rPr>
          <w:rFonts w:hint="eastAsia" w:hAnsi="宋体"/>
          <w:bCs/>
          <w:sz w:val="24"/>
          <w:szCs w:val="22"/>
          <w:highlight w:val="none"/>
        </w:rPr>
        <w:t>此范围及明细</w:t>
      </w:r>
      <w:r>
        <w:rPr>
          <w:rFonts w:hint="eastAsia" w:ascii="宋体" w:hAnsi="宋体"/>
          <w:bCs/>
          <w:sz w:val="24"/>
          <w:szCs w:val="22"/>
          <w:highlight w:val="none"/>
        </w:rPr>
        <w:t>进行</w:t>
      </w:r>
      <w:r>
        <w:rPr>
          <w:rFonts w:hint="eastAsia" w:hAnsi="宋体"/>
          <w:bCs/>
          <w:sz w:val="24"/>
          <w:szCs w:val="22"/>
          <w:highlight w:val="none"/>
        </w:rPr>
        <w:t>分项</w:t>
      </w:r>
      <w:r>
        <w:rPr>
          <w:rFonts w:hint="eastAsia" w:ascii="宋体" w:hAnsi="宋体"/>
          <w:bCs/>
          <w:sz w:val="24"/>
          <w:szCs w:val="22"/>
          <w:highlight w:val="none"/>
        </w:rPr>
        <w:t>报价，如发现</w:t>
      </w:r>
      <w:r>
        <w:rPr>
          <w:rFonts w:hint="eastAsia" w:hAnsi="宋体"/>
          <w:bCs/>
          <w:sz w:val="24"/>
          <w:szCs w:val="22"/>
          <w:highlight w:val="none"/>
        </w:rPr>
        <w:t>总报价与分项报价</w:t>
      </w:r>
      <w:r>
        <w:rPr>
          <w:rFonts w:hint="eastAsia" w:ascii="宋体" w:hAnsi="宋体"/>
          <w:bCs/>
          <w:sz w:val="24"/>
          <w:szCs w:val="22"/>
          <w:highlight w:val="none"/>
        </w:rPr>
        <w:t>有矛盾之处，将按有利于招标方的条款执行</w:t>
      </w:r>
      <w:r>
        <w:rPr>
          <w:rFonts w:hint="eastAsia" w:hAnsi="宋体"/>
          <w:bCs/>
          <w:sz w:val="24"/>
          <w:szCs w:val="22"/>
          <w:highlight w:val="none"/>
        </w:rPr>
        <w:t>。</w:t>
      </w:r>
      <w:r>
        <w:rPr>
          <w:rFonts w:hint="eastAsia" w:ascii="宋体" w:hAnsi="宋体"/>
          <w:bCs/>
          <w:sz w:val="24"/>
          <w:szCs w:val="22"/>
          <w:highlight w:val="none"/>
        </w:rPr>
        <w:t xml:space="preserve"> </w:t>
      </w:r>
    </w:p>
    <w:p w14:paraId="7F62701E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投标方必须仔细阅读采购文件的全部条款，并作出明确响应。采购文件带“★”号的条款及要求，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投标</w:t>
      </w:r>
      <w:r>
        <w:rPr>
          <w:rFonts w:hint="eastAsia" w:ascii="宋体" w:hAnsi="宋体"/>
          <w:bCs/>
          <w:sz w:val="24"/>
          <w:highlight w:val="none"/>
        </w:rPr>
        <w:t>方必须满足，若有一项不满足将否决投标。</w:t>
      </w:r>
    </w:p>
    <w:p w14:paraId="7EAD97F9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szCs w:val="22"/>
          <w:highlight w:val="none"/>
        </w:rPr>
      </w:pPr>
      <w:r>
        <w:rPr>
          <w:rFonts w:hint="eastAsia" w:ascii="宋体" w:hAnsi="宋体"/>
          <w:bCs/>
          <w:sz w:val="24"/>
          <w:szCs w:val="22"/>
          <w:highlight w:val="none"/>
        </w:rPr>
        <w:t>本技术规范书未尽事宜，由双方协商确定。</w:t>
      </w:r>
    </w:p>
    <w:p w14:paraId="7839178C">
      <w:pPr>
        <w:numPr>
          <w:ilvl w:val="0"/>
          <w:numId w:val="2"/>
        </w:numPr>
        <w:spacing w:line="360" w:lineRule="auto"/>
        <w:rPr>
          <w:rFonts w:ascii="宋体" w:hAnsi="宋体"/>
          <w:bCs/>
          <w:sz w:val="24"/>
          <w:highlight w:val="none"/>
        </w:rPr>
      </w:pPr>
      <w:r>
        <w:rPr>
          <w:rFonts w:hint="eastAsia" w:ascii="宋体" w:hAnsi="宋体"/>
          <w:bCs/>
          <w:sz w:val="24"/>
          <w:highlight w:val="none"/>
        </w:rPr>
        <w:t>本标书的最终解释权归招标方。</w:t>
      </w:r>
    </w:p>
    <w:p w14:paraId="3B38AD63">
      <w:pPr>
        <w:pStyle w:val="22"/>
        <w:spacing w:before="312"/>
        <w:rPr>
          <w:szCs w:val="22"/>
          <w:highlight w:val="none"/>
        </w:rPr>
      </w:pPr>
      <w:r>
        <w:rPr>
          <w:rFonts w:hint="eastAsia"/>
          <w:szCs w:val="22"/>
          <w:highlight w:val="none"/>
        </w:rPr>
        <w:br w:type="page"/>
      </w:r>
    </w:p>
    <w:p w14:paraId="7D282AD8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7" w:name="_Toc16459"/>
      <w:r>
        <w:rPr>
          <w:rFonts w:hint="eastAsia" w:ascii="黑体" w:hAnsi="黑体" w:eastAsia="黑体" w:cs="黑体"/>
          <w:sz w:val="28"/>
          <w:szCs w:val="28"/>
          <w:highlight w:val="none"/>
        </w:rPr>
        <w:t xml:space="preserve">1  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sz w:val="28"/>
          <w:szCs w:val="28"/>
          <w:highlight w:val="none"/>
        </w:rPr>
        <w:t>概况</w:t>
      </w:r>
      <w:bookmarkEnd w:id="7"/>
      <w:bookmarkStart w:id="8" w:name="_Toc17049"/>
      <w:bookmarkStart w:id="9" w:name="_Toc7301"/>
    </w:p>
    <w:bookmarkEnd w:id="8"/>
    <w:bookmarkEnd w:id="9"/>
    <w:p w14:paraId="4AE99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0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名称：广州供电局202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年知识产权管理体系年度监督审核项目</w:t>
      </w:r>
    </w:p>
    <w:p w14:paraId="309049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概况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根据GB/T 29490-2023《企业知识产权合规管理体系 要求》，协助开展管理体系文件修订，对年度监督审核提供必要的咨询和培训，开展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广州供电局202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年知识产权管理体系年度监督审核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出具审核报告和认证证书。</w:t>
      </w:r>
    </w:p>
    <w:p w14:paraId="2CE78192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0" w:name="_Toc7671"/>
      <w:r>
        <w:rPr>
          <w:rFonts w:hint="eastAsia" w:ascii="黑体" w:hAnsi="黑体" w:eastAsia="黑体" w:cs="黑体"/>
          <w:sz w:val="28"/>
          <w:szCs w:val="28"/>
          <w:highlight w:val="none"/>
        </w:rPr>
        <w:t>2  项目要求</w:t>
      </w:r>
      <w:bookmarkEnd w:id="10"/>
    </w:p>
    <w:p w14:paraId="03544A39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1" w:name="_Toc9074"/>
      <w:r>
        <w:rPr>
          <w:rFonts w:hint="eastAsia" w:ascii="黑体" w:hAnsi="黑体" w:eastAsia="黑体" w:cs="黑体"/>
          <w:bCs/>
          <w:sz w:val="24"/>
          <w:highlight w:val="none"/>
        </w:rPr>
        <w:t xml:space="preserve">2.1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要求</w:t>
      </w:r>
      <w:r>
        <w:rPr>
          <w:rFonts w:hint="eastAsia" w:ascii="黑体" w:hAnsi="黑体" w:eastAsia="黑体" w:cs="黑体"/>
          <w:bCs/>
          <w:sz w:val="24"/>
          <w:highlight w:val="none"/>
        </w:rPr>
        <w:t>及标准</w:t>
      </w:r>
      <w:bookmarkEnd w:id="11"/>
    </w:p>
    <w:p w14:paraId="70DF75C3"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根据招标单位需要，进行必要的年度监督审核培训。参照GB/T 29490-2023《企业知识产权合规管理体系 要求》规定，协助完成管理体系相关文件的修订。在要求的时间内完成年度监督审核工作，并按期交付成果。具体如下：</w:t>
      </w:r>
    </w:p>
    <w:tbl>
      <w:tblPr>
        <w:tblStyle w:val="13"/>
        <w:tblW w:w="86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4237"/>
        <w:gridCol w:w="3603"/>
      </w:tblGrid>
      <w:tr w14:paraId="33B043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 w14:paraId="12AD0A28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4237" w:type="dxa"/>
            <w:tcBorders>
              <w:tl2br w:val="nil"/>
              <w:tr2bl w:val="nil"/>
            </w:tcBorders>
            <w:vAlign w:val="center"/>
          </w:tcPr>
          <w:p w14:paraId="5AB32C60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服务要求</w:t>
            </w:r>
          </w:p>
        </w:tc>
        <w:tc>
          <w:tcPr>
            <w:tcW w:w="3603" w:type="dxa"/>
            <w:tcBorders>
              <w:tl2br w:val="nil"/>
              <w:tr2bl w:val="nil"/>
            </w:tcBorders>
            <w:vAlign w:val="center"/>
          </w:tcPr>
          <w:p w14:paraId="78116278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交付物</w:t>
            </w:r>
          </w:p>
        </w:tc>
      </w:tr>
      <w:tr w14:paraId="4341EF1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 w14:paraId="456CB20B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4237" w:type="dxa"/>
            <w:tcBorders>
              <w:tl2br w:val="nil"/>
              <w:tr2bl w:val="nil"/>
            </w:tcBorders>
            <w:vAlign w:val="center"/>
          </w:tcPr>
          <w:p w14:paraId="3C99787F">
            <w:pPr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提供相关咨询及培训</w:t>
            </w:r>
          </w:p>
        </w:tc>
        <w:tc>
          <w:tcPr>
            <w:tcW w:w="3603" w:type="dxa"/>
            <w:vMerge w:val="restart"/>
            <w:tcBorders>
              <w:tl2br w:val="nil"/>
              <w:tr2bl w:val="nil"/>
            </w:tcBorders>
            <w:vAlign w:val="center"/>
          </w:tcPr>
          <w:p w14:paraId="70667626">
            <w:pPr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包括但不限于：</w:t>
            </w:r>
          </w:p>
          <w:p w14:paraId="26D50D8A">
            <w:pPr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交付《审核报告》一式贰份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；</w:t>
            </w:r>
          </w:p>
          <w:p w14:paraId="0EB1DA0B">
            <w:pPr>
              <w:jc w:val="left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cs="宋体"/>
                <w:bCs/>
                <w:sz w:val="21"/>
                <w:szCs w:val="21"/>
                <w:highlight w:val="none"/>
                <w:lang w:val="en-US" w:eastAsia="zh-CN"/>
              </w:rPr>
              <w:t>监审合格通知书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一式壹份。</w:t>
            </w:r>
          </w:p>
        </w:tc>
      </w:tr>
      <w:tr w14:paraId="03BE76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 w14:paraId="7E2432EA">
            <w:pPr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4237" w:type="dxa"/>
            <w:tcBorders>
              <w:tl2br w:val="nil"/>
              <w:tr2bl w:val="nil"/>
            </w:tcBorders>
            <w:vAlign w:val="center"/>
          </w:tcPr>
          <w:p w14:paraId="1264BBBB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协助完成管理体系相关文件的修订</w:t>
            </w:r>
          </w:p>
        </w:tc>
        <w:tc>
          <w:tcPr>
            <w:tcW w:w="3603" w:type="dxa"/>
            <w:vMerge w:val="continue"/>
            <w:tcBorders>
              <w:tl2br w:val="nil"/>
              <w:tr2bl w:val="nil"/>
            </w:tcBorders>
            <w:vAlign w:val="center"/>
          </w:tcPr>
          <w:p w14:paraId="51A7D865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72EE24E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 w14:paraId="26E4724D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4237" w:type="dxa"/>
            <w:tcBorders>
              <w:tl2br w:val="nil"/>
              <w:tr2bl w:val="nil"/>
            </w:tcBorders>
            <w:vAlign w:val="center"/>
          </w:tcPr>
          <w:p w14:paraId="7199BC39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202</w:t>
            </w:r>
            <w:r>
              <w:rPr>
                <w:rFonts w:hint="eastAsia" w:ascii="宋体" w:hAnsi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年11月</w:t>
            </w:r>
            <w:r>
              <w:rPr>
                <w:rFonts w:hint="eastAsia" w:ascii="宋体" w:hAnsi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28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  <w:t>日前开展知识产权管理体系审核审核</w:t>
            </w:r>
          </w:p>
        </w:tc>
        <w:tc>
          <w:tcPr>
            <w:tcW w:w="3603" w:type="dxa"/>
            <w:vMerge w:val="continue"/>
            <w:tcBorders>
              <w:tl2br w:val="nil"/>
              <w:tr2bl w:val="nil"/>
            </w:tcBorders>
            <w:vAlign w:val="center"/>
          </w:tcPr>
          <w:p w14:paraId="535CBD96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 w14:paraId="520148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3" w:type="dxa"/>
            <w:tcBorders>
              <w:tl2br w:val="nil"/>
              <w:tr2bl w:val="nil"/>
            </w:tcBorders>
            <w:vAlign w:val="center"/>
          </w:tcPr>
          <w:p w14:paraId="18DEEE0C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4237" w:type="dxa"/>
            <w:tcBorders>
              <w:tl2br w:val="nil"/>
              <w:tr2bl w:val="nil"/>
            </w:tcBorders>
            <w:vAlign w:val="center"/>
          </w:tcPr>
          <w:p w14:paraId="0744DA6D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完成年度监督审核后20日内出具审核报告、认证证书，并交付至指定地点</w:t>
            </w:r>
          </w:p>
        </w:tc>
        <w:tc>
          <w:tcPr>
            <w:tcW w:w="3603" w:type="dxa"/>
            <w:vMerge w:val="continue"/>
            <w:tcBorders>
              <w:tl2br w:val="nil"/>
              <w:tr2bl w:val="nil"/>
            </w:tcBorders>
            <w:vAlign w:val="center"/>
          </w:tcPr>
          <w:p w14:paraId="34B20604">
            <w:pPr>
              <w:jc w:val="center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 w14:paraId="36B606EF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2" w:name="_Toc30644"/>
      <w:r>
        <w:rPr>
          <w:rFonts w:hint="eastAsia" w:ascii="黑体" w:hAnsi="黑体" w:eastAsia="黑体" w:cs="黑体"/>
          <w:bCs/>
          <w:sz w:val="24"/>
          <w:highlight w:val="none"/>
        </w:rPr>
        <w:t>2.2 运输方式</w:t>
      </w:r>
      <w:bookmarkEnd w:id="12"/>
    </w:p>
    <w:p w14:paraId="14C6EE7F"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邮寄或其它方式交付至甲方指定地点，因交付物产生的运费由供应商承担。</w:t>
      </w:r>
    </w:p>
    <w:p w14:paraId="5493F4E2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bookmarkStart w:id="13" w:name="_Toc16082"/>
      <w:r>
        <w:rPr>
          <w:rFonts w:hint="eastAsia" w:ascii="黑体" w:hAnsi="黑体" w:eastAsia="黑体" w:cs="黑体"/>
          <w:sz w:val="28"/>
          <w:szCs w:val="28"/>
          <w:highlight w:val="none"/>
        </w:rPr>
        <w:t>3  技术服务的要求</w:t>
      </w:r>
      <w:bookmarkEnd w:id="13"/>
    </w:p>
    <w:p w14:paraId="43FED3FC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14" w:name="_Toc1749"/>
      <w:r>
        <w:rPr>
          <w:rFonts w:hint="eastAsia" w:ascii="黑体" w:hAnsi="黑体" w:eastAsia="黑体" w:cs="黑体"/>
          <w:bCs/>
          <w:sz w:val="24"/>
          <w:highlight w:val="none"/>
        </w:rPr>
        <w:t>3.1 资质要求</w:t>
      </w:r>
      <w:bookmarkEnd w:id="14"/>
    </w:p>
    <w:p w14:paraId="5AEA9E01"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具备认证机构资质证书（知识产权管理体系领域）。</w:t>
      </w:r>
    </w:p>
    <w:p w14:paraId="58677401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15" w:name="_Toc16023"/>
      <w:r>
        <w:rPr>
          <w:rFonts w:hint="eastAsia" w:ascii="黑体" w:hAnsi="黑体" w:eastAsia="黑体" w:cs="黑体"/>
          <w:bCs/>
          <w:sz w:val="24"/>
          <w:highlight w:val="none"/>
        </w:rPr>
        <w:t>3.2 人员、设备及场地要求</w:t>
      </w:r>
      <w:bookmarkEnd w:id="15"/>
    </w:p>
    <w:p w14:paraId="7BF9F0B6"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无</w:t>
      </w:r>
    </w:p>
    <w:p w14:paraId="1657DA74">
      <w:pPr>
        <w:rPr>
          <w:rFonts w:hint="eastAsia" w:ascii="黑体" w:hAnsi="黑体" w:eastAsia="黑体" w:cs="黑体"/>
          <w:bCs/>
          <w:sz w:val="24"/>
          <w:highlight w:val="none"/>
        </w:rPr>
      </w:pPr>
      <w:bookmarkStart w:id="16" w:name="_Toc9853"/>
      <w:r>
        <w:rPr>
          <w:rFonts w:hint="eastAsia" w:ascii="黑体" w:hAnsi="黑体" w:eastAsia="黑体" w:cs="黑体"/>
          <w:bCs/>
          <w:sz w:val="24"/>
          <w:highlight w:val="none"/>
        </w:rPr>
        <w:t xml:space="preserve">3.3 </w:t>
      </w:r>
      <w:bookmarkEnd w:id="16"/>
      <w:bookmarkStart w:id="17" w:name="_Toc22454"/>
      <w:r>
        <w:rPr>
          <w:rFonts w:hint="eastAsia" w:ascii="黑体" w:hAnsi="黑体" w:eastAsia="黑体" w:cs="黑体"/>
          <w:bCs/>
          <w:sz w:val="24"/>
          <w:highlight w:val="none"/>
        </w:rPr>
        <w:t>信息保密要求</w:t>
      </w:r>
      <w:bookmarkEnd w:id="17"/>
      <w:bookmarkStart w:id="18" w:name="_Toc23607"/>
    </w:p>
    <w:p w14:paraId="010B7201"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24"/>
          <w:highlight w:val="none"/>
          <w:lang w:val="en-US" w:eastAsia="zh-CN"/>
        </w:rPr>
        <w:t>3.3.1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乙方应当采取必要的措施防止复制、泄漏或遗失。</w:t>
      </w:r>
    </w:p>
    <w:p w14:paraId="61F288FA">
      <w:pPr>
        <w:spacing w:line="360" w:lineRule="auto"/>
        <w:ind w:firstLine="480" w:firstLineChars="200"/>
        <w:outlineLvl w:val="1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4"/>
          <w:szCs w:val="24"/>
          <w:lang w:val="en-US" w:eastAsia="zh-CN"/>
        </w:rPr>
        <w:t>3.3.2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乙方有义务妥善保管保密信息，乙方对于从甲方得到的保密信息，应当按要求确保保密信息的安全。</w:t>
      </w:r>
    </w:p>
    <w:p w14:paraId="708330E9"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24"/>
          <w:highlight w:val="none"/>
          <w:lang w:val="en-US" w:eastAsia="zh-CN"/>
        </w:rPr>
        <w:t>3.3.3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bookmarkEnd w:id="18"/>
    <w:p w14:paraId="2544FD69">
      <w:pPr>
        <w:pStyle w:val="22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19" w:name="_Toc266713650"/>
      <w:bookmarkStart w:id="20" w:name="_Toc21612"/>
      <w:r>
        <w:rPr>
          <w:rFonts w:hint="eastAsia" w:ascii="黑体" w:hAnsi="黑体" w:eastAsia="黑体" w:cs="黑体"/>
          <w:sz w:val="28"/>
          <w:szCs w:val="28"/>
          <w:highlight w:val="none"/>
        </w:rPr>
        <w:t>4  时间进度要求</w:t>
      </w:r>
      <w:bookmarkEnd w:id="19"/>
      <w:bookmarkEnd w:id="20"/>
      <w:bookmarkStart w:id="21" w:name="_Toc11533"/>
      <w:bookmarkStart w:id="22" w:name="_Toc27224"/>
    </w:p>
    <w:bookmarkEnd w:id="21"/>
    <w:bookmarkEnd w:id="22"/>
    <w:p w14:paraId="2A63E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bookmarkStart w:id="23" w:name="_Toc8651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2025年11月28日前开展知识产权管理体系审核审核，完成年度监督审核后20日内出具审核报告、认证证书，并交付至指定地点。</w:t>
      </w:r>
    </w:p>
    <w:p w14:paraId="21ED4D0F">
      <w:pPr>
        <w:pStyle w:val="22"/>
        <w:spacing w:before="312"/>
        <w:outlineLvl w:val="0"/>
        <w:rPr>
          <w:rFonts w:ascii="黑体" w:hAnsi="黑体" w:eastAsia="黑体" w:cs="黑体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sz w:val="28"/>
          <w:szCs w:val="28"/>
          <w:highlight w:val="none"/>
        </w:rPr>
        <w:t>5  交付与验收</w:t>
      </w:r>
      <w:bookmarkEnd w:id="23"/>
    </w:p>
    <w:p w14:paraId="623FF763">
      <w:pPr>
        <w:spacing w:line="360" w:lineRule="auto"/>
        <w:outlineLvl w:val="1"/>
        <w:rPr>
          <w:rFonts w:hint="eastAsia" w:ascii="黑体" w:hAnsi="黑体" w:eastAsia="黑体" w:cs="黑体"/>
          <w:bCs/>
          <w:sz w:val="24"/>
          <w:highlight w:val="none"/>
        </w:rPr>
      </w:pPr>
      <w:bookmarkStart w:id="24" w:name="_Toc3677"/>
      <w:r>
        <w:rPr>
          <w:rFonts w:hint="eastAsia" w:ascii="黑体" w:hAnsi="黑体" w:eastAsia="黑体" w:cs="黑体"/>
          <w:bCs/>
          <w:sz w:val="24"/>
          <w:highlight w:val="none"/>
        </w:rPr>
        <w:t>5.1 交付形式及数量要求</w:t>
      </w:r>
      <w:bookmarkEnd w:id="24"/>
    </w:p>
    <w:p w14:paraId="576BBC77">
      <w:pPr>
        <w:pStyle w:val="2"/>
        <w:ind w:firstLine="480"/>
        <w:jc w:val="left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sz w:val="24"/>
          <w:highlight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 w:val="0"/>
          <w:bCs w:val="0"/>
          <w:color w:val="000000"/>
          <w:sz w:val="24"/>
          <w:highlight w:val="none"/>
          <w:lang w:val="en-US" w:eastAsia="zh-CN"/>
        </w:rPr>
        <w:t>包括但不限于，《审核报告》一式贰份、监审合格通知书一式壹份。</w:t>
      </w:r>
      <w:bookmarkStart w:id="32" w:name="_GoBack"/>
      <w:bookmarkEnd w:id="32"/>
    </w:p>
    <w:p w14:paraId="37DAC067"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  <w:highlight w:val="none"/>
        </w:rPr>
      </w:pPr>
      <w:bookmarkStart w:id="25" w:name="_Toc21560"/>
      <w:r>
        <w:rPr>
          <w:rFonts w:hint="eastAsia" w:ascii="黑体" w:hAnsi="黑体" w:eastAsia="黑体" w:cs="黑体"/>
          <w:bCs/>
          <w:sz w:val="24"/>
          <w:highlight w:val="none"/>
        </w:rPr>
        <w:t>5.2 验收</w:t>
      </w:r>
      <w:bookmarkEnd w:id="25"/>
      <w:bookmarkStart w:id="26" w:name="_Toc23588"/>
      <w:bookmarkStart w:id="27" w:name="_Toc536"/>
    </w:p>
    <w:bookmarkEnd w:id="26"/>
    <w:bookmarkEnd w:id="27"/>
    <w:p w14:paraId="5D1F48C6">
      <w:pPr>
        <w:spacing w:line="360" w:lineRule="auto"/>
        <w:ind w:firstLine="480" w:firstLineChars="200"/>
        <w:outlineLvl w:val="1"/>
        <w:rPr>
          <w:rFonts w:hint="default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甲方根据采购文件要求，组织开展交付成果验收。</w:t>
      </w:r>
    </w:p>
    <w:p w14:paraId="2F902EFA">
      <w:pPr>
        <w:pStyle w:val="22"/>
        <w:spacing w:before="312"/>
        <w:outlineLvl w:val="0"/>
        <w:rPr>
          <w:rFonts w:asciiTheme="minorEastAsia" w:hAnsiTheme="minorEastAsia" w:eastAsiaTheme="minorEastAsia" w:cstheme="minorEastAsia"/>
          <w:color w:val="000000"/>
          <w:highlight w:val="none"/>
        </w:rPr>
      </w:pPr>
      <w:bookmarkStart w:id="28" w:name="_Toc859"/>
      <w:r>
        <w:rPr>
          <w:rFonts w:hint="eastAsia" w:ascii="黑体" w:hAnsi="黑体" w:eastAsia="黑体" w:cs="黑体"/>
          <w:sz w:val="28"/>
          <w:szCs w:val="28"/>
          <w:highlight w:val="none"/>
        </w:rPr>
        <w:t>6  投标技术文件要求</w:t>
      </w:r>
      <w:bookmarkEnd w:id="28"/>
      <w:bookmarkStart w:id="29" w:name="_Toc8189"/>
      <w:bookmarkStart w:id="30" w:name="_Toc11892"/>
    </w:p>
    <w:bookmarkEnd w:id="29"/>
    <w:bookmarkEnd w:id="30"/>
    <w:p w14:paraId="22038A06">
      <w:pPr>
        <w:spacing w:line="360" w:lineRule="auto"/>
        <w:outlineLvl w:val="1"/>
        <w:rPr>
          <w:rFonts w:ascii="黑体" w:hAnsi="黑体" w:eastAsia="黑体" w:cs="黑体"/>
          <w:bCs/>
          <w:sz w:val="24"/>
          <w:highlight w:val="none"/>
        </w:rPr>
      </w:pPr>
      <w:bookmarkStart w:id="31" w:name="_Toc29154"/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6.1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报价单</w:t>
      </w:r>
      <w:bookmarkEnd w:id="31"/>
    </w:p>
    <w:p w14:paraId="1ADE582F"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val="en-US" w:eastAsia="zh-CN"/>
        </w:rPr>
        <w:t>报总价（含税）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lang w:eastAsia="zh-CN"/>
        </w:rPr>
        <w:t>。</w:t>
      </w:r>
    </w:p>
    <w:p w14:paraId="24383B3C">
      <w:pPr>
        <w:spacing w:line="360" w:lineRule="auto"/>
        <w:outlineLvl w:val="1"/>
        <w:rPr>
          <w:rFonts w:hint="default" w:ascii="黑体" w:hAnsi="黑体" w:eastAsia="黑体" w:cs="黑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>6.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2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供应商资质文件</w:t>
      </w:r>
    </w:p>
    <w:p w14:paraId="79FE222C">
      <w:pPr>
        <w:pStyle w:val="2"/>
        <w:spacing w:line="240" w:lineRule="auto"/>
        <w:ind w:firstLine="480"/>
        <w:jc w:val="left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投标方应提供公司资质文件，包括但不限于：</w:t>
      </w:r>
    </w:p>
    <w:p w14:paraId="10F213AD">
      <w:pPr>
        <w:pStyle w:val="2"/>
        <w:numPr>
          <w:ilvl w:val="0"/>
          <w:numId w:val="3"/>
        </w:numPr>
        <w:spacing w:line="240" w:lineRule="auto"/>
        <w:ind w:firstLine="480"/>
        <w:jc w:val="left"/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营业执照；</w:t>
      </w:r>
    </w:p>
    <w:p w14:paraId="2D369E6F">
      <w:pPr>
        <w:pStyle w:val="2"/>
        <w:numPr>
          <w:ilvl w:val="0"/>
          <w:numId w:val="3"/>
        </w:numPr>
        <w:spacing w:line="240" w:lineRule="auto"/>
        <w:ind w:firstLine="480"/>
        <w:jc w:val="left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认证机构资质证书（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4"/>
          <w:highlight w:val="none"/>
          <w:lang w:val="en-US" w:eastAsia="zh-CN"/>
        </w:rPr>
        <w:t>知识产权管理体系领域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），需注明获取证书的时间；</w:t>
      </w:r>
    </w:p>
    <w:p w14:paraId="73F56664">
      <w:pPr>
        <w:pStyle w:val="2"/>
        <w:numPr>
          <w:ilvl w:val="0"/>
          <w:numId w:val="3"/>
        </w:numPr>
        <w:spacing w:line="240" w:lineRule="auto"/>
        <w:ind w:firstLine="480"/>
        <w:jc w:val="left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认证机构名下审核员清单（附证明材料）；</w:t>
      </w:r>
    </w:p>
    <w:p w14:paraId="21206A5F">
      <w:pPr>
        <w:pStyle w:val="2"/>
        <w:numPr>
          <w:ilvl w:val="0"/>
          <w:numId w:val="3"/>
        </w:numPr>
        <w:spacing w:line="240" w:lineRule="auto"/>
        <w:ind w:firstLine="480"/>
        <w:jc w:val="left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近三年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sz w:val="24"/>
          <w:highlight w:val="none"/>
          <w:lang w:val="en-US" w:eastAsia="zh-CN"/>
        </w:rPr>
        <w:t>知识产权管理体系认证相关业绩证明材料（合同或中标通知书）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BBFC34E">
      <w:pPr>
        <w:pStyle w:val="2"/>
        <w:numPr>
          <w:ilvl w:val="0"/>
          <w:numId w:val="0"/>
        </w:numPr>
        <w:spacing w:line="240" w:lineRule="auto"/>
        <w:jc w:val="left"/>
        <w:rPr>
          <w:rFonts w:hint="default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/>
          <w:kern w:val="2"/>
          <w:sz w:val="24"/>
          <w:szCs w:val="24"/>
          <w:highlight w:val="none"/>
          <w:lang w:val="en-US" w:eastAsia="zh-CN" w:bidi="ar-SA"/>
        </w:rPr>
        <w:t xml:space="preserve">   【备注：资料均需加盖供应商公章】</w:t>
      </w:r>
    </w:p>
    <w:p w14:paraId="0A07ED4F">
      <w:pPr>
        <w:spacing w:line="360" w:lineRule="auto"/>
        <w:outlineLvl w:val="1"/>
        <w:rPr>
          <w:rFonts w:hint="default" w:ascii="黑体" w:hAnsi="黑体" w:eastAsia="黑体" w:cs="黑体"/>
          <w:bCs/>
          <w:sz w:val="24"/>
          <w:highlight w:val="none"/>
          <w:lang w:val="en-US" w:eastAsia="zh-CN"/>
        </w:rPr>
      </w:pPr>
      <w:r>
        <w:rPr>
          <w:rFonts w:hint="eastAsia" w:ascii="宋体" w:hAnsi="宋体"/>
          <w:bCs/>
          <w:sz w:val="24"/>
          <w:highlight w:val="none"/>
        </w:rPr>
        <w:t>★</w:t>
      </w:r>
      <w:r>
        <w:rPr>
          <w:rFonts w:hint="eastAsia" w:ascii="黑体" w:hAnsi="黑体" w:eastAsia="黑体" w:cs="黑体"/>
          <w:bCs/>
          <w:sz w:val="24"/>
          <w:highlight w:val="none"/>
        </w:rPr>
        <w:t>6.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bCs/>
          <w:sz w:val="24"/>
          <w:highlight w:val="none"/>
        </w:rPr>
        <w:t xml:space="preserve"> </w:t>
      </w:r>
      <w:r>
        <w:rPr>
          <w:rFonts w:hint="eastAsia" w:ascii="黑体" w:hAnsi="黑体" w:eastAsia="黑体" w:cs="黑体"/>
          <w:bCs/>
          <w:sz w:val="24"/>
          <w:highlight w:val="none"/>
          <w:lang w:val="en-US" w:eastAsia="zh-CN"/>
        </w:rPr>
        <w:t>供应商项目负责人资质文件</w:t>
      </w:r>
    </w:p>
    <w:p w14:paraId="11A6AE94">
      <w:pPr>
        <w:spacing w:line="360" w:lineRule="auto"/>
        <w:ind w:firstLine="480" w:firstLineChars="200"/>
        <w:rPr>
          <w:rFonts w:hint="eastAsia" w:eastAsia="宋体"/>
          <w:color w:val="000000"/>
          <w:sz w:val="24"/>
          <w:highlight w:val="none"/>
          <w:lang w:val="en-US" w:eastAsia="zh-CN"/>
        </w:rPr>
      </w:pPr>
      <w:r>
        <w:rPr>
          <w:rFonts w:hint="eastAsia"/>
          <w:color w:val="000000"/>
          <w:sz w:val="24"/>
          <w:highlight w:val="none"/>
          <w:lang w:val="en-US" w:eastAsia="zh-CN"/>
        </w:rPr>
        <w:t>无。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B56E5D"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222F3E"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222F3E"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7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B17716F"/>
    <w:multiLevelType w:val="singleLevel"/>
    <w:tmpl w:val="1B17716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E537055"/>
    <w:multiLevelType w:val="singleLevel"/>
    <w:tmpl w:val="5E53705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12EA9"/>
    <w:rsid w:val="000C764F"/>
    <w:rsid w:val="00A02E30"/>
    <w:rsid w:val="00DE6232"/>
    <w:rsid w:val="01280BB4"/>
    <w:rsid w:val="01307F9A"/>
    <w:rsid w:val="01D35542"/>
    <w:rsid w:val="022C7591"/>
    <w:rsid w:val="027C11FC"/>
    <w:rsid w:val="0295401A"/>
    <w:rsid w:val="0303051E"/>
    <w:rsid w:val="03621A92"/>
    <w:rsid w:val="043B1A01"/>
    <w:rsid w:val="046E56D3"/>
    <w:rsid w:val="047B7BC4"/>
    <w:rsid w:val="04BF0B83"/>
    <w:rsid w:val="04FE4EAD"/>
    <w:rsid w:val="050D0C65"/>
    <w:rsid w:val="05312146"/>
    <w:rsid w:val="056D4E14"/>
    <w:rsid w:val="05F66454"/>
    <w:rsid w:val="065A3F7A"/>
    <w:rsid w:val="066E2C1A"/>
    <w:rsid w:val="06F52B3B"/>
    <w:rsid w:val="07362663"/>
    <w:rsid w:val="086C26E0"/>
    <w:rsid w:val="089A0F8A"/>
    <w:rsid w:val="08A32594"/>
    <w:rsid w:val="08AF108B"/>
    <w:rsid w:val="09033ED8"/>
    <w:rsid w:val="09547509"/>
    <w:rsid w:val="09BE45E6"/>
    <w:rsid w:val="09E96D66"/>
    <w:rsid w:val="09F078C2"/>
    <w:rsid w:val="0A9773AF"/>
    <w:rsid w:val="0B715FA9"/>
    <w:rsid w:val="0BD1033B"/>
    <w:rsid w:val="0BFD7548"/>
    <w:rsid w:val="0C87701D"/>
    <w:rsid w:val="0C8C1EEF"/>
    <w:rsid w:val="0D0C14ED"/>
    <w:rsid w:val="0D20407E"/>
    <w:rsid w:val="0D4D51DE"/>
    <w:rsid w:val="0D521BE9"/>
    <w:rsid w:val="0D6039E5"/>
    <w:rsid w:val="0D845C3B"/>
    <w:rsid w:val="0DB6446C"/>
    <w:rsid w:val="0DDE0C6E"/>
    <w:rsid w:val="0E92274B"/>
    <w:rsid w:val="0ECF0DC1"/>
    <w:rsid w:val="0F115A6F"/>
    <w:rsid w:val="0F904A16"/>
    <w:rsid w:val="0FBF064C"/>
    <w:rsid w:val="10011F66"/>
    <w:rsid w:val="10381E4F"/>
    <w:rsid w:val="10972384"/>
    <w:rsid w:val="11402C86"/>
    <w:rsid w:val="11B22A64"/>
    <w:rsid w:val="12976F0D"/>
    <w:rsid w:val="12B32FBA"/>
    <w:rsid w:val="12D93B13"/>
    <w:rsid w:val="13566E57"/>
    <w:rsid w:val="13A42991"/>
    <w:rsid w:val="13B66003"/>
    <w:rsid w:val="13C65ED5"/>
    <w:rsid w:val="14421D4B"/>
    <w:rsid w:val="147F0C66"/>
    <w:rsid w:val="14D37A1A"/>
    <w:rsid w:val="150D14E8"/>
    <w:rsid w:val="1558413F"/>
    <w:rsid w:val="155E4129"/>
    <w:rsid w:val="16232935"/>
    <w:rsid w:val="16CE51A3"/>
    <w:rsid w:val="16CE5E8C"/>
    <w:rsid w:val="16F77748"/>
    <w:rsid w:val="1761752A"/>
    <w:rsid w:val="178C1BA1"/>
    <w:rsid w:val="17974DC1"/>
    <w:rsid w:val="187D19AC"/>
    <w:rsid w:val="188C78CE"/>
    <w:rsid w:val="18B4592A"/>
    <w:rsid w:val="19BC6CC5"/>
    <w:rsid w:val="1A1F085A"/>
    <w:rsid w:val="1A316175"/>
    <w:rsid w:val="1A830B36"/>
    <w:rsid w:val="1ADD4B0E"/>
    <w:rsid w:val="1B03691D"/>
    <w:rsid w:val="1B1C576F"/>
    <w:rsid w:val="1B1F0398"/>
    <w:rsid w:val="1B6202FA"/>
    <w:rsid w:val="1B843116"/>
    <w:rsid w:val="1BF021DF"/>
    <w:rsid w:val="1BFA3C82"/>
    <w:rsid w:val="1C4F52EF"/>
    <w:rsid w:val="1C672B50"/>
    <w:rsid w:val="1CC57F42"/>
    <w:rsid w:val="1CFC0FD3"/>
    <w:rsid w:val="1D0D0336"/>
    <w:rsid w:val="1D8D437A"/>
    <w:rsid w:val="1DA01B05"/>
    <w:rsid w:val="1E0A4D56"/>
    <w:rsid w:val="1E6B60E6"/>
    <w:rsid w:val="1E800217"/>
    <w:rsid w:val="1FBD1E67"/>
    <w:rsid w:val="1FD9003C"/>
    <w:rsid w:val="217B0148"/>
    <w:rsid w:val="21CA3C88"/>
    <w:rsid w:val="22EF0538"/>
    <w:rsid w:val="234277A0"/>
    <w:rsid w:val="234B187D"/>
    <w:rsid w:val="23A116F1"/>
    <w:rsid w:val="24C9435F"/>
    <w:rsid w:val="24EA7C79"/>
    <w:rsid w:val="24F2272A"/>
    <w:rsid w:val="24F72435"/>
    <w:rsid w:val="250F564D"/>
    <w:rsid w:val="252B1EB7"/>
    <w:rsid w:val="256870E0"/>
    <w:rsid w:val="258F38AD"/>
    <w:rsid w:val="25E42BF8"/>
    <w:rsid w:val="265249D6"/>
    <w:rsid w:val="275D5D26"/>
    <w:rsid w:val="275F7D29"/>
    <w:rsid w:val="27F81146"/>
    <w:rsid w:val="28506677"/>
    <w:rsid w:val="28943549"/>
    <w:rsid w:val="28BE48E2"/>
    <w:rsid w:val="28F4613D"/>
    <w:rsid w:val="29B03153"/>
    <w:rsid w:val="29F81415"/>
    <w:rsid w:val="2A441357"/>
    <w:rsid w:val="2B552424"/>
    <w:rsid w:val="2B6721B0"/>
    <w:rsid w:val="2BC517DF"/>
    <w:rsid w:val="2BD05883"/>
    <w:rsid w:val="2C191EA0"/>
    <w:rsid w:val="2CA3124A"/>
    <w:rsid w:val="2CBF5A6F"/>
    <w:rsid w:val="2CC203FD"/>
    <w:rsid w:val="2D8F39A1"/>
    <w:rsid w:val="2DAC4578"/>
    <w:rsid w:val="2DB36870"/>
    <w:rsid w:val="2DEA6350"/>
    <w:rsid w:val="2E260032"/>
    <w:rsid w:val="2E273547"/>
    <w:rsid w:val="2E2E5B4F"/>
    <w:rsid w:val="2E380045"/>
    <w:rsid w:val="2E96443F"/>
    <w:rsid w:val="2EFA1D2E"/>
    <w:rsid w:val="2F2E6BFF"/>
    <w:rsid w:val="2FBF4562"/>
    <w:rsid w:val="2FC241F2"/>
    <w:rsid w:val="30045C2F"/>
    <w:rsid w:val="304778A7"/>
    <w:rsid w:val="30DF2B6C"/>
    <w:rsid w:val="30F444D2"/>
    <w:rsid w:val="313E1E7A"/>
    <w:rsid w:val="31CF27D4"/>
    <w:rsid w:val="32653DEB"/>
    <w:rsid w:val="32887BF4"/>
    <w:rsid w:val="32C87D5D"/>
    <w:rsid w:val="330E4E8B"/>
    <w:rsid w:val="33161353"/>
    <w:rsid w:val="331B1D66"/>
    <w:rsid w:val="334E3954"/>
    <w:rsid w:val="336E5F6C"/>
    <w:rsid w:val="33B679E6"/>
    <w:rsid w:val="33BC7371"/>
    <w:rsid w:val="34255CC8"/>
    <w:rsid w:val="347E10AE"/>
    <w:rsid w:val="34B829C9"/>
    <w:rsid w:val="34E21B0E"/>
    <w:rsid w:val="34E735DB"/>
    <w:rsid w:val="357C3ACE"/>
    <w:rsid w:val="358A1AD4"/>
    <w:rsid w:val="358B06A1"/>
    <w:rsid w:val="35DF4389"/>
    <w:rsid w:val="35E41FA9"/>
    <w:rsid w:val="360B40D3"/>
    <w:rsid w:val="3661221B"/>
    <w:rsid w:val="3663634A"/>
    <w:rsid w:val="36DB19DA"/>
    <w:rsid w:val="372E794B"/>
    <w:rsid w:val="37495343"/>
    <w:rsid w:val="375A6BCB"/>
    <w:rsid w:val="3799386C"/>
    <w:rsid w:val="37A433E0"/>
    <w:rsid w:val="37A46956"/>
    <w:rsid w:val="37AE0477"/>
    <w:rsid w:val="38004B22"/>
    <w:rsid w:val="38242125"/>
    <w:rsid w:val="38292433"/>
    <w:rsid w:val="382A7EB4"/>
    <w:rsid w:val="38D05FCB"/>
    <w:rsid w:val="390A3500"/>
    <w:rsid w:val="39140E3A"/>
    <w:rsid w:val="394B4B39"/>
    <w:rsid w:val="39855B4F"/>
    <w:rsid w:val="398C2739"/>
    <w:rsid w:val="39E974DB"/>
    <w:rsid w:val="3A9C5BA6"/>
    <w:rsid w:val="3BEE7DFA"/>
    <w:rsid w:val="3C1315AB"/>
    <w:rsid w:val="3C2C38C7"/>
    <w:rsid w:val="3C4C5078"/>
    <w:rsid w:val="3C830A53"/>
    <w:rsid w:val="3D263ADF"/>
    <w:rsid w:val="3DDE3626"/>
    <w:rsid w:val="3DFE37C3"/>
    <w:rsid w:val="3E54409B"/>
    <w:rsid w:val="3F8F2720"/>
    <w:rsid w:val="3F966B9F"/>
    <w:rsid w:val="401C5798"/>
    <w:rsid w:val="404B47FE"/>
    <w:rsid w:val="405D45A6"/>
    <w:rsid w:val="406B4C36"/>
    <w:rsid w:val="40794199"/>
    <w:rsid w:val="408A19B3"/>
    <w:rsid w:val="40F0643B"/>
    <w:rsid w:val="410217F6"/>
    <w:rsid w:val="419C13AE"/>
    <w:rsid w:val="41A73FEA"/>
    <w:rsid w:val="41B40E40"/>
    <w:rsid w:val="41BF2EE9"/>
    <w:rsid w:val="42A30678"/>
    <w:rsid w:val="42A37264"/>
    <w:rsid w:val="42DF02D2"/>
    <w:rsid w:val="431E506A"/>
    <w:rsid w:val="43851473"/>
    <w:rsid w:val="44C917FC"/>
    <w:rsid w:val="45AD67D6"/>
    <w:rsid w:val="45CB4C8D"/>
    <w:rsid w:val="45CF1EF0"/>
    <w:rsid w:val="45DF172F"/>
    <w:rsid w:val="46957BD9"/>
    <w:rsid w:val="46CD35B6"/>
    <w:rsid w:val="46E81BE2"/>
    <w:rsid w:val="47097B32"/>
    <w:rsid w:val="47194E6E"/>
    <w:rsid w:val="472C45A4"/>
    <w:rsid w:val="47382C50"/>
    <w:rsid w:val="48205CF0"/>
    <w:rsid w:val="48AE5D4E"/>
    <w:rsid w:val="48B60ED8"/>
    <w:rsid w:val="492E48B1"/>
    <w:rsid w:val="497A3114"/>
    <w:rsid w:val="499C7ED1"/>
    <w:rsid w:val="49B12980"/>
    <w:rsid w:val="49E6704C"/>
    <w:rsid w:val="49F22A9F"/>
    <w:rsid w:val="4A4B4604"/>
    <w:rsid w:val="4A515ECA"/>
    <w:rsid w:val="4A566A25"/>
    <w:rsid w:val="4A7A1254"/>
    <w:rsid w:val="4A9A3B4D"/>
    <w:rsid w:val="4B18258B"/>
    <w:rsid w:val="4B276C3A"/>
    <w:rsid w:val="4BD023EF"/>
    <w:rsid w:val="4C3F54C3"/>
    <w:rsid w:val="4CE147A6"/>
    <w:rsid w:val="4CF766DE"/>
    <w:rsid w:val="4D1E1AE4"/>
    <w:rsid w:val="4DBF3FC8"/>
    <w:rsid w:val="4DDB7BC5"/>
    <w:rsid w:val="4E287A4C"/>
    <w:rsid w:val="4E2D7B0E"/>
    <w:rsid w:val="4E53210E"/>
    <w:rsid w:val="4E574397"/>
    <w:rsid w:val="4EDE6AF3"/>
    <w:rsid w:val="4F327D5F"/>
    <w:rsid w:val="505B02E5"/>
    <w:rsid w:val="505B24E3"/>
    <w:rsid w:val="50692104"/>
    <w:rsid w:val="506D7E85"/>
    <w:rsid w:val="50C4507C"/>
    <w:rsid w:val="50CF02A4"/>
    <w:rsid w:val="50E83C80"/>
    <w:rsid w:val="50E84976"/>
    <w:rsid w:val="523A289F"/>
    <w:rsid w:val="52CB1154"/>
    <w:rsid w:val="52D27864"/>
    <w:rsid w:val="52EF5062"/>
    <w:rsid w:val="537E6452"/>
    <w:rsid w:val="539233BA"/>
    <w:rsid w:val="53CD308F"/>
    <w:rsid w:val="54C17E31"/>
    <w:rsid w:val="54E75E4E"/>
    <w:rsid w:val="54EC5F00"/>
    <w:rsid w:val="5575509E"/>
    <w:rsid w:val="55933D75"/>
    <w:rsid w:val="55B22FA5"/>
    <w:rsid w:val="55BB08CE"/>
    <w:rsid w:val="55F5265A"/>
    <w:rsid w:val="56112EA9"/>
    <w:rsid w:val="5652284C"/>
    <w:rsid w:val="56634F6B"/>
    <w:rsid w:val="56FE5647"/>
    <w:rsid w:val="572004CE"/>
    <w:rsid w:val="576E3E36"/>
    <w:rsid w:val="57D62605"/>
    <w:rsid w:val="586A7C9A"/>
    <w:rsid w:val="5939706E"/>
    <w:rsid w:val="59BD7DED"/>
    <w:rsid w:val="59E4535B"/>
    <w:rsid w:val="5A9C3F4F"/>
    <w:rsid w:val="5AE252E1"/>
    <w:rsid w:val="5B635516"/>
    <w:rsid w:val="5B9E006D"/>
    <w:rsid w:val="5BAC42C7"/>
    <w:rsid w:val="5BFB3FFB"/>
    <w:rsid w:val="5CBC1717"/>
    <w:rsid w:val="5CF94596"/>
    <w:rsid w:val="5D944335"/>
    <w:rsid w:val="5DAF3921"/>
    <w:rsid w:val="5E066DFA"/>
    <w:rsid w:val="5E0B23A4"/>
    <w:rsid w:val="5E712C01"/>
    <w:rsid w:val="5E79378D"/>
    <w:rsid w:val="5E7F2B1D"/>
    <w:rsid w:val="5E9479C8"/>
    <w:rsid w:val="5EFF55AD"/>
    <w:rsid w:val="600C74D8"/>
    <w:rsid w:val="60446F8A"/>
    <w:rsid w:val="609B3FFE"/>
    <w:rsid w:val="60A8111F"/>
    <w:rsid w:val="60B802FB"/>
    <w:rsid w:val="60F4061E"/>
    <w:rsid w:val="61633BDA"/>
    <w:rsid w:val="61B23647"/>
    <w:rsid w:val="61D2000C"/>
    <w:rsid w:val="61E33B45"/>
    <w:rsid w:val="623B447A"/>
    <w:rsid w:val="62464748"/>
    <w:rsid w:val="62542CC4"/>
    <w:rsid w:val="62CD1B9F"/>
    <w:rsid w:val="630015B9"/>
    <w:rsid w:val="63A9658E"/>
    <w:rsid w:val="63FE5340"/>
    <w:rsid w:val="640B1F26"/>
    <w:rsid w:val="64132F2C"/>
    <w:rsid w:val="642C0F11"/>
    <w:rsid w:val="650664D0"/>
    <w:rsid w:val="65355760"/>
    <w:rsid w:val="666908C2"/>
    <w:rsid w:val="668274B1"/>
    <w:rsid w:val="673113AB"/>
    <w:rsid w:val="67593ED7"/>
    <w:rsid w:val="67895B18"/>
    <w:rsid w:val="68930C61"/>
    <w:rsid w:val="689C2C37"/>
    <w:rsid w:val="68AC152E"/>
    <w:rsid w:val="68CD4B9F"/>
    <w:rsid w:val="69010354"/>
    <w:rsid w:val="695323C7"/>
    <w:rsid w:val="69C30412"/>
    <w:rsid w:val="69EA7D86"/>
    <w:rsid w:val="6A2D0FBD"/>
    <w:rsid w:val="6A3E7D5B"/>
    <w:rsid w:val="6AA17F49"/>
    <w:rsid w:val="6B023115"/>
    <w:rsid w:val="6B6A3099"/>
    <w:rsid w:val="6BBF7607"/>
    <w:rsid w:val="6BF43BAA"/>
    <w:rsid w:val="6C2A6602"/>
    <w:rsid w:val="6C987B75"/>
    <w:rsid w:val="6D2B4CBE"/>
    <w:rsid w:val="6D401C96"/>
    <w:rsid w:val="6D4A0BE9"/>
    <w:rsid w:val="6D7875A9"/>
    <w:rsid w:val="6E06100F"/>
    <w:rsid w:val="6E255143"/>
    <w:rsid w:val="6E5B1FD7"/>
    <w:rsid w:val="6EC048E7"/>
    <w:rsid w:val="6EC64CFC"/>
    <w:rsid w:val="6F1D1E58"/>
    <w:rsid w:val="6F95026E"/>
    <w:rsid w:val="708F1B04"/>
    <w:rsid w:val="70D56850"/>
    <w:rsid w:val="70E237AF"/>
    <w:rsid w:val="710C1A65"/>
    <w:rsid w:val="71497715"/>
    <w:rsid w:val="71504376"/>
    <w:rsid w:val="715E368C"/>
    <w:rsid w:val="71C94BB9"/>
    <w:rsid w:val="71E079DE"/>
    <w:rsid w:val="72A801AB"/>
    <w:rsid w:val="7377313A"/>
    <w:rsid w:val="737816B0"/>
    <w:rsid w:val="73C23115"/>
    <w:rsid w:val="73FA6E86"/>
    <w:rsid w:val="744F7DDF"/>
    <w:rsid w:val="74572EAA"/>
    <w:rsid w:val="74E106B7"/>
    <w:rsid w:val="75700D85"/>
    <w:rsid w:val="75715F41"/>
    <w:rsid w:val="76497732"/>
    <w:rsid w:val="76890F73"/>
    <w:rsid w:val="76D36023"/>
    <w:rsid w:val="76F173CA"/>
    <w:rsid w:val="770F4753"/>
    <w:rsid w:val="78376D79"/>
    <w:rsid w:val="78B75E9C"/>
    <w:rsid w:val="790428F9"/>
    <w:rsid w:val="792F3C96"/>
    <w:rsid w:val="79940D02"/>
    <w:rsid w:val="79A264C0"/>
    <w:rsid w:val="7A126AE1"/>
    <w:rsid w:val="7ABE2378"/>
    <w:rsid w:val="7AE63A4D"/>
    <w:rsid w:val="7AFB3926"/>
    <w:rsid w:val="7B5B066E"/>
    <w:rsid w:val="7B6130E0"/>
    <w:rsid w:val="7BFC2945"/>
    <w:rsid w:val="7BFC3589"/>
    <w:rsid w:val="7C185614"/>
    <w:rsid w:val="7C257594"/>
    <w:rsid w:val="7C9503D6"/>
    <w:rsid w:val="7CD02D3B"/>
    <w:rsid w:val="7D8201F6"/>
    <w:rsid w:val="7E352FE9"/>
    <w:rsid w:val="7E6214B0"/>
    <w:rsid w:val="7E6E2528"/>
    <w:rsid w:val="7EB61EE5"/>
    <w:rsid w:val="7EB93573"/>
    <w:rsid w:val="7F1C3BD4"/>
    <w:rsid w:val="7F1E6CAF"/>
    <w:rsid w:val="7F7339B4"/>
    <w:rsid w:val="7FCA2E7B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annotation text"/>
    <w:basedOn w:val="1"/>
    <w:qFormat/>
    <w:uiPriority w:val="0"/>
    <w:pPr>
      <w:jc w:val="left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Hyperlink"/>
    <w:basedOn w:val="15"/>
    <w:qFormat/>
    <w:uiPriority w:val="0"/>
  </w:style>
  <w:style w:type="paragraph" w:customStyle="1" w:styleId="17">
    <w:name w:val="标题1"/>
    <w:basedOn w:val="5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8">
    <w:name w:val="首页项目名称"/>
    <w:link w:val="20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9">
    <w:name w:val="首页日期"/>
    <w:basedOn w:val="1"/>
    <w:link w:val="21"/>
    <w:qFormat/>
    <w:uiPriority w:val="0"/>
    <w:pPr>
      <w:jc w:val="center"/>
    </w:pPr>
    <w:rPr>
      <w:rFonts w:eastAsia="楷体"/>
      <w:sz w:val="32"/>
    </w:rPr>
  </w:style>
  <w:style w:type="character" w:customStyle="1" w:styleId="20">
    <w:name w:val="首页项目名称 Char"/>
    <w:link w:val="18"/>
    <w:qFormat/>
    <w:uiPriority w:val="0"/>
    <w:rPr>
      <w:rFonts w:ascii="Times New Roman" w:hAnsi="Times New Roman" w:eastAsia="隶书"/>
      <w:sz w:val="52"/>
    </w:rPr>
  </w:style>
  <w:style w:type="character" w:customStyle="1" w:styleId="21">
    <w:name w:val="首页日期 Char"/>
    <w:link w:val="19"/>
    <w:qFormat/>
    <w:uiPriority w:val="0"/>
    <w:rPr>
      <w:rFonts w:ascii="Times New Roman" w:hAnsi="Times New Roman" w:eastAsia="楷体"/>
      <w:sz w:val="32"/>
    </w:rPr>
  </w:style>
  <w:style w:type="paragraph" w:customStyle="1" w:styleId="22">
    <w:name w:val="一标题"/>
    <w:link w:val="23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3">
    <w:name w:val="一标题 Char"/>
    <w:link w:val="22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1435</Words>
  <Characters>1515</Characters>
  <Lines>12</Lines>
  <Paragraphs>7</Paragraphs>
  <TotalTime>2</TotalTime>
  <ScaleCrop>false</ScaleCrop>
  <LinksUpToDate>false</LinksUpToDate>
  <CharactersWithSpaces>1564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血萧</cp:lastModifiedBy>
  <cp:lastPrinted>2024-08-02T09:30:00Z</cp:lastPrinted>
  <dcterms:modified xsi:type="dcterms:W3CDTF">2025-09-01T06:39:59Z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DFA0302CDFB04B27BEBD1CD78AE77874_13</vt:lpwstr>
  </property>
  <property fmtid="{D5CDD505-2E9C-101B-9397-08002B2CF9AE}" pid="4" name="KSOTemplateDocerSaveRecord">
    <vt:lpwstr>eyJoZGlkIjoiNDU4NTQ3NTBhYzRkYmEzYzI1ZjFjYWNiYmExMDNkOTEiLCJ1c2VySWQiOiI0MTE1NTc3NTEifQ==</vt:lpwstr>
  </property>
</Properties>
</file>