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9600E3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</w:rPr>
        <w:t>云南储能公司宝池储能电站工程规划验收技术服务技术规范书</w:t>
      </w:r>
    </w:p>
    <w:p w14:paraId="68262F28">
      <w:pPr>
        <w:pStyle w:val="4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3" w:firstLineChars="200"/>
        <w:textAlignment w:val="auto"/>
        <w:rPr>
          <w:rFonts w:hint="eastAsia"/>
        </w:rPr>
      </w:pPr>
      <w:r>
        <w:rPr>
          <w:rFonts w:hint="eastAsia"/>
        </w:rPr>
        <w:t>项目概况</w:t>
      </w:r>
    </w:p>
    <w:p w14:paraId="6512E49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1120" w:firstLineChars="4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对云南储能公司宝池储能电站工程规划验收开展技术服务工作。</w:t>
      </w:r>
    </w:p>
    <w:p w14:paraId="133DDE64">
      <w:pPr>
        <w:pStyle w:val="4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3" w:firstLineChars="200"/>
        <w:textAlignment w:val="auto"/>
        <w:rPr>
          <w:rFonts w:hint="eastAsia"/>
          <w:b/>
        </w:rPr>
      </w:pPr>
      <w:r>
        <w:rPr>
          <w:rFonts w:hint="eastAsia"/>
          <w:b/>
        </w:rPr>
        <w:t>服务内容</w:t>
      </w:r>
      <w:bookmarkStart w:id="0" w:name="_GoBack"/>
      <w:bookmarkEnd w:id="0"/>
    </w:p>
    <w:p w14:paraId="5AC341F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对云南储能公司宝池储能电站工程规划验收开展技术服务工作，主要内容包括：</w:t>
      </w:r>
    </w:p>
    <w:p w14:paraId="1CCC9A4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1、对工程竣工后的所有建（构）筑物的平面位置、空间形态、高程、尺寸及与周边环境的相对关系进行全面的测量与记录，并出具1:500数字化竣工图。</w:t>
      </w:r>
    </w:p>
    <w:p w14:paraId="0D2A956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2、对隐蔽工程（如地基、基础、地下管线等）进行测量与复核，形成准确的测量记录与图纸。</w:t>
      </w:r>
    </w:p>
    <w:p w14:paraId="2511897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3、对施工方施测的建设工程放线进行检验与复核，确保建筑物定位、标高、关键轴线等符合规划及设计图纸要求，并出具验线、放线报告。</w:t>
      </w:r>
    </w:p>
    <w:p w14:paraId="1EB40F6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4、进行规划核实电子报盘，把规划核实所需要的材料以及矢量数据上传系统完成报审。</w:t>
      </w:r>
    </w:p>
    <w:p w14:paraId="629615B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5、完成房产测量（详细测量所有房屋的边长、墙体厚度、门窗位置、阳台、飘窗、设备平台、公共走道、电梯厅、楼梯间、地下室、人防区域等）以及办理房屋产权证。</w:t>
      </w:r>
    </w:p>
    <w:p w14:paraId="5FAD4E4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6.与项目建设单位和合作单位保持联系，参加相关协调会议，满足项目规划验收的需要。</w:t>
      </w:r>
    </w:p>
    <w:p w14:paraId="693FBEB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7.技术服务单位应积极配合、协助建设单位与负责审批的政府主管部门工作对接，收集相关报验资料。若工程规划验收过程中，需要修改成果的，技术服务单位应限时无偿修改并通过审查，取得相应政府主管部门意见。</w:t>
      </w:r>
    </w:p>
    <w:p w14:paraId="0645AEEA">
      <w:pPr>
        <w:pStyle w:val="4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3" w:firstLineChars="200"/>
        <w:textAlignment w:val="auto"/>
        <w:rPr>
          <w:rFonts w:hint="eastAsia"/>
          <w:b/>
        </w:rPr>
      </w:pPr>
      <w:r>
        <w:rPr>
          <w:rFonts w:hint="eastAsia"/>
          <w:b/>
        </w:rPr>
        <w:t>技术标准和要求</w:t>
      </w:r>
    </w:p>
    <w:p w14:paraId="7C3021B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本技术服务项目的过程和成果资料须满足现行国家以及省、自治区、直辖市或行业各项标准、规范、通知办法等的要求。（注：标准规范和通知办法应按照动态变化的最新版执行，且不限于以下标准和规范。）</w:t>
      </w:r>
    </w:p>
    <w:p w14:paraId="700C524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3.1 主要技术标准与规范</w:t>
      </w:r>
    </w:p>
    <w:p w14:paraId="087B4D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《工程测量标准》(GB 50026-2020)</w:t>
      </w:r>
    </w:p>
    <w:p w14:paraId="7D2F35F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《城市测量规范》(CJJ/T 8-2011)</w:t>
      </w:r>
    </w:p>
    <w:p w14:paraId="19A6841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《建筑变形测量规范》(JGJ 8-2016)</w:t>
      </w:r>
    </w:p>
    <w:p w14:paraId="6A9C1B7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《建筑工程建筑面积计算规范》(GB/T 50353-2013)</w:t>
      </w:r>
    </w:p>
    <w:p w14:paraId="2A087DB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《国家基本比例尺地图图式》(GB/T 20257.1-2017)</w:t>
      </w:r>
    </w:p>
    <w:p w14:paraId="02B2229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《建设工程规划监督测量规范》</w:t>
      </w:r>
    </w:p>
    <w:p w14:paraId="6831F27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 设计施工图纸、变更文件及合同技术要求。</w:t>
      </w:r>
    </w:p>
    <w:p w14:paraId="7F370B0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3.2 坐标系与高程系统</w:t>
      </w:r>
    </w:p>
    <w:p w14:paraId="3A3C2C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平面坐标系:采用2000国家大地坐标系(CGCS2000) ，中央子午线为105度。</w:t>
      </w:r>
    </w:p>
    <w:p w14:paraId="24E5BE3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高程系统：采用1985国家高程基准。</w:t>
      </w:r>
    </w:p>
    <w:p w14:paraId="616CA95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· 投影方式：采用高斯-克吕格投影，按3°分带。</w:t>
      </w:r>
    </w:p>
    <w:p w14:paraId="0DD92E0C">
      <w:pPr>
        <w:pStyle w:val="4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3" w:firstLineChars="200"/>
        <w:textAlignment w:val="auto"/>
        <w:rPr>
          <w:rFonts w:hint="eastAsia"/>
          <w:b/>
        </w:rPr>
      </w:pPr>
      <w:r>
        <w:rPr>
          <w:rFonts w:hint="eastAsia"/>
          <w:b/>
        </w:rPr>
        <w:t>工期要求</w:t>
      </w:r>
    </w:p>
    <w:p w14:paraId="6614F8D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服务期限：自发送成交通知书之日起至完成规划验收及办理取得房屋产权证。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06AB11"/>
    <w:multiLevelType w:val="singleLevel"/>
    <w:tmpl w:val="E406AB11"/>
    <w:lvl w:ilvl="0" w:tentative="0">
      <w:start w:val="1"/>
      <w:numFmt w:val="chineseCounting"/>
      <w:suff w:val="nothing"/>
      <w:lvlText w:val="%1、"/>
      <w:lvlJc w:val="left"/>
      <w:pPr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056CAE"/>
    <w:rsid w:val="64C6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40" w:lineRule="exact"/>
      <w:jc w:val="both"/>
    </w:pPr>
    <w:rPr>
      <w:rFonts w:asciiTheme="minorAscii" w:hAnsiTheme="minorAsci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00" w:beforeLines="0" w:beforeAutospacing="0" w:after="10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843</Words>
  <Characters>932</Characters>
  <Lines>0</Lines>
  <Paragraphs>0</Paragraphs>
  <TotalTime>11</TotalTime>
  <ScaleCrop>false</ScaleCrop>
  <LinksUpToDate>false</LinksUpToDate>
  <CharactersWithSpaces>951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2025-09-02T12:17:00Z</dcterms:created>
  <dc:creator>Administrator</dc:creator>
  <cp:lastModifiedBy>Administrator</cp:lastModifiedBy>
  <dcterms:modified xsi:type="dcterms:W3CDTF">2025-09-02T12:30:53Z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eyJoZGlkIjoiMzEwNTM5NzYwMDRjMzkwZTVkZjY2ODkwMGIxNGU0OTUiLCJ1c2VySWQiOiI0OTg0NTU2NzAifQ==</vt:lpwstr>
  </property>
  <property fmtid="{D5CDD505-2E9C-101B-9397-08002B2CF9AE}" pid="4" name="ICV">
    <vt:lpwstr>AB8702AABDDE43EABB877F0080350CDB_12</vt:lpwstr>
  </property>
</Properties>
</file>