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87C1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val="0"/>
          <w:sz w:val="36"/>
          <w:szCs w:val="36"/>
          <w:highlight w:val="none"/>
        </w:rPr>
      </w:pPr>
      <w:r>
        <w:rPr>
          <w:rFonts w:hint="eastAsia" w:ascii="仿宋" w:hAnsi="仿宋" w:eastAsia="仿宋" w:cs="仿宋"/>
          <w:b/>
          <w:bCs w:val="0"/>
          <w:sz w:val="36"/>
          <w:szCs w:val="36"/>
          <w:highlight w:val="none"/>
          <w:lang w:val="en-US" w:eastAsia="zh-CN"/>
        </w:rPr>
        <w:t>南方电网</w:t>
      </w:r>
      <w:r>
        <w:rPr>
          <w:rFonts w:hint="eastAsia" w:ascii="仿宋" w:hAnsi="仿宋" w:eastAsia="仿宋" w:cs="仿宋"/>
          <w:b/>
          <w:bCs w:val="0"/>
          <w:sz w:val="36"/>
          <w:szCs w:val="36"/>
          <w:highlight w:val="none"/>
        </w:rPr>
        <w:t>云南电动汽车服务有限</w:t>
      </w:r>
      <w:r>
        <w:rPr>
          <w:rFonts w:hint="eastAsia" w:ascii="仿宋" w:hAnsi="仿宋" w:eastAsia="仿宋" w:cs="仿宋"/>
          <w:b/>
          <w:bCs w:val="0"/>
          <w:sz w:val="36"/>
          <w:szCs w:val="36"/>
          <w:highlight w:val="none"/>
          <w:lang w:val="en-US" w:eastAsia="zh-CN"/>
        </w:rPr>
        <w:t>公司2025—2026年红塔东路充电站及长水航城充电站卫生间化粪池清掏服务</w:t>
      </w:r>
      <w:r>
        <w:rPr>
          <w:rFonts w:hint="eastAsia" w:ascii="仿宋" w:hAnsi="仿宋" w:eastAsia="仿宋" w:cs="仿宋"/>
          <w:b/>
          <w:bCs w:val="0"/>
          <w:sz w:val="36"/>
          <w:szCs w:val="36"/>
          <w:highlight w:val="none"/>
        </w:rPr>
        <w:t>零星采购技术规范书</w:t>
      </w:r>
    </w:p>
    <w:p w14:paraId="50CE0F10">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highlight w:val="none"/>
        </w:rPr>
      </w:pPr>
    </w:p>
    <w:p w14:paraId="063CDCF4">
      <w:pPr>
        <w:keepNext w:val="0"/>
        <w:keepLines w:val="0"/>
        <w:pageBreakBefore w:val="0"/>
        <w:kinsoku/>
        <w:wordWrap/>
        <w:overflowPunct/>
        <w:topLinePunct w:val="0"/>
        <w:autoSpaceDE/>
        <w:autoSpaceDN/>
        <w:bidi w:val="0"/>
        <w:adjustRightInd/>
        <w:spacing w:line="360" w:lineRule="auto"/>
        <w:ind w:firstLine="643" w:firstLineChars="200"/>
        <w:textAlignment w:val="auto"/>
        <w:rPr>
          <w:rFonts w:hint="eastAsia" w:ascii="仿宋" w:hAnsi="仿宋" w:eastAsia="仿宋" w:cs="仿宋"/>
          <w:b/>
          <w:bCs w:val="0"/>
          <w:sz w:val="32"/>
          <w:szCs w:val="32"/>
          <w:highlight w:val="none"/>
        </w:rPr>
      </w:pPr>
      <w:r>
        <w:rPr>
          <w:rFonts w:hint="eastAsia" w:ascii="仿宋" w:hAnsi="仿宋" w:eastAsia="仿宋" w:cs="仿宋"/>
          <w:b/>
          <w:bCs w:val="0"/>
          <w:sz w:val="32"/>
          <w:szCs w:val="32"/>
          <w:highlight w:val="none"/>
        </w:rPr>
        <w:t>一、项目概况</w:t>
      </w:r>
    </w:p>
    <w:p w14:paraId="67908D9F">
      <w:pPr>
        <w:pStyle w:val="2"/>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color w:val="auto"/>
          <w:sz w:val="32"/>
          <w:szCs w:val="32"/>
          <w:highlight w:val="none"/>
          <w:shd w:val="clear" w:color="auto" w:fill="auto"/>
        </w:rPr>
      </w:pPr>
      <w:bookmarkStart w:id="0" w:name="OLE_LINK1"/>
      <w:r>
        <w:rPr>
          <w:rFonts w:hint="eastAsia" w:ascii="仿宋" w:hAnsi="仿宋" w:eastAsia="仿宋" w:cs="仿宋"/>
          <w:color w:val="auto"/>
          <w:sz w:val="32"/>
          <w:szCs w:val="32"/>
          <w:highlight w:val="none"/>
          <w:shd w:val="clear" w:color="auto" w:fill="auto"/>
          <w:lang w:val="en-US" w:eastAsia="zh-CN"/>
        </w:rPr>
        <w:t>为保证红塔东路充电站及长水航城充电站配备卫生间服务设施的正常使用，拟</w:t>
      </w:r>
      <w:r>
        <w:rPr>
          <w:rFonts w:hint="eastAsia" w:ascii="仿宋" w:hAnsi="仿宋" w:eastAsia="仿宋" w:cs="仿宋"/>
          <w:color w:val="auto"/>
          <w:sz w:val="32"/>
          <w:szCs w:val="32"/>
          <w:highlight w:val="none"/>
          <w:shd w:val="clear" w:color="auto" w:fill="auto"/>
        </w:rPr>
        <w:t>通过</w:t>
      </w:r>
      <w:r>
        <w:rPr>
          <w:rFonts w:hint="eastAsia" w:ascii="仿宋" w:hAnsi="仿宋" w:eastAsia="仿宋" w:cs="仿宋"/>
          <w:color w:val="auto"/>
          <w:sz w:val="32"/>
          <w:szCs w:val="32"/>
          <w:highlight w:val="none"/>
          <w:shd w:val="clear" w:color="auto" w:fill="auto"/>
          <w:lang w:val="en-US" w:eastAsia="zh-CN"/>
        </w:rPr>
        <w:t>零星采购的方式采购一家专业的公司进行化粪池清淘服务</w:t>
      </w:r>
      <w:r>
        <w:rPr>
          <w:rFonts w:hint="eastAsia" w:ascii="仿宋" w:hAnsi="仿宋" w:eastAsia="仿宋" w:cs="仿宋"/>
          <w:color w:val="auto"/>
          <w:sz w:val="32"/>
          <w:szCs w:val="32"/>
          <w:highlight w:val="none"/>
          <w:shd w:val="clear" w:color="auto" w:fill="auto"/>
        </w:rPr>
        <w:t>，</w:t>
      </w:r>
      <w:r>
        <w:rPr>
          <w:rFonts w:hint="eastAsia" w:ascii="仿宋" w:hAnsi="仿宋" w:eastAsia="仿宋" w:cs="仿宋"/>
          <w:color w:val="auto"/>
          <w:sz w:val="32"/>
          <w:szCs w:val="32"/>
          <w:highlight w:val="none"/>
          <w:shd w:val="clear" w:color="auto" w:fill="auto"/>
          <w:lang w:val="en-US" w:eastAsia="zh-CN"/>
        </w:rPr>
        <w:t>主要负责南方电网</w:t>
      </w:r>
      <w:r>
        <w:rPr>
          <w:rFonts w:hint="eastAsia" w:ascii="仿宋" w:hAnsi="仿宋" w:eastAsia="仿宋" w:cs="仿宋"/>
          <w:color w:val="auto"/>
          <w:sz w:val="32"/>
          <w:szCs w:val="32"/>
          <w:highlight w:val="none"/>
          <w:shd w:val="clear" w:color="auto" w:fill="auto"/>
        </w:rPr>
        <w:t>云南电动汽车服务有限公司</w:t>
      </w:r>
      <w:r>
        <w:rPr>
          <w:rFonts w:hint="eastAsia" w:ascii="仿宋" w:hAnsi="仿宋" w:eastAsia="仿宋" w:cs="仿宋"/>
          <w:color w:val="auto"/>
          <w:sz w:val="32"/>
          <w:szCs w:val="32"/>
          <w:highlight w:val="none"/>
          <w:shd w:val="clear" w:color="auto" w:fill="auto"/>
          <w:lang w:val="en-US" w:eastAsia="zh-CN"/>
        </w:rPr>
        <w:t>2025—2026年红塔东路充电站及长水航城充电站卫生间化粪池清掏</w:t>
      </w:r>
      <w:r>
        <w:rPr>
          <w:rFonts w:hint="eastAsia" w:ascii="仿宋" w:hAnsi="仿宋" w:eastAsia="仿宋" w:cs="仿宋"/>
          <w:color w:val="auto"/>
          <w:sz w:val="32"/>
          <w:szCs w:val="32"/>
          <w:highlight w:val="none"/>
          <w:shd w:val="clear" w:color="auto" w:fill="auto"/>
        </w:rPr>
        <w:t>。</w:t>
      </w:r>
    </w:p>
    <w:bookmarkEnd w:id="0"/>
    <w:p w14:paraId="177987E1">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（一）服务时间：从合同签订之日起至2026年8月。</w:t>
      </w:r>
    </w:p>
    <w:p w14:paraId="60E92713">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（二）服务次数：两个站点的清掏服务次数每月各实施3次，全年两个站累计72次，报价方对站点</w:t>
      </w:r>
      <w:bookmarkStart w:id="2" w:name="_GoBack"/>
      <w:bookmarkEnd w:id="2"/>
      <w:r>
        <w:rPr>
          <w:rFonts w:hint="eastAsia" w:ascii="仿宋" w:hAnsi="仿宋" w:eastAsia="仿宋" w:cs="仿宋"/>
          <w:bCs/>
          <w:sz w:val="32"/>
          <w:szCs w:val="32"/>
          <w:lang w:val="en-US" w:eastAsia="zh-CN"/>
        </w:rPr>
        <w:t>实际清掏服务次数根据采购方的实际服务要求开展响应及安排，合约期内两个站点的清掏服务结算总价不得超过本次采购的中标价。</w:t>
      </w:r>
    </w:p>
    <w:p w14:paraId="298F30AD">
      <w:pPr>
        <w:keepNext w:val="0"/>
        <w:keepLines w:val="0"/>
        <w:pageBreakBefore w:val="0"/>
        <w:kinsoku/>
        <w:wordWrap/>
        <w:overflowPunct/>
        <w:topLinePunct w:val="0"/>
        <w:autoSpaceDE/>
        <w:autoSpaceDN/>
        <w:bidi w:val="0"/>
        <w:adjustRightInd/>
        <w:spacing w:line="360" w:lineRule="auto"/>
        <w:ind w:firstLine="643" w:firstLineChars="200"/>
        <w:jc w:val="left"/>
        <w:textAlignment w:val="auto"/>
        <w:rPr>
          <w:rFonts w:hint="eastAsia"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二、资格要求</w:t>
      </w:r>
    </w:p>
    <w:p w14:paraId="6ADFA872">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（一）中华人民共和国境内注册合法运作的法人或其他组织，具有独立承担民事责任的能力和独立履行合同的能力，营业执照在有效期内。</w:t>
      </w:r>
    </w:p>
    <w:p w14:paraId="5ACDBD8B">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bCs/>
          <w:kern w:val="2"/>
          <w:sz w:val="32"/>
          <w:szCs w:val="32"/>
          <w:lang w:val="en-US" w:eastAsia="zh-CN" w:bidi="ar-SA"/>
        </w:rPr>
        <w:t>（</w:t>
      </w:r>
      <w:r>
        <w:rPr>
          <w:rFonts w:hint="eastAsia" w:ascii="仿宋" w:hAnsi="仿宋" w:eastAsia="仿宋" w:cs="仿宋"/>
          <w:color w:val="auto"/>
          <w:kern w:val="2"/>
          <w:sz w:val="32"/>
          <w:szCs w:val="32"/>
          <w:lang w:val="en-US" w:eastAsia="zh-CN" w:bidi="ar-SA"/>
        </w:rPr>
        <w:t>二）具备基本经营资质。具有合法的工商注册登记的营业执照，其经营范围需包含“化粪池清掏清运”及其它相关内容，确保经营活动合法合规。</w:t>
      </w:r>
    </w:p>
    <w:p w14:paraId="07812C3E">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（三）凡参与作业人员，需具备相关专业能力，确保作业安全。</w:t>
      </w:r>
    </w:p>
    <w:p w14:paraId="41717D6B">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（四） 安全生产条件：需具备必要的安全防护设备（如防毒面具、通风设备、应急救援器材等），并制定完善的安全作业流程和应急预案，避免发生安全事故。</w:t>
      </w:r>
    </w:p>
    <w:p w14:paraId="738328BF">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（五）废弃物处理合规：清掏出的粪污等废弃物需按照环保规定，运输至指定的污水处理厂或合规处理场所，不得随意倾倒。</w:t>
      </w:r>
    </w:p>
    <w:p w14:paraId="44FE01FD">
      <w:pPr>
        <w:keepNext w:val="0"/>
        <w:keepLines w:val="0"/>
        <w:pageBreakBefore w:val="0"/>
        <w:kinsoku/>
        <w:wordWrap/>
        <w:overflowPunct/>
        <w:topLinePunct w:val="0"/>
        <w:autoSpaceDE/>
        <w:autoSpaceDN/>
        <w:bidi w:val="0"/>
        <w:adjustRightInd/>
        <w:spacing w:line="360" w:lineRule="auto"/>
        <w:ind w:firstLine="643" w:firstLineChars="200"/>
        <w:jc w:val="left"/>
        <w:textAlignment w:val="auto"/>
        <w:rPr>
          <w:rFonts w:hint="eastAsia" w:ascii="仿宋" w:hAnsi="仿宋" w:eastAsia="仿宋" w:cs="仿宋"/>
          <w:b/>
          <w:bCs w:val="0"/>
          <w:sz w:val="32"/>
          <w:szCs w:val="32"/>
        </w:rPr>
      </w:pPr>
      <w:r>
        <w:rPr>
          <w:rFonts w:hint="eastAsia" w:ascii="仿宋" w:hAnsi="仿宋" w:eastAsia="仿宋" w:cs="仿宋"/>
          <w:b/>
          <w:bCs w:val="0"/>
          <w:sz w:val="32"/>
          <w:szCs w:val="32"/>
          <w:lang w:val="en-US" w:eastAsia="zh-CN"/>
        </w:rPr>
        <w:t>三</w:t>
      </w:r>
      <w:r>
        <w:rPr>
          <w:rFonts w:hint="eastAsia" w:ascii="仿宋" w:hAnsi="仿宋" w:eastAsia="仿宋" w:cs="仿宋"/>
          <w:b/>
          <w:bCs w:val="0"/>
          <w:sz w:val="32"/>
          <w:szCs w:val="32"/>
        </w:rPr>
        <w:t>、报价须知</w:t>
      </w:r>
    </w:p>
    <w:p w14:paraId="6B8FD16C">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rPr>
      </w:pPr>
      <w:bookmarkStart w:id="1" w:name="OLE_LINK2"/>
      <w:r>
        <w:rPr>
          <w:rFonts w:hint="eastAsia" w:ascii="仿宋" w:hAnsi="仿宋" w:eastAsia="仿宋" w:cs="仿宋"/>
          <w:bCs/>
          <w:sz w:val="32"/>
          <w:szCs w:val="32"/>
        </w:rPr>
        <w:t>（一）报价以人民币为货币单位，包含总价、分项报价。</w:t>
      </w:r>
    </w:p>
    <w:p w14:paraId="262B5E39">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rPr>
      </w:pPr>
      <w:r>
        <w:rPr>
          <w:rFonts w:hint="eastAsia" w:ascii="仿宋" w:hAnsi="仿宋" w:eastAsia="仿宋" w:cs="仿宋"/>
          <w:bCs/>
          <w:sz w:val="32"/>
          <w:szCs w:val="32"/>
        </w:rPr>
        <w:t>（二）报价人应提供支撑项目报价的相关证明文件（例如：企业营业执照加盖公章、企业资质、类似业绩等），报价文件格式见附件。</w:t>
      </w:r>
    </w:p>
    <w:bookmarkEnd w:id="1"/>
    <w:p w14:paraId="00366470">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rPr>
      </w:pPr>
      <w:r>
        <w:rPr>
          <w:rFonts w:hint="eastAsia" w:ascii="仿宋" w:hAnsi="仿宋" w:eastAsia="仿宋" w:cs="仿宋"/>
          <w:bCs/>
          <w:sz w:val="32"/>
          <w:szCs w:val="32"/>
        </w:rPr>
        <w:t>（三）报价文件应按格式要求进行编制</w:t>
      </w:r>
      <w:r>
        <w:rPr>
          <w:rFonts w:hint="eastAsia" w:ascii="仿宋" w:hAnsi="仿宋" w:eastAsia="仿宋" w:cs="仿宋"/>
          <w:bCs/>
          <w:sz w:val="32"/>
          <w:szCs w:val="32"/>
          <w:lang w:eastAsia="zh-CN"/>
        </w:rPr>
        <w:t>，</w:t>
      </w:r>
      <w:r>
        <w:rPr>
          <w:rFonts w:hint="eastAsia" w:ascii="仿宋" w:hAnsi="仿宋" w:eastAsia="仿宋" w:cs="仿宋"/>
          <w:bCs/>
          <w:sz w:val="32"/>
          <w:szCs w:val="32"/>
        </w:rPr>
        <w:t>文件格式为彩色扫描PDF版本，并且逐页加盖公章。</w:t>
      </w:r>
    </w:p>
    <w:p w14:paraId="12C06FDF">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rPr>
      </w:pPr>
      <w:r>
        <w:rPr>
          <w:rFonts w:hint="eastAsia" w:ascii="仿宋" w:hAnsi="仿宋" w:eastAsia="仿宋" w:cs="仿宋"/>
          <w:bCs/>
          <w:sz w:val="32"/>
          <w:szCs w:val="32"/>
        </w:rPr>
        <w:t>（四）询价成交原则：最低价中标原则。报价一经我公司认可，即为签订合同的最终依据。</w:t>
      </w:r>
    </w:p>
    <w:p w14:paraId="4DF6EFAC">
      <w:pPr>
        <w:keepNext w:val="0"/>
        <w:keepLines w:val="0"/>
        <w:pageBreakBefore w:val="0"/>
        <w:kinsoku/>
        <w:wordWrap/>
        <w:overflowPunct/>
        <w:topLinePunct w:val="0"/>
        <w:autoSpaceDE/>
        <w:autoSpaceDN/>
        <w:bidi w:val="0"/>
        <w:adjustRightInd/>
        <w:spacing w:line="360" w:lineRule="auto"/>
        <w:ind w:firstLine="640" w:firstLineChars="200"/>
        <w:jc w:val="left"/>
        <w:textAlignment w:val="auto"/>
        <w:rPr>
          <w:rFonts w:hint="eastAsia" w:ascii="仿宋" w:hAnsi="仿宋" w:eastAsia="仿宋" w:cs="仿宋"/>
          <w:bCs/>
          <w:sz w:val="32"/>
          <w:szCs w:val="32"/>
        </w:rPr>
      </w:pPr>
      <w:r>
        <w:rPr>
          <w:rFonts w:hint="eastAsia" w:ascii="仿宋" w:hAnsi="仿宋" w:eastAsia="仿宋" w:cs="仿宋"/>
          <w:bCs/>
          <w:sz w:val="32"/>
          <w:szCs w:val="32"/>
        </w:rPr>
        <w:t>（五）各报价人对上述条款均应作出响应，非响应性报价均作无效报价处理。</w:t>
      </w:r>
    </w:p>
    <w:p w14:paraId="1B3B9594">
      <w:pPr>
        <w:keepNext w:val="0"/>
        <w:keepLines w:val="0"/>
        <w:pageBreakBefore w:val="0"/>
        <w:kinsoku/>
        <w:wordWrap/>
        <w:overflowPunct/>
        <w:topLinePunct w:val="0"/>
        <w:autoSpaceDE/>
        <w:autoSpaceDN/>
        <w:bidi w:val="0"/>
        <w:adjustRightInd/>
        <w:spacing w:line="360" w:lineRule="auto"/>
        <w:ind w:firstLine="643" w:firstLineChars="200"/>
        <w:textAlignment w:val="auto"/>
        <w:rPr>
          <w:rFonts w:hint="default" w:ascii="仿宋" w:hAnsi="仿宋" w:eastAsia="仿宋" w:cs="仿宋"/>
          <w:b/>
          <w:bCs w:val="0"/>
          <w:sz w:val="32"/>
          <w:szCs w:val="32"/>
          <w:lang w:val="en-US" w:eastAsia="zh-CN"/>
        </w:rPr>
      </w:pPr>
      <w:r>
        <w:rPr>
          <w:rFonts w:hint="eastAsia" w:ascii="仿宋" w:hAnsi="仿宋" w:eastAsia="仿宋" w:cs="仿宋"/>
          <w:b/>
          <w:bCs w:val="0"/>
          <w:sz w:val="32"/>
          <w:szCs w:val="32"/>
          <w:lang w:val="en-US" w:eastAsia="zh-CN"/>
        </w:rPr>
        <w:t>四</w:t>
      </w:r>
      <w:r>
        <w:rPr>
          <w:rFonts w:hint="eastAsia" w:ascii="仿宋" w:hAnsi="仿宋" w:eastAsia="仿宋" w:cs="仿宋"/>
          <w:b/>
          <w:bCs w:val="0"/>
          <w:sz w:val="32"/>
          <w:szCs w:val="32"/>
        </w:rPr>
        <w:t>、</w:t>
      </w:r>
      <w:r>
        <w:rPr>
          <w:rFonts w:hint="eastAsia" w:ascii="仿宋" w:hAnsi="仿宋" w:eastAsia="仿宋" w:cs="仿宋"/>
          <w:b/>
          <w:bCs w:val="0"/>
          <w:sz w:val="32"/>
          <w:szCs w:val="32"/>
          <w:lang w:val="en-US" w:eastAsia="zh-CN"/>
        </w:rPr>
        <w:t>合同签订</w:t>
      </w:r>
    </w:p>
    <w:p w14:paraId="70BB2687">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合同由成交单位与我公司签订。询价函、报价文件均为合同的组成部分。</w:t>
      </w:r>
    </w:p>
    <w:p w14:paraId="4A09B2E3">
      <w:pPr>
        <w:keepNext w:val="0"/>
        <w:keepLines w:val="0"/>
        <w:pageBreakBefore w:val="0"/>
        <w:widowControl/>
        <w:shd w:val="clear" w:color="auto" w:fill="FFFFFF"/>
        <w:kinsoku/>
        <w:wordWrap/>
        <w:overflowPunct/>
        <w:topLinePunct w:val="0"/>
        <w:autoSpaceDE/>
        <w:autoSpaceDN/>
        <w:bidi w:val="0"/>
        <w:adjustRightInd/>
        <w:spacing w:line="360" w:lineRule="auto"/>
        <w:ind w:firstLine="643" w:firstLineChars="200"/>
        <w:textAlignment w:val="auto"/>
        <w:rPr>
          <w:rFonts w:hint="eastAsia" w:ascii="仿宋" w:hAnsi="仿宋" w:eastAsia="仿宋" w:cs="仿宋"/>
          <w:b/>
          <w:bCs w:val="0"/>
          <w:sz w:val="32"/>
          <w:szCs w:val="32"/>
        </w:rPr>
      </w:pPr>
      <w:r>
        <w:rPr>
          <w:rFonts w:hint="eastAsia" w:ascii="仿宋" w:hAnsi="仿宋" w:eastAsia="仿宋" w:cs="仿宋"/>
          <w:b/>
          <w:bCs w:val="0"/>
          <w:sz w:val="32"/>
          <w:szCs w:val="32"/>
          <w:lang w:val="en-US" w:eastAsia="zh-CN"/>
        </w:rPr>
        <w:t>五</w:t>
      </w:r>
      <w:r>
        <w:rPr>
          <w:rFonts w:hint="eastAsia" w:ascii="仿宋" w:hAnsi="仿宋" w:eastAsia="仿宋" w:cs="仿宋"/>
          <w:b/>
          <w:bCs w:val="0"/>
          <w:sz w:val="32"/>
          <w:szCs w:val="32"/>
        </w:rPr>
        <w:t>、联系方法</w:t>
      </w:r>
    </w:p>
    <w:p w14:paraId="62C922B1">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单位名称：南方电网云南电动汽车服务有限公司</w:t>
      </w:r>
    </w:p>
    <w:p w14:paraId="1BA1C7A4">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地址：云南省昆明市五华区江岸小区丽江路65号3号楼</w:t>
      </w:r>
    </w:p>
    <w:p w14:paraId="10AB985E">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rPr>
        <w:t>项目联系人：</w:t>
      </w:r>
      <w:r>
        <w:rPr>
          <w:rFonts w:hint="eastAsia" w:ascii="仿宋" w:hAnsi="仿宋" w:eastAsia="仿宋" w:cs="仿宋"/>
          <w:bCs/>
          <w:sz w:val="32"/>
          <w:szCs w:val="32"/>
          <w:lang w:val="en-US" w:eastAsia="zh-CN"/>
        </w:rPr>
        <w:t>李女士</w:t>
      </w:r>
    </w:p>
    <w:p w14:paraId="29BB0146">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电话：13698768706</w:t>
      </w:r>
    </w:p>
    <w:p w14:paraId="4A93A65F">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邮箱：650011</w:t>
      </w:r>
    </w:p>
    <w:p w14:paraId="55DE4794">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附件：</w:t>
      </w:r>
      <w:r>
        <w:rPr>
          <w:rFonts w:hint="eastAsia" w:ascii="仿宋" w:hAnsi="仿宋" w:eastAsia="仿宋" w:cs="仿宋"/>
          <w:bCs/>
          <w:sz w:val="32"/>
          <w:szCs w:val="32"/>
          <w:lang w:val="en-US" w:eastAsia="zh-CN"/>
        </w:rPr>
        <w:t>南方电网</w:t>
      </w:r>
      <w:r>
        <w:rPr>
          <w:rFonts w:hint="eastAsia" w:ascii="仿宋" w:hAnsi="仿宋" w:eastAsia="仿宋" w:cs="仿宋"/>
          <w:bCs/>
          <w:sz w:val="32"/>
          <w:szCs w:val="32"/>
        </w:rPr>
        <w:t>云南电动汽车服务有限</w:t>
      </w:r>
      <w:r>
        <w:rPr>
          <w:rFonts w:hint="eastAsia" w:ascii="仿宋" w:hAnsi="仿宋" w:eastAsia="仿宋" w:cs="仿宋"/>
          <w:bCs/>
          <w:sz w:val="32"/>
          <w:szCs w:val="32"/>
          <w:lang w:val="en-US" w:eastAsia="zh-CN"/>
        </w:rPr>
        <w:t>公司2025—2026年红塔东路充电站及长水航城充电站卫生间化粪池清掏服务</w:t>
      </w:r>
      <w:r>
        <w:rPr>
          <w:rFonts w:hint="eastAsia" w:ascii="仿宋" w:hAnsi="仿宋" w:eastAsia="仿宋" w:cs="仿宋"/>
          <w:bCs/>
          <w:sz w:val="32"/>
          <w:szCs w:val="32"/>
        </w:rPr>
        <w:t>零星采购报价</w:t>
      </w:r>
    </w:p>
    <w:p w14:paraId="7DC9A082">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br w:type="page"/>
      </w:r>
    </w:p>
    <w:p w14:paraId="2F4C7AAE">
      <w:pPr>
        <w:pStyle w:val="2"/>
        <w:keepNext w:val="0"/>
        <w:keepLines w:val="0"/>
        <w:pageBreakBefore w:val="0"/>
        <w:kinsoku/>
        <w:wordWrap/>
        <w:overflowPunct/>
        <w:topLinePunct w:val="0"/>
        <w:autoSpaceDE/>
        <w:autoSpaceDN/>
        <w:bidi w:val="0"/>
        <w:adjustRightInd/>
        <w:spacing w:line="360" w:lineRule="auto"/>
        <w:ind w:firstLine="640" w:firstLineChars="200"/>
        <w:jc w:val="both"/>
        <w:textAlignment w:val="auto"/>
        <w:rPr>
          <w:rFonts w:hint="eastAsia" w:ascii="仿宋" w:hAnsi="仿宋" w:eastAsia="仿宋" w:cs="仿宋"/>
          <w:bCs/>
          <w:sz w:val="32"/>
          <w:szCs w:val="32"/>
        </w:rPr>
      </w:pPr>
      <w:r>
        <w:rPr>
          <w:rFonts w:hint="eastAsia" w:ascii="仿宋" w:hAnsi="仿宋" w:eastAsia="仿宋" w:cs="仿宋"/>
          <w:bCs/>
          <w:sz w:val="32"/>
          <w:szCs w:val="32"/>
        </w:rPr>
        <w:t>附件：</w:t>
      </w:r>
    </w:p>
    <w:p w14:paraId="7C0B9E99">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highlight w:val="yellow"/>
        </w:rPr>
      </w:pPr>
    </w:p>
    <w:p w14:paraId="0CA89BC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val="0"/>
          <w:sz w:val="36"/>
          <w:szCs w:val="36"/>
          <w:highlight w:val="none"/>
          <w:lang w:val="en-US" w:eastAsia="zh-CN"/>
        </w:rPr>
      </w:pPr>
      <w:r>
        <w:rPr>
          <w:rFonts w:hint="eastAsia" w:ascii="仿宋" w:hAnsi="仿宋" w:eastAsia="仿宋" w:cs="仿宋"/>
          <w:b/>
          <w:bCs w:val="0"/>
          <w:sz w:val="36"/>
          <w:szCs w:val="36"/>
          <w:highlight w:val="none"/>
          <w:lang w:val="en-US" w:eastAsia="zh-CN"/>
        </w:rPr>
        <w:t>南方电网云南电动汽车服务有限公司2025—2026年红塔东路充电站及长水航城充电站卫生间化粪池清掏服务零星采购报价</w:t>
      </w:r>
    </w:p>
    <w:p w14:paraId="76D7BD63">
      <w:pPr>
        <w:pStyle w:val="2"/>
        <w:keepNext w:val="0"/>
        <w:keepLines w:val="0"/>
        <w:pageBreakBefore w:val="0"/>
        <w:kinsoku/>
        <w:wordWrap/>
        <w:overflowPunct/>
        <w:topLinePunct w:val="0"/>
        <w:autoSpaceDE/>
        <w:autoSpaceDN/>
        <w:bidi w:val="0"/>
        <w:adjustRightInd/>
        <w:spacing w:line="360" w:lineRule="auto"/>
        <w:ind w:firstLine="640" w:firstLineChars="200"/>
        <w:jc w:val="center"/>
        <w:textAlignment w:val="auto"/>
        <w:rPr>
          <w:rFonts w:hint="eastAsia" w:ascii="仿宋" w:hAnsi="仿宋" w:eastAsia="仿宋" w:cs="仿宋"/>
          <w:bCs/>
          <w:sz w:val="32"/>
          <w:szCs w:val="32"/>
          <w:highlight w:val="yellow"/>
        </w:rPr>
      </w:pPr>
    </w:p>
    <w:p w14:paraId="33AE4069">
      <w:pPr>
        <w:pStyle w:val="2"/>
        <w:keepNext w:val="0"/>
        <w:keepLines w:val="0"/>
        <w:pageBreakBefore w:val="0"/>
        <w:kinsoku/>
        <w:wordWrap/>
        <w:overflowPunct/>
        <w:topLinePunct w:val="0"/>
        <w:autoSpaceDE/>
        <w:autoSpaceDN/>
        <w:bidi w:val="0"/>
        <w:adjustRightInd/>
        <w:spacing w:line="360" w:lineRule="auto"/>
        <w:ind w:firstLine="640" w:firstLineChars="200"/>
        <w:jc w:val="center"/>
        <w:textAlignment w:val="auto"/>
        <w:rPr>
          <w:rFonts w:hint="eastAsia" w:ascii="仿宋" w:hAnsi="仿宋" w:eastAsia="仿宋" w:cs="仿宋"/>
          <w:bCs/>
          <w:sz w:val="32"/>
          <w:szCs w:val="32"/>
          <w:highlight w:val="yellow"/>
        </w:rPr>
      </w:pPr>
    </w:p>
    <w:p w14:paraId="26C2D389">
      <w:pPr>
        <w:pStyle w:val="2"/>
        <w:keepNext w:val="0"/>
        <w:keepLines w:val="0"/>
        <w:pageBreakBefore w:val="0"/>
        <w:kinsoku/>
        <w:wordWrap/>
        <w:overflowPunct/>
        <w:topLinePunct w:val="0"/>
        <w:autoSpaceDE/>
        <w:autoSpaceDN/>
        <w:bidi w:val="0"/>
        <w:adjustRightInd/>
        <w:spacing w:line="360" w:lineRule="auto"/>
        <w:ind w:firstLine="640" w:firstLineChars="200"/>
        <w:jc w:val="center"/>
        <w:textAlignment w:val="auto"/>
        <w:rPr>
          <w:rFonts w:hint="eastAsia" w:ascii="仿宋" w:hAnsi="仿宋" w:eastAsia="仿宋" w:cs="仿宋"/>
          <w:bCs/>
          <w:sz w:val="32"/>
          <w:szCs w:val="32"/>
          <w:highlight w:val="yellow"/>
        </w:rPr>
      </w:pPr>
    </w:p>
    <w:p w14:paraId="27BEF0AE">
      <w:pPr>
        <w:pStyle w:val="2"/>
        <w:keepNext w:val="0"/>
        <w:keepLines w:val="0"/>
        <w:pageBreakBefore w:val="0"/>
        <w:kinsoku/>
        <w:wordWrap/>
        <w:overflowPunct/>
        <w:topLinePunct w:val="0"/>
        <w:autoSpaceDE/>
        <w:autoSpaceDN/>
        <w:bidi w:val="0"/>
        <w:adjustRightInd/>
        <w:spacing w:line="360" w:lineRule="auto"/>
        <w:ind w:firstLine="640" w:firstLineChars="200"/>
        <w:jc w:val="center"/>
        <w:textAlignment w:val="auto"/>
        <w:rPr>
          <w:rFonts w:hint="eastAsia" w:ascii="仿宋" w:hAnsi="仿宋" w:eastAsia="仿宋" w:cs="仿宋"/>
          <w:bCs/>
          <w:sz w:val="32"/>
          <w:szCs w:val="32"/>
        </w:rPr>
      </w:pPr>
    </w:p>
    <w:p w14:paraId="3FB2924B">
      <w:pPr>
        <w:pStyle w:val="2"/>
        <w:keepNext w:val="0"/>
        <w:keepLines w:val="0"/>
        <w:pageBreakBefore w:val="0"/>
        <w:kinsoku/>
        <w:wordWrap/>
        <w:overflowPunct/>
        <w:topLinePunct w:val="0"/>
        <w:autoSpaceDE/>
        <w:autoSpaceDN/>
        <w:bidi w:val="0"/>
        <w:adjustRightInd/>
        <w:spacing w:line="360" w:lineRule="auto"/>
        <w:ind w:firstLine="640" w:firstLineChars="200"/>
        <w:jc w:val="center"/>
        <w:textAlignment w:val="auto"/>
        <w:rPr>
          <w:rFonts w:hint="eastAsia" w:ascii="仿宋" w:hAnsi="仿宋" w:eastAsia="仿宋" w:cs="仿宋"/>
          <w:bCs/>
          <w:sz w:val="32"/>
          <w:szCs w:val="32"/>
        </w:rPr>
      </w:pPr>
      <w:r>
        <w:rPr>
          <w:rFonts w:hint="eastAsia" w:ascii="仿宋" w:hAnsi="仿宋" w:eastAsia="仿宋" w:cs="仿宋"/>
          <w:bCs/>
          <w:sz w:val="32"/>
          <w:szCs w:val="32"/>
        </w:rPr>
        <w:t>报价文件</w:t>
      </w:r>
    </w:p>
    <w:p w14:paraId="02A6491D">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p>
    <w:p w14:paraId="18B0C6D5">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p>
    <w:p w14:paraId="223588EB">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p>
    <w:p w14:paraId="1BD6FB8C">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p>
    <w:p w14:paraId="5D05C289">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p>
    <w:p w14:paraId="477FC1FF">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u w:val="single"/>
        </w:rPr>
      </w:pPr>
    </w:p>
    <w:p w14:paraId="06678E5B">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报价单位（盖章）：</w:t>
      </w:r>
      <w:r>
        <w:rPr>
          <w:rFonts w:hint="eastAsia" w:ascii="仿宋" w:hAnsi="仿宋" w:eastAsia="仿宋" w:cs="仿宋"/>
          <w:bCs/>
          <w:sz w:val="32"/>
          <w:szCs w:val="32"/>
          <w:u w:val="single"/>
        </w:rPr>
        <w:t xml:space="preserve">                        </w:t>
      </w:r>
    </w:p>
    <w:p w14:paraId="63EE0B33">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bCs/>
          <w:sz w:val="32"/>
          <w:szCs w:val="32"/>
          <w:u w:val="single"/>
        </w:rPr>
      </w:pPr>
      <w:r>
        <w:rPr>
          <w:rFonts w:hint="eastAsia" w:ascii="仿宋" w:hAnsi="仿宋" w:eastAsia="仿宋" w:cs="仿宋"/>
          <w:bCs/>
          <w:sz w:val="32"/>
          <w:szCs w:val="32"/>
        </w:rPr>
        <w:t>报价日期：</w:t>
      </w:r>
      <w:r>
        <w:rPr>
          <w:rFonts w:hint="eastAsia" w:ascii="仿宋" w:hAnsi="仿宋" w:eastAsia="仿宋" w:cs="仿宋"/>
          <w:bCs/>
          <w:sz w:val="32"/>
          <w:szCs w:val="32"/>
          <w:u w:val="single"/>
        </w:rPr>
        <w:t xml:space="preserve">                                </w:t>
      </w:r>
    </w:p>
    <w:p w14:paraId="14935E4D">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p>
    <w:p w14:paraId="5D349F4B">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p>
    <w:p w14:paraId="003731FA">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p>
    <w:p w14:paraId="727AB7C4">
      <w:pPr>
        <w:pStyle w:val="2"/>
        <w:keepNext w:val="0"/>
        <w:keepLines w:val="0"/>
        <w:pageBreakBefore w:val="0"/>
        <w:numPr>
          <w:ilvl w:val="0"/>
          <w:numId w:val="1"/>
        </w:numPr>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
          <w:sz w:val="32"/>
          <w:szCs w:val="32"/>
        </w:rPr>
      </w:pPr>
      <w:r>
        <w:rPr>
          <w:rFonts w:hint="eastAsia" w:ascii="仿宋" w:hAnsi="仿宋" w:eastAsia="仿宋" w:cs="仿宋"/>
          <w:bCs/>
          <w:sz w:val="32"/>
          <w:szCs w:val="32"/>
          <w:lang w:val="en-US" w:eastAsia="zh-CN"/>
        </w:rPr>
        <w:t>最高限</w:t>
      </w:r>
      <w:r>
        <w:rPr>
          <w:rFonts w:hint="eastAsia" w:ascii="仿宋" w:hAnsi="仿宋" w:eastAsia="仿宋" w:cs="仿宋"/>
          <w:bCs/>
          <w:sz w:val="32"/>
          <w:szCs w:val="32"/>
        </w:rPr>
        <w:t>价：人民币</w:t>
      </w:r>
      <w:r>
        <w:rPr>
          <w:rFonts w:hint="eastAsia" w:ascii="仿宋" w:hAnsi="仿宋" w:eastAsia="仿宋" w:cs="仿宋"/>
          <w:bCs/>
          <w:sz w:val="32"/>
          <w:szCs w:val="32"/>
          <w:u w:val="single"/>
        </w:rPr>
        <w:t xml:space="preserve"> </w:t>
      </w:r>
      <w:r>
        <w:rPr>
          <w:rFonts w:hint="eastAsia" w:ascii="仿宋" w:hAnsi="仿宋" w:eastAsia="仿宋" w:cs="仿宋"/>
          <w:bCs/>
          <w:sz w:val="32"/>
          <w:szCs w:val="32"/>
          <w:u w:val="single"/>
          <w:lang w:val="en-US" w:eastAsia="zh-CN"/>
        </w:rPr>
        <w:t xml:space="preserve"> 38000 </w:t>
      </w:r>
      <w:r>
        <w:rPr>
          <w:rFonts w:hint="eastAsia" w:ascii="仿宋" w:hAnsi="仿宋" w:eastAsia="仿宋" w:cs="仿宋"/>
          <w:bCs/>
          <w:sz w:val="32"/>
          <w:szCs w:val="32"/>
          <w:u w:val="single"/>
        </w:rPr>
        <w:t xml:space="preserve"> </w:t>
      </w:r>
      <w:r>
        <w:rPr>
          <w:rFonts w:hint="eastAsia" w:ascii="仿宋" w:hAnsi="仿宋" w:eastAsia="仿宋" w:cs="仿宋"/>
          <w:bCs/>
          <w:sz w:val="32"/>
          <w:szCs w:val="32"/>
        </w:rPr>
        <w:t>元</w:t>
      </w:r>
    </w:p>
    <w:p w14:paraId="7794B5D6">
      <w:pPr>
        <w:pStyle w:val="2"/>
        <w:keepNext w:val="0"/>
        <w:keepLines w:val="0"/>
        <w:pageBreakBefore w:val="0"/>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rPr>
        <w:t>项目总报</w:t>
      </w:r>
      <w:r>
        <w:rPr>
          <w:rFonts w:hint="eastAsia" w:ascii="仿宋" w:hAnsi="仿宋" w:eastAsia="仿宋" w:cs="仿宋"/>
          <w:bCs/>
          <w:sz w:val="32"/>
          <w:szCs w:val="32"/>
          <w:lang w:val="en-US" w:eastAsia="zh-CN"/>
        </w:rPr>
        <w:t>价：人民币</w:t>
      </w:r>
      <w:r>
        <w:rPr>
          <w:rFonts w:hint="eastAsia" w:ascii="仿宋" w:hAnsi="仿宋" w:eastAsia="仿宋" w:cs="仿宋"/>
          <w:bCs/>
          <w:sz w:val="32"/>
          <w:szCs w:val="32"/>
          <w:u w:val="single"/>
          <w:lang w:val="en-US" w:eastAsia="zh-CN"/>
        </w:rPr>
        <w:t xml:space="preserve">       </w:t>
      </w:r>
      <w:r>
        <w:rPr>
          <w:rFonts w:hint="eastAsia" w:ascii="仿宋" w:hAnsi="仿宋" w:eastAsia="仿宋" w:cs="仿宋"/>
          <w:bCs/>
          <w:sz w:val="32"/>
          <w:szCs w:val="32"/>
          <w:lang w:val="en-US" w:eastAsia="zh-CN"/>
        </w:rPr>
        <w:t>元</w:t>
      </w:r>
    </w:p>
    <w:p w14:paraId="7F503CB5">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项目分项报价：</w:t>
      </w:r>
    </w:p>
    <w:tbl>
      <w:tblPr>
        <w:tblStyle w:val="8"/>
        <w:tblW w:w="6248" w:type="pct"/>
        <w:tblInd w:w="-95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0"/>
        <w:gridCol w:w="1910"/>
        <w:gridCol w:w="1900"/>
        <w:gridCol w:w="1460"/>
        <w:gridCol w:w="1970"/>
        <w:gridCol w:w="1340"/>
        <w:gridCol w:w="1540"/>
      </w:tblGrid>
      <w:tr w14:paraId="3C49F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3"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49EC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96" w:type="pct"/>
            <w:tcBorders>
              <w:top w:val="single" w:color="000000" w:sz="4" w:space="0"/>
              <w:left w:val="single" w:color="000000" w:sz="4" w:space="0"/>
              <w:bottom w:val="single" w:color="auto" w:sz="4" w:space="0"/>
              <w:right w:val="single" w:color="000000" w:sz="4" w:space="0"/>
            </w:tcBorders>
            <w:shd w:val="clear" w:color="auto" w:fill="auto"/>
            <w:vAlign w:val="center"/>
          </w:tcPr>
          <w:p w14:paraId="56D89BE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项目名称</w:t>
            </w:r>
          </w:p>
        </w:tc>
        <w:tc>
          <w:tcPr>
            <w:tcW w:w="892" w:type="pct"/>
            <w:tcBorders>
              <w:top w:val="single" w:color="000000" w:sz="4" w:space="0"/>
              <w:left w:val="single" w:color="000000" w:sz="4" w:space="0"/>
              <w:bottom w:val="single" w:color="auto" w:sz="4" w:space="0"/>
              <w:right w:val="single" w:color="000000" w:sz="4" w:space="0"/>
            </w:tcBorders>
            <w:shd w:val="clear" w:color="auto" w:fill="auto"/>
            <w:vAlign w:val="center"/>
          </w:tcPr>
          <w:p w14:paraId="6C969B79">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项目位置</w:t>
            </w:r>
          </w:p>
        </w:tc>
        <w:tc>
          <w:tcPr>
            <w:tcW w:w="685" w:type="pct"/>
            <w:tcBorders>
              <w:top w:val="single" w:color="000000" w:sz="4" w:space="0"/>
              <w:left w:val="single" w:color="000000" w:sz="4" w:space="0"/>
              <w:bottom w:val="single" w:color="auto" w:sz="4" w:space="0"/>
              <w:right w:val="single" w:color="000000" w:sz="4" w:space="0"/>
            </w:tcBorders>
            <w:shd w:val="clear" w:color="auto" w:fill="auto"/>
            <w:vAlign w:val="center"/>
          </w:tcPr>
          <w:p w14:paraId="22D1B683">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化粪池大小</w:t>
            </w:r>
          </w:p>
        </w:tc>
        <w:tc>
          <w:tcPr>
            <w:tcW w:w="9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B118EE8">
            <w:pPr>
              <w:keepNext w:val="0"/>
              <w:keepLines w:val="0"/>
              <w:widowControl/>
              <w:suppressLineNumbers w:val="0"/>
              <w:jc w:val="center"/>
              <w:textAlignment w:val="center"/>
              <w:rPr>
                <w:rFonts w:hint="default"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服务频率</w:t>
            </w:r>
          </w:p>
        </w:tc>
        <w:tc>
          <w:tcPr>
            <w:tcW w:w="629" w:type="pct"/>
            <w:tcBorders>
              <w:top w:val="single" w:color="000000" w:sz="4" w:space="0"/>
              <w:left w:val="single" w:color="000000" w:sz="4" w:space="0"/>
              <w:bottom w:val="single" w:color="auto" w:sz="4" w:space="0"/>
              <w:right w:val="single" w:color="000000" w:sz="4" w:space="0"/>
            </w:tcBorders>
            <w:shd w:val="clear" w:color="auto" w:fill="auto"/>
            <w:vAlign w:val="center"/>
          </w:tcPr>
          <w:p w14:paraId="511DD8EC">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单次金额（元）</w:t>
            </w:r>
          </w:p>
        </w:tc>
        <w:tc>
          <w:tcPr>
            <w:tcW w:w="723" w:type="pct"/>
            <w:tcBorders>
              <w:top w:val="single" w:color="000000" w:sz="4" w:space="0"/>
              <w:left w:val="single" w:color="000000" w:sz="4" w:space="0"/>
              <w:bottom w:val="single" w:color="auto" w:sz="4" w:space="0"/>
              <w:right w:val="single" w:color="000000" w:sz="4" w:space="0"/>
            </w:tcBorders>
            <w:shd w:val="clear" w:color="auto" w:fill="auto"/>
            <w:vAlign w:val="center"/>
          </w:tcPr>
          <w:p w14:paraId="616FED8E">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报价金额</w:t>
            </w:r>
          </w:p>
          <w:p w14:paraId="36B816C2">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（元）</w:t>
            </w:r>
          </w:p>
        </w:tc>
      </w:tr>
      <w:tr w14:paraId="49C3E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3" w:hRule="atLeast"/>
        </w:trPr>
        <w:tc>
          <w:tcPr>
            <w:tcW w:w="248" w:type="pct"/>
            <w:tcBorders>
              <w:top w:val="single" w:color="000000" w:sz="4" w:space="0"/>
              <w:left w:val="single" w:color="000000" w:sz="4" w:space="0"/>
              <w:bottom w:val="single" w:color="000000" w:sz="4" w:space="0"/>
              <w:right w:val="single" w:color="auto" w:sz="4" w:space="0"/>
            </w:tcBorders>
            <w:shd w:val="clear" w:color="auto" w:fill="auto"/>
            <w:vAlign w:val="center"/>
          </w:tcPr>
          <w:p w14:paraId="35C02077">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8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D4DD9C">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红塔东路充电站</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14:paraId="3DBF182F">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云南省昆明市西山区前卫街道兴体路地铁站C口</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6B1B2F21">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6立方米</w:t>
            </w:r>
          </w:p>
        </w:tc>
        <w:tc>
          <w:tcPr>
            <w:tcW w:w="9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97EEE1">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预估每月3次</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6C6CD9">
            <w:pPr>
              <w:jc w:val="center"/>
              <w:rPr>
                <w:rFonts w:hint="eastAsia" w:ascii="仿宋" w:hAnsi="仿宋" w:eastAsia="仿宋" w:cs="仿宋"/>
                <w:i w:val="0"/>
                <w:iCs w:val="0"/>
                <w:color w:val="000000"/>
                <w:kern w:val="2"/>
                <w:sz w:val="24"/>
                <w:szCs w:val="24"/>
                <w:u w:val="none"/>
                <w:lang w:val="en-US" w:eastAsia="zh-CN" w:bidi="ar-SA"/>
              </w:rPr>
            </w:pPr>
          </w:p>
        </w:tc>
        <w:tc>
          <w:tcPr>
            <w:tcW w:w="72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EB454F">
            <w:pPr>
              <w:jc w:val="center"/>
              <w:rPr>
                <w:rFonts w:hint="eastAsia" w:ascii="仿宋" w:hAnsi="仿宋" w:eastAsia="仿宋" w:cs="仿宋"/>
                <w:i w:val="0"/>
                <w:iCs w:val="0"/>
                <w:color w:val="000000"/>
                <w:kern w:val="2"/>
                <w:sz w:val="24"/>
                <w:szCs w:val="24"/>
                <w:u w:val="none"/>
                <w:lang w:val="en-US" w:eastAsia="zh-CN" w:bidi="ar-SA"/>
              </w:rPr>
            </w:pPr>
          </w:p>
        </w:tc>
      </w:tr>
      <w:tr w14:paraId="4D644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4" w:hRule="atLeast"/>
        </w:trPr>
        <w:tc>
          <w:tcPr>
            <w:tcW w:w="248" w:type="pct"/>
            <w:tcBorders>
              <w:top w:val="single" w:color="000000" w:sz="4" w:space="0"/>
              <w:left w:val="single" w:color="000000" w:sz="4" w:space="0"/>
              <w:bottom w:val="single" w:color="000000" w:sz="4" w:space="0"/>
              <w:right w:val="single" w:color="auto" w:sz="4" w:space="0"/>
            </w:tcBorders>
            <w:shd w:val="clear" w:color="auto" w:fill="auto"/>
            <w:vAlign w:val="center"/>
          </w:tcPr>
          <w:p w14:paraId="5E67C6E8">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8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6B12E2">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sz w:val="24"/>
                <w:szCs w:val="24"/>
                <w:lang w:val="en-US" w:eastAsia="zh-CN"/>
              </w:rPr>
              <w:t>长水航城充电站</w:t>
            </w:r>
          </w:p>
        </w:tc>
        <w:tc>
          <w:tcPr>
            <w:tcW w:w="892" w:type="pct"/>
            <w:tcBorders>
              <w:top w:val="single" w:color="auto" w:sz="4" w:space="0"/>
              <w:left w:val="single" w:color="auto" w:sz="4" w:space="0"/>
              <w:bottom w:val="single" w:color="auto" w:sz="4" w:space="0"/>
              <w:right w:val="single" w:color="auto" w:sz="4" w:space="0"/>
            </w:tcBorders>
            <w:shd w:val="clear" w:color="auto" w:fill="auto"/>
            <w:vAlign w:val="center"/>
          </w:tcPr>
          <w:p w14:paraId="188770FE">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rPr>
              <w:t>云南省昆明市官渡区大板桥街道航远路长水中心集贸市场</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4605AE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u w:val="none"/>
                <w:lang w:val="en-US" w:eastAsia="zh-CN" w:bidi="ar-SA"/>
              </w:rPr>
              <w:t>6立方米</w:t>
            </w:r>
          </w:p>
        </w:tc>
        <w:tc>
          <w:tcPr>
            <w:tcW w:w="9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50DA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u w:val="none"/>
                <w:lang w:val="en-US" w:eastAsia="zh-CN" w:bidi="ar-SA"/>
              </w:rPr>
              <w:t>预估每月3次</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617B97">
            <w:pPr>
              <w:jc w:val="center"/>
              <w:rPr>
                <w:rFonts w:hint="eastAsia" w:ascii="仿宋" w:hAnsi="仿宋" w:eastAsia="仿宋" w:cs="仿宋"/>
                <w:i w:val="0"/>
                <w:iCs w:val="0"/>
                <w:color w:val="000000"/>
                <w:sz w:val="24"/>
                <w:szCs w:val="24"/>
                <w:u w:val="none"/>
              </w:rPr>
            </w:pPr>
          </w:p>
        </w:tc>
        <w:tc>
          <w:tcPr>
            <w:tcW w:w="72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DA1F86">
            <w:pPr>
              <w:jc w:val="center"/>
              <w:rPr>
                <w:rFonts w:hint="eastAsia" w:ascii="仿宋" w:hAnsi="仿宋" w:eastAsia="仿宋" w:cs="仿宋"/>
                <w:i w:val="0"/>
                <w:iCs w:val="0"/>
                <w:color w:val="000000"/>
                <w:sz w:val="24"/>
                <w:szCs w:val="24"/>
                <w:u w:val="none"/>
              </w:rPr>
            </w:pPr>
          </w:p>
        </w:tc>
      </w:tr>
    </w:tbl>
    <w:p w14:paraId="76B2608A">
      <w:pPr>
        <w:pStyle w:val="2"/>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注：两个站点的清掏服务次数每月各实施3次，全年两个站累计72次，报价方对站点实际清掏服务次数根据采购方的实际服务要求开展响应及安排，合约期内两个站点的清掏服务结算总价不得超过本次采购的中标价。</w:t>
      </w:r>
    </w:p>
    <w:p w14:paraId="127E9BF4">
      <w:pPr>
        <w:pStyle w:val="2"/>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p>
    <w:p w14:paraId="05F33937">
      <w:pPr>
        <w:pStyle w:val="2"/>
        <w:keepNext w:val="0"/>
        <w:keepLines w:val="0"/>
        <w:pageBreakBefore w:val="0"/>
        <w:numPr>
          <w:ilvl w:val="0"/>
          <w:numId w:val="1"/>
        </w:numPr>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企业营业执照</w:t>
      </w:r>
    </w:p>
    <w:p w14:paraId="75C53A24">
      <w:pPr>
        <w:pStyle w:val="2"/>
        <w:keepNext w:val="0"/>
        <w:keepLines w:val="0"/>
        <w:pageBreakBefore w:val="0"/>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rPr>
      </w:pPr>
    </w:p>
    <w:p w14:paraId="7558C43F">
      <w:pPr>
        <w:keepNext w:val="0"/>
        <w:keepLines w:val="0"/>
        <w:pageBreakBefore w:val="0"/>
        <w:kinsoku/>
        <w:wordWrap/>
        <w:overflowPunct/>
        <w:topLinePunct w:val="0"/>
        <w:autoSpaceDE/>
        <w:autoSpaceDN/>
        <w:bidi w:val="0"/>
        <w:adjustRightInd/>
        <w:spacing w:line="360" w:lineRule="auto"/>
        <w:ind w:firstLine="640" w:firstLineChars="200"/>
        <w:textAlignment w:val="auto"/>
        <w:rPr>
          <w:rFonts w:hint="eastAsia" w:ascii="仿宋" w:hAnsi="仿宋" w:eastAsia="仿宋" w:cs="仿宋"/>
          <w:sz w:val="32"/>
          <w:szCs w:val="32"/>
        </w:rPr>
      </w:pPr>
    </w:p>
    <w:p w14:paraId="336FDB84">
      <w:pPr>
        <w:pStyle w:val="2"/>
        <w:keepNext w:val="0"/>
        <w:keepLines w:val="0"/>
        <w:pageBreakBefore w:val="0"/>
        <w:numPr>
          <w:ilvl w:val="0"/>
          <w:numId w:val="1"/>
        </w:numPr>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rPr>
      </w:pPr>
      <w:r>
        <w:rPr>
          <w:rFonts w:hint="eastAsia" w:ascii="仿宋" w:hAnsi="仿宋" w:eastAsia="仿宋" w:cs="仿宋"/>
          <w:bCs/>
          <w:sz w:val="32"/>
          <w:szCs w:val="32"/>
        </w:rPr>
        <w:t>企业服务资质证明材料（格式自拟）</w:t>
      </w:r>
    </w:p>
    <w:p w14:paraId="507A0B7C">
      <w:pPr>
        <w:pStyle w:val="2"/>
        <w:keepNext w:val="0"/>
        <w:keepLines w:val="0"/>
        <w:pageBreakBefore w:val="0"/>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rPr>
      </w:pPr>
    </w:p>
    <w:p w14:paraId="408B1EFA">
      <w:pPr>
        <w:pStyle w:val="2"/>
        <w:keepNext w:val="0"/>
        <w:keepLines w:val="0"/>
        <w:pageBreakBefore w:val="0"/>
        <w:kinsoku/>
        <w:wordWrap/>
        <w:overflowPunct/>
        <w:topLinePunct w:val="0"/>
        <w:autoSpaceDE/>
        <w:autoSpaceDN/>
        <w:bidi w:val="0"/>
        <w:adjustRightInd/>
        <w:spacing w:after="0" w:line="360" w:lineRule="auto"/>
        <w:ind w:firstLine="640" w:firstLineChars="200"/>
        <w:textAlignment w:val="auto"/>
        <w:rPr>
          <w:rFonts w:hint="eastAsia" w:ascii="仿宋" w:hAnsi="仿宋" w:eastAsia="仿宋" w:cs="仿宋"/>
          <w:bCs/>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8F919C9C-8B3F-4E06-9D73-8CCF19CA002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4D311">
    <w:pPr>
      <w:pStyle w:val="6"/>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4</w:t>
    </w:r>
    <w:r>
      <w:rPr>
        <w:rStyle w:val="10"/>
      </w:rPr>
      <w:fldChar w:fldCharType="end"/>
    </w:r>
  </w:p>
  <w:p w14:paraId="51D62527">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72D628"/>
    <w:multiLevelType w:val="singleLevel"/>
    <w:tmpl w:val="5E72D628"/>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kNWI5MzExNDIzYWIxYTg0MzMwYWExMTljZjczOTgifQ=="/>
  </w:docVars>
  <w:rsids>
    <w:rsidRoot w:val="00A7581A"/>
    <w:rsid w:val="000016E9"/>
    <w:rsid w:val="00022417"/>
    <w:rsid w:val="000257E0"/>
    <w:rsid w:val="00034A87"/>
    <w:rsid w:val="000352DA"/>
    <w:rsid w:val="00042C54"/>
    <w:rsid w:val="000659DE"/>
    <w:rsid w:val="00073B5F"/>
    <w:rsid w:val="00077495"/>
    <w:rsid w:val="00081703"/>
    <w:rsid w:val="000834C5"/>
    <w:rsid w:val="00096DEB"/>
    <w:rsid w:val="0009789B"/>
    <w:rsid w:val="000A244B"/>
    <w:rsid w:val="000A7AD2"/>
    <w:rsid w:val="000B1F14"/>
    <w:rsid w:val="000B36D2"/>
    <w:rsid w:val="000B716D"/>
    <w:rsid w:val="000C0963"/>
    <w:rsid w:val="000D2025"/>
    <w:rsid w:val="000D6032"/>
    <w:rsid w:val="000E537C"/>
    <w:rsid w:val="000E5912"/>
    <w:rsid w:val="00110362"/>
    <w:rsid w:val="00111E51"/>
    <w:rsid w:val="0011637B"/>
    <w:rsid w:val="001176C3"/>
    <w:rsid w:val="00133425"/>
    <w:rsid w:val="00140434"/>
    <w:rsid w:val="0016490A"/>
    <w:rsid w:val="001671ED"/>
    <w:rsid w:val="001706A5"/>
    <w:rsid w:val="00175691"/>
    <w:rsid w:val="001A5D67"/>
    <w:rsid w:val="001B04F7"/>
    <w:rsid w:val="001C4B46"/>
    <w:rsid w:val="001D27AC"/>
    <w:rsid w:val="001D29FF"/>
    <w:rsid w:val="001D41C4"/>
    <w:rsid w:val="001D4B66"/>
    <w:rsid w:val="001F780C"/>
    <w:rsid w:val="00206978"/>
    <w:rsid w:val="00232450"/>
    <w:rsid w:val="002355F1"/>
    <w:rsid w:val="002378EF"/>
    <w:rsid w:val="00261591"/>
    <w:rsid w:val="00263DD4"/>
    <w:rsid w:val="002641A9"/>
    <w:rsid w:val="00265490"/>
    <w:rsid w:val="002751CB"/>
    <w:rsid w:val="0029077A"/>
    <w:rsid w:val="00292C63"/>
    <w:rsid w:val="002A2AAC"/>
    <w:rsid w:val="002A4FA4"/>
    <w:rsid w:val="002B03C2"/>
    <w:rsid w:val="002B05A1"/>
    <w:rsid w:val="002B06BE"/>
    <w:rsid w:val="002B0858"/>
    <w:rsid w:val="002B3C9B"/>
    <w:rsid w:val="002C410B"/>
    <w:rsid w:val="002C6F31"/>
    <w:rsid w:val="002C7012"/>
    <w:rsid w:val="002E2393"/>
    <w:rsid w:val="002E42FD"/>
    <w:rsid w:val="002E757A"/>
    <w:rsid w:val="002F1E98"/>
    <w:rsid w:val="002F5E62"/>
    <w:rsid w:val="002F6F98"/>
    <w:rsid w:val="003025D1"/>
    <w:rsid w:val="00307696"/>
    <w:rsid w:val="00313FEE"/>
    <w:rsid w:val="0032409C"/>
    <w:rsid w:val="0032468D"/>
    <w:rsid w:val="0032603B"/>
    <w:rsid w:val="003422F3"/>
    <w:rsid w:val="00344897"/>
    <w:rsid w:val="00345789"/>
    <w:rsid w:val="003558BF"/>
    <w:rsid w:val="003621AD"/>
    <w:rsid w:val="003629C9"/>
    <w:rsid w:val="003704A8"/>
    <w:rsid w:val="003756F0"/>
    <w:rsid w:val="0037575D"/>
    <w:rsid w:val="00394349"/>
    <w:rsid w:val="003A45ED"/>
    <w:rsid w:val="003A5809"/>
    <w:rsid w:val="003B5494"/>
    <w:rsid w:val="003C36AE"/>
    <w:rsid w:val="003C43F3"/>
    <w:rsid w:val="00400585"/>
    <w:rsid w:val="004018CA"/>
    <w:rsid w:val="00404A20"/>
    <w:rsid w:val="00421292"/>
    <w:rsid w:val="00422DF3"/>
    <w:rsid w:val="00423E64"/>
    <w:rsid w:val="004241BC"/>
    <w:rsid w:val="00441E9C"/>
    <w:rsid w:val="00444A70"/>
    <w:rsid w:val="00446C3E"/>
    <w:rsid w:val="00470AE7"/>
    <w:rsid w:val="0047195F"/>
    <w:rsid w:val="00473736"/>
    <w:rsid w:val="00475837"/>
    <w:rsid w:val="00492BEF"/>
    <w:rsid w:val="004939C5"/>
    <w:rsid w:val="004A3344"/>
    <w:rsid w:val="004B32C5"/>
    <w:rsid w:val="004B7353"/>
    <w:rsid w:val="004C5C3C"/>
    <w:rsid w:val="004D014C"/>
    <w:rsid w:val="004D0C95"/>
    <w:rsid w:val="004D1E16"/>
    <w:rsid w:val="004D2C9A"/>
    <w:rsid w:val="004F03F1"/>
    <w:rsid w:val="004F23A1"/>
    <w:rsid w:val="004F4453"/>
    <w:rsid w:val="00506CE6"/>
    <w:rsid w:val="00506D1D"/>
    <w:rsid w:val="00510907"/>
    <w:rsid w:val="00512BCC"/>
    <w:rsid w:val="005257F4"/>
    <w:rsid w:val="005417C8"/>
    <w:rsid w:val="00545878"/>
    <w:rsid w:val="005522BB"/>
    <w:rsid w:val="0055647D"/>
    <w:rsid w:val="00574CE4"/>
    <w:rsid w:val="00584D6E"/>
    <w:rsid w:val="00591505"/>
    <w:rsid w:val="00594BE5"/>
    <w:rsid w:val="005B091F"/>
    <w:rsid w:val="005B0A4C"/>
    <w:rsid w:val="005B2460"/>
    <w:rsid w:val="005C6ED8"/>
    <w:rsid w:val="005E437F"/>
    <w:rsid w:val="005E5654"/>
    <w:rsid w:val="005E5941"/>
    <w:rsid w:val="005F2703"/>
    <w:rsid w:val="005F3112"/>
    <w:rsid w:val="005F3A72"/>
    <w:rsid w:val="006017A6"/>
    <w:rsid w:val="00617B0E"/>
    <w:rsid w:val="00621A0A"/>
    <w:rsid w:val="006342D5"/>
    <w:rsid w:val="0063484F"/>
    <w:rsid w:val="00642BFD"/>
    <w:rsid w:val="00642C0B"/>
    <w:rsid w:val="00643AAE"/>
    <w:rsid w:val="00644DA8"/>
    <w:rsid w:val="00646FA6"/>
    <w:rsid w:val="0065646C"/>
    <w:rsid w:val="00664072"/>
    <w:rsid w:val="006655FF"/>
    <w:rsid w:val="006706B1"/>
    <w:rsid w:val="00670F3A"/>
    <w:rsid w:val="00687AD6"/>
    <w:rsid w:val="006A179B"/>
    <w:rsid w:val="006A5E04"/>
    <w:rsid w:val="006D2EED"/>
    <w:rsid w:val="006E0667"/>
    <w:rsid w:val="006E104C"/>
    <w:rsid w:val="006E52B6"/>
    <w:rsid w:val="006F09BA"/>
    <w:rsid w:val="00702981"/>
    <w:rsid w:val="00702DE1"/>
    <w:rsid w:val="00705F89"/>
    <w:rsid w:val="00706AB8"/>
    <w:rsid w:val="00723C72"/>
    <w:rsid w:val="0072750A"/>
    <w:rsid w:val="0073048C"/>
    <w:rsid w:val="00733B18"/>
    <w:rsid w:val="007450A4"/>
    <w:rsid w:val="0076087E"/>
    <w:rsid w:val="00774F0E"/>
    <w:rsid w:val="007750C0"/>
    <w:rsid w:val="00781FA1"/>
    <w:rsid w:val="0079035F"/>
    <w:rsid w:val="007976F2"/>
    <w:rsid w:val="007E5D6A"/>
    <w:rsid w:val="007F2C6A"/>
    <w:rsid w:val="007F4650"/>
    <w:rsid w:val="007F4CDD"/>
    <w:rsid w:val="007F5ABE"/>
    <w:rsid w:val="007F624C"/>
    <w:rsid w:val="00803901"/>
    <w:rsid w:val="0080787E"/>
    <w:rsid w:val="0081294A"/>
    <w:rsid w:val="00822616"/>
    <w:rsid w:val="0082593A"/>
    <w:rsid w:val="00826D02"/>
    <w:rsid w:val="00833864"/>
    <w:rsid w:val="00843FA7"/>
    <w:rsid w:val="00855208"/>
    <w:rsid w:val="008629DC"/>
    <w:rsid w:val="008651BE"/>
    <w:rsid w:val="00873EBF"/>
    <w:rsid w:val="00875E04"/>
    <w:rsid w:val="008822A4"/>
    <w:rsid w:val="008850F7"/>
    <w:rsid w:val="008859E5"/>
    <w:rsid w:val="00891CC9"/>
    <w:rsid w:val="008B24C0"/>
    <w:rsid w:val="008B2E29"/>
    <w:rsid w:val="008C61C9"/>
    <w:rsid w:val="008C79E8"/>
    <w:rsid w:val="008E0EB4"/>
    <w:rsid w:val="008E152D"/>
    <w:rsid w:val="008E34FB"/>
    <w:rsid w:val="008E7297"/>
    <w:rsid w:val="008F1FAD"/>
    <w:rsid w:val="008F5EB5"/>
    <w:rsid w:val="008F5FD2"/>
    <w:rsid w:val="00901027"/>
    <w:rsid w:val="00901A89"/>
    <w:rsid w:val="00931A5A"/>
    <w:rsid w:val="00941780"/>
    <w:rsid w:val="00944CFD"/>
    <w:rsid w:val="00964233"/>
    <w:rsid w:val="009662A8"/>
    <w:rsid w:val="009813BA"/>
    <w:rsid w:val="00985513"/>
    <w:rsid w:val="0098666D"/>
    <w:rsid w:val="009915B1"/>
    <w:rsid w:val="009A021C"/>
    <w:rsid w:val="009B04A9"/>
    <w:rsid w:val="009B5E28"/>
    <w:rsid w:val="009B6489"/>
    <w:rsid w:val="009C7B9B"/>
    <w:rsid w:val="009E6BFF"/>
    <w:rsid w:val="009F7C2B"/>
    <w:rsid w:val="00A04BF2"/>
    <w:rsid w:val="00A130FA"/>
    <w:rsid w:val="00A26C9A"/>
    <w:rsid w:val="00A344D0"/>
    <w:rsid w:val="00A47819"/>
    <w:rsid w:val="00A52A10"/>
    <w:rsid w:val="00A530F9"/>
    <w:rsid w:val="00A6454B"/>
    <w:rsid w:val="00A7581A"/>
    <w:rsid w:val="00A83F26"/>
    <w:rsid w:val="00AA2A8B"/>
    <w:rsid w:val="00AA3AA9"/>
    <w:rsid w:val="00AC129E"/>
    <w:rsid w:val="00AC18E0"/>
    <w:rsid w:val="00AC69F0"/>
    <w:rsid w:val="00AC6D59"/>
    <w:rsid w:val="00AE333F"/>
    <w:rsid w:val="00AE7920"/>
    <w:rsid w:val="00AF48A2"/>
    <w:rsid w:val="00AF70EE"/>
    <w:rsid w:val="00B059A1"/>
    <w:rsid w:val="00B17B65"/>
    <w:rsid w:val="00B2088A"/>
    <w:rsid w:val="00B25408"/>
    <w:rsid w:val="00B31523"/>
    <w:rsid w:val="00B35F4E"/>
    <w:rsid w:val="00B432EE"/>
    <w:rsid w:val="00B4351F"/>
    <w:rsid w:val="00B4672E"/>
    <w:rsid w:val="00B751C9"/>
    <w:rsid w:val="00B77B9F"/>
    <w:rsid w:val="00B80C78"/>
    <w:rsid w:val="00B85873"/>
    <w:rsid w:val="00BA19F8"/>
    <w:rsid w:val="00BA703F"/>
    <w:rsid w:val="00BB28EA"/>
    <w:rsid w:val="00BB3310"/>
    <w:rsid w:val="00BB5C50"/>
    <w:rsid w:val="00BC1122"/>
    <w:rsid w:val="00BE5759"/>
    <w:rsid w:val="00BF0EE3"/>
    <w:rsid w:val="00BF56C0"/>
    <w:rsid w:val="00C01F33"/>
    <w:rsid w:val="00C03EE5"/>
    <w:rsid w:val="00C03F66"/>
    <w:rsid w:val="00C11581"/>
    <w:rsid w:val="00C15540"/>
    <w:rsid w:val="00C208AD"/>
    <w:rsid w:val="00C20A5F"/>
    <w:rsid w:val="00C21486"/>
    <w:rsid w:val="00C2555C"/>
    <w:rsid w:val="00C35258"/>
    <w:rsid w:val="00C45BBC"/>
    <w:rsid w:val="00C77BFD"/>
    <w:rsid w:val="00C8776D"/>
    <w:rsid w:val="00C9440C"/>
    <w:rsid w:val="00C94E2E"/>
    <w:rsid w:val="00CA46D3"/>
    <w:rsid w:val="00CA67BA"/>
    <w:rsid w:val="00CB0831"/>
    <w:rsid w:val="00CB368D"/>
    <w:rsid w:val="00CB3A44"/>
    <w:rsid w:val="00CB3B85"/>
    <w:rsid w:val="00CC187A"/>
    <w:rsid w:val="00CC71CF"/>
    <w:rsid w:val="00CF2F72"/>
    <w:rsid w:val="00CF4968"/>
    <w:rsid w:val="00CF78A9"/>
    <w:rsid w:val="00D15D64"/>
    <w:rsid w:val="00D2236A"/>
    <w:rsid w:val="00D37A9B"/>
    <w:rsid w:val="00D403BD"/>
    <w:rsid w:val="00D461DB"/>
    <w:rsid w:val="00D53463"/>
    <w:rsid w:val="00D54069"/>
    <w:rsid w:val="00D74D44"/>
    <w:rsid w:val="00D74EA4"/>
    <w:rsid w:val="00D76DF3"/>
    <w:rsid w:val="00D85A53"/>
    <w:rsid w:val="00D9711B"/>
    <w:rsid w:val="00DA18B9"/>
    <w:rsid w:val="00DA3737"/>
    <w:rsid w:val="00DA3790"/>
    <w:rsid w:val="00DA75CD"/>
    <w:rsid w:val="00DC6E93"/>
    <w:rsid w:val="00DE3989"/>
    <w:rsid w:val="00E00AC1"/>
    <w:rsid w:val="00E0541F"/>
    <w:rsid w:val="00E132C9"/>
    <w:rsid w:val="00E24411"/>
    <w:rsid w:val="00E25AB2"/>
    <w:rsid w:val="00E3019D"/>
    <w:rsid w:val="00E33A38"/>
    <w:rsid w:val="00E35FA6"/>
    <w:rsid w:val="00E54FFA"/>
    <w:rsid w:val="00E64B6C"/>
    <w:rsid w:val="00E71F55"/>
    <w:rsid w:val="00E72971"/>
    <w:rsid w:val="00E74C3A"/>
    <w:rsid w:val="00E76E2A"/>
    <w:rsid w:val="00E82943"/>
    <w:rsid w:val="00E854FA"/>
    <w:rsid w:val="00E87135"/>
    <w:rsid w:val="00E918BF"/>
    <w:rsid w:val="00EA082D"/>
    <w:rsid w:val="00EA216A"/>
    <w:rsid w:val="00EB1B5C"/>
    <w:rsid w:val="00ED1B27"/>
    <w:rsid w:val="00EF203C"/>
    <w:rsid w:val="00F110B2"/>
    <w:rsid w:val="00F219E4"/>
    <w:rsid w:val="00F30F5D"/>
    <w:rsid w:val="00F354CB"/>
    <w:rsid w:val="00F37CCF"/>
    <w:rsid w:val="00F42578"/>
    <w:rsid w:val="00F436BC"/>
    <w:rsid w:val="00F70967"/>
    <w:rsid w:val="00F72CA0"/>
    <w:rsid w:val="00F76DB1"/>
    <w:rsid w:val="00F83FCB"/>
    <w:rsid w:val="00F91A02"/>
    <w:rsid w:val="00FA44A9"/>
    <w:rsid w:val="00FC2096"/>
    <w:rsid w:val="00FE789F"/>
    <w:rsid w:val="00FF7C97"/>
    <w:rsid w:val="04714B7C"/>
    <w:rsid w:val="05740D88"/>
    <w:rsid w:val="07BE1FA2"/>
    <w:rsid w:val="093B6AD5"/>
    <w:rsid w:val="093E71FF"/>
    <w:rsid w:val="0A851326"/>
    <w:rsid w:val="0D422541"/>
    <w:rsid w:val="0ED167B3"/>
    <w:rsid w:val="13C10F16"/>
    <w:rsid w:val="157F14E5"/>
    <w:rsid w:val="202D5F51"/>
    <w:rsid w:val="28925738"/>
    <w:rsid w:val="2D28334B"/>
    <w:rsid w:val="2F091143"/>
    <w:rsid w:val="2FD1579B"/>
    <w:rsid w:val="31104BF3"/>
    <w:rsid w:val="320C6878"/>
    <w:rsid w:val="351F545C"/>
    <w:rsid w:val="3BF3026A"/>
    <w:rsid w:val="3DB66CB7"/>
    <w:rsid w:val="3FD705A2"/>
    <w:rsid w:val="40054C28"/>
    <w:rsid w:val="42027AB1"/>
    <w:rsid w:val="48D10895"/>
    <w:rsid w:val="53890EFC"/>
    <w:rsid w:val="550064A1"/>
    <w:rsid w:val="556F5ADF"/>
    <w:rsid w:val="5637484F"/>
    <w:rsid w:val="571C2279"/>
    <w:rsid w:val="5AFD2BF3"/>
    <w:rsid w:val="5BBB4CD9"/>
    <w:rsid w:val="5DD0462F"/>
    <w:rsid w:val="634343BE"/>
    <w:rsid w:val="66177BAF"/>
    <w:rsid w:val="6D0F6A1D"/>
    <w:rsid w:val="6E7436AA"/>
    <w:rsid w:val="6F0219AD"/>
    <w:rsid w:val="724E2F32"/>
    <w:rsid w:val="7CB65C1E"/>
    <w:rsid w:val="7F8A1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Normal Indent"/>
    <w:basedOn w:val="1"/>
    <w:link w:val="12"/>
    <w:qFormat/>
    <w:uiPriority w:val="0"/>
    <w:pPr>
      <w:widowControl/>
      <w:ind w:firstLine="420"/>
      <w:jc w:val="left"/>
    </w:pPr>
    <w:rPr>
      <w:kern w:val="0"/>
      <w:sz w:val="20"/>
      <w:szCs w:val="20"/>
    </w:rPr>
  </w:style>
  <w:style w:type="paragraph" w:styleId="4">
    <w:name w:val="Date"/>
    <w:basedOn w:val="1"/>
    <w:next w:val="1"/>
    <w:link w:val="16"/>
    <w:qFormat/>
    <w:uiPriority w:val="0"/>
    <w:pPr>
      <w:ind w:left="100" w:leftChars="2500"/>
    </w:pPr>
    <w:rPr>
      <w:b/>
      <w:bCs/>
      <w:color w:val="000000"/>
      <w:sz w:val="28"/>
      <w:szCs w:val="20"/>
    </w:rPr>
  </w:style>
  <w:style w:type="paragraph" w:styleId="5">
    <w:name w:val="Balloon Text"/>
    <w:basedOn w:val="1"/>
    <w:link w:val="15"/>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0">
    <w:name w:val="page number"/>
    <w:basedOn w:val="9"/>
    <w:qFormat/>
    <w:uiPriority w:val="0"/>
  </w:style>
  <w:style w:type="paragraph" w:customStyle="1" w:styleId="11">
    <w:name w:val="样式 宋体 小四 首行缩进:  0.85 厘米 行距: 1.5 倍行距"/>
    <w:basedOn w:val="1"/>
    <w:qFormat/>
    <w:uiPriority w:val="0"/>
    <w:pPr>
      <w:spacing w:line="360" w:lineRule="exact"/>
      <w:ind w:firstLine="482"/>
    </w:pPr>
    <w:rPr>
      <w:rFonts w:ascii="宋体" w:hAnsi="宋体" w:cs="宋体"/>
    </w:rPr>
  </w:style>
  <w:style w:type="character" w:customStyle="1" w:styleId="12">
    <w:name w:val="正文缩进 字符"/>
    <w:link w:val="3"/>
    <w:qFormat/>
    <w:uiPriority w:val="0"/>
    <w:rPr>
      <w:rFonts w:eastAsia="宋体"/>
      <w:lang w:val="en-US" w:eastAsia="zh-CN" w:bidi="ar-SA"/>
    </w:rPr>
  </w:style>
  <w:style w:type="character" w:customStyle="1" w:styleId="13">
    <w:name w:val="页眉 字符"/>
    <w:link w:val="7"/>
    <w:qFormat/>
    <w:uiPriority w:val="0"/>
    <w:rPr>
      <w:kern w:val="2"/>
      <w:sz w:val="18"/>
      <w:szCs w:val="18"/>
    </w:rPr>
  </w:style>
  <w:style w:type="character" w:customStyle="1" w:styleId="14">
    <w:name w:val="页脚 字符"/>
    <w:link w:val="6"/>
    <w:qFormat/>
    <w:uiPriority w:val="0"/>
    <w:rPr>
      <w:kern w:val="2"/>
      <w:sz w:val="18"/>
      <w:szCs w:val="18"/>
    </w:rPr>
  </w:style>
  <w:style w:type="character" w:customStyle="1" w:styleId="15">
    <w:name w:val="批注框文本 字符"/>
    <w:link w:val="5"/>
    <w:qFormat/>
    <w:uiPriority w:val="0"/>
    <w:rPr>
      <w:kern w:val="2"/>
      <w:sz w:val="18"/>
      <w:szCs w:val="18"/>
    </w:rPr>
  </w:style>
  <w:style w:type="character" w:customStyle="1" w:styleId="16">
    <w:name w:val="日期 字符"/>
    <w:basedOn w:val="9"/>
    <w:link w:val="4"/>
    <w:qFormat/>
    <w:uiPriority w:val="0"/>
    <w:rPr>
      <w:b/>
      <w:bCs/>
      <w:color w:val="000000"/>
      <w:kern w:val="2"/>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22BCB-CFAC-4A6F-BFDD-21A6263F57E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1252</Words>
  <Characters>1302</Characters>
  <Lines>5</Lines>
  <Paragraphs>1</Paragraphs>
  <TotalTime>1</TotalTime>
  <ScaleCrop>false</ScaleCrop>
  <LinksUpToDate>false</LinksUpToDate>
  <CharactersWithSpaces>1370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2018-08-16T03:32:00Z</dcterms:created>
  <dc:creator>徐文忠</dc:creator>
  <cp:lastModifiedBy>林叁叁</cp:lastModifiedBy>
  <cp:lastPrinted>2025-03-28T01:11:00Z</cp:lastPrinted>
  <dcterms:modified xsi:type="dcterms:W3CDTF">2025-09-08T02:01:52Z</dcterms:modified>
  <dc:title>云南电网公司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D379A762022245B58E8161E0213FCD4A_13</vt:lpwstr>
  </property>
  <property fmtid="{D5CDD505-2E9C-101B-9397-08002B2CF9AE}" pid="4" name="KSOTemplateDocerSaveRecord">
    <vt:lpwstr>eyJoZGlkIjoiYTUxNjdmYWFmMzI4MWM5NmZlZjMyYjE0NGM1YjljM2YiLCJ1c2VySWQiOiIzMTEwMTEzMzEifQ==</vt:lpwstr>
  </property>
</Properties>
</file>