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9"/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  <w:t>南方电网资本控股有限公司所属单位2025-2027年资产评估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9"/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  <w:t>与估值服务框架采购项目（标包1）报价表</w:t>
      </w:r>
    </w:p>
    <w:p>
      <w:pPr>
        <w:outlineLvl w:val="9"/>
        <w:rPr>
          <w:rFonts w:hint="eastAsia"/>
          <w:highlight w:val="none"/>
          <w:lang w:val="en-US" w:eastAsia="zh-CN"/>
        </w:rPr>
      </w:pPr>
      <w:bookmarkStart w:id="0" w:name="_GoBack"/>
      <w:bookmarkEnd w:id="0"/>
    </w:p>
    <w:p>
      <w:pPr>
        <w:rPr>
          <w:rFonts w:hint="eastAsia"/>
          <w:highlight w:val="none"/>
          <w:lang w:val="en-US" w:eastAsia="zh-CN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0"/>
        <w:gridCol w:w="2969"/>
        <w:gridCol w:w="1125"/>
        <w:gridCol w:w="1716"/>
        <w:gridCol w:w="1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8254" w:type="dxa"/>
            <w:gridSpan w:val="5"/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</w:rPr>
              <w:t>报价明细表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  <w:jc w:val="center"/>
        </w:trPr>
        <w:tc>
          <w:tcPr>
            <w:tcW w:w="590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标包序号</w:t>
            </w:r>
          </w:p>
        </w:tc>
        <w:tc>
          <w:tcPr>
            <w:tcW w:w="2969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报价项目</w:t>
            </w:r>
          </w:p>
        </w:tc>
        <w:tc>
          <w:tcPr>
            <w:tcW w:w="1125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预计采购金额</w:t>
            </w: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最高限价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  <w:jc w:val="center"/>
        </w:trPr>
        <w:tc>
          <w:tcPr>
            <w:tcW w:w="590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2969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南网融资租赁有限公司2026-2027年资产评估与估值服务框架采购项目</w:t>
            </w:r>
          </w:p>
        </w:tc>
        <w:tc>
          <w:tcPr>
            <w:tcW w:w="1125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150万元</w:t>
            </w: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35,000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元/个评估报告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元/个</w:t>
            </w:r>
          </w:p>
        </w:tc>
      </w:tr>
    </w:tbl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报价说明：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1.本项目各标包的报价为含税价，涵盖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复核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过程的所有费用，包括但不限于差旅费、资料费、打印费、取证费、行政机关收取的查询费等。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若报价超过最高限价为无效报价。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.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标包1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框架协议执行规则如下：（1）约定的协议期届满，项目实际采购金额在采购预计金额的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80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%-120%之间的，按期终止框架协议；（2）协议期未届满，实际采购金额达到采购预计金额的120%时，应提前终止框架协议，招标方重新启动采购；（3）约定的协议期届满，实际采购金额未达到采购预计金额的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80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%时，应延长框架协议1年。若延长期内，实际采购金额达到采购预计金额的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%时，应即时终止框架协议，招标方重新启动采购。若延长期届满，实际采购金额仍未达到采购预计金额的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%，则按期终止框架协议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.最终结算金额据实结算，根据投标人的投标报价单价×实际工作量进行结算，按照合同条款进行结算。。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sectPr>
          <w:pgSz w:w="11906" w:h="16838"/>
          <w:pgMar w:top="1440" w:right="1077" w:bottom="1440" w:left="1077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.报价不得明显低于成本价（当投标报价低于最高限价85%时，应在投标文件中附成本分析报告，充分说明单价和费用的组成、降低成本的合理措施及在其他项目中应用过的经验等），当报价低于最高限价85%时，如无提供成本分析报告，应当先请投标人作必要的澄清、说明，如不澄清、说明或不符合要求，则按否决投标处理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9"/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  <w:t>南方电网资本控股有限公司所属单位2025-2027年资产评估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9"/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highlight w:val="none"/>
          <w:lang w:val="en-US" w:eastAsia="zh-CN"/>
        </w:rPr>
        <w:t>与估值服务框架采购项目（标包2）报价表</w:t>
      </w:r>
    </w:p>
    <w:p>
      <w:pPr>
        <w:outlineLvl w:val="9"/>
        <w:rPr>
          <w:rFonts w:hint="eastAsia"/>
          <w:highlight w:val="none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2901"/>
        <w:gridCol w:w="1125"/>
        <w:gridCol w:w="1716"/>
        <w:gridCol w:w="1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8254" w:type="dxa"/>
            <w:gridSpan w:val="5"/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</w:rPr>
              <w:t>报价明细表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  <w:jc w:val="center"/>
        </w:trPr>
        <w:tc>
          <w:tcPr>
            <w:tcW w:w="658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标包序号</w:t>
            </w:r>
          </w:p>
        </w:tc>
        <w:tc>
          <w:tcPr>
            <w:tcW w:w="2901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报价项目</w:t>
            </w:r>
          </w:p>
        </w:tc>
        <w:tc>
          <w:tcPr>
            <w:tcW w:w="1125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预计采购金额</w:t>
            </w: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最高限价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报价(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  <w:jc w:val="center"/>
        </w:trPr>
        <w:tc>
          <w:tcPr>
            <w:tcW w:w="658" w:type="dxa"/>
            <w:vMerge w:val="restart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2901" w:type="dxa"/>
            <w:vMerge w:val="restart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  <w:t>南网建鑫基金管理有限公司2025-2026年资产评估与估值服务框架采购项目</w:t>
            </w:r>
          </w:p>
        </w:tc>
        <w:tc>
          <w:tcPr>
            <w:tcW w:w="1125" w:type="dxa"/>
            <w:vMerge w:val="restart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50万元</w:t>
            </w: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,000.00元/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个评估报告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  <w:t xml:space="preserve">       元/个（a）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  <w:jc w:val="center"/>
        </w:trPr>
        <w:tc>
          <w:tcPr>
            <w:tcW w:w="658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2901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35,000.00元/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个估值报告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  <w:t xml:space="preserve">       元/个（b）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9" w:hRule="atLeast"/>
          <w:jc w:val="center"/>
        </w:trPr>
        <w:tc>
          <w:tcPr>
            <w:tcW w:w="658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2901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  <w:lang w:val="en-US" w:eastAsia="zh-CN"/>
              </w:rPr>
              <w:t>单价报价之和</w:t>
            </w:r>
          </w:p>
        </w:tc>
        <w:tc>
          <w:tcPr>
            <w:tcW w:w="1854" w:type="dxa"/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元</w:t>
            </w:r>
          </w:p>
        </w:tc>
      </w:tr>
    </w:tbl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报价说明：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1.本项目各标包的报价为含税价，涵盖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复核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过程的所有费用，包括但不限于差旅费、资料费、打印费、取证费、行政机关收取的查询费等。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若报价超过最高限价为无效报价。</w:t>
      </w:r>
    </w:p>
    <w:p>
      <w:pPr>
        <w:adjustRightInd w:val="0"/>
        <w:snapToGrid w:val="0"/>
        <w:spacing w:before="156" w:line="240" w:lineRule="auto"/>
        <w:jc w:val="left"/>
        <w:rPr>
          <w:rFonts w:hint="default" w:asciiTheme="minorEastAsia" w:hAnsiTheme="minorEastAsia" w:eastAsiaTheme="minorEastAsia" w:cstheme="minorEastAsia"/>
          <w:sz w:val="21"/>
          <w:szCs w:val="21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.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标包2框架采购协议不承诺实际采购金额。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.最终结算金额据实结算，根据投标人的投标报价单价×实际工作量进行结算，按照合同条款进行结算。。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.标包2特别说明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单个项目按一个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整体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+2个成员单位计算。实际结算单个项目超过2个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成员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单位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时，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每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增加一个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成员单位，结算金额在单价基础上提高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0%。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成员单位定义为资产评估/估值报告中作为主要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下属分子公司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/机构进行了专门评估/估值的单位。项目具体单位成员个数会在订单中根据项目实际情况予以明确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。</w:t>
      </w:r>
    </w:p>
    <w:p>
      <w:pPr>
        <w:adjustRightInd w:val="0"/>
        <w:snapToGrid w:val="0"/>
        <w:spacing w:before="156" w:line="24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不得明显低于成本价（当投标报价低于最高限价85%时，应在投标文件中附成本分析报告，充分说明单价和费用的组成、降低成本的合理措施及在其他项目中应用过的经验等），当报价低于最高限价85%时，如无提供成本分析报告，应当先请投标人作必要的澄清、说明，如不澄清、说明或不符合要求，则按否决投标处理。</w:t>
      </w:r>
    </w:p>
    <w:p>
      <w:pPr>
        <w:adjustRightInd w:val="0"/>
        <w:snapToGrid w:val="0"/>
        <w:spacing w:before="156" w:line="240" w:lineRule="auto"/>
        <w:jc w:val="left"/>
        <w:rPr>
          <w:rFonts w:hint="default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6.投标人应出具评估报告作为交付物，如无法出具评估报告，则须提供理由说明并出具估值报告作为交付物，并按照估值报告的报价进行结算。总报价用于价格分计算使用，总报价=50%*a+50%*b，分项报价经计算与总报价不一致时，以分项报价为准，修正总报价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5774DF"/>
    <w:rsid w:val="0F5774DF"/>
    <w:rsid w:val="11A12944"/>
    <w:rsid w:val="3104647E"/>
    <w:rsid w:val="37C21E02"/>
    <w:rsid w:val="475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2025-09-08T08:16:00Z</dcterms:created>
  <dc:creator>罗倩芳</dc:creator>
  <cp:lastModifiedBy>洪映梅</cp:lastModifiedBy>
  <dcterms:modified xsi:type="dcterms:W3CDTF">2025-09-09T00:42:02Z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343515A70CBC4BFFA6AC8BB842FA49D7</vt:lpwstr>
  </property>
</Properties>
</file>