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87797">
      <w:pPr>
        <w:jc w:val="center"/>
        <w:rPr>
          <w:rFonts w:ascii="Times New Roman" w:hAnsi="Times New Roman"/>
        </w:rPr>
      </w:pPr>
      <w:r>
        <w:rPr>
          <w:rFonts w:hint="eastAsia"/>
          <w:sz w:val="24"/>
        </w:rPr>
        <w:drawing>
          <wp:anchor distT="0" distB="0" distL="114300" distR="114300" simplePos="0" relativeHeight="251659264" behindDoc="0" locked="0" layoutInCell="1" allowOverlap="1">
            <wp:simplePos x="0" y="0"/>
            <wp:positionH relativeFrom="column">
              <wp:posOffset>-1681480</wp:posOffset>
            </wp:positionH>
            <wp:positionV relativeFrom="paragraph">
              <wp:posOffset>-926465</wp:posOffset>
            </wp:positionV>
            <wp:extent cx="8915400" cy="3545205"/>
            <wp:effectExtent l="0" t="0" r="0" b="7620"/>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48AEB553">
      <w:pPr>
        <w:jc w:val="center"/>
        <w:rPr>
          <w:rFonts w:ascii="Times New Roman" w:hAnsi="Times New Roman"/>
          <w:b/>
          <w:bCs/>
          <w:sz w:val="44"/>
          <w:szCs w:val="40"/>
        </w:rPr>
      </w:pPr>
    </w:p>
    <w:p w14:paraId="48609195">
      <w:pPr>
        <w:pStyle w:val="8"/>
        <w:rPr>
          <w:rFonts w:ascii="Times New Roman" w:hAnsi="Times New Roman"/>
          <w:b/>
          <w:bCs/>
          <w:sz w:val="44"/>
          <w:szCs w:val="40"/>
        </w:rPr>
      </w:pPr>
    </w:p>
    <w:p w14:paraId="3BD6B8CF">
      <w:pPr>
        <w:pStyle w:val="8"/>
        <w:rPr>
          <w:rFonts w:ascii="Times New Roman" w:hAnsi="Times New Roman"/>
          <w:b/>
          <w:bCs/>
          <w:sz w:val="44"/>
          <w:szCs w:val="40"/>
        </w:rPr>
      </w:pPr>
    </w:p>
    <w:p w14:paraId="6C2A6036">
      <w:pPr>
        <w:pStyle w:val="8"/>
        <w:rPr>
          <w:rFonts w:ascii="Times New Roman" w:hAnsi="Times New Roman"/>
          <w:b/>
          <w:bCs/>
          <w:sz w:val="44"/>
          <w:szCs w:val="40"/>
        </w:rPr>
      </w:pPr>
    </w:p>
    <w:p w14:paraId="12662AB9">
      <w:pPr>
        <w:pStyle w:val="8"/>
        <w:rPr>
          <w:rFonts w:ascii="Times New Roman" w:hAnsi="Times New Roman"/>
          <w:b/>
          <w:bCs/>
          <w:sz w:val="44"/>
          <w:szCs w:val="40"/>
        </w:rPr>
      </w:pPr>
    </w:p>
    <w:p w14:paraId="0F0DF9EA">
      <w:pPr>
        <w:jc w:val="center"/>
        <w:rPr>
          <w:rFonts w:ascii="Times New Roman" w:hAnsi="Times New Roman"/>
          <w:b/>
          <w:bCs/>
          <w:sz w:val="44"/>
          <w:szCs w:val="40"/>
        </w:rPr>
      </w:pPr>
    </w:p>
    <w:p w14:paraId="088AD58D">
      <w:pPr>
        <w:jc w:val="center"/>
        <w:rPr>
          <w:rFonts w:ascii="Times New Roman" w:hAnsi="Times New Roman"/>
          <w:b/>
          <w:bCs/>
          <w:sz w:val="44"/>
          <w:szCs w:val="44"/>
        </w:rPr>
      </w:pPr>
    </w:p>
    <w:p w14:paraId="575E2E4D">
      <w:pPr>
        <w:jc w:val="center"/>
        <w:rPr>
          <w:rFonts w:ascii="Times New Roman" w:hAnsi="Times New Roman"/>
          <w:b/>
          <w:bCs/>
          <w:sz w:val="44"/>
          <w:szCs w:val="44"/>
        </w:rPr>
      </w:pPr>
      <w:bookmarkStart w:id="0" w:name="_Toc26743"/>
      <w:bookmarkStart w:id="1" w:name="_Toc19244_WPSOffice_Level1"/>
      <w:r>
        <w:rPr>
          <w:rFonts w:hint="eastAsia" w:ascii="Times New Roman" w:hAnsi="Times New Roman"/>
          <w:b/>
          <w:bCs/>
          <w:sz w:val="44"/>
          <w:szCs w:val="44"/>
        </w:rPr>
        <w:t>2025年广州南沙供电局庆盛粤港澳大湾区生态合作型营业厅建设项目</w:t>
      </w:r>
      <w:r>
        <w:rPr>
          <w:rFonts w:ascii="Times New Roman" w:hAnsi="Times New Roman"/>
          <w:b/>
          <w:bCs/>
          <w:sz w:val="44"/>
          <w:szCs w:val="44"/>
        </w:rPr>
        <w:t>技术规范书</w:t>
      </w:r>
      <w:bookmarkEnd w:id="0"/>
      <w:bookmarkEnd w:id="1"/>
    </w:p>
    <w:p w14:paraId="22ECE146">
      <w:pPr>
        <w:jc w:val="center"/>
        <w:rPr>
          <w:rFonts w:ascii="Times New Roman" w:hAnsi="Times New Roman"/>
          <w:b/>
          <w:bCs/>
          <w:sz w:val="44"/>
          <w:szCs w:val="40"/>
        </w:rPr>
      </w:pPr>
    </w:p>
    <w:p w14:paraId="6B7BB11B">
      <w:pPr>
        <w:jc w:val="center"/>
        <w:rPr>
          <w:rFonts w:ascii="Times New Roman" w:hAnsi="Times New Roman"/>
          <w:b/>
          <w:bCs/>
          <w:sz w:val="44"/>
          <w:szCs w:val="40"/>
        </w:rPr>
      </w:pPr>
    </w:p>
    <w:p w14:paraId="65C3641B">
      <w:pPr>
        <w:jc w:val="center"/>
        <w:rPr>
          <w:rFonts w:ascii="Times New Roman" w:hAnsi="Times New Roman"/>
          <w:b/>
          <w:bCs/>
          <w:sz w:val="40"/>
          <w:szCs w:val="36"/>
        </w:rPr>
      </w:pPr>
      <w:bookmarkStart w:id="2" w:name="_Toc20516_WPSOffice_Level1"/>
    </w:p>
    <w:p w14:paraId="7FA6802E">
      <w:pPr>
        <w:jc w:val="center"/>
        <w:rPr>
          <w:rFonts w:ascii="Times New Roman" w:hAnsi="Times New Roman"/>
          <w:b/>
          <w:bCs/>
          <w:sz w:val="40"/>
          <w:szCs w:val="36"/>
        </w:rPr>
      </w:pPr>
    </w:p>
    <w:p w14:paraId="3CC79D35">
      <w:pPr>
        <w:jc w:val="center"/>
        <w:rPr>
          <w:rFonts w:ascii="Times New Roman" w:hAnsi="Times New Roman"/>
          <w:b/>
          <w:bCs/>
          <w:sz w:val="40"/>
          <w:szCs w:val="36"/>
        </w:rPr>
      </w:pPr>
    </w:p>
    <w:p w14:paraId="10FC7644">
      <w:pPr>
        <w:jc w:val="center"/>
        <w:rPr>
          <w:rFonts w:ascii="Times New Roman" w:hAnsi="Times New Roman"/>
          <w:b/>
          <w:bCs/>
          <w:sz w:val="40"/>
          <w:szCs w:val="36"/>
        </w:rPr>
      </w:pPr>
    </w:p>
    <w:p w14:paraId="740AF296">
      <w:pPr>
        <w:jc w:val="center"/>
        <w:rPr>
          <w:rFonts w:ascii="Times New Roman" w:hAnsi="Times New Roman"/>
          <w:b/>
          <w:bCs/>
          <w:sz w:val="40"/>
          <w:szCs w:val="36"/>
        </w:rPr>
      </w:pPr>
    </w:p>
    <w:bookmarkEnd w:id="2"/>
    <w:p w14:paraId="6D40CD2B">
      <w:pPr>
        <w:ind w:firstLine="883" w:firstLineChars="200"/>
        <w:jc w:val="left"/>
        <w:rPr>
          <w:rFonts w:ascii="Times New Roman" w:hAnsi="Times New Roman"/>
          <w:b/>
          <w:bCs/>
          <w:sz w:val="44"/>
          <w:szCs w:val="40"/>
        </w:rPr>
      </w:pPr>
    </w:p>
    <w:p w14:paraId="316C0E38">
      <w:pPr>
        <w:jc w:val="center"/>
        <w:rPr>
          <w:rFonts w:ascii="Times New Roman" w:hAnsi="Times New Roman"/>
          <w:b/>
          <w:bCs/>
          <w:sz w:val="44"/>
          <w:szCs w:val="40"/>
        </w:rPr>
      </w:pPr>
    </w:p>
    <w:p w14:paraId="2F5720EC">
      <w:pPr>
        <w:jc w:val="center"/>
        <w:rPr>
          <w:rFonts w:ascii="Times New Roman" w:hAnsi="Times New Roman"/>
          <w:b/>
          <w:bCs/>
          <w:sz w:val="44"/>
          <w:szCs w:val="40"/>
        </w:rPr>
      </w:pPr>
    </w:p>
    <w:p w14:paraId="42D5B9F2">
      <w:pPr>
        <w:jc w:val="center"/>
        <w:rPr>
          <w:rFonts w:ascii="Times New Roman" w:hAnsi="Times New Roman"/>
          <w:b/>
          <w:bCs/>
          <w:sz w:val="32"/>
          <w:szCs w:val="32"/>
        </w:rPr>
      </w:pPr>
      <w:bookmarkStart w:id="3" w:name="_Toc30035_WPSOffice_Level1"/>
      <w:bookmarkStart w:id="4" w:name="_Toc11979"/>
      <w:r>
        <w:rPr>
          <w:rFonts w:ascii="Times New Roman" w:hAnsi="Times New Roman"/>
          <w:b/>
          <w:bCs/>
          <w:sz w:val="32"/>
          <w:szCs w:val="32"/>
        </w:rPr>
        <w:t>202</w:t>
      </w:r>
      <w:r>
        <w:rPr>
          <w:rFonts w:hint="eastAsia" w:ascii="Times New Roman" w:hAnsi="Times New Roman"/>
          <w:b/>
          <w:bCs/>
          <w:sz w:val="32"/>
          <w:szCs w:val="32"/>
        </w:rPr>
        <w:t>5</w:t>
      </w:r>
      <w:r>
        <w:rPr>
          <w:rFonts w:ascii="Times New Roman" w:hAnsi="Times New Roman"/>
          <w:b/>
          <w:bCs/>
          <w:sz w:val="32"/>
          <w:szCs w:val="32"/>
        </w:rPr>
        <w:t>年</w:t>
      </w:r>
      <w:r>
        <w:rPr>
          <w:rFonts w:hint="eastAsia" w:ascii="Times New Roman" w:hAnsi="Times New Roman"/>
          <w:b/>
          <w:bCs/>
          <w:sz w:val="32"/>
          <w:szCs w:val="32"/>
        </w:rPr>
        <w:t>7</w:t>
      </w:r>
      <w:r>
        <w:rPr>
          <w:rFonts w:ascii="Times New Roman" w:hAnsi="Times New Roman"/>
          <w:b/>
          <w:bCs/>
          <w:sz w:val="32"/>
          <w:szCs w:val="32"/>
        </w:rPr>
        <w:t>月</w:t>
      </w:r>
      <w:bookmarkEnd w:id="3"/>
      <w:bookmarkEnd w:id="4"/>
    </w:p>
    <w:p w14:paraId="596364D7">
      <w:pPr>
        <w:rPr>
          <w:rFonts w:ascii="Times New Roman" w:hAnsi="Times New Roman"/>
          <w:b/>
          <w:bCs/>
          <w:sz w:val="32"/>
          <w:szCs w:val="40"/>
        </w:rPr>
      </w:pPr>
      <w:bookmarkStart w:id="5" w:name="_Toc27945"/>
      <w:bookmarkStart w:id="6" w:name="_Toc29136"/>
      <w:bookmarkStart w:id="7" w:name="_Toc6496"/>
    </w:p>
    <w:p w14:paraId="505025E5">
      <w:pPr>
        <w:jc w:val="center"/>
        <w:rPr>
          <w:rFonts w:ascii="黑体" w:hAnsi="黑体" w:eastAsia="黑体"/>
          <w:sz w:val="44"/>
          <w:szCs w:val="44"/>
        </w:rPr>
      </w:pPr>
      <w:r>
        <w:rPr>
          <w:rFonts w:ascii="黑体" w:hAnsi="黑体" w:eastAsia="黑体"/>
          <w:b/>
          <w:bCs/>
          <w:sz w:val="44"/>
          <w:szCs w:val="44"/>
        </w:rPr>
        <w:t>目录</w:t>
      </w:r>
      <w:bookmarkEnd w:id="5"/>
      <w:bookmarkEnd w:id="6"/>
      <w:bookmarkEnd w:id="7"/>
      <w:r>
        <w:rPr>
          <w:rFonts w:ascii="黑体" w:hAnsi="黑体" w:eastAsia="黑体"/>
          <w:sz w:val="44"/>
          <w:szCs w:val="44"/>
        </w:rPr>
        <w:fldChar w:fldCharType="begin"/>
      </w:r>
      <w:r>
        <w:rPr>
          <w:rFonts w:ascii="黑体" w:hAnsi="黑体" w:eastAsia="黑体"/>
          <w:sz w:val="44"/>
          <w:szCs w:val="44"/>
        </w:rPr>
        <w:instrText xml:space="preserve">TOC \o "1-3" \h \u </w:instrText>
      </w:r>
      <w:r>
        <w:rPr>
          <w:rFonts w:ascii="黑体" w:hAnsi="黑体" w:eastAsia="黑体"/>
          <w:sz w:val="44"/>
          <w:szCs w:val="44"/>
        </w:rPr>
        <w:fldChar w:fldCharType="separate"/>
      </w:r>
    </w:p>
    <w:p w14:paraId="2521FF7C">
      <w:pPr>
        <w:pStyle w:val="13"/>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"_Toc187066750" </w:instrText>
      </w:r>
      <w:r>
        <w:fldChar w:fldCharType="separate"/>
      </w:r>
      <w:r>
        <w:rPr>
          <w:rStyle w:val="18"/>
          <w:rFonts w:hint="eastAsia" w:asciiTheme="minorEastAsia" w:hAnsiTheme="minorEastAsia" w:eastAsiaTheme="minorEastAsia"/>
          <w:sz w:val="28"/>
          <w:szCs w:val="28"/>
        </w:rPr>
        <w:t>1 技术（规范）标准</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_Toc187066750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C0BA33B">
      <w:pPr>
        <w:pStyle w:val="13"/>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"_Toc187066751" </w:instrText>
      </w:r>
      <w:r>
        <w:fldChar w:fldCharType="separate"/>
      </w:r>
      <w:r>
        <w:rPr>
          <w:rStyle w:val="18"/>
          <w:rFonts w:hint="eastAsia" w:asciiTheme="minorEastAsia" w:hAnsiTheme="minorEastAsia" w:eastAsiaTheme="minorEastAsia"/>
          <w:sz w:val="28"/>
          <w:szCs w:val="28"/>
        </w:rPr>
        <w:t>2 项目要求</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_Toc187066751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12D989A5">
      <w:pPr>
        <w:pStyle w:val="14"/>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"_Toc187066752" </w:instrText>
      </w:r>
      <w:r>
        <w:fldChar w:fldCharType="separate"/>
      </w:r>
      <w:r>
        <w:rPr>
          <w:rStyle w:val="18"/>
          <w:rFonts w:hint="eastAsia" w:asciiTheme="minorEastAsia" w:hAnsiTheme="minorEastAsia" w:eastAsiaTheme="minorEastAsia"/>
          <w:sz w:val="28"/>
          <w:szCs w:val="28"/>
        </w:rPr>
        <w:t>2.1 总体要求</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_Toc187066752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0CE2904A">
      <w:pPr>
        <w:pStyle w:val="14"/>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"_Toc187066753" </w:instrText>
      </w:r>
      <w:r>
        <w:fldChar w:fldCharType="separate"/>
      </w:r>
      <w:r>
        <w:rPr>
          <w:rStyle w:val="18"/>
          <w:rFonts w:hint="eastAsia" w:asciiTheme="minorEastAsia" w:hAnsiTheme="minorEastAsia" w:eastAsiaTheme="minorEastAsia"/>
          <w:sz w:val="28"/>
          <w:szCs w:val="28"/>
        </w:rPr>
        <w:t>2.2 建设内容及实施方案</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_Toc187066753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8B9384A">
      <w:pPr>
        <w:pStyle w:val="9"/>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"_Toc187066754" </w:instrText>
      </w:r>
      <w:r>
        <w:fldChar w:fldCharType="separate"/>
      </w:r>
      <w:r>
        <w:rPr>
          <w:rStyle w:val="18"/>
          <w:rFonts w:hint="eastAsia" w:asciiTheme="minorEastAsia" w:hAnsiTheme="minorEastAsia" w:eastAsiaTheme="minorEastAsia"/>
          <w:sz w:val="28"/>
          <w:szCs w:val="28"/>
        </w:rPr>
        <w:t>2.2.1建设内容</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_Toc187066754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52757FA">
      <w:pPr>
        <w:pStyle w:val="9"/>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"_Toc187066755" </w:instrText>
      </w:r>
      <w:r>
        <w:fldChar w:fldCharType="separate"/>
      </w:r>
      <w:r>
        <w:rPr>
          <w:rStyle w:val="18"/>
          <w:rFonts w:hint="eastAsia" w:asciiTheme="minorEastAsia" w:hAnsiTheme="minorEastAsia" w:eastAsiaTheme="minorEastAsia"/>
          <w:sz w:val="28"/>
          <w:szCs w:val="28"/>
        </w:rPr>
        <w:t>2.2.2实施方案</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_Toc187066755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3A8287BF">
      <w:pPr>
        <w:pStyle w:val="9"/>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"_Toc187066756" </w:instrText>
      </w:r>
      <w:r>
        <w:fldChar w:fldCharType="separate"/>
      </w:r>
      <w:r>
        <w:rPr>
          <w:rStyle w:val="18"/>
          <w:rFonts w:hint="eastAsia" w:asciiTheme="minorEastAsia" w:hAnsiTheme="minorEastAsia" w:eastAsiaTheme="minorEastAsia"/>
          <w:sz w:val="28"/>
          <w:szCs w:val="28"/>
        </w:rPr>
        <w:t>2.2.3项目进度要求</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_Toc187066756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10</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0D60BC89">
      <w:pPr>
        <w:pStyle w:val="13"/>
        <w:tabs>
          <w:tab w:val="right" w:leader="dot" w:pos="8296"/>
        </w:tabs>
        <w:spacing w:line="560" w:lineRule="exact"/>
        <w:rPr>
          <w:rFonts w:asciiTheme="minorEastAsia" w:hAnsiTheme="minorEastAsia" w:eastAsiaTheme="minorEastAsia" w:cstheme="minorBidi"/>
          <w:sz w:val="28"/>
          <w:szCs w:val="28"/>
          <w14:ligatures w14:val="standardContextual"/>
        </w:rPr>
      </w:pPr>
      <w:r>
        <w:fldChar w:fldCharType="begin"/>
      </w:r>
      <w:r>
        <w:instrText xml:space="preserve"> HYPERLINK \l "_Toc187066757" </w:instrText>
      </w:r>
      <w:r>
        <w:fldChar w:fldCharType="separate"/>
      </w:r>
      <w:r>
        <w:rPr>
          <w:rStyle w:val="18"/>
          <w:rFonts w:hint="eastAsia" w:asciiTheme="minorEastAsia" w:hAnsiTheme="minorEastAsia" w:eastAsiaTheme="minorEastAsia"/>
          <w:sz w:val="28"/>
          <w:szCs w:val="28"/>
        </w:rPr>
        <w:t>3 竣工验收</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_Toc187066757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10</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7D039786">
      <w:pPr>
        <w:pStyle w:val="13"/>
        <w:tabs>
          <w:tab w:val="right" w:leader="dot" w:pos="8296"/>
        </w:tabs>
        <w:spacing w:line="560" w:lineRule="exact"/>
        <w:rPr>
          <w:rFonts w:asciiTheme="minorEastAsia" w:hAnsiTheme="minorEastAsia" w:eastAsiaTheme="minorEastAsia" w:cstheme="minorBidi"/>
          <w:szCs w:val="22"/>
          <w14:ligatures w14:val="standardContextual"/>
        </w:rPr>
      </w:pPr>
      <w:r>
        <w:fldChar w:fldCharType="begin"/>
      </w:r>
      <w:r>
        <w:instrText xml:space="preserve"> HYPERLINK \l "_Toc187066758" </w:instrText>
      </w:r>
      <w:r>
        <w:fldChar w:fldCharType="separate"/>
      </w:r>
      <w:r>
        <w:rPr>
          <w:rStyle w:val="18"/>
          <w:rFonts w:hint="eastAsia" w:asciiTheme="minorEastAsia" w:hAnsiTheme="minorEastAsia" w:eastAsiaTheme="minorEastAsia"/>
          <w:sz w:val="28"/>
          <w:szCs w:val="28"/>
        </w:rPr>
        <w:t>4 项目保质期</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PAGEREF _Toc187066758 \h </w:instrText>
      </w:r>
      <w:r>
        <w:rPr>
          <w:rFonts w:hint="eastAsia"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12</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57328EE6">
      <w:pPr>
        <w:pStyle w:val="15"/>
        <w:outlineLvl w:val="9"/>
      </w:pPr>
      <w:r>
        <w:fldChar w:fldCharType="end"/>
      </w:r>
    </w:p>
    <w:p w14:paraId="3B73767D">
      <w:pPr>
        <w:rPr>
          <w:rFonts w:ascii="Times New Roman" w:hAnsi="Times New Roman"/>
          <w:b/>
          <w:bCs/>
          <w:sz w:val="30"/>
          <w:szCs w:val="30"/>
        </w:rPr>
        <w:sectPr>
          <w:headerReference r:id="rId5" w:type="first"/>
          <w:headerReference r:id="rId3" w:type="default"/>
          <w:headerReference r:id="rId4" w:type="even"/>
          <w:pgSz w:w="11906" w:h="16838"/>
          <w:pgMar w:top="1560" w:right="1800" w:bottom="1440" w:left="1800" w:header="1077" w:footer="964" w:gutter="0"/>
          <w:pgNumType w:start="1"/>
          <w:cols w:space="720" w:num="1"/>
          <w:docGrid w:type="lines" w:linePitch="312" w:charSpace="0"/>
        </w:sectPr>
      </w:pPr>
    </w:p>
    <w:p w14:paraId="11A3903D">
      <w:pPr>
        <w:pStyle w:val="2"/>
        <w:keepNext/>
        <w:keepLines/>
        <w:spacing w:before="156" w:after="156"/>
        <w:rPr>
          <w:rFonts w:ascii="Times New Roman" w:hAnsi="Times New Roman"/>
          <w:color w:val="000000"/>
        </w:rPr>
      </w:pPr>
      <w:bookmarkStart w:id="8" w:name="_Toc11959"/>
      <w:bookmarkStart w:id="9" w:name="_Toc187066750"/>
      <w:bookmarkStart w:id="10" w:name="_Toc32656"/>
      <w:bookmarkStart w:id="11" w:name="_Toc851"/>
      <w:r>
        <w:rPr>
          <w:rFonts w:ascii="Times New Roman" w:hAnsi="Times New Roman"/>
          <w:color w:val="000000"/>
        </w:rPr>
        <w:t>技术（规范）标准</w:t>
      </w:r>
      <w:bookmarkEnd w:id="8"/>
      <w:bookmarkEnd w:id="9"/>
      <w:bookmarkEnd w:id="10"/>
      <w:bookmarkEnd w:id="11"/>
    </w:p>
    <w:p w14:paraId="137F51D9">
      <w:pPr>
        <w:spacing w:line="360" w:lineRule="auto"/>
        <w:ind w:firstLine="480" w:firstLineChars="200"/>
        <w:jc w:val="left"/>
        <w:rPr>
          <w:rFonts w:ascii="Times New Roman" w:hAnsi="Times New Roman"/>
          <w:sz w:val="24"/>
          <w:szCs w:val="22"/>
        </w:rPr>
      </w:pPr>
      <w:r>
        <w:rPr>
          <w:rFonts w:ascii="Times New Roman" w:hAnsi="Times New Roman"/>
          <w:sz w:val="24"/>
          <w:szCs w:val="22"/>
        </w:rPr>
        <w:t>本项目的材料须达到现行中华人民共和国以及省、自治区、直辖市或行业的建设标准、规范的要求。</w:t>
      </w:r>
    </w:p>
    <w:p w14:paraId="35FE970F">
      <w:pPr>
        <w:spacing w:line="360" w:lineRule="auto"/>
        <w:ind w:firstLine="480" w:firstLineChars="200"/>
        <w:jc w:val="left"/>
        <w:rPr>
          <w:rFonts w:ascii="Times New Roman" w:hAnsi="Times New Roman"/>
          <w:sz w:val="24"/>
          <w:szCs w:val="22"/>
        </w:rPr>
      </w:pPr>
      <w:r>
        <w:rPr>
          <w:rFonts w:ascii="Times New Roman" w:hAnsi="Times New Roman"/>
          <w:sz w:val="24"/>
          <w:szCs w:val="22"/>
        </w:rPr>
        <w:t>强制性条文规范要求：本项目严格执行国家和行业现行的强制性条文，且应为其最新版本。</w:t>
      </w:r>
    </w:p>
    <w:p w14:paraId="44CB6BD4">
      <w:pPr>
        <w:spacing w:line="360" w:lineRule="auto"/>
        <w:ind w:firstLine="480" w:firstLineChars="200"/>
        <w:jc w:val="left"/>
        <w:rPr>
          <w:rFonts w:ascii="Times New Roman" w:hAnsi="Times New Roman"/>
          <w:sz w:val="24"/>
          <w:szCs w:val="22"/>
        </w:rPr>
      </w:pPr>
      <w:r>
        <w:rPr>
          <w:rFonts w:ascii="Times New Roman" w:hAnsi="Times New Roman"/>
          <w:sz w:val="24"/>
          <w:szCs w:val="22"/>
        </w:rPr>
        <w:t>如未能达到国际和国内最新标准时，投标人应使选用的材料符合最近的国际、国内标准，并提供采用的标准、规范和所应用的最新版本的有关技术依据资料。</w:t>
      </w:r>
    </w:p>
    <w:p w14:paraId="5959D27B">
      <w:pPr>
        <w:spacing w:line="360" w:lineRule="auto"/>
        <w:ind w:firstLine="480" w:firstLineChars="200"/>
        <w:jc w:val="left"/>
        <w:rPr>
          <w:rFonts w:ascii="Times New Roman" w:hAnsi="Times New Roman"/>
          <w:sz w:val="24"/>
          <w:szCs w:val="22"/>
        </w:rPr>
      </w:pPr>
      <w:r>
        <w:rPr>
          <w:rFonts w:ascii="Times New Roman" w:hAnsi="Times New Roman"/>
          <w:sz w:val="24"/>
          <w:szCs w:val="22"/>
        </w:rPr>
        <w:t>主要技术（规范）标准如下：</w:t>
      </w:r>
    </w:p>
    <w:p w14:paraId="5BE28F5C">
      <w:pPr>
        <w:pStyle w:val="20"/>
        <w:numPr>
          <w:ilvl w:val="0"/>
          <w:numId w:val="2"/>
        </w:numPr>
        <w:spacing w:line="360" w:lineRule="auto"/>
        <w:ind w:left="0" w:firstLine="480"/>
        <w:jc w:val="both"/>
        <w:rPr>
          <w:rFonts w:ascii="Times New Roman" w:hAnsi="Times New Roman"/>
          <w:sz w:val="24"/>
          <w:szCs w:val="24"/>
        </w:rPr>
      </w:pPr>
      <w:bookmarkStart w:id="12" w:name="_Toc18617"/>
      <w:bookmarkStart w:id="13" w:name="_Toc10644"/>
      <w:r>
        <w:rPr>
          <w:rFonts w:ascii="Times New Roman" w:hAnsi="Times New Roman"/>
          <w:sz w:val="24"/>
          <w:szCs w:val="24"/>
        </w:rPr>
        <w:t>《供配电系统设计规范》GB 50052-2009</w:t>
      </w:r>
    </w:p>
    <w:p w14:paraId="52C567DB">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《建筑设计防火规范》 GB 50016-2014</w:t>
      </w:r>
    </w:p>
    <w:p w14:paraId="28C709F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《建筑内部装修设计防火规范》（GB 50222-20</w:t>
      </w:r>
      <w:r>
        <w:rPr>
          <w:rFonts w:hint="eastAsia" w:ascii="Times New Roman" w:hAnsi="Times New Roman"/>
          <w:sz w:val="24"/>
          <w:szCs w:val="24"/>
        </w:rPr>
        <w:t>17</w:t>
      </w:r>
      <w:r>
        <w:rPr>
          <w:rFonts w:ascii="Times New Roman" w:hAnsi="Times New Roman"/>
          <w:sz w:val="24"/>
          <w:szCs w:val="24"/>
        </w:rPr>
        <w:t>）</w:t>
      </w:r>
    </w:p>
    <w:p w14:paraId="0C041473">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《建筑物电子信息系统防雷技术规范》GB 50343-20</w:t>
      </w:r>
      <w:r>
        <w:rPr>
          <w:rFonts w:hint="eastAsia" w:ascii="Times New Roman" w:hAnsi="Times New Roman"/>
          <w:sz w:val="24"/>
          <w:szCs w:val="24"/>
        </w:rPr>
        <w:t>12</w:t>
      </w:r>
      <w:r>
        <w:rPr>
          <w:rFonts w:ascii="Times New Roman" w:hAnsi="Times New Roman"/>
          <w:sz w:val="24"/>
          <w:szCs w:val="24"/>
        </w:rPr>
        <w:t xml:space="preserve">  </w:t>
      </w:r>
    </w:p>
    <w:p w14:paraId="2E7421B9">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 xml:space="preserve">《智能建筑设计标准》GB 50314-2015   </w:t>
      </w:r>
    </w:p>
    <w:p w14:paraId="355A8443">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《20kV及以下</w:t>
      </w:r>
      <w:r>
        <w:fldChar w:fldCharType="begin"/>
      </w:r>
      <w:r>
        <w:instrText xml:space="preserve"> HYPERLINK "https://www.baidu.com/s?wd=%E5%8F%98%E7%94%B5%E6%89%80&amp;tn=44039180_cpr&amp;fenlei=mv6quAkxTZn0IZRqIHckPjm4nH00T1YYuAu9nAmLnWfknvmsnjTd0ZwV5Hcvrjm3rH6sPfKWUMw85HfYnjn4nH6sgvPsT6KdThsqpZwYTjCEQLGCpyw9Uz4Bmy-bIi4WUvYETgN-TLwGUv3EPWD3rHDkPWb1njDYnH63P1nz" \t "_blank" </w:instrText>
      </w:r>
      <w:r>
        <w:fldChar w:fldCharType="separate"/>
      </w:r>
      <w:r>
        <w:rPr>
          <w:rFonts w:ascii="Times New Roman" w:hAnsi="Times New Roman"/>
          <w:sz w:val="24"/>
          <w:szCs w:val="24"/>
        </w:rPr>
        <w:t>变电所</w:t>
      </w:r>
      <w:r>
        <w:rPr>
          <w:rFonts w:ascii="Times New Roman" w:hAnsi="Times New Roman"/>
          <w:sz w:val="24"/>
          <w:szCs w:val="24"/>
        </w:rPr>
        <w:fldChar w:fldCharType="end"/>
      </w:r>
      <w:r>
        <w:rPr>
          <w:rFonts w:ascii="Times New Roman" w:hAnsi="Times New Roman"/>
          <w:sz w:val="24"/>
          <w:szCs w:val="24"/>
        </w:rPr>
        <w:t>设计规范》GB 50053-2013</w:t>
      </w:r>
    </w:p>
    <w:p w14:paraId="49CA79AD">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《低压配电设计规范》GB 50054-2011</w:t>
      </w:r>
    </w:p>
    <w:p w14:paraId="2E97A234">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 xml:space="preserve">《通用用电设备配电设计规范》GB 50055-2011 </w:t>
      </w:r>
    </w:p>
    <w:p w14:paraId="15558014">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《建筑物防雷设计规范》GB 50057-2010</w:t>
      </w:r>
    </w:p>
    <w:p w14:paraId="3035776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《电力工程电缆设计规范》GB 50217-2018</w:t>
      </w:r>
    </w:p>
    <w:p w14:paraId="569E2A4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《电力</w:t>
      </w:r>
      <w:r>
        <w:rPr>
          <w:rFonts w:hint="eastAsia" w:ascii="Times New Roman" w:hAnsi="Times New Roman"/>
          <w:sz w:val="24"/>
          <w:szCs w:val="24"/>
        </w:rPr>
        <w:t>通信运行</w:t>
      </w:r>
      <w:r>
        <w:rPr>
          <w:rFonts w:ascii="Times New Roman" w:hAnsi="Times New Roman"/>
          <w:sz w:val="24"/>
          <w:szCs w:val="24"/>
        </w:rPr>
        <w:t>管理规程》DL 544-</w:t>
      </w:r>
      <w:r>
        <w:rPr>
          <w:rFonts w:hint="eastAsia" w:ascii="Times New Roman" w:hAnsi="Times New Roman"/>
          <w:sz w:val="24"/>
          <w:szCs w:val="24"/>
        </w:rPr>
        <w:t>2012</w:t>
      </w:r>
    </w:p>
    <w:p w14:paraId="217788B7">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《多功能电能表通信协议》DL/T 645-2007</w:t>
      </w:r>
    </w:p>
    <w:p w14:paraId="72530AEE">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《安装式交流电能表型式评价大纲 有功电能表》JJF 1245.1-2019</w:t>
      </w:r>
    </w:p>
    <w:p w14:paraId="45C31B9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《计量器具软件评测指南》JJF1182-2021</w:t>
      </w:r>
    </w:p>
    <w:p w14:paraId="6F54587B">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《电能计量装置技术管理规程》DL/T 448-2016</w:t>
      </w:r>
    </w:p>
    <w:p w14:paraId="73DC429F">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《电力装置电测量仪表装置设计规范》GB/T 50063-2017</w:t>
      </w:r>
    </w:p>
    <w:p w14:paraId="0E38D3F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《电能计量装置安装接线规则》DL/T 825-2021</w:t>
      </w:r>
    </w:p>
    <w:p w14:paraId="625C42C6">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《多功能电能表》DL/T 614-2007</w:t>
      </w:r>
    </w:p>
    <w:p w14:paraId="6436E42B">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《电能计量柜》GB/T 16934-2013</w:t>
      </w:r>
    </w:p>
    <w:p w14:paraId="2C5134C1">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《电测量及电能计量装置设计技术规程》DL/T 5137-2001</w:t>
      </w:r>
    </w:p>
    <w:p w14:paraId="7CEA1A3E">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《电能量计量系统设计技术规程》DL/T5202-2004</w:t>
      </w:r>
    </w:p>
    <w:p w14:paraId="4E99D4F6">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《交流采样远动终端技术条件》DL/T 630-2020</w:t>
      </w:r>
    </w:p>
    <w:p w14:paraId="1323320C">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《安全防范工程技术标准》GB 50348-2018</w:t>
      </w:r>
    </w:p>
    <w:p w14:paraId="77DFF193">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《系统接地的型式及安全技术要求》GB 14050-2008</w:t>
      </w:r>
    </w:p>
    <w:p w14:paraId="56F4E308">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《安全防范工程程序与要求》GA/T 75-94</w:t>
      </w:r>
    </w:p>
    <w:p w14:paraId="76E048F1">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《安全防范工程验收规则》GA/T 308-2001</w:t>
      </w:r>
    </w:p>
    <w:p w14:paraId="52ADC761">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《工业电视系统工程设计标准》GB/T 50115-2019</w:t>
      </w:r>
    </w:p>
    <w:p w14:paraId="05DDEFA1">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《建筑电气工程施工质量验收规范》GB 50303-2011</w:t>
      </w:r>
    </w:p>
    <w:p w14:paraId="143988A5">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《电气</w:t>
      </w:r>
      <w:r>
        <w:rPr>
          <w:rFonts w:hint="eastAsia" w:ascii="Times New Roman" w:hAnsi="Times New Roman"/>
          <w:sz w:val="24"/>
          <w:szCs w:val="24"/>
        </w:rPr>
        <w:t>装置</w:t>
      </w:r>
      <w:r>
        <w:rPr>
          <w:rFonts w:ascii="Times New Roman" w:hAnsi="Times New Roman"/>
          <w:sz w:val="24"/>
          <w:szCs w:val="24"/>
        </w:rPr>
        <w:t>安装工程</w:t>
      </w:r>
      <w:r>
        <w:rPr>
          <w:rFonts w:hint="eastAsia" w:ascii="Times New Roman" w:hAnsi="Times New Roman"/>
          <w:sz w:val="24"/>
          <w:szCs w:val="24"/>
        </w:rPr>
        <w:t xml:space="preserve"> </w:t>
      </w:r>
      <w:r>
        <w:rPr>
          <w:rFonts w:ascii="Times New Roman" w:hAnsi="Times New Roman"/>
          <w:sz w:val="24"/>
          <w:szCs w:val="24"/>
        </w:rPr>
        <w:t>接地装置施工及验收规范》GB 50169-20</w:t>
      </w:r>
      <w:r>
        <w:rPr>
          <w:rFonts w:hint="eastAsia" w:ascii="Times New Roman" w:hAnsi="Times New Roman"/>
          <w:sz w:val="24"/>
          <w:szCs w:val="24"/>
        </w:rPr>
        <w:t>16</w:t>
      </w:r>
    </w:p>
    <w:p w14:paraId="49B86C38">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《安全防范系统验收规则》GA308-2001</w:t>
      </w:r>
    </w:p>
    <w:p w14:paraId="0AE549C6">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《建筑电气与智能化通用规范》GB 55024-2022</w:t>
      </w:r>
    </w:p>
    <w:p w14:paraId="26EA1087">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《建筑环境通用规范》GB 55016-2021</w:t>
      </w:r>
    </w:p>
    <w:p w14:paraId="0D48BD1B">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《工程结构通用规范》GB 55001-2021</w:t>
      </w:r>
    </w:p>
    <w:p w14:paraId="61479427">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《铝合金结构设计规范》GB</w:t>
      </w:r>
      <w:r>
        <w:rPr>
          <w:rFonts w:hint="eastAsia" w:ascii="Times New Roman" w:hAnsi="Times New Roman"/>
          <w:sz w:val="24"/>
          <w:szCs w:val="24"/>
        </w:rPr>
        <w:t xml:space="preserve"> </w:t>
      </w:r>
      <w:r>
        <w:rPr>
          <w:rFonts w:ascii="Times New Roman" w:hAnsi="Times New Roman"/>
          <w:sz w:val="24"/>
          <w:szCs w:val="24"/>
        </w:rPr>
        <w:t>50429-2007</w:t>
      </w:r>
    </w:p>
    <w:p w14:paraId="1001D3DD">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《电力设施抗震设计规范》GB 50260-2013</w:t>
      </w:r>
    </w:p>
    <w:p w14:paraId="3BE80171">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《城市给水工程项目规范》GB 55026-2022</w:t>
      </w:r>
    </w:p>
    <w:p w14:paraId="131B637C">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《工业建筑供暖通风与空气调节设计规范》GB 50019-2015</w:t>
      </w:r>
    </w:p>
    <w:p w14:paraId="7920A66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《火灾自动报警系统设计规范》GB 50116-2013</w:t>
      </w:r>
    </w:p>
    <w:p w14:paraId="3C6FBBDF">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《综合布线系统工程设计规范》GB 50311-2016</w:t>
      </w:r>
    </w:p>
    <w:p w14:paraId="7B9CF6E2">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《出入口控制系统工程设计规范》GB</w:t>
      </w:r>
      <w:r>
        <w:rPr>
          <w:rFonts w:hint="eastAsia" w:ascii="Times New Roman" w:hAnsi="Times New Roman"/>
          <w:sz w:val="24"/>
          <w:szCs w:val="24"/>
        </w:rPr>
        <w:t xml:space="preserve"> </w:t>
      </w:r>
      <w:r>
        <w:rPr>
          <w:rFonts w:ascii="Times New Roman" w:hAnsi="Times New Roman"/>
          <w:sz w:val="24"/>
          <w:szCs w:val="24"/>
        </w:rPr>
        <w:t>50396-2007</w:t>
      </w:r>
    </w:p>
    <w:p w14:paraId="5351589B">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《防盗报警控制器通用技术条件》GB</w:t>
      </w:r>
      <w:r>
        <w:rPr>
          <w:rFonts w:hint="eastAsia" w:ascii="Times New Roman" w:hAnsi="Times New Roman"/>
          <w:sz w:val="24"/>
          <w:szCs w:val="24"/>
        </w:rPr>
        <w:t xml:space="preserve"> </w:t>
      </w:r>
      <w:r>
        <w:rPr>
          <w:rFonts w:ascii="Times New Roman" w:hAnsi="Times New Roman"/>
          <w:sz w:val="24"/>
          <w:szCs w:val="24"/>
        </w:rPr>
        <w:t>12663-2001</w:t>
      </w:r>
    </w:p>
    <w:p w14:paraId="17C87B3E">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《入侵报警系统工程设计规范》GB</w:t>
      </w:r>
      <w:r>
        <w:rPr>
          <w:rFonts w:hint="eastAsia" w:ascii="Times New Roman" w:hAnsi="Times New Roman"/>
          <w:sz w:val="24"/>
          <w:szCs w:val="24"/>
        </w:rPr>
        <w:t xml:space="preserve"> </w:t>
      </w:r>
      <w:r>
        <w:rPr>
          <w:rFonts w:ascii="Times New Roman" w:hAnsi="Times New Roman"/>
          <w:sz w:val="24"/>
          <w:szCs w:val="24"/>
        </w:rPr>
        <w:t>50394-2007</w:t>
      </w:r>
    </w:p>
    <w:p w14:paraId="7A9B76BA">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《厅堂扩声系统设计规范》GB</w:t>
      </w:r>
      <w:r>
        <w:rPr>
          <w:rFonts w:hint="eastAsia" w:ascii="Times New Roman" w:hAnsi="Times New Roman"/>
          <w:sz w:val="24"/>
          <w:szCs w:val="24"/>
        </w:rPr>
        <w:t xml:space="preserve"> </w:t>
      </w:r>
      <w:r>
        <w:rPr>
          <w:rFonts w:ascii="Times New Roman" w:hAnsi="Times New Roman"/>
          <w:sz w:val="24"/>
          <w:szCs w:val="24"/>
        </w:rPr>
        <w:t>50371-2006</w:t>
      </w:r>
    </w:p>
    <w:p w14:paraId="082FB538">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《会议系统电</w:t>
      </w:r>
      <w:r>
        <w:rPr>
          <w:rFonts w:hint="eastAsia" w:ascii="Times New Roman" w:hAnsi="Times New Roman"/>
          <w:sz w:val="24"/>
          <w:szCs w:val="24"/>
        </w:rPr>
        <w:t>及音频的性能</w:t>
      </w:r>
      <w:r>
        <w:rPr>
          <w:rFonts w:ascii="Times New Roman" w:hAnsi="Times New Roman"/>
          <w:sz w:val="24"/>
          <w:szCs w:val="24"/>
        </w:rPr>
        <w:t>要求》GB/T 15381</w:t>
      </w:r>
      <w:r>
        <w:rPr>
          <w:rFonts w:hint="eastAsia" w:ascii="Times New Roman" w:hAnsi="Times New Roman"/>
          <w:sz w:val="24"/>
          <w:szCs w:val="24"/>
        </w:rPr>
        <w:t>-</w:t>
      </w:r>
      <w:r>
        <w:rPr>
          <w:rFonts w:ascii="Times New Roman" w:hAnsi="Times New Roman"/>
          <w:sz w:val="24"/>
          <w:szCs w:val="24"/>
        </w:rPr>
        <w:t>94</w:t>
      </w:r>
    </w:p>
    <w:p w14:paraId="1A3A8773">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《视频安防监控系统工程设计规范》GB 50395-2007</w:t>
      </w:r>
    </w:p>
    <w:p w14:paraId="4F32461E">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《视频显示系统工程技术规范》GB 50464-2008</w:t>
      </w:r>
    </w:p>
    <w:p w14:paraId="7FF02610">
      <w:pPr>
        <w:pStyle w:val="20"/>
        <w:numPr>
          <w:ilvl w:val="0"/>
          <w:numId w:val="2"/>
        </w:numPr>
        <w:spacing w:line="360" w:lineRule="auto"/>
        <w:ind w:left="0" w:firstLine="480"/>
        <w:jc w:val="both"/>
        <w:rPr>
          <w:rFonts w:ascii="Times New Roman" w:hAnsi="Times New Roman"/>
          <w:sz w:val="24"/>
          <w:szCs w:val="24"/>
        </w:rPr>
      </w:pPr>
      <w:r>
        <w:rPr>
          <w:rFonts w:ascii="Times New Roman" w:hAnsi="Times New Roman"/>
          <w:sz w:val="24"/>
          <w:szCs w:val="24"/>
        </w:rPr>
        <w:t>《软件工程国家标准》GTB 856</w:t>
      </w:r>
    </w:p>
    <w:p w14:paraId="6C1F6E0F">
      <w:pPr>
        <w:pStyle w:val="2"/>
        <w:keepNext/>
        <w:keepLines/>
        <w:spacing w:before="156" w:after="156"/>
        <w:rPr>
          <w:rFonts w:ascii="Times New Roman" w:hAnsi="Times New Roman"/>
          <w:color w:val="000000"/>
        </w:rPr>
      </w:pPr>
      <w:bookmarkStart w:id="14" w:name="_Toc29090"/>
      <w:bookmarkStart w:id="15" w:name="_Toc187066751"/>
      <w:r>
        <w:rPr>
          <w:rFonts w:ascii="Times New Roman" w:hAnsi="Times New Roman"/>
          <w:color w:val="000000"/>
        </w:rPr>
        <w:t>项目要求</w:t>
      </w:r>
      <w:bookmarkEnd w:id="12"/>
      <w:bookmarkEnd w:id="13"/>
      <w:bookmarkEnd w:id="14"/>
      <w:bookmarkEnd w:id="15"/>
    </w:p>
    <w:p w14:paraId="557D1A65">
      <w:pPr>
        <w:pStyle w:val="3"/>
        <w:keepNext/>
        <w:keepLines/>
        <w:ind w:left="568" w:hanging="568"/>
        <w:rPr>
          <w:rFonts w:ascii="Times New Roman" w:hAnsi="Times New Roman"/>
          <w:color w:val="000000"/>
          <w:sz w:val="28"/>
          <w:szCs w:val="36"/>
        </w:rPr>
      </w:pPr>
      <w:bookmarkStart w:id="16" w:name="_Toc14704"/>
      <w:bookmarkStart w:id="17" w:name="_Toc20124"/>
      <w:bookmarkStart w:id="18" w:name="_Toc21337"/>
      <w:bookmarkStart w:id="19" w:name="_Toc187066752"/>
      <w:r>
        <w:rPr>
          <w:rFonts w:ascii="Times New Roman" w:hAnsi="Times New Roman"/>
          <w:color w:val="000000"/>
          <w:sz w:val="28"/>
          <w:szCs w:val="36"/>
        </w:rPr>
        <w:t>总体要求</w:t>
      </w:r>
      <w:bookmarkEnd w:id="16"/>
      <w:bookmarkEnd w:id="17"/>
      <w:bookmarkEnd w:id="18"/>
      <w:bookmarkEnd w:id="19"/>
    </w:p>
    <w:p w14:paraId="7C163D4E">
      <w:pPr>
        <w:spacing w:line="360" w:lineRule="auto"/>
        <w:ind w:firstLine="480" w:firstLineChars="200"/>
        <w:jc w:val="left"/>
        <w:rPr>
          <w:rFonts w:ascii="Times New Roman" w:hAnsi="Times New Roman"/>
          <w:sz w:val="24"/>
          <w:szCs w:val="22"/>
        </w:rPr>
      </w:pPr>
      <w:r>
        <w:rPr>
          <w:rFonts w:hint="eastAsia" w:ascii="Times New Roman" w:hAnsi="Times New Roman"/>
          <w:sz w:val="24"/>
          <w:szCs w:val="22"/>
        </w:rPr>
        <w:t>为加快广州南沙粤港澳重大合作平台建设，贯彻落实《广州南沙深化面向世界的粤港澳全面合作总体方案》要求三个先行启动区构建“枢纽带动、多点支撑、整体协同”的发展态势，将南沙打造成为香港、澳门更好融入国家发展大局的重要载体和有力支撑,同时衔接广州迈向2049的城市发展战略规划中“三脉三轴三核”的战略部署，按照“精明增长、精致城区、岭南特色、田园风格、中国气派”理念推动高质量发展的指导意见，以“港人熟悉，国际一流”为目标，系统开展先行启动区内用地布局、道路交通、蓝绿空间、配套设施、城市设计等优化工作，形成粤港深度合作园（庆盛枢纽区块）项目规划。</w:t>
      </w:r>
    </w:p>
    <w:p w14:paraId="674299FE">
      <w:pPr>
        <w:spacing w:line="360" w:lineRule="auto"/>
        <w:ind w:firstLine="480" w:firstLineChars="200"/>
        <w:jc w:val="left"/>
        <w:rPr>
          <w:rFonts w:ascii="Times New Roman" w:hAnsi="Times New Roman"/>
          <w:sz w:val="24"/>
          <w:szCs w:val="22"/>
        </w:rPr>
      </w:pPr>
      <w:r>
        <w:rPr>
          <w:rFonts w:hint="eastAsia" w:ascii="Times New Roman" w:hAnsi="Times New Roman"/>
          <w:sz w:val="24"/>
          <w:szCs w:val="22"/>
        </w:rPr>
        <w:t>2022年6月6日，国务院印发《广州南沙深化面向世界的粤港澳全面合作总体方案》，要求加快广州南沙粤港澳重大合作平台建设，将南沙打造成为香港、澳门更好融入国家发展大局的重要载体和有力支撑。《南沙方案》的出台，对庆盛枢纽区块粤港两地合作回应、推动知识转化与产业化、加强枢纽作用提出新要求，因此需开展控规修编推动地区打造为世界一流大学科技产业地区，充分整合香港大学原始创新优势与国内市场规模、供应链优势，成为面向世界的科技成果转换地带。</w:t>
      </w:r>
    </w:p>
    <w:p w14:paraId="48D049A5">
      <w:pPr>
        <w:spacing w:line="360" w:lineRule="auto"/>
        <w:ind w:firstLine="480" w:firstLineChars="200"/>
        <w:jc w:val="left"/>
        <w:rPr>
          <w:rFonts w:ascii="Times New Roman" w:hAnsi="Times New Roman"/>
          <w:sz w:val="24"/>
          <w:szCs w:val="22"/>
        </w:rPr>
      </w:pPr>
      <w:r>
        <w:rPr>
          <w:rFonts w:hint="eastAsia" w:ascii="Times New Roman" w:hAnsi="Times New Roman"/>
          <w:sz w:val="24"/>
          <w:szCs w:val="22"/>
        </w:rPr>
        <w:t>按照网公司《关于印发南方电网公司用户生态体系建设行动方案的通知》（南方电网市场〔2025〕12号）的要求，明确提出要推动供电营业厅转型升级，以“品牌形象厅、生态合作厅、社区服务厅”分类标准建设。以用户生态运营公司作为运营主体，推动营业厅业务运营、生态服务、品牌形象与平台终端“四统一”、规范管理。创新居民端、企业端、公共服务端生态服务，实现价值创造。</w:t>
      </w:r>
    </w:p>
    <w:p w14:paraId="626E7533">
      <w:pPr>
        <w:spacing w:line="360" w:lineRule="auto"/>
        <w:ind w:firstLine="480" w:firstLineChars="200"/>
        <w:jc w:val="left"/>
        <w:rPr>
          <w:rFonts w:ascii="Times New Roman" w:hAnsi="Times New Roman"/>
          <w:sz w:val="24"/>
          <w:szCs w:val="22"/>
        </w:rPr>
      </w:pPr>
      <w:r>
        <w:rPr>
          <w:rFonts w:hint="eastAsia" w:ascii="Times New Roman" w:hAnsi="Times New Roman"/>
          <w:sz w:val="24"/>
          <w:szCs w:val="22"/>
        </w:rPr>
        <w:t>根据《关于印发广东电网公司供电营业厅提供“基础+”服务工作方案的通知》，提出打造一批营业厅“基础+”服务示范点，为用户提供可靠、便捷、高效、智慧的新型用电用能服务，公司组织制定了《广东电网公司供电营业厅提供“基础+”服务工作方案》，将其打造成集智慧服务、产品销售、品牌展示、商业合作于一体的综合性平台。</w:t>
      </w:r>
    </w:p>
    <w:p w14:paraId="160DA011">
      <w:pPr>
        <w:spacing w:line="360" w:lineRule="auto"/>
        <w:ind w:firstLine="480" w:firstLineChars="200"/>
        <w:jc w:val="left"/>
        <w:rPr>
          <w:rFonts w:ascii="Times New Roman" w:hAnsi="Times New Roman"/>
          <w:sz w:val="24"/>
          <w:szCs w:val="22"/>
        </w:rPr>
      </w:pPr>
      <w:r>
        <w:rPr>
          <w:rFonts w:hint="eastAsia" w:ascii="Times New Roman" w:hAnsi="Times New Roman"/>
          <w:sz w:val="24"/>
          <w:szCs w:val="22"/>
        </w:rPr>
        <w:t>整体建设思路以打造政府可见、产业可知、港澳客户可感的国际化供电服务为目标，以“3个第一”的建设思路为指引，锚定粤港澳大湾区营业厅“绿色、数智、科技、协同、创新”5大定位，在营业厅内部署4大核心功能分区，服务庆盛片区高质量发展。庆盛粤港澳大湾区生态合作型营业厅根据公司研究制定了营业厅优化方案，积极响应供电营业厅转型升级，全面推动公司营业厅规范化、智能化、现代化转型升级，实现管理更规范、经营更创效、生态更开放、服务更智慧、品牌更统一、运营更合规。</w:t>
      </w:r>
    </w:p>
    <w:p w14:paraId="051A3EDB">
      <w:pPr>
        <w:spacing w:line="360" w:lineRule="auto"/>
        <w:ind w:firstLine="480" w:firstLineChars="200"/>
        <w:rPr>
          <w:rFonts w:ascii="宋体" w:hAnsi="宋体"/>
          <w:sz w:val="24"/>
        </w:rPr>
      </w:pPr>
      <w:bookmarkStart w:id="20" w:name="_Toc30730"/>
      <w:bookmarkStart w:id="21" w:name="_Toc8520"/>
      <w:bookmarkStart w:id="22" w:name="_Toc7275"/>
      <w:r>
        <w:rPr>
          <w:rFonts w:hint="eastAsia" w:ascii="宋体" w:hAnsi="宋体"/>
          <w:sz w:val="24"/>
        </w:rPr>
        <w:t>2025年广州南沙供电局庆盛粤港澳大湾区生态合作型营业厅建设项目在广州市南沙区笃学路2号越秀iPark粤港云谷。接待人员规模为20人，整体使用面积为512平方米，本项目主要包含广州南沙供电局庆盛粤港澳大湾区生态合作型营业厅的基础环境及配套设备建设。</w:t>
      </w:r>
    </w:p>
    <w:p w14:paraId="624E1F57">
      <w:pPr>
        <w:pStyle w:val="3"/>
        <w:keepNext/>
        <w:keepLines/>
        <w:ind w:left="568" w:hanging="568"/>
        <w:rPr>
          <w:rFonts w:ascii="Times New Roman" w:hAnsi="Times New Roman"/>
          <w:color w:val="000000"/>
          <w:sz w:val="28"/>
          <w:szCs w:val="36"/>
        </w:rPr>
      </w:pPr>
      <w:bookmarkStart w:id="23" w:name="_Toc187066753"/>
      <w:r>
        <w:rPr>
          <w:rFonts w:ascii="Times New Roman" w:hAnsi="Times New Roman"/>
          <w:color w:val="000000"/>
          <w:sz w:val="28"/>
          <w:szCs w:val="36"/>
        </w:rPr>
        <w:t>建设内容及实施方案</w:t>
      </w:r>
      <w:bookmarkEnd w:id="20"/>
      <w:bookmarkEnd w:id="21"/>
      <w:bookmarkEnd w:id="22"/>
      <w:bookmarkEnd w:id="23"/>
    </w:p>
    <w:p w14:paraId="24AEC5B5">
      <w:pPr>
        <w:pStyle w:val="4"/>
        <w:spacing w:before="0" w:after="0" w:line="360" w:lineRule="auto"/>
        <w:rPr>
          <w:rFonts w:ascii="Times New Roman" w:hAnsi="Times New Roman"/>
          <w:sz w:val="24"/>
          <w:szCs w:val="24"/>
        </w:rPr>
      </w:pPr>
      <w:bookmarkStart w:id="24" w:name="_Toc187066754"/>
      <w:bookmarkStart w:id="25" w:name="_Toc12428"/>
      <w:r>
        <w:rPr>
          <w:rFonts w:ascii="Times New Roman" w:hAnsi="Times New Roman"/>
          <w:sz w:val="24"/>
          <w:szCs w:val="24"/>
        </w:rPr>
        <w:t>2.2.1建设内容</w:t>
      </w:r>
      <w:bookmarkEnd w:id="24"/>
      <w:bookmarkEnd w:id="25"/>
    </w:p>
    <w:p w14:paraId="0C3E2EC3">
      <w:pPr>
        <w:spacing w:line="360" w:lineRule="auto"/>
        <w:ind w:firstLine="480" w:firstLineChars="200"/>
        <w:rPr>
          <w:rFonts w:ascii="宋体" w:hAnsi="宋体"/>
          <w:sz w:val="24"/>
        </w:rPr>
      </w:pPr>
      <w:bookmarkStart w:id="26" w:name="_Toc26543"/>
      <w:r>
        <w:rPr>
          <w:rFonts w:hint="eastAsia" w:ascii="宋体" w:hAnsi="宋体"/>
          <w:sz w:val="24"/>
        </w:rPr>
        <w:t>通过深入调研广州南沙供电局庆盛粤港澳大湾区生态合作型营业厅场地现状，剖析改造的需求，结合2025年广州南沙供电局庆盛粤港澳大湾区生态合作型营业厅建设需求进行场地建设。本项目建设包含基础环境建设及配套设备建设，涉及建设内容如下：</w:t>
      </w:r>
    </w:p>
    <w:p w14:paraId="13113E86">
      <w:pPr>
        <w:spacing w:line="360" w:lineRule="auto"/>
        <w:rPr>
          <w:rFonts w:ascii="宋体" w:hAnsi="宋体"/>
          <w:sz w:val="24"/>
        </w:rPr>
      </w:pPr>
      <w:r>
        <w:rPr>
          <w:rFonts w:hint="eastAsia" w:ascii="宋体" w:hAnsi="宋体"/>
          <w:sz w:val="24"/>
        </w:rPr>
        <w:t>基础环境建设：</w:t>
      </w:r>
    </w:p>
    <w:p w14:paraId="4BB6C5BB">
      <w:pPr>
        <w:pStyle w:val="21"/>
        <w:numPr>
          <w:ilvl w:val="0"/>
          <w:numId w:val="3"/>
        </w:numPr>
        <w:spacing w:line="360" w:lineRule="auto"/>
        <w:ind w:firstLineChars="0"/>
        <w:rPr>
          <w:rFonts w:ascii="宋体" w:hAnsi="宋体"/>
          <w:sz w:val="24"/>
        </w:rPr>
      </w:pPr>
      <w:r>
        <w:rPr>
          <w:rFonts w:hint="eastAsia"/>
          <w:sz w:val="24"/>
        </w:rPr>
        <w:t>装饰装修工程</w:t>
      </w:r>
      <w:r>
        <w:rPr>
          <w:rFonts w:hint="eastAsia" w:ascii="宋体" w:hAnsi="宋体"/>
          <w:sz w:val="24"/>
        </w:rPr>
        <w:t>；</w:t>
      </w:r>
    </w:p>
    <w:p w14:paraId="351A54FF">
      <w:pPr>
        <w:pStyle w:val="21"/>
        <w:numPr>
          <w:ilvl w:val="0"/>
          <w:numId w:val="3"/>
        </w:numPr>
        <w:spacing w:line="360" w:lineRule="auto"/>
        <w:ind w:firstLineChars="0"/>
        <w:rPr>
          <w:rFonts w:ascii="宋体" w:hAnsi="宋体"/>
          <w:sz w:val="24"/>
        </w:rPr>
      </w:pPr>
      <w:r>
        <w:rPr>
          <w:rFonts w:hint="eastAsia" w:ascii="宋体" w:hAnsi="宋体"/>
          <w:sz w:val="24"/>
        </w:rPr>
        <w:t>供配电系统；</w:t>
      </w:r>
    </w:p>
    <w:p w14:paraId="2381587C">
      <w:pPr>
        <w:pStyle w:val="21"/>
        <w:numPr>
          <w:ilvl w:val="0"/>
          <w:numId w:val="3"/>
        </w:numPr>
        <w:spacing w:line="360" w:lineRule="auto"/>
        <w:ind w:firstLineChars="0"/>
        <w:rPr>
          <w:rFonts w:ascii="宋体" w:hAnsi="宋体"/>
          <w:sz w:val="24"/>
        </w:rPr>
      </w:pPr>
      <w:r>
        <w:rPr>
          <w:rFonts w:hint="eastAsia" w:ascii="宋体" w:hAnsi="宋体"/>
          <w:sz w:val="24"/>
        </w:rPr>
        <w:t>综合布线及通信系统；</w:t>
      </w:r>
    </w:p>
    <w:p w14:paraId="5FB796EA">
      <w:pPr>
        <w:pStyle w:val="21"/>
        <w:numPr>
          <w:ilvl w:val="0"/>
          <w:numId w:val="3"/>
        </w:numPr>
        <w:spacing w:line="360" w:lineRule="auto"/>
        <w:ind w:firstLineChars="0"/>
        <w:rPr>
          <w:rFonts w:ascii="宋体" w:hAnsi="宋体"/>
          <w:sz w:val="24"/>
        </w:rPr>
      </w:pPr>
      <w:r>
        <w:rPr>
          <w:rFonts w:hint="eastAsia" w:ascii="宋体" w:hAnsi="宋体"/>
          <w:sz w:val="24"/>
        </w:rPr>
        <w:t>暖通系统；</w:t>
      </w:r>
    </w:p>
    <w:p w14:paraId="2CF2EFB1">
      <w:pPr>
        <w:pStyle w:val="21"/>
        <w:numPr>
          <w:ilvl w:val="0"/>
          <w:numId w:val="3"/>
        </w:numPr>
        <w:spacing w:line="360" w:lineRule="auto"/>
        <w:ind w:firstLineChars="0"/>
        <w:rPr>
          <w:rFonts w:ascii="宋体" w:hAnsi="宋体"/>
          <w:sz w:val="24"/>
        </w:rPr>
      </w:pPr>
      <w:r>
        <w:rPr>
          <w:rFonts w:hint="eastAsia" w:ascii="宋体" w:hAnsi="宋体"/>
          <w:sz w:val="24"/>
        </w:rPr>
        <w:t>消防系统末端改造；</w:t>
      </w:r>
    </w:p>
    <w:p w14:paraId="25D7E24F">
      <w:pPr>
        <w:pStyle w:val="21"/>
        <w:numPr>
          <w:ilvl w:val="0"/>
          <w:numId w:val="3"/>
        </w:numPr>
        <w:spacing w:line="360" w:lineRule="auto"/>
        <w:ind w:firstLineChars="0"/>
        <w:rPr>
          <w:rFonts w:ascii="宋体" w:hAnsi="宋体"/>
          <w:sz w:val="24"/>
        </w:rPr>
      </w:pPr>
      <w:r>
        <w:rPr>
          <w:rFonts w:hint="eastAsia" w:ascii="宋体" w:hAnsi="宋体"/>
          <w:sz w:val="24"/>
        </w:rPr>
        <w:t>安防系统；</w:t>
      </w:r>
    </w:p>
    <w:p w14:paraId="2101BE71">
      <w:pPr>
        <w:pStyle w:val="21"/>
        <w:numPr>
          <w:ilvl w:val="0"/>
          <w:numId w:val="3"/>
        </w:numPr>
        <w:spacing w:line="360" w:lineRule="auto"/>
        <w:ind w:firstLineChars="0"/>
        <w:rPr>
          <w:rFonts w:ascii="宋体" w:hAnsi="宋体"/>
          <w:sz w:val="24"/>
        </w:rPr>
      </w:pPr>
      <w:r>
        <w:rPr>
          <w:rFonts w:hint="eastAsia" w:ascii="宋体" w:hAnsi="宋体"/>
          <w:sz w:val="24"/>
        </w:rPr>
        <w:t>平面美陈；</w:t>
      </w:r>
    </w:p>
    <w:p w14:paraId="69746B94">
      <w:pPr>
        <w:pStyle w:val="21"/>
        <w:numPr>
          <w:ilvl w:val="0"/>
          <w:numId w:val="3"/>
        </w:numPr>
        <w:spacing w:line="360" w:lineRule="auto"/>
        <w:ind w:firstLineChars="0"/>
        <w:rPr>
          <w:rFonts w:ascii="宋体" w:hAnsi="宋体"/>
          <w:sz w:val="24"/>
        </w:rPr>
      </w:pPr>
      <w:r>
        <w:rPr>
          <w:rFonts w:hint="eastAsia" w:ascii="宋体" w:hAnsi="宋体"/>
          <w:sz w:val="24"/>
        </w:rPr>
        <w:t>业务体验设施；</w:t>
      </w:r>
    </w:p>
    <w:p w14:paraId="1A360B2A">
      <w:pPr>
        <w:pStyle w:val="21"/>
        <w:numPr>
          <w:ilvl w:val="0"/>
          <w:numId w:val="3"/>
        </w:numPr>
        <w:spacing w:line="360" w:lineRule="auto"/>
        <w:ind w:firstLineChars="0"/>
        <w:rPr>
          <w:rFonts w:ascii="宋体" w:hAnsi="宋体"/>
          <w:sz w:val="24"/>
        </w:rPr>
      </w:pPr>
      <w:r>
        <w:rPr>
          <w:rFonts w:hint="eastAsia" w:ascii="宋体" w:hAnsi="宋体"/>
          <w:sz w:val="24"/>
        </w:rPr>
        <w:t>营业厅专用设备；</w:t>
      </w:r>
    </w:p>
    <w:p w14:paraId="4B34C5B2">
      <w:pPr>
        <w:spacing w:line="360" w:lineRule="auto"/>
        <w:rPr>
          <w:rFonts w:ascii="宋体" w:hAnsi="宋体"/>
          <w:sz w:val="24"/>
        </w:rPr>
      </w:pPr>
      <w:r>
        <w:rPr>
          <w:rFonts w:hint="eastAsia" w:ascii="宋体" w:hAnsi="宋体"/>
          <w:sz w:val="24"/>
        </w:rPr>
        <w:t>配套设备建设：</w:t>
      </w:r>
    </w:p>
    <w:p w14:paraId="554564C1">
      <w:pPr>
        <w:pStyle w:val="21"/>
        <w:spacing w:line="360" w:lineRule="auto"/>
        <w:ind w:left="480" w:firstLine="0" w:firstLineChars="0"/>
        <w:rPr>
          <w:rFonts w:ascii="宋体" w:hAnsi="宋体"/>
          <w:sz w:val="24"/>
        </w:rPr>
      </w:pPr>
      <w:r>
        <w:rPr>
          <w:rFonts w:hint="eastAsia" w:ascii="宋体" w:hAnsi="宋体"/>
          <w:sz w:val="24"/>
        </w:rPr>
        <w:t>1）设备硬件及工控系统建设；</w:t>
      </w:r>
    </w:p>
    <w:p w14:paraId="489C9FBC">
      <w:pPr>
        <w:pStyle w:val="4"/>
        <w:spacing w:before="0" w:after="0" w:line="360" w:lineRule="auto"/>
        <w:rPr>
          <w:rFonts w:ascii="Times New Roman" w:hAnsi="Times New Roman"/>
          <w:sz w:val="24"/>
          <w:szCs w:val="24"/>
        </w:rPr>
      </w:pPr>
      <w:bookmarkStart w:id="27" w:name="_Toc187066755"/>
      <w:r>
        <w:rPr>
          <w:rFonts w:ascii="Times New Roman" w:hAnsi="Times New Roman"/>
          <w:sz w:val="24"/>
          <w:szCs w:val="24"/>
        </w:rPr>
        <w:t>2.2.2实施方案</w:t>
      </w:r>
      <w:bookmarkEnd w:id="27"/>
    </w:p>
    <w:p w14:paraId="709CC487">
      <w:pPr>
        <w:spacing w:line="360" w:lineRule="auto"/>
        <w:ind w:firstLine="480" w:firstLineChars="200"/>
        <w:rPr>
          <w:rFonts w:ascii="宋体" w:hAnsi="宋体"/>
          <w:sz w:val="24"/>
        </w:rPr>
      </w:pPr>
      <w:r>
        <w:rPr>
          <w:rFonts w:hint="eastAsia" w:ascii="宋体" w:hAnsi="宋体"/>
          <w:sz w:val="24"/>
        </w:rPr>
        <w:t>本项目拟建设的平面布局主要分为两层空间。按功能需求进行规划分区，各功能区域间相互融合，形成统一管理、高效稳定的综合空间，为用户提供指引清晰、类型多样的服务。最终实施方案以初步设计方案为准。</w:t>
      </w:r>
    </w:p>
    <w:p w14:paraId="68A99307">
      <w:pPr>
        <w:autoSpaceDE w:val="0"/>
        <w:autoSpaceDN w:val="0"/>
        <w:jc w:val="center"/>
        <w:rPr>
          <w:kern w:val="0"/>
        </w:rPr>
      </w:pPr>
      <w:r>
        <w:drawing>
          <wp:inline distT="0" distB="0" distL="114300" distR="114300">
            <wp:extent cx="5264150" cy="2984500"/>
            <wp:effectExtent l="0" t="0" r="19050" b="12700"/>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9"/>
                    <a:stretch>
                      <a:fillRect/>
                    </a:stretch>
                  </pic:blipFill>
                  <pic:spPr>
                    <a:xfrm>
                      <a:off x="0" y="0"/>
                      <a:ext cx="5264150" cy="2984500"/>
                    </a:xfrm>
                    <a:prstGeom prst="rect">
                      <a:avLst/>
                    </a:prstGeom>
                    <a:noFill/>
                    <a:ln>
                      <a:noFill/>
                    </a:ln>
                  </pic:spPr>
                </pic:pic>
              </a:graphicData>
            </a:graphic>
          </wp:inline>
        </w:drawing>
      </w:r>
    </w:p>
    <w:p w14:paraId="3352FB28">
      <w:pPr>
        <w:autoSpaceDE w:val="0"/>
        <w:autoSpaceDN w:val="0"/>
        <w:spacing w:line="360" w:lineRule="auto"/>
        <w:jc w:val="center"/>
        <w:rPr>
          <w:rFonts w:ascii="Times New Roman" w:hAnsi="Times New Roman" w:eastAsia="黑体"/>
          <w:kern w:val="0"/>
        </w:rPr>
      </w:pPr>
      <w:r>
        <w:rPr>
          <w:rFonts w:ascii="Times New Roman" w:hAnsi="Times New Roman" w:eastAsia="黑体"/>
          <w:bCs/>
          <w:szCs w:val="21"/>
        </w:rPr>
        <w:t xml:space="preserve">图2-1 </w:t>
      </w:r>
      <w:r>
        <w:rPr>
          <w:rFonts w:hint="eastAsia" w:ascii="Times New Roman" w:hAnsi="Times New Roman" w:eastAsia="黑体"/>
          <w:bCs/>
          <w:szCs w:val="21"/>
        </w:rPr>
        <w:t>广州南沙供电局庆盛粤港澳大湾区生态合作型营业厅</w:t>
      </w:r>
      <w:r>
        <w:rPr>
          <w:rFonts w:ascii="Times New Roman" w:hAnsi="Times New Roman" w:eastAsia="黑体"/>
          <w:bCs/>
          <w:szCs w:val="21"/>
        </w:rPr>
        <w:t>平面布置图</w:t>
      </w:r>
    </w:p>
    <w:p w14:paraId="3B98F867">
      <w:pPr>
        <w:pStyle w:val="5"/>
        <w:adjustRightInd/>
        <w:snapToGrid/>
        <w:spacing w:line="360" w:lineRule="auto"/>
        <w:rPr>
          <w:lang w:val="en-US"/>
        </w:rPr>
      </w:pPr>
      <w:r>
        <w:rPr>
          <w:rFonts w:hint="eastAsia"/>
          <w:lang w:val="en-US"/>
        </w:rPr>
        <w:t>2.2.2.1</w:t>
      </w:r>
      <w:r>
        <w:rPr>
          <w:lang w:val="en-US"/>
        </w:rPr>
        <w:t>基础环境</w:t>
      </w:r>
      <w:r>
        <w:rPr>
          <w:rFonts w:hint="eastAsia"/>
          <w:lang w:val="en-US"/>
        </w:rPr>
        <w:t>改造</w:t>
      </w:r>
      <w:r>
        <w:rPr>
          <w:lang w:val="en-US"/>
        </w:rPr>
        <w:t>工程</w:t>
      </w:r>
      <w:r>
        <w:rPr>
          <w:rFonts w:hint="eastAsia"/>
          <w:lang w:val="en-US"/>
        </w:rPr>
        <w:t>实施方案</w:t>
      </w:r>
    </w:p>
    <w:p w14:paraId="7678B33F">
      <w:pPr>
        <w:spacing w:line="360" w:lineRule="auto"/>
        <w:ind w:firstLine="480" w:firstLineChars="200"/>
        <w:rPr>
          <w:rFonts w:ascii="Times New Roman" w:hAnsi="Times New Roman"/>
          <w:sz w:val="24"/>
        </w:rPr>
      </w:pPr>
      <w:r>
        <w:rPr>
          <w:rFonts w:hint="eastAsia" w:ascii="Times New Roman" w:hAnsi="Times New Roman"/>
          <w:sz w:val="24"/>
        </w:rPr>
        <w:t>2025年广州南沙供电局庆盛粤港澳大湾区生态合作型营业厅的建设</w:t>
      </w:r>
      <w:r>
        <w:rPr>
          <w:rFonts w:ascii="Times New Roman" w:hAnsi="Times New Roman"/>
          <w:sz w:val="24"/>
        </w:rPr>
        <w:t>，是一门集装修、电气、暖通、消防</w:t>
      </w:r>
      <w:r>
        <w:rPr>
          <w:rFonts w:hint="eastAsia" w:ascii="Times New Roman" w:hAnsi="Times New Roman"/>
          <w:sz w:val="24"/>
        </w:rPr>
        <w:t>、安防</w:t>
      </w:r>
      <w:r>
        <w:rPr>
          <w:rFonts w:ascii="Times New Roman" w:hAnsi="Times New Roman"/>
          <w:sz w:val="24"/>
        </w:rPr>
        <w:t>等多专业技术的系统工程，</w:t>
      </w:r>
      <w:r>
        <w:rPr>
          <w:rFonts w:hint="eastAsia" w:ascii="Times New Roman" w:hAnsi="Times New Roman"/>
          <w:sz w:val="24"/>
        </w:rPr>
        <w:t>空间</w:t>
      </w:r>
      <w:r>
        <w:rPr>
          <w:rFonts w:ascii="Times New Roman" w:hAnsi="Times New Roman"/>
          <w:sz w:val="24"/>
        </w:rPr>
        <w:t>设计必需满足</w:t>
      </w:r>
      <w:r>
        <w:rPr>
          <w:rFonts w:hint="eastAsia" w:ascii="Times New Roman" w:hAnsi="Times New Roman"/>
          <w:sz w:val="24"/>
        </w:rPr>
        <w:t>营业</w:t>
      </w:r>
      <w:r>
        <w:rPr>
          <w:rFonts w:ascii="Times New Roman" w:hAnsi="Times New Roman"/>
          <w:sz w:val="24"/>
        </w:rPr>
        <w:t>和工作人员对场地环境（包括温湿度、洁净度、安全保安、防水防潮、电源质量、防雷和接地等）的要求，同时，</w:t>
      </w:r>
      <w:r>
        <w:rPr>
          <w:rFonts w:hint="eastAsia" w:ascii="Times New Roman" w:hAnsi="Times New Roman"/>
          <w:sz w:val="24"/>
        </w:rPr>
        <w:t>广州南沙供电局庆盛粤港澳大湾区生态合作型营业厅</w:t>
      </w:r>
      <w:r>
        <w:rPr>
          <w:rFonts w:ascii="Times New Roman" w:hAnsi="Times New Roman"/>
          <w:sz w:val="24"/>
        </w:rPr>
        <w:t>应该是安全可靠、舒适实用、节能高效的场所。结合场所既有的建筑结构，为满足实际功能使用需要，配置如下：</w:t>
      </w:r>
      <w:bookmarkStart w:id="35" w:name="_GoBack"/>
      <w:bookmarkEnd w:id="35"/>
    </w:p>
    <w:p w14:paraId="1A712B5E">
      <w:pPr>
        <w:autoSpaceDE w:val="0"/>
        <w:autoSpaceDN w:val="0"/>
        <w:spacing w:line="360" w:lineRule="auto"/>
        <w:jc w:val="center"/>
        <w:rPr>
          <w:rFonts w:ascii="Times New Roman" w:hAnsi="Times New Roman" w:eastAsia="黑体"/>
          <w:bCs/>
          <w:szCs w:val="21"/>
        </w:rPr>
      </w:pPr>
      <w:r>
        <w:rPr>
          <w:rFonts w:ascii="Times New Roman" w:hAnsi="Times New Roman" w:eastAsia="黑体"/>
          <w:bCs/>
          <w:szCs w:val="21"/>
        </w:rPr>
        <w:t>表</w:t>
      </w:r>
      <w:r>
        <w:rPr>
          <w:rFonts w:hint="eastAsia" w:ascii="Times New Roman" w:hAnsi="Times New Roman" w:eastAsia="黑体"/>
          <w:bCs/>
          <w:szCs w:val="21"/>
        </w:rPr>
        <w:t>2</w:t>
      </w:r>
      <w:r>
        <w:rPr>
          <w:rFonts w:ascii="Times New Roman" w:hAnsi="Times New Roman" w:eastAsia="黑体"/>
          <w:bCs/>
          <w:szCs w:val="21"/>
        </w:rPr>
        <w:t>-</w:t>
      </w:r>
      <w:r>
        <w:rPr>
          <w:rFonts w:hint="eastAsia" w:ascii="Times New Roman" w:hAnsi="Times New Roman" w:eastAsia="黑体"/>
          <w:bCs/>
          <w:szCs w:val="21"/>
        </w:rPr>
        <w:t>1</w:t>
      </w:r>
      <w:r>
        <w:rPr>
          <w:rFonts w:ascii="Times New Roman" w:hAnsi="Times New Roman" w:eastAsia="黑体"/>
          <w:bCs/>
          <w:szCs w:val="21"/>
        </w:rPr>
        <w:t xml:space="preserve"> </w:t>
      </w:r>
      <w:r>
        <w:rPr>
          <w:rFonts w:hint="eastAsia" w:ascii="Times New Roman" w:hAnsi="Times New Roman" w:eastAsia="黑体"/>
          <w:bCs/>
          <w:szCs w:val="21"/>
        </w:rPr>
        <w:t>广州南沙供电局庆盛粤港澳大湾区生态合作型营业厅</w:t>
      </w:r>
      <w:r>
        <w:rPr>
          <w:rFonts w:ascii="Times New Roman" w:hAnsi="Times New Roman" w:eastAsia="黑体"/>
          <w:bCs/>
          <w:szCs w:val="21"/>
        </w:rPr>
        <w:t>配置</w:t>
      </w:r>
    </w:p>
    <w:tbl>
      <w:tblPr>
        <w:tblStyle w:val="16"/>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1875"/>
        <w:gridCol w:w="1166"/>
        <w:gridCol w:w="2037"/>
        <w:gridCol w:w="1629"/>
        <w:gridCol w:w="1428"/>
      </w:tblGrid>
      <w:tr w14:paraId="4218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2" w:type="pct"/>
            <w:vAlign w:val="center"/>
          </w:tcPr>
          <w:p w14:paraId="32F91584">
            <w:pPr>
              <w:widowControl/>
              <w:jc w:val="center"/>
              <w:rPr>
                <w:rFonts w:ascii="Times New Roman" w:hAnsi="Times New Roman"/>
                <w:b/>
                <w:bCs/>
                <w:kern w:val="0"/>
                <w:szCs w:val="21"/>
              </w:rPr>
            </w:pPr>
            <w:r>
              <w:rPr>
                <w:rFonts w:ascii="Times New Roman" w:hAnsi="Times New Roman"/>
                <w:b/>
                <w:bCs/>
                <w:kern w:val="0"/>
                <w:szCs w:val="21"/>
              </w:rPr>
              <w:t>序号</w:t>
            </w:r>
          </w:p>
        </w:tc>
        <w:tc>
          <w:tcPr>
            <w:tcW w:w="1073" w:type="pct"/>
            <w:vAlign w:val="center"/>
          </w:tcPr>
          <w:p w14:paraId="2B8C7C8A">
            <w:pPr>
              <w:widowControl/>
              <w:jc w:val="center"/>
              <w:rPr>
                <w:rFonts w:ascii="Times New Roman" w:hAnsi="Times New Roman"/>
                <w:b/>
                <w:bCs/>
                <w:kern w:val="0"/>
                <w:szCs w:val="21"/>
              </w:rPr>
            </w:pPr>
            <w:r>
              <w:rPr>
                <w:rFonts w:ascii="Times New Roman" w:hAnsi="Times New Roman"/>
                <w:b/>
                <w:bCs/>
                <w:kern w:val="0"/>
                <w:szCs w:val="21"/>
              </w:rPr>
              <w:t>用房名称</w:t>
            </w:r>
          </w:p>
        </w:tc>
        <w:tc>
          <w:tcPr>
            <w:tcW w:w="667" w:type="pct"/>
            <w:vAlign w:val="center"/>
          </w:tcPr>
          <w:p w14:paraId="53CEEE9D">
            <w:pPr>
              <w:widowControl/>
              <w:jc w:val="center"/>
              <w:rPr>
                <w:rFonts w:ascii="Times New Roman" w:hAnsi="Times New Roman"/>
                <w:b/>
                <w:bCs/>
                <w:kern w:val="0"/>
                <w:szCs w:val="21"/>
              </w:rPr>
            </w:pPr>
            <w:r>
              <w:rPr>
                <w:rFonts w:ascii="Times New Roman" w:hAnsi="Times New Roman"/>
                <w:b/>
                <w:bCs/>
                <w:kern w:val="0"/>
                <w:szCs w:val="21"/>
              </w:rPr>
              <w:t>面积（m²）</w:t>
            </w:r>
          </w:p>
        </w:tc>
        <w:tc>
          <w:tcPr>
            <w:tcW w:w="1166" w:type="pct"/>
            <w:vAlign w:val="center"/>
          </w:tcPr>
          <w:p w14:paraId="15AE30E4">
            <w:pPr>
              <w:widowControl/>
              <w:jc w:val="center"/>
              <w:rPr>
                <w:rFonts w:ascii="Times New Roman" w:hAnsi="Times New Roman"/>
                <w:b/>
                <w:bCs/>
                <w:kern w:val="0"/>
                <w:szCs w:val="21"/>
              </w:rPr>
            </w:pPr>
            <w:r>
              <w:rPr>
                <w:rFonts w:ascii="Times New Roman" w:hAnsi="Times New Roman"/>
                <w:b/>
                <w:bCs/>
                <w:kern w:val="0"/>
                <w:szCs w:val="21"/>
              </w:rPr>
              <w:t>装修要求</w:t>
            </w:r>
          </w:p>
        </w:tc>
        <w:tc>
          <w:tcPr>
            <w:tcW w:w="932" w:type="pct"/>
            <w:vAlign w:val="center"/>
          </w:tcPr>
          <w:p w14:paraId="24BDA28A">
            <w:pPr>
              <w:widowControl/>
              <w:jc w:val="center"/>
              <w:rPr>
                <w:rFonts w:ascii="Times New Roman" w:hAnsi="Times New Roman"/>
                <w:b/>
                <w:bCs/>
                <w:kern w:val="0"/>
                <w:szCs w:val="21"/>
              </w:rPr>
            </w:pPr>
            <w:r>
              <w:rPr>
                <w:rFonts w:ascii="Times New Roman" w:hAnsi="Times New Roman"/>
                <w:b/>
                <w:bCs/>
                <w:kern w:val="0"/>
                <w:szCs w:val="21"/>
              </w:rPr>
              <w:t>空调要求</w:t>
            </w:r>
          </w:p>
        </w:tc>
        <w:tc>
          <w:tcPr>
            <w:tcW w:w="817" w:type="pct"/>
            <w:vAlign w:val="center"/>
          </w:tcPr>
          <w:p w14:paraId="09820EDC">
            <w:pPr>
              <w:widowControl/>
              <w:jc w:val="center"/>
              <w:rPr>
                <w:rFonts w:ascii="Times New Roman" w:hAnsi="Times New Roman"/>
                <w:b/>
                <w:bCs/>
                <w:kern w:val="0"/>
                <w:szCs w:val="21"/>
              </w:rPr>
            </w:pPr>
            <w:r>
              <w:rPr>
                <w:rFonts w:ascii="Times New Roman" w:hAnsi="Times New Roman"/>
                <w:b/>
                <w:bCs/>
                <w:kern w:val="0"/>
                <w:szCs w:val="21"/>
              </w:rPr>
              <w:t>消防要求</w:t>
            </w:r>
          </w:p>
        </w:tc>
      </w:tr>
      <w:tr w14:paraId="4A45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2" w:type="pct"/>
            <w:vAlign w:val="center"/>
          </w:tcPr>
          <w:p w14:paraId="4D833630">
            <w:pPr>
              <w:widowControl/>
              <w:jc w:val="center"/>
              <w:textAlignment w:val="center"/>
              <w:rPr>
                <w:rFonts w:ascii="Times New Roman" w:hAnsi="Times New Roman"/>
                <w:kern w:val="0"/>
                <w:szCs w:val="21"/>
              </w:rPr>
            </w:pPr>
            <w:r>
              <w:rPr>
                <w:rFonts w:ascii="Times New Roman" w:hAnsi="Times New Roman"/>
                <w:kern w:val="0"/>
                <w:szCs w:val="21"/>
              </w:rPr>
              <w:t>1</w:t>
            </w:r>
          </w:p>
        </w:tc>
        <w:tc>
          <w:tcPr>
            <w:tcW w:w="1073" w:type="pct"/>
            <w:vAlign w:val="center"/>
          </w:tcPr>
          <w:p w14:paraId="4ABB3945">
            <w:pPr>
              <w:widowControl/>
              <w:jc w:val="center"/>
              <w:textAlignment w:val="center"/>
              <w:rPr>
                <w:rFonts w:ascii="Times New Roman" w:hAnsi="Times New Roman"/>
                <w:kern w:val="0"/>
                <w:szCs w:val="21"/>
              </w:rPr>
            </w:pPr>
            <w:r>
              <w:rPr>
                <w:rFonts w:hint="eastAsia"/>
                <w:lang w:val="en-US" w:eastAsia="zh-CN"/>
              </w:rPr>
              <w:t>一层</w:t>
            </w:r>
            <w:r>
              <w:rPr>
                <w:rFonts w:hint="eastAsia"/>
              </w:rPr>
              <w:t>基础+双碳服务区</w:t>
            </w:r>
          </w:p>
        </w:tc>
        <w:tc>
          <w:tcPr>
            <w:tcW w:w="667" w:type="pct"/>
            <w:vAlign w:val="center"/>
          </w:tcPr>
          <w:p w14:paraId="0E9464F8">
            <w:pPr>
              <w:widowControl/>
              <w:jc w:val="center"/>
              <w:textAlignment w:val="center"/>
              <w:rPr>
                <w:rFonts w:hint="default" w:ascii="Times New Roman" w:hAnsi="Times New Roman" w:eastAsia="宋体"/>
                <w:kern w:val="0"/>
                <w:szCs w:val="21"/>
                <w:lang w:val="en-US" w:eastAsia="zh-CN"/>
              </w:rPr>
            </w:pPr>
            <w:r>
              <w:rPr>
                <w:rFonts w:hint="eastAsia" w:ascii="Times New Roman" w:hAnsi="Times New Roman"/>
                <w:kern w:val="0"/>
                <w:szCs w:val="21"/>
                <w:lang w:val="en-US" w:eastAsia="zh-CN"/>
              </w:rPr>
              <w:t>188</w:t>
            </w:r>
          </w:p>
        </w:tc>
        <w:tc>
          <w:tcPr>
            <w:tcW w:w="1166" w:type="pct"/>
            <w:vAlign w:val="center"/>
          </w:tcPr>
          <w:p w14:paraId="798CAD44">
            <w:pPr>
              <w:widowControl/>
              <w:jc w:val="center"/>
              <w:textAlignment w:val="center"/>
              <w:rPr>
                <w:rFonts w:ascii="Times New Roman" w:hAnsi="Times New Roman"/>
                <w:kern w:val="0"/>
                <w:szCs w:val="21"/>
              </w:rPr>
            </w:pPr>
            <w:r>
              <w:rPr>
                <w:rFonts w:hint="eastAsia" w:ascii="宋体" w:hAnsi="宋体" w:cs="宋体"/>
                <w:kern w:val="0"/>
                <w:szCs w:val="21"/>
                <w:lang w:bidi="ar"/>
              </w:rPr>
              <w:t>按展厅装修标准</w:t>
            </w:r>
          </w:p>
        </w:tc>
        <w:tc>
          <w:tcPr>
            <w:tcW w:w="932" w:type="pct"/>
            <w:vAlign w:val="center"/>
          </w:tcPr>
          <w:p w14:paraId="4066EA8F">
            <w:pPr>
              <w:widowControl/>
              <w:jc w:val="center"/>
              <w:textAlignment w:val="center"/>
              <w:rPr>
                <w:rFonts w:ascii="Times New Roman" w:hAnsi="Times New Roman"/>
                <w:kern w:val="0"/>
                <w:szCs w:val="21"/>
              </w:rPr>
            </w:pPr>
            <w:r>
              <w:rPr>
                <w:rFonts w:hint="eastAsia" w:ascii="宋体" w:hAnsi="宋体" w:cs="宋体"/>
                <w:kern w:val="0"/>
                <w:szCs w:val="21"/>
                <w:lang w:bidi="ar"/>
              </w:rPr>
              <w:t>多联机空调</w:t>
            </w:r>
          </w:p>
        </w:tc>
        <w:tc>
          <w:tcPr>
            <w:tcW w:w="817" w:type="pct"/>
            <w:vAlign w:val="center"/>
          </w:tcPr>
          <w:p w14:paraId="1CE71D16">
            <w:pPr>
              <w:widowControl/>
              <w:jc w:val="center"/>
              <w:textAlignment w:val="center"/>
              <w:rPr>
                <w:rFonts w:ascii="Times New Roman" w:hAnsi="Times New Roman"/>
                <w:kern w:val="0"/>
                <w:szCs w:val="21"/>
              </w:rPr>
            </w:pPr>
            <w:r>
              <w:rPr>
                <w:rFonts w:hint="eastAsia" w:ascii="宋体" w:hAnsi="宋体" w:cs="宋体"/>
                <w:kern w:val="0"/>
                <w:szCs w:val="21"/>
                <w:lang w:bidi="ar"/>
              </w:rPr>
              <w:t>大楼水消防</w:t>
            </w:r>
          </w:p>
        </w:tc>
      </w:tr>
      <w:tr w14:paraId="3AFD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2" w:type="pct"/>
            <w:vAlign w:val="center"/>
          </w:tcPr>
          <w:p w14:paraId="3704E0AB">
            <w:pPr>
              <w:widowControl/>
              <w:jc w:val="center"/>
              <w:textAlignment w:val="center"/>
              <w:rPr>
                <w:rFonts w:ascii="Times New Roman" w:hAnsi="Times New Roman"/>
                <w:kern w:val="0"/>
                <w:szCs w:val="21"/>
              </w:rPr>
            </w:pPr>
            <w:r>
              <w:rPr>
                <w:rFonts w:ascii="Times New Roman" w:hAnsi="Times New Roman"/>
                <w:kern w:val="0"/>
                <w:szCs w:val="21"/>
              </w:rPr>
              <w:t>2</w:t>
            </w:r>
          </w:p>
        </w:tc>
        <w:tc>
          <w:tcPr>
            <w:tcW w:w="1073" w:type="pct"/>
            <w:vAlign w:val="center"/>
          </w:tcPr>
          <w:p w14:paraId="0D9BB3DA">
            <w:pPr>
              <w:widowControl/>
              <w:jc w:val="center"/>
              <w:textAlignment w:val="center"/>
              <w:rPr>
                <w:rFonts w:ascii="Times New Roman" w:hAnsi="Times New Roman"/>
                <w:kern w:val="0"/>
                <w:szCs w:val="21"/>
              </w:rPr>
            </w:pPr>
            <w:r>
              <w:rPr>
                <w:rFonts w:hint="eastAsia" w:ascii="Times New Roman" w:hAnsi="Times New Roman"/>
                <w:kern w:val="0"/>
                <w:szCs w:val="21"/>
                <w:lang w:val="en-US" w:eastAsia="zh-CN"/>
              </w:rPr>
              <w:t>二层</w:t>
            </w:r>
            <w:r>
              <w:rPr>
                <w:rFonts w:hint="eastAsia" w:ascii="Times New Roman" w:hAnsi="Times New Roman"/>
                <w:kern w:val="0"/>
                <w:szCs w:val="21"/>
              </w:rPr>
              <w:t>生态互动区</w:t>
            </w:r>
          </w:p>
        </w:tc>
        <w:tc>
          <w:tcPr>
            <w:tcW w:w="667" w:type="pct"/>
            <w:vAlign w:val="center"/>
          </w:tcPr>
          <w:p w14:paraId="353651C2">
            <w:pPr>
              <w:widowControl/>
              <w:jc w:val="center"/>
              <w:textAlignment w:val="center"/>
              <w:rPr>
                <w:rFonts w:hint="default" w:ascii="Times New Roman" w:hAnsi="Times New Roman" w:eastAsia="宋体"/>
                <w:kern w:val="0"/>
                <w:szCs w:val="21"/>
                <w:lang w:val="en-US" w:eastAsia="zh-CN"/>
              </w:rPr>
            </w:pPr>
            <w:r>
              <w:rPr>
                <w:rFonts w:hint="eastAsia" w:ascii="Times New Roman" w:hAnsi="Times New Roman"/>
                <w:kern w:val="0"/>
                <w:szCs w:val="21"/>
                <w:lang w:val="en-US" w:eastAsia="zh-CN"/>
              </w:rPr>
              <w:t>324</w:t>
            </w:r>
          </w:p>
        </w:tc>
        <w:tc>
          <w:tcPr>
            <w:tcW w:w="1166" w:type="pct"/>
            <w:vAlign w:val="center"/>
          </w:tcPr>
          <w:p w14:paraId="673460B1">
            <w:pPr>
              <w:widowControl/>
              <w:jc w:val="center"/>
              <w:textAlignment w:val="center"/>
              <w:rPr>
                <w:rFonts w:ascii="Times New Roman" w:hAnsi="Times New Roman"/>
                <w:kern w:val="0"/>
                <w:szCs w:val="21"/>
              </w:rPr>
            </w:pPr>
            <w:r>
              <w:rPr>
                <w:rFonts w:hint="eastAsia" w:ascii="宋体" w:hAnsi="宋体" w:cs="宋体"/>
                <w:kern w:val="0"/>
                <w:szCs w:val="21"/>
                <w:lang w:bidi="ar"/>
              </w:rPr>
              <w:t>按展厅装修标准</w:t>
            </w:r>
          </w:p>
        </w:tc>
        <w:tc>
          <w:tcPr>
            <w:tcW w:w="932" w:type="pct"/>
            <w:vAlign w:val="center"/>
          </w:tcPr>
          <w:p w14:paraId="3BFFA0B3">
            <w:pPr>
              <w:widowControl/>
              <w:jc w:val="center"/>
              <w:textAlignment w:val="center"/>
              <w:rPr>
                <w:rFonts w:ascii="Times New Roman" w:hAnsi="Times New Roman"/>
                <w:kern w:val="0"/>
                <w:szCs w:val="21"/>
              </w:rPr>
            </w:pPr>
            <w:r>
              <w:rPr>
                <w:rFonts w:hint="eastAsia" w:ascii="宋体" w:hAnsi="宋体" w:cs="宋体"/>
                <w:kern w:val="0"/>
                <w:szCs w:val="21"/>
                <w:lang w:bidi="ar"/>
              </w:rPr>
              <w:t>多联机空调</w:t>
            </w:r>
          </w:p>
        </w:tc>
        <w:tc>
          <w:tcPr>
            <w:tcW w:w="817" w:type="pct"/>
            <w:vAlign w:val="center"/>
          </w:tcPr>
          <w:p w14:paraId="1A8620F5">
            <w:pPr>
              <w:widowControl/>
              <w:jc w:val="center"/>
              <w:textAlignment w:val="center"/>
              <w:rPr>
                <w:rFonts w:ascii="Times New Roman" w:hAnsi="Times New Roman"/>
                <w:kern w:val="0"/>
                <w:szCs w:val="21"/>
              </w:rPr>
            </w:pPr>
            <w:r>
              <w:rPr>
                <w:rFonts w:hint="eastAsia" w:ascii="宋体" w:hAnsi="宋体" w:cs="宋体"/>
                <w:kern w:val="0"/>
                <w:szCs w:val="21"/>
                <w:lang w:bidi="ar"/>
              </w:rPr>
              <w:t>大楼水消防</w:t>
            </w:r>
          </w:p>
        </w:tc>
      </w:tr>
    </w:tbl>
    <w:p w14:paraId="40569A60">
      <w:pPr>
        <w:pStyle w:val="6"/>
        <w:adjustRightInd/>
        <w:snapToGrid/>
        <w:spacing w:line="360" w:lineRule="auto"/>
        <w:rPr>
          <w:b w:val="0"/>
          <w:bCs w:val="0"/>
        </w:rPr>
      </w:pPr>
      <w:r>
        <w:rPr>
          <w:rFonts w:hint="eastAsia"/>
          <w:b w:val="0"/>
          <w:bCs w:val="0"/>
        </w:rPr>
        <w:t>2.2.2.2.1装修工程</w:t>
      </w:r>
    </w:p>
    <w:p w14:paraId="437D3195">
      <w:pPr>
        <w:spacing w:line="360" w:lineRule="auto"/>
        <w:ind w:firstLine="480" w:firstLineChars="200"/>
        <w:rPr>
          <w:rFonts w:ascii="Times New Roman" w:hAnsi="Times New Roman"/>
          <w:sz w:val="24"/>
        </w:rPr>
      </w:pPr>
      <w:r>
        <w:rPr>
          <w:rFonts w:hint="eastAsia" w:ascii="宋体" w:hAnsi="宋体"/>
          <w:sz w:val="24"/>
        </w:rPr>
        <w:t>本项目为广州南沙供电局庆盛粤港澳大湾区生态合作型营业厅场所进行设计布局及室内装修，装修面积约</w:t>
      </w:r>
      <w:r>
        <w:rPr>
          <w:rFonts w:hint="eastAsia" w:ascii="宋体" w:hAnsi="宋体"/>
          <w:sz w:val="24"/>
          <w:lang w:val="en-US" w:eastAsia="zh-CN"/>
        </w:rPr>
        <w:t>512</w:t>
      </w:r>
      <w:r>
        <w:rPr>
          <w:rFonts w:hint="eastAsia" w:ascii="宋体" w:hAnsi="宋体"/>
          <w:sz w:val="24"/>
        </w:rPr>
        <w:t>平方米。</w:t>
      </w:r>
    </w:p>
    <w:p w14:paraId="557B8A60">
      <w:pPr>
        <w:spacing w:line="360" w:lineRule="auto"/>
        <w:ind w:firstLine="480" w:firstLineChars="200"/>
        <w:jc w:val="left"/>
        <w:rPr>
          <w:rFonts w:ascii="宋体" w:hAnsi="宋体"/>
          <w:sz w:val="24"/>
        </w:rPr>
      </w:pPr>
      <w:r>
        <w:rPr>
          <w:rFonts w:hint="eastAsia" w:ascii="宋体" w:hAnsi="宋体"/>
          <w:sz w:val="24"/>
        </w:rPr>
        <w:t>装修工程根据功能空间的使用用途，对功能空间天、地、墙及门窗进行设计，采用高标准设计室内装饰，在声学、照明、色彩、材料装饰品等几方面提升空间形象。</w:t>
      </w:r>
    </w:p>
    <w:p w14:paraId="02AF43DB">
      <w:pPr>
        <w:spacing w:line="360" w:lineRule="auto"/>
        <w:jc w:val="center"/>
        <w:rPr>
          <w:rFonts w:ascii="Times New Roman" w:hAnsi="Times New Roman"/>
        </w:rPr>
      </w:pPr>
      <w:r>
        <w:rPr>
          <w:rFonts w:ascii="Times New Roman" w:hAnsi="Times New Roman" w:eastAsia="黑体"/>
          <w:bCs/>
          <w:szCs w:val="21"/>
        </w:rPr>
        <w:t>表</w:t>
      </w:r>
      <w:r>
        <w:rPr>
          <w:rFonts w:hint="eastAsia" w:ascii="Times New Roman" w:hAnsi="Times New Roman" w:eastAsia="黑体"/>
          <w:bCs/>
          <w:szCs w:val="21"/>
        </w:rPr>
        <w:t>2</w:t>
      </w:r>
      <w:r>
        <w:rPr>
          <w:rFonts w:ascii="Times New Roman" w:hAnsi="Times New Roman" w:eastAsia="黑体"/>
          <w:bCs/>
          <w:szCs w:val="21"/>
        </w:rPr>
        <w:t>-</w:t>
      </w:r>
      <w:r>
        <w:rPr>
          <w:rFonts w:hint="eastAsia" w:ascii="Times New Roman" w:hAnsi="Times New Roman" w:eastAsia="黑体"/>
          <w:bCs/>
          <w:szCs w:val="21"/>
        </w:rPr>
        <w:t>2</w:t>
      </w:r>
      <w:r>
        <w:rPr>
          <w:rFonts w:ascii="Times New Roman" w:hAnsi="Times New Roman" w:eastAsia="黑体"/>
          <w:bCs/>
          <w:szCs w:val="21"/>
        </w:rPr>
        <w:t xml:space="preserve"> </w:t>
      </w:r>
      <w:r>
        <w:rPr>
          <w:rFonts w:hint="eastAsia" w:ascii="Times New Roman" w:hAnsi="Times New Roman" w:eastAsia="黑体"/>
          <w:bCs/>
          <w:szCs w:val="21"/>
        </w:rPr>
        <w:t>广州南沙供电局庆盛粤港澳大湾区生态合作型营业厅建设</w:t>
      </w:r>
      <w:r>
        <w:rPr>
          <w:rFonts w:ascii="Times New Roman" w:hAnsi="Times New Roman" w:eastAsia="黑体"/>
          <w:bCs/>
          <w:szCs w:val="21"/>
        </w:rPr>
        <w:t>装修方案</w:t>
      </w:r>
    </w:p>
    <w:tbl>
      <w:tblPr>
        <w:tblStyle w:val="16"/>
        <w:tblW w:w="8925" w:type="dxa"/>
        <w:jc w:val="center"/>
        <w:tblLayout w:type="autofit"/>
        <w:tblCellMar>
          <w:top w:w="0" w:type="dxa"/>
          <w:left w:w="108" w:type="dxa"/>
          <w:bottom w:w="0" w:type="dxa"/>
          <w:right w:w="108" w:type="dxa"/>
        </w:tblCellMar>
      </w:tblPr>
      <w:tblGrid>
        <w:gridCol w:w="716"/>
        <w:gridCol w:w="1689"/>
        <w:gridCol w:w="2127"/>
        <w:gridCol w:w="1240"/>
        <w:gridCol w:w="1941"/>
        <w:gridCol w:w="1212"/>
      </w:tblGrid>
      <w:tr w14:paraId="3BEB1E6C">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3AFC">
            <w:pPr>
              <w:widowControl/>
              <w:jc w:val="center"/>
              <w:textAlignment w:val="center"/>
              <w:rPr>
                <w:rFonts w:ascii="宋体" w:hAnsi="宋体" w:cs="宋体"/>
                <w:b/>
                <w:bCs/>
                <w:color w:val="000000"/>
                <w:sz w:val="22"/>
                <w:szCs w:val="22"/>
              </w:rPr>
            </w:pPr>
            <w:r>
              <w:rPr>
                <w:rFonts w:hint="eastAsia" w:ascii="宋体" w:hAnsi="宋体" w:cs="宋体"/>
                <w:b/>
                <w:bCs/>
                <w:color w:val="000000"/>
                <w:sz w:val="22"/>
                <w:szCs w:val="22"/>
                <w:lang w:bidi="ar"/>
              </w:rPr>
              <w:t>序号</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B78D">
            <w:pPr>
              <w:widowControl/>
              <w:jc w:val="center"/>
              <w:textAlignment w:val="center"/>
              <w:rPr>
                <w:rFonts w:ascii="宋体" w:hAnsi="宋体" w:cs="宋体"/>
                <w:b/>
                <w:bCs/>
                <w:color w:val="000000"/>
                <w:sz w:val="22"/>
                <w:szCs w:val="22"/>
              </w:rPr>
            </w:pPr>
            <w:r>
              <w:rPr>
                <w:rFonts w:hint="eastAsia" w:ascii="宋体" w:hAnsi="宋体" w:cs="宋体"/>
                <w:b/>
                <w:bCs/>
                <w:color w:val="000000"/>
                <w:sz w:val="22"/>
                <w:szCs w:val="22"/>
                <w:lang w:bidi="ar"/>
              </w:rPr>
              <w:t>区域名称</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8C89">
            <w:pPr>
              <w:widowControl/>
              <w:jc w:val="center"/>
              <w:textAlignment w:val="center"/>
              <w:rPr>
                <w:rFonts w:ascii="宋体" w:hAnsi="宋体" w:cs="宋体"/>
                <w:b/>
                <w:bCs/>
                <w:color w:val="000000"/>
                <w:sz w:val="22"/>
                <w:szCs w:val="22"/>
              </w:rPr>
            </w:pPr>
            <w:r>
              <w:rPr>
                <w:rFonts w:hint="eastAsia" w:ascii="宋体" w:hAnsi="宋体" w:cs="宋体"/>
                <w:b/>
                <w:bCs/>
                <w:color w:val="000000"/>
                <w:sz w:val="22"/>
                <w:szCs w:val="22"/>
                <w:lang w:bidi="ar"/>
              </w:rPr>
              <w:t>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6EC2">
            <w:pPr>
              <w:widowControl/>
              <w:jc w:val="center"/>
              <w:textAlignment w:val="center"/>
              <w:rPr>
                <w:rFonts w:ascii="宋体" w:hAnsi="宋体" w:cs="宋体"/>
                <w:b/>
                <w:bCs/>
                <w:color w:val="000000"/>
                <w:sz w:val="22"/>
                <w:szCs w:val="22"/>
              </w:rPr>
            </w:pPr>
            <w:r>
              <w:rPr>
                <w:rFonts w:hint="eastAsia" w:ascii="宋体" w:hAnsi="宋体" w:cs="宋体"/>
                <w:b/>
                <w:bCs/>
                <w:color w:val="000000"/>
                <w:sz w:val="22"/>
                <w:szCs w:val="22"/>
                <w:lang w:bidi="ar"/>
              </w:rPr>
              <w:t>地板</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0694">
            <w:pPr>
              <w:widowControl/>
              <w:jc w:val="center"/>
              <w:textAlignment w:val="center"/>
              <w:rPr>
                <w:rFonts w:ascii="宋体" w:hAnsi="宋体" w:cs="宋体"/>
                <w:b/>
                <w:bCs/>
                <w:color w:val="000000"/>
                <w:sz w:val="22"/>
                <w:szCs w:val="22"/>
              </w:rPr>
            </w:pPr>
            <w:r>
              <w:rPr>
                <w:rFonts w:hint="eastAsia" w:ascii="宋体" w:hAnsi="宋体" w:cs="宋体"/>
                <w:b/>
                <w:bCs/>
                <w:color w:val="000000"/>
                <w:sz w:val="22"/>
                <w:szCs w:val="22"/>
                <w:lang w:bidi="ar"/>
              </w:rPr>
              <w:t>墙面</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5095">
            <w:pPr>
              <w:widowControl/>
              <w:jc w:val="center"/>
              <w:textAlignment w:val="center"/>
              <w:rPr>
                <w:rFonts w:ascii="宋体" w:hAnsi="宋体" w:cs="宋体"/>
                <w:b/>
                <w:bCs/>
                <w:color w:val="000000"/>
                <w:sz w:val="22"/>
                <w:szCs w:val="22"/>
              </w:rPr>
            </w:pPr>
            <w:r>
              <w:rPr>
                <w:rFonts w:hint="eastAsia" w:ascii="宋体" w:hAnsi="宋体" w:cs="宋体"/>
                <w:b/>
                <w:bCs/>
                <w:color w:val="000000"/>
                <w:sz w:val="22"/>
                <w:szCs w:val="22"/>
                <w:lang w:bidi="ar"/>
              </w:rPr>
              <w:t>门窗</w:t>
            </w:r>
          </w:p>
        </w:tc>
      </w:tr>
      <w:tr w14:paraId="1F946A20">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FB36">
            <w:pPr>
              <w:widowControl/>
              <w:jc w:val="center"/>
              <w:textAlignment w:val="center"/>
              <w:rPr>
                <w:rFonts w:ascii="宋体" w:hAnsi="宋体" w:cs="宋体"/>
                <w:color w:val="000000"/>
                <w:sz w:val="22"/>
                <w:szCs w:val="22"/>
                <w:lang w:bidi="ar"/>
              </w:rPr>
            </w:pPr>
            <w:r>
              <w:rPr>
                <w:rFonts w:ascii="宋体" w:hAnsi="宋体" w:cs="宋体"/>
                <w:color w:val="000000"/>
                <w:sz w:val="22"/>
                <w:szCs w:val="22"/>
                <w:lang w:bidi="ar"/>
              </w:rPr>
              <w:t>1</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28A0">
            <w:pPr>
              <w:widowControl/>
              <w:jc w:val="center"/>
              <w:rPr>
                <w:rFonts w:ascii="宋体" w:hAnsi="宋体" w:cs="宋体"/>
                <w:sz w:val="20"/>
                <w:szCs w:val="22"/>
              </w:rPr>
            </w:pPr>
            <w:r>
              <w:rPr>
                <w:rFonts w:hint="eastAsia" w:ascii="宋体" w:hAnsi="宋体" w:cs="宋体"/>
                <w:sz w:val="20"/>
                <w:szCs w:val="22"/>
                <w:lang w:val="en-US" w:eastAsia="zh-CN"/>
              </w:rPr>
              <w:t>一层</w:t>
            </w:r>
            <w:r>
              <w:rPr>
                <w:rFonts w:hint="eastAsia" w:ascii="宋体" w:hAnsi="宋体" w:cs="宋体"/>
                <w:sz w:val="20"/>
                <w:szCs w:val="22"/>
              </w:rPr>
              <w:t>主题形象区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4C15">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平级石膏板天花+定制非标异形灯箱软膜天花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7FD2">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A6BFD">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非标定制石材墙面+金属立体字logo标志</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9471">
            <w:pPr>
              <w:rPr>
                <w:rFonts w:ascii="宋体" w:hAnsi="宋体" w:cs="宋体"/>
                <w:color w:val="000000"/>
                <w:sz w:val="22"/>
                <w:szCs w:val="22"/>
              </w:rPr>
            </w:pPr>
            <w:r>
              <w:rPr>
                <w:rFonts w:hint="eastAsia" w:ascii="宋体" w:hAnsi="宋体" w:cs="宋体"/>
                <w:color w:val="000000"/>
                <w:sz w:val="22"/>
                <w:szCs w:val="22"/>
                <w:lang w:bidi="ar"/>
              </w:rPr>
              <w:t>电动窗帘</w:t>
            </w:r>
          </w:p>
        </w:tc>
      </w:tr>
      <w:tr w14:paraId="3230ABCA">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1482">
            <w:pPr>
              <w:widowControl/>
              <w:jc w:val="center"/>
              <w:textAlignment w:val="center"/>
              <w:rPr>
                <w:rFonts w:ascii="宋体" w:hAnsi="宋体" w:cs="宋体"/>
                <w:color w:val="000000"/>
                <w:sz w:val="22"/>
                <w:szCs w:val="22"/>
                <w:lang w:bidi="ar"/>
              </w:rPr>
            </w:pPr>
            <w:r>
              <w:rPr>
                <w:rFonts w:hint="eastAsia" w:ascii="宋体" w:hAnsi="宋体" w:cs="宋体"/>
                <w:color w:val="000000"/>
                <w:sz w:val="22"/>
                <w:szCs w:val="22"/>
                <w:lang w:bidi="ar"/>
              </w:rPr>
              <w:t>2</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929E">
            <w:pPr>
              <w:widowControl/>
              <w:jc w:val="center"/>
              <w:rPr>
                <w:rFonts w:ascii="宋体" w:hAnsi="宋体" w:cs="宋体"/>
                <w:sz w:val="20"/>
                <w:szCs w:val="22"/>
              </w:rPr>
            </w:pPr>
            <w:r>
              <w:rPr>
                <w:rFonts w:hint="eastAsia" w:ascii="宋体" w:hAnsi="宋体" w:cs="宋体"/>
                <w:sz w:val="20"/>
                <w:szCs w:val="22"/>
                <w:lang w:val="en-US" w:eastAsia="zh-CN"/>
              </w:rPr>
              <w:t>一层</w:t>
            </w:r>
            <w:r>
              <w:rPr>
                <w:rFonts w:hint="eastAsia" w:ascii="宋体" w:hAnsi="宋体" w:cs="宋体"/>
                <w:sz w:val="20"/>
                <w:szCs w:val="22"/>
              </w:rPr>
              <w:t>智能服务区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BDF8">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平级石膏板天花+定制非标异形灯箱软膜天花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B5A1">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8F7F">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非标定制造型墙面，铝板+木纹装饰板饰面</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5C2D8">
            <w:pPr>
              <w:rPr>
                <w:rFonts w:ascii="宋体" w:hAnsi="宋体" w:cs="宋体"/>
                <w:color w:val="000000"/>
                <w:sz w:val="22"/>
                <w:szCs w:val="22"/>
              </w:rPr>
            </w:pPr>
          </w:p>
        </w:tc>
      </w:tr>
      <w:tr w14:paraId="4B216A93">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3DA0">
            <w:pPr>
              <w:widowControl/>
              <w:jc w:val="center"/>
              <w:textAlignment w:val="center"/>
              <w:rPr>
                <w:rFonts w:ascii="宋体" w:hAnsi="宋体" w:cs="宋体"/>
                <w:color w:val="000000"/>
                <w:sz w:val="22"/>
                <w:szCs w:val="22"/>
              </w:rPr>
            </w:pPr>
            <w:r>
              <w:rPr>
                <w:rFonts w:hint="eastAsia" w:ascii="宋体" w:hAnsi="宋体" w:cs="宋体"/>
                <w:color w:val="000000"/>
                <w:sz w:val="22"/>
                <w:szCs w:val="22"/>
                <w:lang w:bidi="ar"/>
              </w:rPr>
              <w:t>3</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E36A">
            <w:pPr>
              <w:widowControl/>
              <w:jc w:val="center"/>
              <w:rPr>
                <w:rFonts w:ascii="宋体" w:hAnsi="宋体" w:cs="宋体"/>
                <w:color w:val="000000"/>
                <w:sz w:val="22"/>
                <w:szCs w:val="22"/>
              </w:rPr>
            </w:pPr>
            <w:r>
              <w:rPr>
                <w:rFonts w:hint="eastAsia" w:ascii="宋体" w:hAnsi="宋体" w:cs="宋体"/>
                <w:sz w:val="20"/>
                <w:szCs w:val="22"/>
                <w:lang w:val="en-US" w:eastAsia="zh-CN"/>
              </w:rPr>
              <w:t>一层</w:t>
            </w:r>
            <w:r>
              <w:rPr>
                <w:rFonts w:hint="eastAsia" w:ascii="宋体" w:hAnsi="宋体" w:cs="宋体"/>
                <w:sz w:val="20"/>
                <w:szCs w:val="22"/>
              </w:rPr>
              <w:t>用户体验区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2D80">
            <w:pPr>
              <w:widowControl/>
              <w:jc w:val="left"/>
              <w:textAlignment w:val="center"/>
              <w:rPr>
                <w:rFonts w:ascii="宋体" w:hAnsi="宋体" w:cs="宋体"/>
                <w:color w:val="000000"/>
                <w:sz w:val="22"/>
                <w:szCs w:val="22"/>
              </w:rPr>
            </w:pPr>
            <w:r>
              <w:rPr>
                <w:rFonts w:hint="eastAsia" w:ascii="宋体" w:hAnsi="宋体" w:cs="宋体"/>
                <w:color w:val="000000"/>
                <w:sz w:val="22"/>
                <w:szCs w:val="22"/>
                <w:lang w:bidi="ar"/>
              </w:rPr>
              <w:t>平级石膏板天花+定制非标异形灯箱软膜天花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A7917">
            <w:pPr>
              <w:widowControl/>
              <w:textAlignment w:val="center"/>
              <w:rPr>
                <w:rFonts w:ascii="宋体" w:hAnsi="宋体" w:cs="宋体"/>
                <w:color w:val="000000"/>
                <w:sz w:val="22"/>
                <w:szCs w:val="22"/>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44F48">
            <w:pPr>
              <w:widowControl/>
              <w:textAlignment w:val="center"/>
              <w:rPr>
                <w:rFonts w:ascii="宋体" w:hAnsi="宋体" w:cs="宋体"/>
                <w:color w:val="000000"/>
                <w:sz w:val="22"/>
                <w:szCs w:val="22"/>
              </w:rPr>
            </w:pPr>
            <w:r>
              <w:rPr>
                <w:rFonts w:hint="eastAsia" w:ascii="宋体" w:hAnsi="宋体" w:cs="宋体"/>
                <w:color w:val="000000"/>
                <w:sz w:val="22"/>
                <w:szCs w:val="22"/>
                <w:lang w:bidi="ar"/>
              </w:rPr>
              <w:t>非标定制跌级造型烤漆墙面、非标文创展墙浮雕艺术造型</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25485">
            <w:pPr>
              <w:rPr>
                <w:rFonts w:ascii="宋体" w:hAnsi="宋体" w:cs="宋体"/>
                <w:color w:val="000000"/>
                <w:sz w:val="22"/>
                <w:szCs w:val="22"/>
              </w:rPr>
            </w:pPr>
            <w:r>
              <w:rPr>
                <w:rFonts w:hint="eastAsia" w:ascii="宋体" w:hAnsi="宋体" w:cs="宋体"/>
                <w:color w:val="000000"/>
                <w:sz w:val="22"/>
                <w:szCs w:val="22"/>
                <w:lang w:bidi="ar"/>
              </w:rPr>
              <w:t>定制木质防火检修暗门</w:t>
            </w:r>
          </w:p>
        </w:tc>
      </w:tr>
      <w:tr w14:paraId="51080377">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77B2">
            <w:pPr>
              <w:widowControl/>
              <w:jc w:val="center"/>
              <w:textAlignment w:val="center"/>
              <w:rPr>
                <w:rFonts w:ascii="宋体" w:hAnsi="宋体" w:cs="宋体"/>
                <w:color w:val="000000"/>
                <w:sz w:val="22"/>
                <w:szCs w:val="22"/>
              </w:rPr>
            </w:pPr>
            <w:r>
              <w:rPr>
                <w:rFonts w:hint="eastAsia" w:ascii="宋体" w:hAnsi="宋体" w:cs="宋体"/>
                <w:color w:val="000000"/>
                <w:sz w:val="22"/>
                <w:szCs w:val="22"/>
                <w:lang w:bidi="ar"/>
              </w:rPr>
              <w:t>4</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CFE3">
            <w:pPr>
              <w:widowControl/>
              <w:jc w:val="center"/>
              <w:rPr>
                <w:rFonts w:ascii="宋体" w:hAnsi="宋体" w:cs="宋体"/>
                <w:color w:val="000000"/>
                <w:sz w:val="22"/>
                <w:szCs w:val="22"/>
              </w:rPr>
            </w:pPr>
            <w:r>
              <w:rPr>
                <w:rFonts w:hint="eastAsia" w:ascii="宋体" w:hAnsi="宋体" w:cs="宋体"/>
                <w:sz w:val="20"/>
                <w:szCs w:val="22"/>
                <w:lang w:val="en-US" w:eastAsia="zh-CN"/>
              </w:rPr>
              <w:t>一层</w:t>
            </w:r>
            <w:r>
              <w:rPr>
                <w:rFonts w:hint="eastAsia" w:ascii="宋体" w:hAnsi="宋体" w:cs="宋体"/>
                <w:sz w:val="20"/>
                <w:szCs w:val="22"/>
              </w:rPr>
              <w:t>产品销售区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22AB5">
            <w:pPr>
              <w:widowControl/>
              <w:jc w:val="left"/>
              <w:textAlignment w:val="center"/>
              <w:rPr>
                <w:rFonts w:ascii="宋体" w:hAnsi="宋体" w:cs="宋体"/>
                <w:color w:val="000000"/>
                <w:sz w:val="22"/>
                <w:szCs w:val="22"/>
              </w:rPr>
            </w:pPr>
            <w:r>
              <w:rPr>
                <w:rFonts w:hint="eastAsia" w:ascii="宋体" w:hAnsi="宋体" w:cs="宋体"/>
                <w:color w:val="000000"/>
                <w:sz w:val="22"/>
                <w:szCs w:val="22"/>
                <w:lang w:bidi="ar"/>
              </w:rPr>
              <w:t>平级石膏板天花+定制非标异形灯箱软膜天花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232B">
            <w:pPr>
              <w:widowControl/>
              <w:textAlignment w:val="center"/>
              <w:rPr>
                <w:rFonts w:ascii="宋体" w:hAnsi="宋体" w:cs="宋体"/>
                <w:color w:val="000000"/>
                <w:sz w:val="22"/>
                <w:szCs w:val="22"/>
              </w:rPr>
            </w:pPr>
            <w:r>
              <w:rPr>
                <w:rFonts w:hint="eastAsia" w:ascii="宋体" w:hAnsi="宋体" w:cs="宋体"/>
                <w:color w:val="000000"/>
                <w:sz w:val="22"/>
                <w:szCs w:val="22"/>
                <w:lang w:bidi="ar"/>
              </w:rPr>
              <w:t>地面找平+石材地面，非标定制木纹地台</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8EE15">
            <w:pPr>
              <w:widowControl/>
              <w:textAlignment w:val="center"/>
              <w:rPr>
                <w:rFonts w:ascii="宋体" w:hAnsi="宋体" w:cs="宋体"/>
                <w:color w:val="000000"/>
                <w:sz w:val="22"/>
                <w:szCs w:val="22"/>
              </w:rPr>
            </w:pPr>
            <w:r>
              <w:rPr>
                <w:rFonts w:hint="eastAsia" w:ascii="宋体" w:hAnsi="宋体" w:cs="宋体"/>
                <w:color w:val="000000"/>
                <w:sz w:val="22"/>
                <w:szCs w:val="22"/>
              </w:rPr>
              <w:t>非标定制钢化玻璃屏风造型；</w:t>
            </w:r>
          </w:p>
          <w:p w14:paraId="1C7AF20E">
            <w:pPr>
              <w:widowControl/>
              <w:textAlignment w:val="center"/>
              <w:rPr>
                <w:rFonts w:ascii="宋体" w:hAnsi="宋体" w:cs="宋体"/>
                <w:color w:val="000000"/>
                <w:sz w:val="22"/>
                <w:szCs w:val="22"/>
              </w:rPr>
            </w:pPr>
            <w:r>
              <w:rPr>
                <w:rFonts w:ascii="宋体" w:hAnsi="宋体" w:cs="宋体"/>
                <w:color w:val="000000"/>
                <w:sz w:val="22"/>
                <w:szCs w:val="22"/>
              </w:rPr>
              <w:t>非标定制烤漆包柱造型</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4B6DD">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电动窗帘</w:t>
            </w:r>
          </w:p>
        </w:tc>
      </w:tr>
      <w:tr w14:paraId="2C2EAC2E">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DB80">
            <w:pPr>
              <w:widowControl/>
              <w:jc w:val="center"/>
              <w:textAlignment w:val="center"/>
              <w:rPr>
                <w:rFonts w:ascii="宋体" w:hAnsi="宋体" w:cs="宋体"/>
                <w:color w:val="000000"/>
                <w:sz w:val="22"/>
                <w:szCs w:val="22"/>
                <w:lang w:bidi="ar"/>
              </w:rPr>
            </w:pPr>
            <w:r>
              <w:rPr>
                <w:rFonts w:hint="eastAsia" w:ascii="宋体" w:hAnsi="宋体" w:cs="宋体"/>
                <w:color w:val="000000"/>
                <w:sz w:val="22"/>
                <w:szCs w:val="22"/>
                <w:lang w:bidi="ar"/>
              </w:rPr>
              <w:t>5</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8D39">
            <w:pPr>
              <w:widowControl/>
              <w:jc w:val="center"/>
              <w:rPr>
                <w:rFonts w:ascii="宋体" w:hAnsi="宋体" w:cs="宋体"/>
                <w:sz w:val="20"/>
                <w:szCs w:val="22"/>
              </w:rPr>
            </w:pPr>
            <w:r>
              <w:rPr>
                <w:rFonts w:hint="eastAsia" w:ascii="宋体" w:hAnsi="宋体" w:cs="宋体"/>
                <w:sz w:val="20"/>
                <w:szCs w:val="22"/>
              </w:rPr>
              <w:t>二层接待区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A7BD">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跌级石膏板天花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C3F1">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BA30">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非标定制石材墙面+金属立体字logo标志；</w:t>
            </w:r>
          </w:p>
          <w:p w14:paraId="1060DCEE">
            <w:pPr>
              <w:widowControl/>
              <w:textAlignment w:val="center"/>
              <w:rPr>
                <w:rFonts w:ascii="宋体" w:hAnsi="宋体" w:cs="宋体"/>
                <w:color w:val="000000"/>
                <w:sz w:val="22"/>
                <w:szCs w:val="22"/>
              </w:rPr>
            </w:pPr>
            <w:r>
              <w:rPr>
                <w:rFonts w:ascii="宋体" w:hAnsi="宋体" w:cs="宋体"/>
                <w:color w:val="000000"/>
                <w:sz w:val="22"/>
                <w:szCs w:val="22"/>
                <w:lang w:bidi="ar"/>
              </w:rPr>
              <w:t>非标定制长虹玻璃屏风</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4AE8">
            <w:pPr>
              <w:widowControl/>
              <w:textAlignment w:val="center"/>
              <w:rPr>
                <w:rFonts w:ascii="宋体" w:hAnsi="宋体" w:cs="宋体"/>
                <w:color w:val="000000"/>
                <w:sz w:val="22"/>
                <w:szCs w:val="22"/>
                <w:lang w:bidi="ar"/>
              </w:rPr>
            </w:pPr>
          </w:p>
        </w:tc>
      </w:tr>
      <w:tr w14:paraId="3CE02FE3">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2AF8">
            <w:pPr>
              <w:widowControl/>
              <w:jc w:val="center"/>
              <w:textAlignment w:val="center"/>
              <w:rPr>
                <w:rFonts w:ascii="宋体" w:hAnsi="宋体" w:cs="宋体"/>
                <w:color w:val="000000"/>
                <w:sz w:val="22"/>
                <w:szCs w:val="22"/>
              </w:rPr>
            </w:pPr>
            <w:r>
              <w:rPr>
                <w:rFonts w:hint="eastAsia" w:ascii="宋体" w:hAnsi="宋体" w:cs="宋体"/>
                <w:color w:val="000000"/>
                <w:sz w:val="22"/>
                <w:szCs w:val="22"/>
                <w:lang w:bidi="ar"/>
              </w:rPr>
              <w:t>6</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D1FCB">
            <w:pPr>
              <w:widowControl/>
              <w:jc w:val="center"/>
              <w:rPr>
                <w:rFonts w:ascii="宋体" w:hAnsi="宋体" w:cs="宋体"/>
                <w:color w:val="000000"/>
                <w:sz w:val="22"/>
                <w:szCs w:val="22"/>
              </w:rPr>
            </w:pPr>
            <w:r>
              <w:rPr>
                <w:rFonts w:hint="eastAsia" w:ascii="宋体" w:hAnsi="宋体" w:cs="宋体"/>
                <w:sz w:val="20"/>
                <w:szCs w:val="22"/>
              </w:rPr>
              <w:t>二层合作驻点</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F959">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原有天花无机涂料喷黑处理；</w:t>
            </w:r>
          </w:p>
          <w:p w14:paraId="16499553">
            <w:pPr>
              <w:widowControl/>
              <w:jc w:val="left"/>
              <w:textAlignment w:val="center"/>
              <w:rPr>
                <w:rFonts w:ascii="宋体" w:hAnsi="宋体" w:cs="宋体"/>
                <w:color w:val="000000"/>
                <w:sz w:val="22"/>
                <w:szCs w:val="22"/>
              </w:rPr>
            </w:pPr>
            <w:r>
              <w:rPr>
                <w:rFonts w:ascii="宋体" w:hAnsi="宋体" w:cs="宋体"/>
                <w:color w:val="000000"/>
                <w:sz w:val="22"/>
                <w:szCs w:val="22"/>
                <w:lang w:bidi="ar"/>
              </w:rPr>
              <w:t>叠级石膏板天花延边灯槽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5E2E">
            <w:pPr>
              <w:widowControl/>
              <w:textAlignment w:val="center"/>
              <w:rPr>
                <w:rFonts w:ascii="宋体" w:hAnsi="宋体" w:cs="宋体"/>
                <w:color w:val="000000"/>
                <w:sz w:val="22"/>
                <w:szCs w:val="22"/>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DA10">
            <w:pPr>
              <w:widowControl/>
              <w:textAlignment w:val="center"/>
              <w:rPr>
                <w:rFonts w:ascii="宋体" w:hAnsi="宋体" w:cs="宋体"/>
                <w:color w:val="000000"/>
                <w:sz w:val="22"/>
                <w:szCs w:val="22"/>
              </w:rPr>
            </w:pPr>
            <w:r>
              <w:rPr>
                <w:rFonts w:hint="eastAsia" w:ascii="宋体" w:hAnsi="宋体" w:cs="宋体"/>
                <w:color w:val="000000"/>
                <w:sz w:val="22"/>
                <w:szCs w:val="22"/>
                <w:lang w:bidi="ar"/>
              </w:rPr>
              <w:t>非标定制烤漆墙面、包柱</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5901">
            <w:pPr>
              <w:widowControl/>
              <w:textAlignment w:val="center"/>
              <w:rPr>
                <w:rFonts w:ascii="宋体" w:hAnsi="宋体" w:cs="宋体"/>
                <w:color w:val="000000"/>
                <w:sz w:val="22"/>
                <w:szCs w:val="22"/>
              </w:rPr>
            </w:pPr>
            <w:r>
              <w:rPr>
                <w:rFonts w:hint="eastAsia" w:ascii="宋体" w:hAnsi="宋体" w:cs="宋体"/>
                <w:color w:val="000000"/>
                <w:sz w:val="22"/>
                <w:szCs w:val="22"/>
              </w:rPr>
              <w:t>电动窗帘</w:t>
            </w:r>
          </w:p>
        </w:tc>
      </w:tr>
      <w:tr w14:paraId="02C4AA57">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FDF7">
            <w:pPr>
              <w:widowControl/>
              <w:jc w:val="center"/>
              <w:textAlignment w:val="center"/>
              <w:rPr>
                <w:rFonts w:ascii="宋体" w:hAnsi="宋体" w:cs="宋体"/>
                <w:color w:val="000000"/>
                <w:sz w:val="22"/>
                <w:szCs w:val="22"/>
                <w:lang w:bidi="ar"/>
              </w:rPr>
            </w:pPr>
            <w:r>
              <w:rPr>
                <w:rFonts w:hint="eastAsia" w:ascii="宋体" w:hAnsi="宋体" w:cs="宋体"/>
                <w:color w:val="000000"/>
                <w:sz w:val="22"/>
                <w:szCs w:val="22"/>
                <w:lang w:bidi="ar"/>
              </w:rPr>
              <w:t>7</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D927">
            <w:pPr>
              <w:widowControl/>
              <w:jc w:val="center"/>
              <w:rPr>
                <w:rFonts w:ascii="宋体" w:hAnsi="宋体" w:cs="宋体"/>
                <w:sz w:val="20"/>
                <w:szCs w:val="22"/>
              </w:rPr>
            </w:pPr>
            <w:r>
              <w:rPr>
                <w:rFonts w:hint="eastAsia" w:ascii="宋体" w:hAnsi="宋体" w:cs="宋体"/>
                <w:sz w:val="20"/>
                <w:szCs w:val="22"/>
              </w:rPr>
              <w:t>二层等候休息区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80B7">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平级石膏板天花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1B443">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398B">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非标定制冲孔造型墙面；</w:t>
            </w:r>
          </w:p>
          <w:p w14:paraId="2C4D48A1">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非标定制木纹饰面板墙面</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1D9C">
            <w:pPr>
              <w:widowControl/>
              <w:textAlignment w:val="center"/>
              <w:rPr>
                <w:rFonts w:ascii="宋体" w:hAnsi="宋体" w:cs="宋体"/>
                <w:color w:val="000000"/>
                <w:sz w:val="22"/>
                <w:szCs w:val="22"/>
              </w:rPr>
            </w:pPr>
            <w:r>
              <w:rPr>
                <w:rFonts w:hint="eastAsia" w:ascii="宋体" w:hAnsi="宋体" w:cs="宋体"/>
                <w:color w:val="000000"/>
                <w:sz w:val="22"/>
                <w:szCs w:val="22"/>
              </w:rPr>
              <w:t>电动窗帘</w:t>
            </w:r>
          </w:p>
        </w:tc>
      </w:tr>
      <w:tr w14:paraId="7A854478">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75B7">
            <w:pPr>
              <w:widowControl/>
              <w:jc w:val="center"/>
              <w:textAlignment w:val="center"/>
              <w:rPr>
                <w:rFonts w:ascii="宋体" w:hAnsi="宋体" w:cs="宋体"/>
                <w:color w:val="000000"/>
                <w:sz w:val="22"/>
                <w:szCs w:val="22"/>
              </w:rPr>
            </w:pPr>
            <w:r>
              <w:rPr>
                <w:rFonts w:hint="eastAsia" w:ascii="宋体" w:hAnsi="宋体" w:cs="宋体"/>
                <w:color w:val="000000"/>
                <w:sz w:val="22"/>
                <w:szCs w:val="22"/>
                <w:lang w:bidi="ar"/>
              </w:rPr>
              <w:t>8</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CA77">
            <w:pPr>
              <w:widowControl/>
              <w:jc w:val="center"/>
              <w:rPr>
                <w:rFonts w:ascii="宋体" w:hAnsi="宋体" w:cs="宋体"/>
                <w:color w:val="000000"/>
                <w:sz w:val="22"/>
                <w:szCs w:val="22"/>
              </w:rPr>
            </w:pPr>
            <w:r>
              <w:rPr>
                <w:rFonts w:hint="eastAsia" w:ascii="宋体" w:hAnsi="宋体" w:cs="宋体"/>
                <w:sz w:val="20"/>
                <w:szCs w:val="22"/>
              </w:rPr>
              <w:t>二层商务洽谈区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3809">
            <w:pPr>
              <w:widowControl/>
              <w:jc w:val="left"/>
              <w:textAlignment w:val="center"/>
              <w:rPr>
                <w:rFonts w:ascii="宋体" w:hAnsi="宋体" w:cs="宋体"/>
                <w:color w:val="000000"/>
                <w:sz w:val="22"/>
                <w:szCs w:val="22"/>
              </w:rPr>
            </w:pPr>
            <w:r>
              <w:rPr>
                <w:rFonts w:hint="eastAsia" w:ascii="宋体" w:hAnsi="宋体" w:cs="宋体"/>
                <w:color w:val="000000"/>
                <w:sz w:val="22"/>
                <w:szCs w:val="22"/>
                <w:lang w:bidi="ar"/>
              </w:rPr>
              <w:t>平级石膏板造型天花+渗光灯槽</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6E09">
            <w:pPr>
              <w:widowControl/>
              <w:textAlignment w:val="center"/>
              <w:rPr>
                <w:rFonts w:ascii="宋体" w:hAnsi="宋体" w:cs="宋体"/>
                <w:color w:val="000000"/>
                <w:sz w:val="22"/>
                <w:szCs w:val="22"/>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63BC">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非标定制冲孔造型墙面；</w:t>
            </w:r>
          </w:p>
          <w:p w14:paraId="4B5F3506">
            <w:pPr>
              <w:widowControl/>
              <w:textAlignment w:val="center"/>
              <w:rPr>
                <w:rFonts w:ascii="宋体" w:hAnsi="宋体" w:cs="宋体"/>
                <w:color w:val="000000"/>
                <w:sz w:val="22"/>
                <w:szCs w:val="22"/>
              </w:rPr>
            </w:pPr>
            <w:r>
              <w:rPr>
                <w:rFonts w:hint="eastAsia" w:ascii="宋体" w:hAnsi="宋体" w:cs="宋体"/>
                <w:color w:val="000000"/>
                <w:sz w:val="22"/>
                <w:szCs w:val="22"/>
                <w:lang w:bidi="ar"/>
              </w:rPr>
              <w:t>非标定制烤漆墙面</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1F449">
            <w:pPr>
              <w:widowControl/>
              <w:textAlignment w:val="center"/>
              <w:rPr>
                <w:rFonts w:ascii="宋体" w:hAnsi="宋体" w:cs="宋体"/>
                <w:color w:val="000000"/>
                <w:sz w:val="22"/>
                <w:szCs w:val="22"/>
              </w:rPr>
            </w:pPr>
            <w:r>
              <w:rPr>
                <w:rFonts w:ascii="宋体" w:hAnsi="宋体" w:cs="宋体"/>
                <w:color w:val="000000"/>
                <w:sz w:val="22"/>
                <w:szCs w:val="22"/>
              </w:rPr>
              <w:t>钢化玻璃双开推拉门</w:t>
            </w:r>
          </w:p>
        </w:tc>
      </w:tr>
      <w:tr w14:paraId="5F1C49D8">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B963">
            <w:pPr>
              <w:widowControl/>
              <w:jc w:val="center"/>
              <w:textAlignment w:val="center"/>
              <w:rPr>
                <w:rFonts w:ascii="宋体" w:hAnsi="宋体" w:cs="宋体"/>
                <w:color w:val="000000"/>
                <w:sz w:val="22"/>
                <w:szCs w:val="22"/>
                <w:lang w:bidi="ar"/>
              </w:rPr>
            </w:pPr>
            <w:r>
              <w:rPr>
                <w:rFonts w:hint="eastAsia" w:ascii="宋体" w:hAnsi="宋体" w:cs="宋体"/>
                <w:color w:val="000000"/>
                <w:sz w:val="22"/>
                <w:szCs w:val="22"/>
                <w:lang w:bidi="ar"/>
              </w:rPr>
              <w:t>9</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4E64D">
            <w:pPr>
              <w:widowControl/>
              <w:jc w:val="center"/>
              <w:rPr>
                <w:rFonts w:ascii="宋体" w:hAnsi="宋体" w:cs="宋体"/>
                <w:sz w:val="20"/>
                <w:szCs w:val="22"/>
              </w:rPr>
            </w:pPr>
            <w:r>
              <w:rPr>
                <w:rFonts w:hint="eastAsia" w:ascii="宋体" w:hAnsi="宋体" w:cs="宋体"/>
                <w:sz w:val="20"/>
                <w:szCs w:val="22"/>
              </w:rPr>
              <w:t>二层接待及茶水间</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401ED">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平级石膏板天花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8E6D">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6E7AF">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非标定制隔断型橱柜</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2D041">
            <w:pPr>
              <w:widowControl/>
              <w:textAlignment w:val="center"/>
              <w:rPr>
                <w:rFonts w:ascii="宋体" w:hAnsi="宋体" w:cs="宋体"/>
                <w:color w:val="000000"/>
                <w:sz w:val="22"/>
                <w:szCs w:val="22"/>
              </w:rPr>
            </w:pPr>
            <w:r>
              <w:rPr>
                <w:rFonts w:hint="eastAsia" w:ascii="宋体" w:hAnsi="宋体" w:cs="宋体"/>
                <w:color w:val="000000"/>
                <w:sz w:val="22"/>
                <w:szCs w:val="22"/>
              </w:rPr>
              <w:t>电动窗帘</w:t>
            </w:r>
          </w:p>
        </w:tc>
      </w:tr>
      <w:tr w14:paraId="30B0C1F0">
        <w:tblPrEx>
          <w:tblCellMar>
            <w:top w:w="0" w:type="dxa"/>
            <w:left w:w="108" w:type="dxa"/>
            <w:bottom w:w="0" w:type="dxa"/>
            <w:right w:w="108" w:type="dxa"/>
          </w:tblCellMar>
        </w:tblPrEx>
        <w:trPr>
          <w:trHeight w:val="288"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C39A">
            <w:pPr>
              <w:widowControl/>
              <w:jc w:val="center"/>
              <w:textAlignment w:val="center"/>
              <w:rPr>
                <w:rFonts w:ascii="宋体" w:hAnsi="宋体" w:cs="宋体"/>
                <w:color w:val="000000"/>
                <w:sz w:val="22"/>
                <w:szCs w:val="22"/>
                <w:lang w:bidi="ar"/>
              </w:rPr>
            </w:pPr>
            <w:r>
              <w:rPr>
                <w:rFonts w:hint="eastAsia" w:ascii="宋体" w:hAnsi="宋体" w:cs="宋体"/>
                <w:color w:val="000000"/>
                <w:sz w:val="22"/>
                <w:szCs w:val="22"/>
                <w:lang w:bidi="ar"/>
              </w:rPr>
              <w:t>10</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1C682">
            <w:pPr>
              <w:widowControl/>
              <w:jc w:val="center"/>
              <w:rPr>
                <w:rFonts w:ascii="宋体" w:hAnsi="宋体" w:cs="宋体"/>
                <w:sz w:val="20"/>
                <w:szCs w:val="22"/>
              </w:rPr>
            </w:pPr>
            <w:r>
              <w:rPr>
                <w:rFonts w:hint="eastAsia" w:ascii="宋体" w:hAnsi="宋体" w:cs="宋体"/>
                <w:sz w:val="20"/>
                <w:szCs w:val="22"/>
              </w:rPr>
              <w:t>二层营销活动（双碳沙龙区）</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941B7">
            <w:pPr>
              <w:widowControl/>
              <w:jc w:val="left"/>
              <w:textAlignment w:val="center"/>
              <w:rPr>
                <w:rFonts w:ascii="宋体" w:hAnsi="宋体" w:cs="宋体"/>
                <w:color w:val="000000"/>
                <w:sz w:val="22"/>
                <w:szCs w:val="22"/>
                <w:lang w:bidi="ar"/>
              </w:rPr>
            </w:pPr>
            <w:r>
              <w:rPr>
                <w:rFonts w:hint="eastAsia" w:ascii="宋体" w:hAnsi="宋体" w:cs="宋体"/>
                <w:color w:val="000000"/>
                <w:sz w:val="22"/>
                <w:szCs w:val="22"/>
                <w:lang w:bidi="ar"/>
              </w:rPr>
              <w:t>平级石膏板天花+定制非标异形灯箱软膜天花</w:t>
            </w:r>
          </w:p>
        </w:tc>
        <w:tc>
          <w:tcPr>
            <w:tcW w:w="12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F72E">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地面找平+石材地面</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D1216">
            <w:pPr>
              <w:widowControl/>
              <w:textAlignment w:val="center"/>
              <w:rPr>
                <w:rFonts w:ascii="宋体" w:hAnsi="宋体" w:cs="宋体"/>
                <w:color w:val="000000"/>
                <w:sz w:val="22"/>
                <w:szCs w:val="22"/>
                <w:lang w:bidi="ar"/>
              </w:rPr>
            </w:pPr>
            <w:r>
              <w:rPr>
                <w:rFonts w:hint="eastAsia" w:ascii="宋体" w:hAnsi="宋体" w:cs="宋体"/>
                <w:color w:val="000000"/>
                <w:sz w:val="22"/>
                <w:szCs w:val="22"/>
                <w:lang w:bidi="ar"/>
              </w:rPr>
              <w:t>非标定制造型烤漆墙面、包柱；</w:t>
            </w:r>
          </w:p>
          <w:p w14:paraId="38D95031">
            <w:pPr>
              <w:widowControl/>
              <w:textAlignment w:val="center"/>
              <w:rPr>
                <w:rFonts w:ascii="宋体" w:hAnsi="宋体" w:cs="宋体"/>
                <w:color w:val="000000"/>
                <w:sz w:val="22"/>
                <w:szCs w:val="22"/>
                <w:lang w:bidi="ar"/>
              </w:rPr>
            </w:pPr>
            <w:r>
              <w:rPr>
                <w:rFonts w:ascii="宋体" w:hAnsi="宋体" w:cs="宋体"/>
                <w:color w:val="000000"/>
                <w:sz w:val="22"/>
                <w:szCs w:val="22"/>
                <w:lang w:bidi="ar"/>
              </w:rPr>
              <w:t>非标定制仿真绿植艺术造型</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2F49">
            <w:pPr>
              <w:widowControl/>
              <w:textAlignment w:val="center"/>
              <w:rPr>
                <w:rFonts w:ascii="宋体" w:hAnsi="宋体" w:cs="宋体"/>
                <w:color w:val="000000"/>
                <w:sz w:val="22"/>
                <w:szCs w:val="22"/>
              </w:rPr>
            </w:pPr>
            <w:r>
              <w:rPr>
                <w:rFonts w:hint="eastAsia" w:ascii="宋体" w:hAnsi="宋体" w:cs="宋体"/>
                <w:color w:val="000000"/>
                <w:sz w:val="22"/>
                <w:szCs w:val="22"/>
              </w:rPr>
              <w:t>电动窗帘</w:t>
            </w:r>
          </w:p>
        </w:tc>
      </w:tr>
    </w:tbl>
    <w:p w14:paraId="7A8CFA80">
      <w:pPr>
        <w:pStyle w:val="6"/>
        <w:adjustRightInd/>
        <w:snapToGrid/>
        <w:spacing w:line="360" w:lineRule="auto"/>
        <w:rPr>
          <w:b w:val="0"/>
          <w:bCs w:val="0"/>
        </w:rPr>
      </w:pPr>
      <w:r>
        <w:rPr>
          <w:rFonts w:hint="eastAsia"/>
          <w:b w:val="0"/>
          <w:bCs w:val="0"/>
        </w:rPr>
        <w:t>2.2.2.2.2供配电系统</w:t>
      </w:r>
    </w:p>
    <w:p w14:paraId="02AA845E">
      <w:pPr>
        <w:spacing w:line="360" w:lineRule="auto"/>
        <w:ind w:firstLine="480" w:firstLineChars="200"/>
        <w:rPr>
          <w:rFonts w:ascii="宋体" w:hAnsi="宋体"/>
          <w:sz w:val="24"/>
        </w:rPr>
      </w:pPr>
      <w:r>
        <w:rPr>
          <w:rFonts w:hint="eastAsia" w:ascii="宋体" w:hAnsi="宋体"/>
          <w:sz w:val="24"/>
        </w:rPr>
        <w:t>1、用电负荷</w:t>
      </w:r>
    </w:p>
    <w:p w14:paraId="0FFBDA19">
      <w:pPr>
        <w:spacing w:line="360" w:lineRule="auto"/>
        <w:ind w:firstLine="480" w:firstLineChars="200"/>
        <w:rPr>
          <w:rFonts w:ascii="宋体" w:hAnsi="宋体"/>
          <w:sz w:val="24"/>
        </w:rPr>
      </w:pPr>
      <w:r>
        <w:rPr>
          <w:rFonts w:hint="eastAsia" w:ascii="宋体" w:hAnsi="宋体"/>
          <w:sz w:val="24"/>
        </w:rPr>
        <w:t>广州南沙供电局庆盛粤港澳大湾区生态合作型营业厅场所供电负荷主要有：</w:t>
      </w:r>
    </w:p>
    <w:p w14:paraId="0550A607">
      <w:pPr>
        <w:numPr>
          <w:ilvl w:val="0"/>
          <w:numId w:val="4"/>
        </w:numPr>
        <w:spacing w:line="360" w:lineRule="auto"/>
        <w:ind w:left="0" w:firstLine="425"/>
        <w:rPr>
          <w:rFonts w:ascii="宋体" w:hAnsi="宋体"/>
          <w:sz w:val="24"/>
        </w:rPr>
      </w:pPr>
      <w:r>
        <w:rPr>
          <w:rFonts w:hint="eastAsia" w:ascii="宋体" w:hAnsi="宋体"/>
          <w:sz w:val="24"/>
        </w:rPr>
        <w:t>营业厅设备供电（大楼供电）；</w:t>
      </w:r>
    </w:p>
    <w:p w14:paraId="3C2513D7">
      <w:pPr>
        <w:numPr>
          <w:ilvl w:val="0"/>
          <w:numId w:val="4"/>
        </w:numPr>
        <w:spacing w:line="360" w:lineRule="auto"/>
        <w:ind w:left="0" w:firstLine="425"/>
        <w:rPr>
          <w:rFonts w:ascii="宋体" w:hAnsi="宋体"/>
          <w:sz w:val="24"/>
        </w:rPr>
      </w:pPr>
      <w:r>
        <w:rPr>
          <w:rFonts w:hint="eastAsia" w:ascii="宋体" w:hAnsi="宋体"/>
          <w:sz w:val="24"/>
        </w:rPr>
        <w:t>照明供电（大楼供电）；</w:t>
      </w:r>
    </w:p>
    <w:p w14:paraId="4E72F157">
      <w:pPr>
        <w:numPr>
          <w:ilvl w:val="0"/>
          <w:numId w:val="4"/>
        </w:numPr>
        <w:spacing w:line="360" w:lineRule="auto"/>
        <w:ind w:left="0" w:firstLine="425"/>
        <w:rPr>
          <w:rFonts w:ascii="宋体" w:hAnsi="宋体"/>
          <w:sz w:val="24"/>
        </w:rPr>
      </w:pPr>
      <w:r>
        <w:rPr>
          <w:rFonts w:hint="eastAsia" w:ascii="宋体" w:hAnsi="宋体"/>
          <w:sz w:val="24"/>
        </w:rPr>
        <w:t>应急照明供电（消防供电）；</w:t>
      </w:r>
    </w:p>
    <w:p w14:paraId="48B3654E">
      <w:pPr>
        <w:numPr>
          <w:ilvl w:val="0"/>
          <w:numId w:val="4"/>
        </w:numPr>
        <w:spacing w:line="360" w:lineRule="auto"/>
        <w:ind w:left="0" w:firstLine="425"/>
        <w:rPr>
          <w:rFonts w:ascii="宋体" w:hAnsi="宋体"/>
          <w:sz w:val="24"/>
        </w:rPr>
      </w:pPr>
      <w:r>
        <w:rPr>
          <w:rFonts w:hint="eastAsia" w:ascii="宋体" w:hAnsi="宋体"/>
          <w:sz w:val="24"/>
        </w:rPr>
        <w:t>安全出口指示灯、疏散指示灯等供电（消防供电）；</w:t>
      </w:r>
    </w:p>
    <w:p w14:paraId="4424C7BF">
      <w:pPr>
        <w:numPr>
          <w:ilvl w:val="0"/>
          <w:numId w:val="4"/>
        </w:numPr>
        <w:spacing w:line="360" w:lineRule="auto"/>
        <w:ind w:left="0" w:firstLine="425"/>
        <w:rPr>
          <w:rFonts w:ascii="宋体" w:hAnsi="宋体"/>
          <w:sz w:val="24"/>
        </w:rPr>
      </w:pPr>
      <w:r>
        <w:rPr>
          <w:rFonts w:hint="eastAsia" w:ascii="宋体" w:hAnsi="宋体"/>
          <w:sz w:val="24"/>
        </w:rPr>
        <w:t>维修插座和其他一般动力设备的供电（大楼供电）；</w:t>
      </w:r>
    </w:p>
    <w:p w14:paraId="5E7C4024">
      <w:pPr>
        <w:spacing w:line="360" w:lineRule="auto"/>
        <w:ind w:firstLine="480" w:firstLineChars="200"/>
        <w:rPr>
          <w:rFonts w:ascii="宋体" w:hAnsi="宋体"/>
          <w:sz w:val="24"/>
        </w:rPr>
      </w:pPr>
      <w:r>
        <w:rPr>
          <w:rFonts w:hint="eastAsia" w:ascii="宋体" w:hAnsi="宋体"/>
          <w:sz w:val="24"/>
        </w:rPr>
        <w:t>2、配电方案</w:t>
      </w:r>
    </w:p>
    <w:p w14:paraId="7F22352D">
      <w:pPr>
        <w:spacing w:line="360" w:lineRule="auto"/>
        <w:ind w:firstLine="480" w:firstLineChars="200"/>
        <w:rPr>
          <w:rFonts w:ascii="宋体" w:hAnsi="宋体"/>
          <w:sz w:val="24"/>
        </w:rPr>
      </w:pPr>
      <w:r>
        <w:rPr>
          <w:rFonts w:hint="eastAsia" w:ascii="宋体" w:hAnsi="宋体"/>
          <w:sz w:val="24"/>
        </w:rPr>
        <w:t>本项目的负荷电源采用原来大楼本区域的的提供方式。</w:t>
      </w:r>
    </w:p>
    <w:p w14:paraId="4014F474">
      <w:pPr>
        <w:pStyle w:val="6"/>
        <w:adjustRightInd/>
        <w:snapToGrid/>
        <w:spacing w:line="360" w:lineRule="auto"/>
        <w:rPr>
          <w:b w:val="0"/>
          <w:bCs w:val="0"/>
        </w:rPr>
      </w:pPr>
      <w:r>
        <w:rPr>
          <w:rFonts w:hint="eastAsia"/>
          <w:b w:val="0"/>
          <w:bCs w:val="0"/>
        </w:rPr>
        <w:t>2.2.2.2.3防雷接地系统</w:t>
      </w:r>
    </w:p>
    <w:p w14:paraId="6B223A68">
      <w:pPr>
        <w:spacing w:line="360" w:lineRule="auto"/>
        <w:ind w:firstLine="480" w:firstLineChars="200"/>
        <w:rPr>
          <w:rFonts w:ascii="Times New Roman" w:hAnsi="Times New Roman"/>
          <w:sz w:val="24"/>
        </w:rPr>
      </w:pPr>
      <w:r>
        <w:rPr>
          <w:rFonts w:hint="eastAsia" w:ascii="Times New Roman" w:hAnsi="Times New Roman"/>
          <w:sz w:val="24"/>
        </w:rPr>
        <w:t>（1）防雷要求</w:t>
      </w:r>
    </w:p>
    <w:p w14:paraId="56753C1A">
      <w:pPr>
        <w:spacing w:line="360" w:lineRule="auto"/>
        <w:ind w:firstLine="480" w:firstLineChars="200"/>
        <w:rPr>
          <w:rFonts w:ascii="宋体" w:hAnsi="宋体"/>
          <w:sz w:val="24"/>
        </w:rPr>
      </w:pPr>
      <w:r>
        <w:rPr>
          <w:rFonts w:hint="eastAsia" w:ascii="宋体" w:hAnsi="宋体"/>
          <w:sz w:val="24"/>
        </w:rPr>
        <w:t>根据电源系统的防护原则，从供电线路进入的雷击浪涌冲击的防雷，本项目三级防雷设施：在市电配电箱的输入端。</w:t>
      </w:r>
    </w:p>
    <w:p w14:paraId="3A88A7D5">
      <w:pPr>
        <w:spacing w:line="360" w:lineRule="auto"/>
        <w:ind w:firstLine="480" w:firstLineChars="200"/>
        <w:rPr>
          <w:rFonts w:ascii="Times New Roman" w:hAnsi="Times New Roman"/>
          <w:sz w:val="24"/>
        </w:rPr>
      </w:pPr>
      <w:r>
        <w:rPr>
          <w:rFonts w:hint="eastAsia" w:ascii="Times New Roman" w:hAnsi="Times New Roman"/>
          <w:sz w:val="24"/>
        </w:rPr>
        <w:t>（2）接地要求</w:t>
      </w:r>
    </w:p>
    <w:p w14:paraId="2919DE54">
      <w:pPr>
        <w:spacing w:line="360" w:lineRule="auto"/>
        <w:ind w:firstLine="480" w:firstLineChars="200"/>
        <w:rPr>
          <w:rFonts w:ascii="Times New Roman" w:hAnsi="Times New Roman"/>
          <w:sz w:val="24"/>
        </w:rPr>
      </w:pPr>
      <w:r>
        <w:rPr>
          <w:rFonts w:ascii="Times New Roman" w:hAnsi="Times New Roman"/>
          <w:sz w:val="24"/>
        </w:rPr>
        <w:t>接地装置的设置应满足人身安全、设备正常运行和设备安全的要求。一般常采用下列四种接地方式：</w:t>
      </w:r>
    </w:p>
    <w:p w14:paraId="25A860F0">
      <w:pPr>
        <w:spacing w:line="360" w:lineRule="auto"/>
        <w:ind w:firstLine="480" w:firstLineChars="200"/>
        <w:rPr>
          <w:rFonts w:ascii="Times New Roman" w:hAnsi="Times New Roman"/>
          <w:sz w:val="24"/>
        </w:rPr>
      </w:pPr>
      <w:r>
        <w:rPr>
          <w:rFonts w:ascii="Times New Roman" w:hAnsi="Times New Roman"/>
          <w:sz w:val="24"/>
        </w:rPr>
        <w:t>1）交流工作接地（中性点接地），接地电阻不应大于4Ω，最好小于1Ω；</w:t>
      </w:r>
    </w:p>
    <w:p w14:paraId="2357A70A">
      <w:pPr>
        <w:spacing w:line="360" w:lineRule="auto"/>
        <w:ind w:firstLine="480" w:firstLineChars="200"/>
        <w:rPr>
          <w:rFonts w:ascii="Times New Roman" w:hAnsi="Times New Roman"/>
          <w:sz w:val="24"/>
        </w:rPr>
      </w:pPr>
      <w:r>
        <w:rPr>
          <w:rFonts w:ascii="Times New Roman" w:hAnsi="Times New Roman"/>
          <w:sz w:val="24"/>
        </w:rPr>
        <w:t>2）安全保护接地（非带电金属接地），接地电阻不应大于4Ω，最好小于1Ω；</w:t>
      </w:r>
    </w:p>
    <w:p w14:paraId="697070AC">
      <w:pPr>
        <w:spacing w:line="360" w:lineRule="auto"/>
        <w:ind w:firstLine="480" w:firstLineChars="200"/>
        <w:rPr>
          <w:rFonts w:ascii="Times New Roman" w:hAnsi="Times New Roman"/>
          <w:sz w:val="24"/>
        </w:rPr>
      </w:pPr>
      <w:r>
        <w:rPr>
          <w:rFonts w:ascii="Times New Roman" w:hAnsi="Times New Roman"/>
          <w:sz w:val="24"/>
        </w:rPr>
        <w:t>3）直流工作接地（直流零、逻辑接地），接地电阻按实验室具体要求确定，接地电阻不应大于1Ω，直流逻辑地极与建筑物接地极的距离应大于20米。</w:t>
      </w:r>
    </w:p>
    <w:p w14:paraId="05F931F4">
      <w:pPr>
        <w:spacing w:line="360" w:lineRule="auto"/>
        <w:ind w:firstLine="480" w:firstLineChars="200"/>
        <w:rPr>
          <w:rFonts w:ascii="Times New Roman" w:hAnsi="Times New Roman"/>
          <w:sz w:val="24"/>
        </w:rPr>
      </w:pPr>
      <w:r>
        <w:rPr>
          <w:rFonts w:ascii="Times New Roman" w:hAnsi="Times New Roman"/>
          <w:sz w:val="24"/>
        </w:rPr>
        <w:t>4）防雷保护接地，泄放雷击浪涌电流，按国家标准《建筑防雷设计规范》执行。接地铜排，规格不小于4mm*40mm，为确保设备及人身安全，区域内设备必须全部采用接地保护，单独设置接地网，接地电阻小于4欧姆，当共用接地体（联合接地）接地电阻应不大于1欧姆。</w:t>
      </w:r>
    </w:p>
    <w:p w14:paraId="3099CF65">
      <w:pPr>
        <w:pStyle w:val="6"/>
        <w:adjustRightInd/>
        <w:snapToGrid/>
        <w:spacing w:line="360" w:lineRule="auto"/>
        <w:rPr>
          <w:b w:val="0"/>
          <w:bCs w:val="0"/>
          <w:highlight w:val="yellow"/>
        </w:rPr>
      </w:pPr>
      <w:r>
        <w:rPr>
          <w:rFonts w:hint="eastAsia"/>
          <w:b w:val="0"/>
          <w:bCs w:val="0"/>
        </w:rPr>
        <w:t>2.2.2.2.4空调系统</w:t>
      </w:r>
    </w:p>
    <w:p w14:paraId="209D9559">
      <w:pPr>
        <w:spacing w:line="360" w:lineRule="auto"/>
        <w:ind w:firstLine="480" w:firstLineChars="200"/>
        <w:rPr>
          <w:rFonts w:ascii="宋体" w:hAnsi="宋体"/>
          <w:bCs/>
          <w:sz w:val="24"/>
        </w:rPr>
      </w:pPr>
      <w:r>
        <w:rPr>
          <w:rFonts w:hint="eastAsia" w:ascii="宋体" w:hAnsi="宋体"/>
          <w:bCs/>
          <w:sz w:val="24"/>
        </w:rPr>
        <w:t xml:space="preserve">温度、湿度、洁净度对于南沙供电局庆盛粤港澳大湾区生态合作型营业厅场所设备的正常运行及寿命都有很大的影响。过高的室温会使元器件失效率急剧增大，使用寿命下降。温度过低，某些设备外壳容易断裂。而温度的波动又会产生“电噪音”，机器不能正常运行。湿度过低，容易产生静电，对机器产生干扰。湿度过高，机器内的焊点，插座接触电阻及各种设备的控制电路漏电可能性加大，造成机器运行不稳。灰尘的纤维性颗粒程度对检测设备的正常运行影响很大。要满足南沙供电局庆盛粤港澳大湾区生态合作型营业厅场所对温度、湿度及洁净度要求，主要靠空调设备来保证。 </w:t>
      </w:r>
    </w:p>
    <w:p w14:paraId="2A9FAD3E">
      <w:pPr>
        <w:spacing w:line="360" w:lineRule="auto"/>
        <w:ind w:firstLine="480" w:firstLineChars="200"/>
        <w:rPr>
          <w:rFonts w:ascii="宋体" w:hAnsi="宋体"/>
          <w:bCs/>
          <w:sz w:val="24"/>
        </w:rPr>
      </w:pPr>
      <w:r>
        <w:rPr>
          <w:rFonts w:hint="eastAsia" w:ascii="宋体" w:hAnsi="宋体"/>
          <w:bCs/>
          <w:sz w:val="24"/>
        </w:rPr>
        <w:t>品牌型营业厅区域为新建变频多联机空调系统，变频多联机组能效比高且可以分区布置，各功能区、各房间独立控制，具有节能效果好、运行费用低、室内温度控制精度高、管道占用吊顶空间少、运行噪音低、无需专人管理、后期维护费用低等多项优点。空调系统需保证夏天温度26度（正负2度）。</w:t>
      </w:r>
    </w:p>
    <w:p w14:paraId="338DE239">
      <w:pPr>
        <w:spacing w:line="360" w:lineRule="auto"/>
        <w:ind w:firstLine="480" w:firstLineChars="200"/>
        <w:rPr>
          <w:rFonts w:ascii="宋体" w:hAnsi="宋体"/>
          <w:bCs/>
          <w:sz w:val="24"/>
        </w:rPr>
      </w:pPr>
      <w:r>
        <w:rPr>
          <w:rFonts w:hint="eastAsia" w:ascii="宋体" w:hAnsi="宋体"/>
          <w:bCs/>
          <w:sz w:val="24"/>
        </w:rPr>
        <w:t>新风系统，需要保证实现每人每小时新风不低于30立方米的指标，保证室内空气的新鲜。避免新风量不足导致室内空气污浊或闷气。系统要求配置新风加湿器，避免了在空气相对干燥的情况下人体不适或产生静电的情况。</w:t>
      </w:r>
    </w:p>
    <w:p w14:paraId="1FF69EBC">
      <w:pPr>
        <w:pStyle w:val="6"/>
        <w:adjustRightInd/>
        <w:snapToGrid/>
        <w:spacing w:line="360" w:lineRule="auto"/>
        <w:rPr>
          <w:b w:val="0"/>
          <w:bCs w:val="0"/>
        </w:rPr>
      </w:pPr>
      <w:r>
        <w:rPr>
          <w:rFonts w:hint="eastAsia"/>
          <w:b w:val="0"/>
          <w:bCs w:val="0"/>
        </w:rPr>
        <w:t>2.2.2.2.5消防系统</w:t>
      </w:r>
    </w:p>
    <w:p w14:paraId="0B048C16">
      <w:pPr>
        <w:spacing w:line="360" w:lineRule="auto"/>
        <w:ind w:firstLine="480" w:firstLineChars="200"/>
        <w:rPr>
          <w:rFonts w:ascii="Times New Roman" w:hAnsi="Times New Roman"/>
          <w:sz w:val="24"/>
        </w:rPr>
      </w:pPr>
      <w:r>
        <w:rPr>
          <w:rFonts w:hint="eastAsia" w:ascii="Times New Roman" w:hAnsi="Times New Roman"/>
          <w:sz w:val="24"/>
        </w:rPr>
        <w:t>营业厅区域采用大楼水消防系统，包含火灾报警系统、自动水喷淋系统。本次改造沿用原有消防系统模式，根据实际装修方案，对消防系统末端进行相应调整，包括：拆除设计区域内原有水喷淋头、监控末端、报警设备、线路及其它相关装置，按照新的装修方案进行重新布置</w:t>
      </w:r>
      <w:r>
        <w:rPr>
          <w:rFonts w:ascii="Times New Roman" w:hAnsi="Times New Roman"/>
          <w:sz w:val="24"/>
        </w:rPr>
        <w:t>。</w:t>
      </w:r>
    </w:p>
    <w:p w14:paraId="5325B794">
      <w:pPr>
        <w:pStyle w:val="6"/>
        <w:adjustRightInd/>
        <w:snapToGrid/>
        <w:spacing w:line="360" w:lineRule="auto"/>
        <w:rPr>
          <w:b w:val="0"/>
          <w:bCs w:val="0"/>
        </w:rPr>
      </w:pPr>
      <w:r>
        <w:rPr>
          <w:rFonts w:hint="eastAsia"/>
          <w:b w:val="0"/>
          <w:bCs w:val="0"/>
        </w:rPr>
        <w:t>2.2.2.2.6综合布线系统</w:t>
      </w:r>
    </w:p>
    <w:p w14:paraId="50998CB9">
      <w:pPr>
        <w:spacing w:line="360" w:lineRule="auto"/>
        <w:ind w:firstLine="480" w:firstLineChars="200"/>
        <w:rPr>
          <w:rFonts w:ascii="宋体" w:hAnsi="宋体"/>
          <w:sz w:val="24"/>
        </w:rPr>
      </w:pPr>
      <w:r>
        <w:rPr>
          <w:rFonts w:hint="eastAsia" w:ascii="宋体" w:hAnsi="宋体"/>
          <w:sz w:val="24"/>
        </w:rPr>
        <w:t>建设一个完整的、符合现在及将来要求的高标准新一代品牌营业厅，布线设计应满足以下需求：</w:t>
      </w:r>
    </w:p>
    <w:p w14:paraId="26DC019D">
      <w:pPr>
        <w:pStyle w:val="21"/>
        <w:numPr>
          <w:ilvl w:val="0"/>
          <w:numId w:val="5"/>
        </w:numPr>
        <w:spacing w:line="360" w:lineRule="auto"/>
        <w:ind w:firstLineChars="0"/>
        <w:rPr>
          <w:rFonts w:ascii="宋体" w:hAnsi="宋体"/>
          <w:sz w:val="24"/>
        </w:rPr>
      </w:pPr>
      <w:r>
        <w:rPr>
          <w:rFonts w:ascii="宋体" w:hAnsi="宋体"/>
          <w:sz w:val="24"/>
        </w:rPr>
        <w:t>基于标准的开放系统；</w:t>
      </w:r>
    </w:p>
    <w:p w14:paraId="4F4D9043">
      <w:pPr>
        <w:pStyle w:val="21"/>
        <w:numPr>
          <w:ilvl w:val="0"/>
          <w:numId w:val="5"/>
        </w:numPr>
        <w:spacing w:line="360" w:lineRule="auto"/>
        <w:ind w:firstLineChars="0"/>
        <w:rPr>
          <w:rFonts w:ascii="宋体" w:hAnsi="宋体"/>
          <w:sz w:val="24"/>
        </w:rPr>
      </w:pPr>
      <w:r>
        <w:rPr>
          <w:rFonts w:ascii="宋体" w:hAnsi="宋体"/>
          <w:sz w:val="24"/>
        </w:rPr>
        <w:t>综合考虑扩容需求的高性能和高带宽</w:t>
      </w:r>
      <w:r>
        <w:rPr>
          <w:rFonts w:hint="eastAsia" w:ascii="宋体" w:hAnsi="宋体"/>
          <w:sz w:val="24"/>
        </w:rPr>
        <w:t>,预留充分的扩展备用空间</w:t>
      </w:r>
      <w:r>
        <w:rPr>
          <w:rFonts w:ascii="宋体" w:hAnsi="宋体"/>
          <w:sz w:val="24"/>
        </w:rPr>
        <w:t>；</w:t>
      </w:r>
    </w:p>
    <w:p w14:paraId="63915F94">
      <w:pPr>
        <w:pStyle w:val="21"/>
        <w:numPr>
          <w:ilvl w:val="0"/>
          <w:numId w:val="5"/>
        </w:numPr>
        <w:spacing w:line="360" w:lineRule="auto"/>
        <w:ind w:firstLineChars="0"/>
        <w:rPr>
          <w:rFonts w:ascii="宋体" w:hAnsi="宋体"/>
          <w:sz w:val="24"/>
        </w:rPr>
      </w:pPr>
      <w:r>
        <w:rPr>
          <w:rFonts w:ascii="宋体" w:hAnsi="宋体"/>
          <w:sz w:val="24"/>
        </w:rPr>
        <w:t>支持</w:t>
      </w:r>
      <w:r>
        <w:rPr>
          <w:rFonts w:hint="eastAsia" w:ascii="宋体" w:hAnsi="宋体"/>
          <w:sz w:val="24"/>
        </w:rPr>
        <w:t>主干光纤</w:t>
      </w:r>
      <w:r>
        <w:rPr>
          <w:rFonts w:ascii="宋体" w:hAnsi="宋体"/>
          <w:sz w:val="24"/>
        </w:rPr>
        <w:t>万兆或更高速率的</w:t>
      </w:r>
      <w:r>
        <w:rPr>
          <w:rFonts w:hint="eastAsia" w:ascii="宋体" w:hAnsi="宋体"/>
          <w:sz w:val="24"/>
        </w:rPr>
        <w:t>网络</w:t>
      </w:r>
      <w:r>
        <w:rPr>
          <w:rFonts w:ascii="宋体" w:hAnsi="宋体"/>
          <w:sz w:val="24"/>
        </w:rPr>
        <w:t>技术；</w:t>
      </w:r>
    </w:p>
    <w:p w14:paraId="0406F2E6">
      <w:pPr>
        <w:pStyle w:val="21"/>
        <w:numPr>
          <w:ilvl w:val="0"/>
          <w:numId w:val="5"/>
        </w:numPr>
        <w:spacing w:line="360" w:lineRule="auto"/>
        <w:ind w:firstLineChars="0"/>
        <w:rPr>
          <w:rFonts w:ascii="宋体" w:hAnsi="宋体"/>
          <w:sz w:val="24"/>
        </w:rPr>
      </w:pPr>
      <w:r>
        <w:rPr>
          <w:rFonts w:ascii="宋体" w:hAnsi="宋体"/>
          <w:sz w:val="24"/>
        </w:rPr>
        <w:t>支持</w:t>
      </w:r>
      <w:r>
        <w:rPr>
          <w:rFonts w:hint="eastAsia" w:ascii="宋体" w:hAnsi="宋体"/>
          <w:sz w:val="24"/>
        </w:rPr>
        <w:t>新型</w:t>
      </w:r>
      <w:r>
        <w:rPr>
          <w:rFonts w:ascii="宋体" w:hAnsi="宋体"/>
          <w:sz w:val="24"/>
        </w:rPr>
        <w:t>存储设备；</w:t>
      </w:r>
    </w:p>
    <w:p w14:paraId="09A64211">
      <w:pPr>
        <w:pStyle w:val="21"/>
        <w:numPr>
          <w:ilvl w:val="0"/>
          <w:numId w:val="5"/>
        </w:numPr>
        <w:spacing w:line="360" w:lineRule="auto"/>
        <w:ind w:firstLineChars="0"/>
        <w:rPr>
          <w:rFonts w:ascii="宋体" w:hAnsi="宋体"/>
          <w:sz w:val="24"/>
        </w:rPr>
      </w:pPr>
      <w:r>
        <w:rPr>
          <w:rFonts w:ascii="宋体" w:hAnsi="宋体"/>
          <w:sz w:val="24"/>
        </w:rPr>
        <w:t>高质量，可用性和可量测性；</w:t>
      </w:r>
    </w:p>
    <w:p w14:paraId="06D1C57B">
      <w:pPr>
        <w:pStyle w:val="21"/>
        <w:numPr>
          <w:ilvl w:val="0"/>
          <w:numId w:val="5"/>
        </w:numPr>
        <w:spacing w:line="360" w:lineRule="auto"/>
        <w:ind w:firstLineChars="0"/>
        <w:rPr>
          <w:rFonts w:ascii="宋体" w:hAnsi="宋体"/>
          <w:sz w:val="24"/>
        </w:rPr>
      </w:pPr>
      <w:r>
        <w:rPr>
          <w:rFonts w:ascii="宋体" w:hAnsi="宋体"/>
          <w:sz w:val="24"/>
        </w:rPr>
        <w:t>冗余性；</w:t>
      </w:r>
    </w:p>
    <w:p w14:paraId="05152964">
      <w:pPr>
        <w:pStyle w:val="21"/>
        <w:numPr>
          <w:ilvl w:val="0"/>
          <w:numId w:val="5"/>
        </w:numPr>
        <w:spacing w:line="360" w:lineRule="auto"/>
        <w:ind w:firstLineChars="0"/>
        <w:rPr>
          <w:rFonts w:ascii="宋体" w:hAnsi="宋体"/>
          <w:sz w:val="24"/>
        </w:rPr>
      </w:pPr>
      <w:r>
        <w:rPr>
          <w:rFonts w:ascii="宋体" w:hAnsi="宋体"/>
          <w:sz w:val="24"/>
        </w:rPr>
        <w:t>高容量和高密度；</w:t>
      </w:r>
    </w:p>
    <w:p w14:paraId="6E57D651">
      <w:pPr>
        <w:pStyle w:val="21"/>
        <w:numPr>
          <w:ilvl w:val="0"/>
          <w:numId w:val="5"/>
        </w:numPr>
        <w:spacing w:line="360" w:lineRule="auto"/>
        <w:ind w:firstLineChars="0"/>
        <w:rPr>
          <w:rFonts w:ascii="宋体" w:hAnsi="宋体"/>
          <w:sz w:val="24"/>
        </w:rPr>
      </w:pPr>
      <w:r>
        <w:rPr>
          <w:rFonts w:ascii="宋体" w:hAnsi="宋体"/>
          <w:sz w:val="24"/>
        </w:rPr>
        <w:t>易于移动增加和改动的灵活性和可扩展性</w:t>
      </w:r>
      <w:r>
        <w:rPr>
          <w:rFonts w:hint="eastAsia" w:ascii="宋体" w:hAnsi="宋体"/>
          <w:sz w:val="24"/>
        </w:rPr>
        <w:t>。</w:t>
      </w:r>
    </w:p>
    <w:p w14:paraId="478F0FC6">
      <w:pPr>
        <w:spacing w:line="360" w:lineRule="auto"/>
        <w:ind w:firstLine="480" w:firstLineChars="200"/>
        <w:rPr>
          <w:rFonts w:ascii="宋体" w:hAnsi="宋体"/>
          <w:sz w:val="24"/>
        </w:rPr>
      </w:pPr>
      <w:r>
        <w:rPr>
          <w:rFonts w:hint="eastAsia" w:ascii="宋体" w:hAnsi="宋体"/>
          <w:sz w:val="24"/>
        </w:rPr>
        <w:t>交叉连接的管理模式</w:t>
      </w:r>
      <w:r>
        <w:rPr>
          <w:rFonts w:ascii="宋体" w:hAnsi="宋体"/>
          <w:sz w:val="24"/>
        </w:rPr>
        <w:t>只需通过跳线完成</w:t>
      </w:r>
      <w:r>
        <w:rPr>
          <w:rFonts w:hint="eastAsia" w:ascii="宋体" w:hAnsi="宋体"/>
          <w:sz w:val="24"/>
        </w:rPr>
        <w:t>移动、增加和变更</w:t>
      </w:r>
      <w:r>
        <w:rPr>
          <w:rFonts w:ascii="宋体" w:hAnsi="宋体"/>
          <w:sz w:val="24"/>
        </w:rPr>
        <w:t>，降低管理维护时间</w:t>
      </w:r>
      <w:r>
        <w:rPr>
          <w:rFonts w:hint="eastAsia" w:ascii="宋体" w:hAnsi="宋体"/>
          <w:sz w:val="24"/>
        </w:rPr>
        <w:t>。</w:t>
      </w:r>
    </w:p>
    <w:p w14:paraId="54FC5733">
      <w:pPr>
        <w:spacing w:line="360" w:lineRule="auto"/>
        <w:ind w:firstLine="480" w:firstLineChars="200"/>
        <w:rPr>
          <w:rFonts w:ascii="宋体" w:hAnsi="宋体"/>
          <w:sz w:val="24"/>
        </w:rPr>
      </w:pPr>
      <w:r>
        <w:rPr>
          <w:rFonts w:hint="eastAsia" w:ascii="宋体" w:hAnsi="宋体"/>
          <w:sz w:val="24"/>
        </w:rPr>
        <w:t>本项目综合布线的设计内容包括设备机柜、配线机柜、配线架、模块、跳线、布线线缆以及相应的配套设备材料。</w:t>
      </w:r>
    </w:p>
    <w:p w14:paraId="4775C740">
      <w:pPr>
        <w:spacing w:line="360" w:lineRule="auto"/>
        <w:ind w:firstLine="480" w:firstLineChars="200"/>
        <w:rPr>
          <w:highlight w:val="yellow"/>
        </w:rPr>
      </w:pPr>
      <w:r>
        <w:rPr>
          <w:rFonts w:hint="eastAsia" w:ascii="宋体" w:hAnsi="宋体"/>
          <w:sz w:val="24"/>
        </w:rPr>
        <w:t>营业厅设置</w:t>
      </w:r>
      <w:r>
        <w:rPr>
          <w:rFonts w:ascii="宋体" w:hAnsi="宋体"/>
          <w:sz w:val="24"/>
        </w:rPr>
        <w:t>15</w:t>
      </w:r>
      <w:r>
        <w:rPr>
          <w:rFonts w:hint="eastAsia" w:ascii="宋体" w:hAnsi="宋体"/>
          <w:sz w:val="24"/>
        </w:rPr>
        <w:t>个数据点；生态互动区设置17个数据点，共计敷设6类信息点</w:t>
      </w:r>
      <w:r>
        <w:rPr>
          <w:rFonts w:ascii="宋体" w:hAnsi="宋体"/>
          <w:sz w:val="24"/>
        </w:rPr>
        <w:t>32</w:t>
      </w:r>
      <w:r>
        <w:rPr>
          <w:rFonts w:hint="eastAsia" w:ascii="宋体" w:hAnsi="宋体"/>
          <w:sz w:val="24"/>
        </w:rPr>
        <w:t>个。</w:t>
      </w:r>
    </w:p>
    <w:p w14:paraId="625F27F0">
      <w:pPr>
        <w:pStyle w:val="6"/>
        <w:adjustRightInd/>
        <w:snapToGrid/>
        <w:spacing w:line="360" w:lineRule="auto"/>
        <w:rPr>
          <w:b w:val="0"/>
          <w:bCs w:val="0"/>
        </w:rPr>
      </w:pPr>
      <w:r>
        <w:rPr>
          <w:rFonts w:hint="eastAsia"/>
          <w:b w:val="0"/>
          <w:bCs w:val="0"/>
        </w:rPr>
        <w:t>2.2.2.2.7安防系统</w:t>
      </w:r>
    </w:p>
    <w:p w14:paraId="0A3381F3">
      <w:pPr>
        <w:spacing w:line="360" w:lineRule="auto"/>
        <w:ind w:firstLine="480" w:firstLineChars="200"/>
        <w:rPr>
          <w:rFonts w:ascii="宋体" w:hAnsi="宋体"/>
          <w:sz w:val="24"/>
        </w:rPr>
      </w:pPr>
      <w:r>
        <w:rPr>
          <w:rFonts w:hint="eastAsia" w:ascii="宋体" w:hAnsi="宋体"/>
          <w:sz w:val="24"/>
        </w:rPr>
        <w:t>采用现代化设备和智能化控制，实现对设备和主要出入口的管理、监控、记录和安全防范。门禁系统通过正确识别出入者手持个人出入身份卡、指纹来判断是否合法或非法，门锁开脱允许出入或拒绝通行并报警（根据设定）。终端显示与记录当事人的身份、权限、出入时间，并可按要求做出统计与分析。入侵报警系统将传感探头设置在关键敏感部位，对不法分子的不法行为实时报警与记录，存储服务器把现场画面记录在案。</w:t>
      </w:r>
    </w:p>
    <w:p w14:paraId="4C975B4A">
      <w:pPr>
        <w:spacing w:line="360" w:lineRule="auto"/>
        <w:ind w:firstLine="480" w:firstLineChars="200"/>
        <w:rPr>
          <w:rFonts w:ascii="宋体" w:hAnsi="宋体"/>
          <w:sz w:val="24"/>
        </w:rPr>
      </w:pPr>
      <w:r>
        <w:rPr>
          <w:rFonts w:hint="eastAsia" w:ascii="宋体" w:hAnsi="宋体"/>
          <w:sz w:val="24"/>
        </w:rPr>
        <w:t>综合安防系统的显示、报警、控制终端和消防系统的显示、报警、控制终端既可以有单独的功能设置，它们之间又有交互的配合功能设置。例如，启动消防设施的同时，实行门禁系统全部解禁，方便人们逃生等。</w:t>
      </w:r>
    </w:p>
    <w:p w14:paraId="3E4EB1AA">
      <w:pPr>
        <w:spacing w:line="360" w:lineRule="auto"/>
        <w:ind w:firstLine="480" w:firstLineChars="200"/>
        <w:rPr>
          <w:rFonts w:ascii="宋体" w:hAnsi="宋体"/>
          <w:sz w:val="24"/>
        </w:rPr>
      </w:pPr>
      <w:r>
        <w:rPr>
          <w:rFonts w:hint="eastAsia" w:ascii="宋体" w:hAnsi="宋体"/>
          <w:sz w:val="24"/>
        </w:rPr>
        <w:t>综合安防系统由下面三个子系统组成：</w:t>
      </w:r>
    </w:p>
    <w:p w14:paraId="01510A17">
      <w:pPr>
        <w:spacing w:line="360" w:lineRule="auto"/>
        <w:ind w:firstLine="480" w:firstLineChars="200"/>
        <w:rPr>
          <w:rFonts w:ascii="宋体" w:hAnsi="宋体"/>
          <w:sz w:val="24"/>
        </w:rPr>
      </w:pPr>
      <w:r>
        <w:rPr>
          <w:rFonts w:hint="eastAsia" w:ascii="宋体" w:hAnsi="宋体"/>
          <w:sz w:val="24"/>
        </w:rPr>
        <w:t>1、视频监控系统：对营业厅所有的出入口等公共区域进行监控。</w:t>
      </w:r>
    </w:p>
    <w:p w14:paraId="31D57A83">
      <w:pPr>
        <w:spacing w:line="360" w:lineRule="auto"/>
        <w:ind w:firstLine="480" w:firstLineChars="200"/>
        <w:rPr>
          <w:rFonts w:ascii="宋体" w:hAnsi="宋体"/>
          <w:sz w:val="24"/>
        </w:rPr>
      </w:pPr>
      <w:r>
        <w:rPr>
          <w:rFonts w:hint="eastAsia" w:ascii="宋体" w:hAnsi="宋体"/>
          <w:sz w:val="24"/>
        </w:rPr>
        <w:t>2、门禁系统：包含进出通道及各功能用房的门禁识别；计算机机房（设备间）建议采用单独的门禁系统，使用非接触式感应卡识别技术；</w:t>
      </w:r>
    </w:p>
    <w:p w14:paraId="4D55797E">
      <w:pPr>
        <w:spacing w:line="360" w:lineRule="auto"/>
        <w:ind w:firstLine="480" w:firstLineChars="200"/>
        <w:rPr>
          <w:rFonts w:ascii="宋体" w:hAnsi="宋体"/>
          <w:sz w:val="24"/>
        </w:rPr>
      </w:pPr>
      <w:r>
        <w:rPr>
          <w:rFonts w:hint="eastAsia" w:ascii="宋体" w:hAnsi="宋体"/>
          <w:sz w:val="24"/>
        </w:rPr>
        <w:t>3、入侵报警系统。</w:t>
      </w:r>
    </w:p>
    <w:p w14:paraId="62701DE9">
      <w:pPr>
        <w:spacing w:line="360" w:lineRule="auto"/>
        <w:ind w:firstLine="480" w:firstLineChars="200"/>
        <w:rPr>
          <w:rFonts w:ascii="宋体" w:hAnsi="宋体"/>
          <w:sz w:val="24"/>
        </w:rPr>
      </w:pPr>
      <w:r>
        <w:rPr>
          <w:rFonts w:hint="eastAsia" w:ascii="宋体" w:hAnsi="宋体"/>
          <w:sz w:val="24"/>
        </w:rPr>
        <w:t>综合安防系统的技术要求应满足国家、行业有关标准的要求。门禁、入侵报警、视频监控三个子系统有各自的技术要求，它们之间还应有强大的报警联动功能。总的指标应达到：</w:t>
      </w:r>
    </w:p>
    <w:p w14:paraId="3DCEA28A">
      <w:pPr>
        <w:pStyle w:val="21"/>
        <w:numPr>
          <w:ilvl w:val="0"/>
          <w:numId w:val="6"/>
        </w:numPr>
        <w:autoSpaceDE w:val="0"/>
        <w:autoSpaceDN w:val="0"/>
        <w:adjustRightInd w:val="0"/>
        <w:spacing w:line="360" w:lineRule="auto"/>
        <w:ind w:left="840" w:firstLineChars="0"/>
        <w:jc w:val="left"/>
        <w:rPr>
          <w:rFonts w:ascii="宋体" w:cs="宋体"/>
          <w:kern w:val="0"/>
          <w:sz w:val="24"/>
        </w:rPr>
      </w:pPr>
      <w:r>
        <w:rPr>
          <w:rFonts w:hint="eastAsia" w:ascii="宋体" w:cs="宋体"/>
          <w:kern w:val="0"/>
          <w:sz w:val="24"/>
        </w:rPr>
        <w:t>报警差错率：不大于1×10-4（万分之一）</w:t>
      </w:r>
    </w:p>
    <w:p w14:paraId="2A873D9B">
      <w:pPr>
        <w:pStyle w:val="21"/>
        <w:numPr>
          <w:ilvl w:val="0"/>
          <w:numId w:val="6"/>
        </w:numPr>
        <w:autoSpaceDE w:val="0"/>
        <w:autoSpaceDN w:val="0"/>
        <w:adjustRightInd w:val="0"/>
        <w:spacing w:line="360" w:lineRule="auto"/>
        <w:ind w:left="840" w:firstLineChars="0"/>
        <w:jc w:val="left"/>
        <w:rPr>
          <w:rFonts w:ascii="宋体" w:cs="宋体"/>
          <w:kern w:val="0"/>
          <w:sz w:val="24"/>
        </w:rPr>
      </w:pPr>
      <w:r>
        <w:rPr>
          <w:rFonts w:hint="eastAsia" w:ascii="宋体" w:cs="宋体"/>
          <w:kern w:val="0"/>
          <w:sz w:val="24"/>
        </w:rPr>
        <w:t>其中，误报率：不大于2×10-4（万分之二）</w:t>
      </w:r>
    </w:p>
    <w:p w14:paraId="1045F8CB">
      <w:pPr>
        <w:pStyle w:val="21"/>
        <w:numPr>
          <w:ilvl w:val="0"/>
          <w:numId w:val="6"/>
        </w:numPr>
        <w:autoSpaceDE w:val="0"/>
        <w:autoSpaceDN w:val="0"/>
        <w:adjustRightInd w:val="0"/>
        <w:spacing w:line="360" w:lineRule="auto"/>
        <w:ind w:left="840" w:firstLineChars="0"/>
        <w:jc w:val="left"/>
        <w:rPr>
          <w:rFonts w:ascii="宋体" w:cs="宋体"/>
          <w:kern w:val="0"/>
          <w:sz w:val="24"/>
        </w:rPr>
      </w:pPr>
      <w:r>
        <w:rPr>
          <w:rFonts w:hint="eastAsia" w:ascii="宋体" w:cs="宋体"/>
          <w:kern w:val="0"/>
          <w:sz w:val="24"/>
        </w:rPr>
        <w:t>漏报率：不大于2×10-5（十万分之二）</w:t>
      </w:r>
    </w:p>
    <w:p w14:paraId="3006D459">
      <w:pPr>
        <w:pStyle w:val="21"/>
        <w:numPr>
          <w:ilvl w:val="0"/>
          <w:numId w:val="6"/>
        </w:numPr>
        <w:autoSpaceDE w:val="0"/>
        <w:autoSpaceDN w:val="0"/>
        <w:adjustRightInd w:val="0"/>
        <w:spacing w:line="360" w:lineRule="auto"/>
        <w:ind w:left="840" w:firstLineChars="0"/>
        <w:jc w:val="left"/>
      </w:pPr>
      <w:r>
        <w:rPr>
          <w:rFonts w:hint="eastAsia" w:ascii="宋体" w:cs="宋体"/>
          <w:kern w:val="0"/>
          <w:sz w:val="24"/>
        </w:rPr>
        <w:t>MTBF：</w:t>
      </w:r>
      <w:r>
        <w:rPr>
          <w:rFonts w:ascii="宋体" w:cs="宋体"/>
          <w:kern w:val="0"/>
          <w:sz w:val="24"/>
        </w:rPr>
        <w:t xml:space="preserve">30000 </w:t>
      </w:r>
      <w:r>
        <w:rPr>
          <w:rFonts w:hint="eastAsia" w:ascii="宋体" w:cs="宋体"/>
          <w:kern w:val="0"/>
          <w:sz w:val="24"/>
        </w:rPr>
        <w:t>小时</w:t>
      </w:r>
    </w:p>
    <w:p w14:paraId="3D580085">
      <w:pPr>
        <w:pStyle w:val="6"/>
        <w:adjustRightInd/>
        <w:snapToGrid/>
        <w:spacing w:line="360" w:lineRule="auto"/>
        <w:rPr>
          <w:b w:val="0"/>
          <w:bCs w:val="0"/>
        </w:rPr>
      </w:pPr>
      <w:r>
        <w:rPr>
          <w:rFonts w:hint="eastAsia"/>
          <w:b w:val="0"/>
          <w:bCs w:val="0"/>
        </w:rPr>
        <w:t>2.2.2.2.8业务体验设施</w:t>
      </w:r>
    </w:p>
    <w:p w14:paraId="5EA70879">
      <w:pPr>
        <w:spacing w:line="360" w:lineRule="auto"/>
        <w:ind w:firstLine="480" w:firstLineChars="200"/>
        <w:rPr>
          <w:rFonts w:ascii="Times New Roman" w:hAnsi="Times New Roman"/>
          <w:sz w:val="24"/>
        </w:rPr>
      </w:pPr>
      <w:r>
        <w:rPr>
          <w:rFonts w:ascii="Times New Roman" w:hAnsi="Times New Roman"/>
          <w:sz w:val="24"/>
        </w:rPr>
        <w:t>为满足</w:t>
      </w:r>
      <w:r>
        <w:rPr>
          <w:rFonts w:hint="eastAsia" w:ascii="Times New Roman" w:hAnsi="Times New Roman"/>
          <w:sz w:val="24"/>
        </w:rPr>
        <w:t>广州南沙供电局庆盛粤港澳大湾区生态合作型营业厅</w:t>
      </w:r>
      <w:r>
        <w:rPr>
          <w:rFonts w:ascii="Times New Roman" w:hAnsi="Times New Roman"/>
          <w:sz w:val="24"/>
        </w:rPr>
        <w:t>功能需求，需根据不同的功能</w:t>
      </w:r>
      <w:r>
        <w:rPr>
          <w:rFonts w:hint="eastAsia" w:ascii="Times New Roman" w:hAnsi="Times New Roman"/>
          <w:sz w:val="24"/>
        </w:rPr>
        <w:t>空间</w:t>
      </w:r>
      <w:r>
        <w:rPr>
          <w:rFonts w:ascii="Times New Roman" w:hAnsi="Times New Roman"/>
          <w:sz w:val="24"/>
        </w:rPr>
        <w:t>实际需要，配备相应的</w:t>
      </w:r>
      <w:r>
        <w:rPr>
          <w:rFonts w:hint="eastAsia" w:ascii="Times New Roman" w:hAnsi="Times New Roman"/>
          <w:sz w:val="24"/>
        </w:rPr>
        <w:t>设施</w:t>
      </w:r>
      <w:r>
        <w:rPr>
          <w:rFonts w:ascii="Times New Roman" w:hAnsi="Times New Roman"/>
          <w:sz w:val="24"/>
        </w:rPr>
        <w:t>。主要包含：</w:t>
      </w:r>
    </w:p>
    <w:p w14:paraId="27AAE02E">
      <w:pPr>
        <w:pStyle w:val="21"/>
        <w:numPr>
          <w:ilvl w:val="0"/>
          <w:numId w:val="7"/>
        </w:numPr>
        <w:spacing w:line="360" w:lineRule="auto"/>
        <w:ind w:firstLineChars="0"/>
        <w:rPr>
          <w:rFonts w:ascii="宋体" w:hAnsi="宋体"/>
          <w:sz w:val="24"/>
        </w:rPr>
      </w:pPr>
      <w:r>
        <w:rPr>
          <w:rFonts w:hint="eastAsia" w:ascii="宋体" w:hAnsi="宋体"/>
          <w:sz w:val="24"/>
        </w:rPr>
        <w:t>营业厅：定制数字沙盘、洽谈桌椅、接待前台；</w:t>
      </w:r>
    </w:p>
    <w:p w14:paraId="61671D59">
      <w:pPr>
        <w:pStyle w:val="21"/>
        <w:numPr>
          <w:ilvl w:val="0"/>
          <w:numId w:val="7"/>
        </w:numPr>
        <w:spacing w:line="360" w:lineRule="auto"/>
        <w:ind w:firstLineChars="0"/>
        <w:rPr>
          <w:rFonts w:ascii="宋体" w:hAnsi="宋体"/>
          <w:sz w:val="24"/>
        </w:rPr>
      </w:pPr>
      <w:r>
        <w:rPr>
          <w:rFonts w:hint="eastAsia" w:ascii="宋体" w:hAnsi="宋体"/>
          <w:sz w:val="24"/>
        </w:rPr>
        <w:t>生态互动区：接待前台、办公桌椅、会议桌、会议椅、洽谈桌椅、吧台、吧椅、控制台、沙发、座椅、茶几、咖啡机、饮水机、影印机、储物柜、座椅、讲台；</w:t>
      </w:r>
    </w:p>
    <w:p w14:paraId="3361ED32">
      <w:pPr>
        <w:pStyle w:val="6"/>
        <w:adjustRightInd/>
        <w:snapToGrid/>
        <w:spacing w:line="360" w:lineRule="auto"/>
        <w:rPr>
          <w:b w:val="0"/>
          <w:bCs w:val="0"/>
        </w:rPr>
      </w:pPr>
      <w:r>
        <w:rPr>
          <w:rFonts w:hint="eastAsia"/>
          <w:b w:val="0"/>
          <w:bCs w:val="0"/>
        </w:rPr>
        <w:t>2.2.2.2.9配套设备及工控系统建设</w:t>
      </w:r>
    </w:p>
    <w:bookmarkEnd w:id="26"/>
    <w:p w14:paraId="4E846EB6">
      <w:pPr>
        <w:spacing w:line="360" w:lineRule="auto"/>
        <w:ind w:firstLine="480" w:firstLineChars="200"/>
        <w:rPr>
          <w:bCs/>
          <w:sz w:val="24"/>
        </w:rPr>
      </w:pPr>
      <w:bookmarkStart w:id="28" w:name="_Toc23548"/>
      <w:r>
        <w:rPr>
          <w:rFonts w:hint="eastAsia"/>
          <w:bCs/>
          <w:sz w:val="24"/>
        </w:rPr>
        <w:t>1）营业厅</w:t>
      </w:r>
    </w:p>
    <w:p w14:paraId="49982DC8">
      <w:pPr>
        <w:spacing w:line="360" w:lineRule="auto"/>
        <w:ind w:firstLine="480" w:firstLineChars="200"/>
        <w:rPr>
          <w:rFonts w:ascii="宋体" w:hAnsi="宋体"/>
          <w:sz w:val="24"/>
        </w:rPr>
      </w:pPr>
      <w:r>
        <w:rPr>
          <w:rFonts w:hint="eastAsia" w:ascii="宋体" w:hAnsi="宋体"/>
          <w:sz w:val="24"/>
        </w:rPr>
        <w:t>配置大屏互动及配套系统，主要包含室内LED大屏、55寸触控屏一体机；一套音频系统（包含音频处理器、话筒、功放及扬声器等）；一套中控系统（包含中控主机、中控平台、无线触摸屏和无线收发器等）；一套灯光控制系统。</w:t>
      </w:r>
    </w:p>
    <w:p w14:paraId="6E21408C">
      <w:pPr>
        <w:numPr>
          <w:ilvl w:val="0"/>
          <w:numId w:val="8"/>
        </w:numPr>
        <w:spacing w:line="360" w:lineRule="auto"/>
        <w:ind w:firstLine="480" w:firstLineChars="200"/>
        <w:rPr>
          <w:sz w:val="24"/>
        </w:rPr>
      </w:pPr>
      <w:r>
        <w:rPr>
          <w:rFonts w:hint="eastAsia"/>
          <w:sz w:val="24"/>
        </w:rPr>
        <w:t>生态互动区</w:t>
      </w:r>
    </w:p>
    <w:p w14:paraId="0CB63479">
      <w:pPr>
        <w:spacing w:line="360" w:lineRule="auto"/>
        <w:ind w:firstLine="480" w:firstLineChars="200"/>
        <w:rPr>
          <w:rFonts w:ascii="Times New Roman" w:hAnsi="Times New Roman"/>
          <w:sz w:val="24"/>
        </w:rPr>
      </w:pPr>
      <w:r>
        <w:rPr>
          <w:rFonts w:hint="eastAsia" w:ascii="宋体" w:hAnsi="宋体"/>
          <w:sz w:val="24"/>
        </w:rPr>
        <w:t>主要包含大屏互动及视频定制开发系统（75寸电子白板会议一体机、激光投影机、55寸触控屏一体机等）、一套音频系统（主要包含数字音频处理器、功放和扬声器等）等。</w:t>
      </w:r>
    </w:p>
    <w:p w14:paraId="4507B1F1">
      <w:pPr>
        <w:spacing w:line="360" w:lineRule="auto"/>
        <w:ind w:firstLine="480" w:firstLineChars="200"/>
        <w:rPr>
          <w:rFonts w:ascii="Times New Roman" w:hAnsi="Times New Roman"/>
          <w:sz w:val="24"/>
        </w:rPr>
      </w:pPr>
      <w:r>
        <w:rPr>
          <w:rFonts w:ascii="Times New Roman" w:hAnsi="Times New Roman"/>
          <w:sz w:val="24"/>
        </w:rPr>
        <w:t>最终设备清单以工程施工图审定的</w:t>
      </w:r>
      <w:r>
        <w:rPr>
          <w:rFonts w:hint="eastAsia" w:ascii="Times New Roman" w:hAnsi="Times New Roman"/>
          <w:sz w:val="24"/>
        </w:rPr>
        <w:t>预算</w:t>
      </w:r>
      <w:r>
        <w:rPr>
          <w:rFonts w:ascii="Times New Roman" w:hAnsi="Times New Roman"/>
          <w:sz w:val="24"/>
        </w:rPr>
        <w:t>为准。</w:t>
      </w:r>
    </w:p>
    <w:p w14:paraId="6D6AE2AB">
      <w:pPr>
        <w:spacing w:line="360" w:lineRule="auto"/>
        <w:jc w:val="center"/>
        <w:rPr>
          <w:rFonts w:ascii="Times New Roman" w:hAnsi="Times New Roman"/>
          <w:sz w:val="24"/>
        </w:rPr>
      </w:pPr>
    </w:p>
    <w:p w14:paraId="26C5C62C">
      <w:pPr>
        <w:pStyle w:val="4"/>
        <w:spacing w:before="0" w:after="0" w:line="360" w:lineRule="auto"/>
        <w:rPr>
          <w:rFonts w:ascii="Times New Roman" w:hAnsi="Times New Roman"/>
          <w:sz w:val="24"/>
          <w:szCs w:val="24"/>
        </w:rPr>
      </w:pPr>
      <w:bookmarkStart w:id="29" w:name="_Toc187066756"/>
      <w:r>
        <w:rPr>
          <w:rFonts w:ascii="Times New Roman" w:hAnsi="Times New Roman"/>
          <w:sz w:val="24"/>
          <w:szCs w:val="24"/>
        </w:rPr>
        <w:t>2.2.</w:t>
      </w:r>
      <w:r>
        <w:rPr>
          <w:rFonts w:hint="eastAsia" w:ascii="Times New Roman" w:hAnsi="Times New Roman"/>
          <w:sz w:val="24"/>
          <w:szCs w:val="24"/>
        </w:rPr>
        <w:t>3</w:t>
      </w:r>
      <w:r>
        <w:rPr>
          <w:rFonts w:ascii="Times New Roman" w:hAnsi="Times New Roman"/>
          <w:sz w:val="24"/>
          <w:szCs w:val="24"/>
        </w:rPr>
        <w:t>项目进度要求</w:t>
      </w:r>
      <w:bookmarkEnd w:id="28"/>
      <w:bookmarkEnd w:id="29"/>
    </w:p>
    <w:p w14:paraId="6B27EC25">
      <w:pPr>
        <w:tabs>
          <w:tab w:val="left" w:pos="7191"/>
        </w:tabs>
        <w:spacing w:line="360" w:lineRule="auto"/>
        <w:ind w:firstLine="480" w:firstLineChars="200"/>
        <w:rPr>
          <w:rFonts w:ascii="Times New Roman" w:hAnsi="Times New Roman"/>
          <w:sz w:val="24"/>
        </w:rPr>
      </w:pPr>
      <w:bookmarkStart w:id="30" w:name="_Toc1751"/>
      <w:bookmarkStart w:id="31" w:name="_Toc19892"/>
      <w:bookmarkStart w:id="32" w:name="_Toc25371"/>
      <w:r>
        <w:rPr>
          <w:rFonts w:ascii="Times New Roman" w:hAnsi="Times New Roman"/>
          <w:sz w:val="24"/>
        </w:rPr>
        <w:t>（1）202</w:t>
      </w:r>
      <w:r>
        <w:rPr>
          <w:rFonts w:hint="eastAsia" w:ascii="Times New Roman" w:hAnsi="Times New Roman"/>
          <w:sz w:val="24"/>
        </w:rPr>
        <w:t>5</w:t>
      </w:r>
      <w:r>
        <w:rPr>
          <w:rFonts w:ascii="Times New Roman" w:hAnsi="Times New Roman"/>
          <w:sz w:val="24"/>
        </w:rPr>
        <w:t>年</w:t>
      </w:r>
      <w:r>
        <w:rPr>
          <w:rFonts w:hint="eastAsia" w:ascii="Times New Roman" w:hAnsi="Times New Roman"/>
          <w:sz w:val="24"/>
        </w:rPr>
        <w:t>10</w:t>
      </w:r>
      <w:r>
        <w:rPr>
          <w:rFonts w:ascii="Times New Roman" w:hAnsi="Times New Roman"/>
          <w:sz w:val="24"/>
        </w:rPr>
        <w:t>月</w:t>
      </w:r>
      <w:r>
        <w:rPr>
          <w:rFonts w:hint="eastAsia" w:ascii="Times New Roman" w:hAnsi="Times New Roman"/>
          <w:sz w:val="24"/>
        </w:rPr>
        <w:t>1日</w:t>
      </w:r>
      <w:r>
        <w:rPr>
          <w:rFonts w:ascii="Times New Roman" w:hAnsi="Times New Roman"/>
          <w:sz w:val="24"/>
        </w:rPr>
        <w:t xml:space="preserve">  </w:t>
      </w:r>
      <w:r>
        <w:rPr>
          <w:rFonts w:hint="eastAsia" w:ascii="Times New Roman" w:hAnsi="Times New Roman"/>
          <w:sz w:val="24"/>
        </w:rPr>
        <w:t>初步设计</w:t>
      </w:r>
      <w:r>
        <w:rPr>
          <w:rFonts w:ascii="Times New Roman" w:hAnsi="Times New Roman"/>
          <w:sz w:val="24"/>
        </w:rPr>
        <w:t>和施工图设计；</w:t>
      </w:r>
      <w:r>
        <w:rPr>
          <w:rFonts w:hint="eastAsia" w:ascii="Times New Roman" w:hAnsi="Times New Roman"/>
          <w:sz w:val="24"/>
        </w:rPr>
        <w:tab/>
      </w:r>
    </w:p>
    <w:p w14:paraId="282EBFAA">
      <w:pPr>
        <w:spacing w:line="360" w:lineRule="auto"/>
        <w:ind w:firstLine="480" w:firstLineChars="200"/>
        <w:rPr>
          <w:rFonts w:ascii="Times New Roman" w:hAnsi="Times New Roman"/>
          <w:sz w:val="24"/>
        </w:rPr>
      </w:pPr>
      <w:r>
        <w:rPr>
          <w:rFonts w:ascii="Times New Roman" w:hAnsi="Times New Roman"/>
          <w:sz w:val="24"/>
        </w:rPr>
        <w:t>（2）202</w:t>
      </w:r>
      <w:r>
        <w:rPr>
          <w:rFonts w:hint="eastAsia" w:ascii="Times New Roman" w:hAnsi="Times New Roman"/>
          <w:sz w:val="24"/>
        </w:rPr>
        <w:t>5</w:t>
      </w:r>
      <w:r>
        <w:rPr>
          <w:rFonts w:ascii="Times New Roman" w:hAnsi="Times New Roman"/>
          <w:sz w:val="24"/>
        </w:rPr>
        <w:t>年</w:t>
      </w:r>
      <w:r>
        <w:rPr>
          <w:rFonts w:hint="eastAsia" w:ascii="Times New Roman" w:hAnsi="Times New Roman"/>
          <w:sz w:val="24"/>
        </w:rPr>
        <w:t>12</w:t>
      </w:r>
      <w:r>
        <w:rPr>
          <w:rFonts w:ascii="Times New Roman" w:hAnsi="Times New Roman"/>
          <w:sz w:val="24"/>
        </w:rPr>
        <w:t>月</w:t>
      </w:r>
      <w:r>
        <w:rPr>
          <w:rFonts w:hint="eastAsia" w:ascii="Times New Roman" w:hAnsi="Times New Roman"/>
          <w:sz w:val="24"/>
        </w:rPr>
        <w:t>10日</w:t>
      </w:r>
      <w:r>
        <w:rPr>
          <w:rFonts w:ascii="Times New Roman" w:hAnsi="Times New Roman"/>
          <w:sz w:val="24"/>
        </w:rPr>
        <w:t xml:space="preserve">  完成</w:t>
      </w:r>
      <w:r>
        <w:rPr>
          <w:rFonts w:hint="eastAsia" w:ascii="Times New Roman" w:hAnsi="Times New Roman"/>
          <w:sz w:val="24"/>
        </w:rPr>
        <w:t>基础环境改造</w:t>
      </w:r>
      <w:r>
        <w:rPr>
          <w:rFonts w:ascii="Times New Roman" w:hAnsi="Times New Roman"/>
          <w:sz w:val="24"/>
        </w:rPr>
        <w:t>；</w:t>
      </w:r>
    </w:p>
    <w:p w14:paraId="5E219612">
      <w:pPr>
        <w:tabs>
          <w:tab w:val="left" w:pos="7191"/>
        </w:tabs>
        <w:spacing w:line="360" w:lineRule="auto"/>
        <w:ind w:firstLine="480" w:firstLineChars="200"/>
        <w:rPr>
          <w:rFonts w:ascii="Times New Roman" w:hAnsi="Times New Roman"/>
          <w:sz w:val="24"/>
        </w:rPr>
      </w:pPr>
      <w:r>
        <w:rPr>
          <w:rFonts w:ascii="Times New Roman" w:hAnsi="Times New Roman"/>
          <w:sz w:val="24"/>
        </w:rPr>
        <w:t>（3）202</w:t>
      </w:r>
      <w:r>
        <w:rPr>
          <w:rFonts w:hint="eastAsia" w:ascii="Times New Roman" w:hAnsi="Times New Roman"/>
          <w:sz w:val="24"/>
        </w:rPr>
        <w:t>5</w:t>
      </w:r>
      <w:r>
        <w:rPr>
          <w:rFonts w:ascii="Times New Roman" w:hAnsi="Times New Roman"/>
          <w:sz w:val="24"/>
        </w:rPr>
        <w:t>年</w:t>
      </w:r>
      <w:r>
        <w:rPr>
          <w:rFonts w:hint="eastAsia" w:ascii="Times New Roman" w:hAnsi="Times New Roman"/>
          <w:sz w:val="24"/>
        </w:rPr>
        <w:t>12</w:t>
      </w:r>
      <w:r>
        <w:rPr>
          <w:rFonts w:ascii="Times New Roman" w:hAnsi="Times New Roman"/>
          <w:sz w:val="24"/>
        </w:rPr>
        <w:t>月</w:t>
      </w:r>
      <w:r>
        <w:rPr>
          <w:rFonts w:hint="eastAsia" w:ascii="Times New Roman" w:hAnsi="Times New Roman"/>
          <w:sz w:val="24"/>
        </w:rPr>
        <w:t>15日</w:t>
      </w:r>
      <w:r>
        <w:rPr>
          <w:rFonts w:ascii="Times New Roman" w:hAnsi="Times New Roman"/>
          <w:sz w:val="24"/>
        </w:rPr>
        <w:t xml:space="preserve">  完含设备安装及</w:t>
      </w:r>
      <w:r>
        <w:rPr>
          <w:rFonts w:hint="eastAsia" w:ascii="Times New Roman" w:hAnsi="Times New Roman"/>
          <w:sz w:val="24"/>
        </w:rPr>
        <w:t>单体</w:t>
      </w:r>
      <w:r>
        <w:rPr>
          <w:rFonts w:ascii="Times New Roman" w:hAnsi="Times New Roman"/>
          <w:sz w:val="24"/>
        </w:rPr>
        <w:t>调试；</w:t>
      </w:r>
    </w:p>
    <w:p w14:paraId="7DA1DF29">
      <w:pPr>
        <w:tabs>
          <w:tab w:val="left" w:pos="7191"/>
        </w:tabs>
        <w:spacing w:line="360" w:lineRule="auto"/>
        <w:ind w:firstLine="480" w:firstLineChars="200"/>
        <w:rPr>
          <w:rFonts w:ascii="Times New Roman" w:hAnsi="Times New Roman"/>
          <w:sz w:val="24"/>
        </w:rPr>
      </w:pPr>
      <w:r>
        <w:rPr>
          <w:rFonts w:ascii="Times New Roman" w:hAnsi="Times New Roman"/>
          <w:sz w:val="24"/>
        </w:rPr>
        <w:t>（4）202</w:t>
      </w:r>
      <w:r>
        <w:rPr>
          <w:rFonts w:hint="eastAsia" w:ascii="Times New Roman" w:hAnsi="Times New Roman"/>
          <w:sz w:val="24"/>
        </w:rPr>
        <w:t>5</w:t>
      </w:r>
      <w:r>
        <w:rPr>
          <w:rFonts w:ascii="Times New Roman" w:hAnsi="Times New Roman"/>
          <w:sz w:val="24"/>
        </w:rPr>
        <w:t>年</w:t>
      </w:r>
      <w:r>
        <w:rPr>
          <w:rFonts w:hint="eastAsia" w:ascii="Times New Roman" w:hAnsi="Times New Roman"/>
          <w:sz w:val="24"/>
        </w:rPr>
        <w:t>12</w:t>
      </w:r>
      <w:r>
        <w:rPr>
          <w:rFonts w:ascii="Times New Roman" w:hAnsi="Times New Roman"/>
          <w:sz w:val="24"/>
        </w:rPr>
        <w:t>月</w:t>
      </w:r>
      <w:r>
        <w:rPr>
          <w:rFonts w:hint="eastAsia" w:ascii="Times New Roman" w:hAnsi="Times New Roman"/>
          <w:sz w:val="24"/>
        </w:rPr>
        <w:t>30日</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完成</w:t>
      </w:r>
      <w:r>
        <w:rPr>
          <w:rFonts w:hint="eastAsia" w:ascii="Times New Roman" w:hAnsi="Times New Roman"/>
          <w:sz w:val="24"/>
        </w:rPr>
        <w:t>第一次</w:t>
      </w:r>
      <w:r>
        <w:rPr>
          <w:rFonts w:ascii="Times New Roman" w:hAnsi="Times New Roman"/>
          <w:sz w:val="24"/>
        </w:rPr>
        <w:t>设备</w:t>
      </w:r>
      <w:r>
        <w:rPr>
          <w:rFonts w:hint="eastAsia" w:ascii="Times New Roman" w:hAnsi="Times New Roman"/>
          <w:sz w:val="24"/>
        </w:rPr>
        <w:t>整体联调，启动试运行</w:t>
      </w:r>
      <w:r>
        <w:rPr>
          <w:rFonts w:ascii="Times New Roman" w:hAnsi="Times New Roman"/>
          <w:sz w:val="24"/>
        </w:rPr>
        <w:t>；</w:t>
      </w:r>
    </w:p>
    <w:p w14:paraId="20929EEF">
      <w:pPr>
        <w:tabs>
          <w:tab w:val="left" w:pos="7191"/>
        </w:tabs>
        <w:spacing w:line="360" w:lineRule="auto"/>
        <w:ind w:firstLine="480" w:firstLineChars="200"/>
        <w:rPr>
          <w:rFonts w:ascii="Times New Roman" w:hAnsi="Times New Roman"/>
          <w:sz w:val="24"/>
        </w:rPr>
      </w:pPr>
      <w:r>
        <w:rPr>
          <w:rFonts w:hint="eastAsia" w:ascii="Times New Roman" w:hAnsi="Times New Roman"/>
          <w:sz w:val="24"/>
        </w:rPr>
        <w:t>（5）2026年3月30日  完成第二次设备整体联调；</w:t>
      </w:r>
    </w:p>
    <w:p w14:paraId="5AB56440">
      <w:pPr>
        <w:tabs>
          <w:tab w:val="left" w:pos="7191"/>
        </w:tabs>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6</w:t>
      </w:r>
      <w:r>
        <w:rPr>
          <w:rFonts w:ascii="Times New Roman" w:hAnsi="Times New Roman"/>
          <w:sz w:val="24"/>
        </w:rPr>
        <w:t>）202</w:t>
      </w:r>
      <w:r>
        <w:rPr>
          <w:rFonts w:hint="eastAsia" w:ascii="Times New Roman" w:hAnsi="Times New Roman"/>
          <w:sz w:val="24"/>
        </w:rPr>
        <w:t>6</w:t>
      </w:r>
      <w:r>
        <w:rPr>
          <w:rFonts w:ascii="Times New Roman" w:hAnsi="Times New Roman"/>
          <w:sz w:val="24"/>
        </w:rPr>
        <w:t>年</w:t>
      </w:r>
      <w:r>
        <w:rPr>
          <w:rFonts w:hint="eastAsia" w:ascii="Times New Roman" w:hAnsi="Times New Roman"/>
          <w:sz w:val="24"/>
          <w:lang w:val="en-US" w:eastAsia="zh-CN"/>
        </w:rPr>
        <w:t>7</w:t>
      </w:r>
      <w:r>
        <w:rPr>
          <w:rFonts w:ascii="Times New Roman" w:hAnsi="Times New Roman"/>
          <w:sz w:val="24"/>
        </w:rPr>
        <w:t>月</w:t>
      </w:r>
      <w:r>
        <w:rPr>
          <w:rFonts w:hint="eastAsia" w:ascii="Times New Roman" w:hAnsi="Times New Roman"/>
          <w:sz w:val="24"/>
        </w:rPr>
        <w:t>30日</w:t>
      </w:r>
      <w:r>
        <w:rPr>
          <w:rFonts w:ascii="Times New Roman" w:hAnsi="Times New Roman"/>
          <w:sz w:val="24"/>
        </w:rPr>
        <w:t xml:space="preserve"> </w:t>
      </w:r>
      <w:r>
        <w:rPr>
          <w:rFonts w:hint="eastAsia" w:ascii="Times New Roman" w:hAnsi="Times New Roman"/>
          <w:sz w:val="24"/>
        </w:rPr>
        <w:t xml:space="preserve"> 竣工验收。</w:t>
      </w:r>
    </w:p>
    <w:p w14:paraId="3A31F077">
      <w:pPr>
        <w:pStyle w:val="2"/>
        <w:keepNext/>
        <w:keepLines/>
        <w:spacing w:before="156" w:after="156"/>
        <w:rPr>
          <w:rFonts w:ascii="Times New Roman" w:hAnsi="Times New Roman"/>
          <w:color w:val="000000"/>
        </w:rPr>
      </w:pPr>
      <w:bookmarkStart w:id="33" w:name="_Toc187066757"/>
      <w:r>
        <w:rPr>
          <w:rFonts w:ascii="Times New Roman" w:hAnsi="Times New Roman"/>
          <w:color w:val="000000"/>
        </w:rPr>
        <w:t>竣工验收</w:t>
      </w:r>
      <w:bookmarkEnd w:id="30"/>
      <w:bookmarkEnd w:id="31"/>
      <w:bookmarkEnd w:id="32"/>
      <w:bookmarkEnd w:id="33"/>
    </w:p>
    <w:p w14:paraId="6DD83AAF">
      <w:pPr>
        <w:adjustRightInd w:val="0"/>
        <w:snapToGrid w:val="0"/>
        <w:spacing w:line="360" w:lineRule="auto"/>
        <w:ind w:firstLine="480" w:firstLineChars="200"/>
        <w:rPr>
          <w:rFonts w:ascii="Times New Roman" w:hAnsi="Times New Roman"/>
          <w:sz w:val="24"/>
        </w:rPr>
      </w:pPr>
      <w:r>
        <w:rPr>
          <w:rFonts w:ascii="Times New Roman" w:hAnsi="Times New Roman"/>
          <w:sz w:val="24"/>
        </w:rPr>
        <w:t>3.1乙方必须保证本系统项目建设在合同工期要求内通过竣工验收。</w:t>
      </w:r>
    </w:p>
    <w:p w14:paraId="15A445DF">
      <w:pPr>
        <w:adjustRightInd w:val="0"/>
        <w:snapToGrid w:val="0"/>
        <w:spacing w:line="360" w:lineRule="auto"/>
        <w:ind w:firstLine="480" w:firstLineChars="200"/>
        <w:rPr>
          <w:rFonts w:ascii="Times New Roman" w:hAnsi="Times New Roman"/>
          <w:sz w:val="24"/>
        </w:rPr>
      </w:pPr>
      <w:r>
        <w:rPr>
          <w:rFonts w:ascii="Times New Roman" w:hAnsi="Times New Roman"/>
          <w:sz w:val="24"/>
        </w:rPr>
        <w:t>3.2工程竣工验收的条件</w:t>
      </w:r>
    </w:p>
    <w:p w14:paraId="7DC38C0F">
      <w:pPr>
        <w:adjustRightInd w:val="0"/>
        <w:snapToGrid w:val="0"/>
        <w:spacing w:line="360" w:lineRule="auto"/>
        <w:ind w:firstLine="480" w:firstLineChars="200"/>
        <w:rPr>
          <w:rFonts w:ascii="Times New Roman" w:hAnsi="Times New Roman"/>
          <w:sz w:val="24"/>
        </w:rPr>
      </w:pPr>
      <w:r>
        <w:rPr>
          <w:rFonts w:ascii="Times New Roman" w:hAnsi="Times New Roman"/>
          <w:sz w:val="24"/>
        </w:rPr>
        <w:t>（1）乙方已完成按合同约定的工程设计、施工安装、设备测试及系统调试工作；</w:t>
      </w:r>
    </w:p>
    <w:p w14:paraId="1326C742">
      <w:pPr>
        <w:adjustRightInd w:val="0"/>
        <w:snapToGrid w:val="0"/>
        <w:spacing w:line="360" w:lineRule="auto"/>
        <w:ind w:firstLine="480" w:firstLineChars="200"/>
        <w:rPr>
          <w:rFonts w:ascii="Times New Roman" w:hAnsi="Times New Roman"/>
          <w:sz w:val="24"/>
        </w:rPr>
      </w:pPr>
      <w:r>
        <w:rPr>
          <w:rFonts w:ascii="Times New Roman" w:hAnsi="Times New Roman"/>
          <w:sz w:val="24"/>
        </w:rPr>
        <w:t>（2）性能测试或试运行验收时出现的问题已被解决至甲方满意；</w:t>
      </w:r>
    </w:p>
    <w:p w14:paraId="2A3BCFD7">
      <w:pPr>
        <w:adjustRightInd w:val="0"/>
        <w:snapToGrid w:val="0"/>
        <w:spacing w:line="360" w:lineRule="auto"/>
        <w:ind w:firstLine="480" w:firstLineChars="200"/>
        <w:rPr>
          <w:rFonts w:ascii="Times New Roman" w:hAnsi="Times New Roman"/>
          <w:sz w:val="24"/>
        </w:rPr>
      </w:pPr>
      <w:r>
        <w:rPr>
          <w:rFonts w:ascii="Times New Roman" w:hAnsi="Times New Roman"/>
          <w:sz w:val="24"/>
        </w:rPr>
        <w:t>（3）试运行期间，系统性能满足合同要求；</w:t>
      </w:r>
    </w:p>
    <w:p w14:paraId="1A3AA422">
      <w:pPr>
        <w:adjustRightInd w:val="0"/>
        <w:snapToGrid w:val="0"/>
        <w:spacing w:line="360" w:lineRule="auto"/>
        <w:ind w:firstLine="480" w:firstLineChars="200"/>
        <w:rPr>
          <w:rFonts w:ascii="Times New Roman" w:hAnsi="Times New Roman"/>
          <w:sz w:val="24"/>
        </w:rPr>
      </w:pPr>
      <w:r>
        <w:rPr>
          <w:rFonts w:ascii="Times New Roman" w:hAnsi="Times New Roman"/>
          <w:sz w:val="24"/>
        </w:rPr>
        <w:t>（4）乙方已提供了合同中约定的全部货物；</w:t>
      </w:r>
    </w:p>
    <w:p w14:paraId="2F1881B6">
      <w:pPr>
        <w:adjustRightInd w:val="0"/>
        <w:snapToGrid w:val="0"/>
        <w:spacing w:line="360" w:lineRule="auto"/>
        <w:ind w:firstLine="480" w:firstLineChars="200"/>
        <w:rPr>
          <w:rFonts w:ascii="Times New Roman" w:hAnsi="Times New Roman"/>
          <w:sz w:val="24"/>
        </w:rPr>
      </w:pPr>
      <w:r>
        <w:rPr>
          <w:rFonts w:ascii="Times New Roman" w:hAnsi="Times New Roman"/>
          <w:sz w:val="24"/>
        </w:rPr>
        <w:t>（5）乙方竣工资料完备完整；</w:t>
      </w:r>
    </w:p>
    <w:p w14:paraId="5A48747B">
      <w:pPr>
        <w:adjustRightInd w:val="0"/>
        <w:snapToGrid w:val="0"/>
        <w:spacing w:line="360" w:lineRule="auto"/>
        <w:ind w:firstLine="480" w:firstLineChars="200"/>
        <w:rPr>
          <w:rFonts w:ascii="Times New Roman" w:hAnsi="Times New Roman"/>
          <w:sz w:val="24"/>
        </w:rPr>
      </w:pPr>
      <w:r>
        <w:rPr>
          <w:rFonts w:ascii="Times New Roman" w:hAnsi="Times New Roman"/>
          <w:sz w:val="24"/>
        </w:rPr>
        <w:t>（6）符合政府或有关管理机构规定的其他任何竣工条件。</w:t>
      </w:r>
    </w:p>
    <w:p w14:paraId="13CC4F1B">
      <w:pPr>
        <w:adjustRightInd w:val="0"/>
        <w:snapToGrid w:val="0"/>
        <w:spacing w:line="360" w:lineRule="auto"/>
        <w:ind w:firstLine="480" w:firstLineChars="200"/>
        <w:rPr>
          <w:rFonts w:ascii="Times New Roman" w:hAnsi="Times New Roman"/>
          <w:sz w:val="24"/>
        </w:rPr>
      </w:pPr>
      <w:r>
        <w:rPr>
          <w:rFonts w:ascii="Times New Roman" w:hAnsi="Times New Roman"/>
          <w:sz w:val="24"/>
        </w:rPr>
        <w:t>3.3工程具备竣工条件，乙方按电力建设施工及验收技术规范等规定向甲方代表/监理工程师提交“竣工验收报告”申请验收并提供验收所需的施工资料及测试报告。甲方代表/监理工程师在乙方提交齐资料后15天内组织有关部门进行验收，验收15天内给予批准或提出修改意见。乙方按要求修改，承担由于自身原因造成修改所发生的费用。甲方承担非乙方原因造成修改所发生的费用，延误的工期予以顺延。</w:t>
      </w:r>
    </w:p>
    <w:p w14:paraId="3E7B7DA2">
      <w:pPr>
        <w:adjustRightInd w:val="0"/>
        <w:snapToGrid w:val="0"/>
        <w:spacing w:line="360" w:lineRule="auto"/>
        <w:ind w:firstLine="480" w:firstLineChars="200"/>
        <w:rPr>
          <w:rFonts w:ascii="Times New Roman" w:hAnsi="Times New Roman"/>
          <w:sz w:val="24"/>
        </w:rPr>
      </w:pPr>
      <w:r>
        <w:rPr>
          <w:rFonts w:ascii="Times New Roman" w:hAnsi="Times New Roman"/>
          <w:sz w:val="24"/>
        </w:rPr>
        <w:t>3.4整套启动试运验收，执行电力建设工程启动及竣工验收规程等规定，由乙方负责整套启动试运工作。乙方负责整套启动调试方案和措施的制定，负责启动调试中工程的维护、检修、消除缺陷。甲方负责组织试运后的验收工作。</w:t>
      </w:r>
    </w:p>
    <w:p w14:paraId="2019BC59">
      <w:pPr>
        <w:adjustRightInd w:val="0"/>
        <w:snapToGrid w:val="0"/>
        <w:spacing w:line="360" w:lineRule="auto"/>
        <w:ind w:firstLine="480" w:firstLineChars="200"/>
        <w:rPr>
          <w:rFonts w:ascii="Times New Roman" w:hAnsi="Times New Roman"/>
          <w:sz w:val="24"/>
        </w:rPr>
      </w:pPr>
      <w:r>
        <w:rPr>
          <w:rFonts w:ascii="Times New Roman" w:hAnsi="Times New Roman"/>
          <w:sz w:val="24"/>
        </w:rPr>
        <w:t>3.5竣工日期为乙方提交“竣工验收报告”之日；需修改后才能达到竣工要求的，应为乙方修改后经甲方验收之日。</w:t>
      </w:r>
    </w:p>
    <w:p w14:paraId="0BE4E186">
      <w:pPr>
        <w:adjustRightInd w:val="0"/>
        <w:snapToGrid w:val="0"/>
        <w:spacing w:line="360" w:lineRule="auto"/>
        <w:ind w:firstLine="480" w:firstLineChars="200"/>
        <w:rPr>
          <w:rFonts w:ascii="Times New Roman" w:hAnsi="Times New Roman"/>
          <w:sz w:val="24"/>
        </w:rPr>
      </w:pPr>
      <w:r>
        <w:rPr>
          <w:rFonts w:ascii="Times New Roman" w:hAnsi="Times New Roman"/>
          <w:sz w:val="24"/>
        </w:rPr>
        <w:t>3.6甲方未按如上日期组织验收，应从约定期限最后1天的次日起承担工程保管费用。</w:t>
      </w:r>
    </w:p>
    <w:p w14:paraId="61785E14">
      <w:pPr>
        <w:adjustRightInd w:val="0"/>
        <w:snapToGrid w:val="0"/>
        <w:spacing w:line="360" w:lineRule="auto"/>
        <w:ind w:firstLine="480" w:firstLineChars="200"/>
        <w:rPr>
          <w:rFonts w:ascii="Times New Roman" w:hAnsi="Times New Roman"/>
          <w:sz w:val="24"/>
        </w:rPr>
      </w:pPr>
      <w:r>
        <w:rPr>
          <w:rFonts w:ascii="Times New Roman" w:hAnsi="Times New Roman"/>
          <w:sz w:val="24"/>
        </w:rPr>
        <w:t>3.7按基本建设项目档案资料管理的有关规定，乙方在整套启动试运验收后90天内，将竣工图等完整竣工资料移交甲方。</w:t>
      </w:r>
    </w:p>
    <w:p w14:paraId="41BDBDAD">
      <w:pPr>
        <w:adjustRightInd w:val="0"/>
        <w:snapToGrid w:val="0"/>
        <w:spacing w:line="360" w:lineRule="auto"/>
        <w:ind w:firstLine="480" w:firstLineChars="200"/>
        <w:rPr>
          <w:rFonts w:ascii="Times New Roman" w:hAnsi="Times New Roman"/>
          <w:sz w:val="24"/>
        </w:rPr>
      </w:pPr>
      <w:r>
        <w:rPr>
          <w:rFonts w:ascii="Times New Roman" w:hAnsi="Times New Roman"/>
          <w:sz w:val="24"/>
        </w:rPr>
        <w:t>3.8甲方代表/监理工程师在乙方提交“竣工验收报告”后15天内无正当理由未组织验收，或验收后15天内未予批准且未提出修改意见，即视为此“竣工验收报告”经甲方代表/监理工程师批准，应据以办理结算手续。</w:t>
      </w:r>
    </w:p>
    <w:p w14:paraId="43F827F5">
      <w:pPr>
        <w:adjustRightInd w:val="0"/>
        <w:snapToGrid w:val="0"/>
        <w:spacing w:line="360" w:lineRule="auto"/>
        <w:ind w:firstLine="480" w:firstLineChars="200"/>
        <w:rPr>
          <w:rFonts w:ascii="Times New Roman" w:hAnsi="Times New Roman"/>
          <w:sz w:val="24"/>
        </w:rPr>
      </w:pPr>
      <w:r>
        <w:rPr>
          <w:rFonts w:ascii="Times New Roman" w:hAnsi="Times New Roman"/>
          <w:sz w:val="24"/>
        </w:rPr>
        <w:t>3.9乙方在施工过程中应负责全部设备的保护和清洁工作直至项目验收合格。若因乙方对设施、设备的保护措施不当等原因造成设备、设施的受污、受损，须由乙方负责清洁或给予无偿更换。</w:t>
      </w:r>
    </w:p>
    <w:p w14:paraId="56792B7E">
      <w:pPr>
        <w:adjustRightInd w:val="0"/>
        <w:snapToGrid w:val="0"/>
        <w:spacing w:line="360" w:lineRule="auto"/>
        <w:ind w:firstLine="480" w:firstLineChars="200"/>
        <w:rPr>
          <w:rFonts w:ascii="Times New Roman" w:hAnsi="Times New Roman"/>
          <w:sz w:val="24"/>
        </w:rPr>
      </w:pPr>
      <w:r>
        <w:rPr>
          <w:rFonts w:ascii="Times New Roman" w:hAnsi="Times New Roman"/>
          <w:sz w:val="24"/>
        </w:rPr>
        <w:t>3.10如果工程或某部分工程未能通过竣工验收，则乙方应根据验收结果对工程或某部分工程进行整改或修复。整改修复完毕之后，应重新验收。</w:t>
      </w:r>
    </w:p>
    <w:p w14:paraId="2EC452DC">
      <w:pPr>
        <w:adjustRightInd w:val="0"/>
        <w:snapToGrid w:val="0"/>
        <w:spacing w:line="360" w:lineRule="auto"/>
        <w:ind w:firstLine="480" w:firstLineChars="200"/>
        <w:rPr>
          <w:rFonts w:ascii="Times New Roman" w:hAnsi="Times New Roman"/>
          <w:sz w:val="24"/>
        </w:rPr>
      </w:pPr>
      <w:r>
        <w:rPr>
          <w:rFonts w:ascii="Times New Roman" w:hAnsi="Times New Roman"/>
          <w:sz w:val="24"/>
        </w:rPr>
        <w:t>3.11乙方有义务协助业主向政府或有关管理机构办理必要的竣工批准手续。如果政府或有关管理机构要求对工程进一步的检验，则乙方给予配合，对于在这种核验过程中发现的任何缺陷，乙方有义务进行整改或修复承担相应的费用。</w:t>
      </w:r>
    </w:p>
    <w:p w14:paraId="617F84AB">
      <w:pPr>
        <w:adjustRightInd w:val="0"/>
        <w:snapToGrid w:val="0"/>
        <w:spacing w:line="360" w:lineRule="auto"/>
        <w:ind w:firstLine="480" w:firstLineChars="200"/>
        <w:rPr>
          <w:rFonts w:ascii="Times New Roman" w:hAnsi="Times New Roman"/>
          <w:sz w:val="24"/>
        </w:rPr>
      </w:pPr>
      <w:r>
        <w:rPr>
          <w:rFonts w:ascii="Times New Roman" w:hAnsi="Times New Roman"/>
          <w:sz w:val="24"/>
        </w:rPr>
        <w:t>3.12当工程获得了竣工验收证书，通过了政府及有关管理机构可能需要的任何进—步核验，取得政府部门或相关管理机构办理的必要的竣工批准或登记手续后，乙方向业主提交工程移交申请，业主在接到乙方提交的工程移交申请后7天内，办理工程移交手续。</w:t>
      </w:r>
    </w:p>
    <w:p w14:paraId="4C0F4CCF">
      <w:pPr>
        <w:pStyle w:val="8"/>
        <w:rPr>
          <w:rFonts w:ascii="Times New Roman" w:hAnsi="Times New Roman"/>
          <w:sz w:val="24"/>
          <w:lang w:eastAsia="zh-CN"/>
        </w:rPr>
      </w:pPr>
    </w:p>
    <w:p w14:paraId="4DA8C540">
      <w:pPr>
        <w:pStyle w:val="2"/>
        <w:keepNext/>
        <w:keepLines/>
        <w:spacing w:before="156" w:after="156"/>
        <w:rPr>
          <w:rFonts w:ascii="Times New Roman" w:hAnsi="Times New Roman"/>
          <w:color w:val="000000"/>
        </w:rPr>
      </w:pPr>
      <w:bookmarkStart w:id="34" w:name="_Toc187066758"/>
      <w:r>
        <w:rPr>
          <w:rFonts w:hint="eastAsia" w:ascii="Times New Roman" w:hAnsi="Times New Roman"/>
          <w:color w:val="000000"/>
        </w:rPr>
        <w:t>项目保质期</w:t>
      </w:r>
      <w:bookmarkEnd w:id="34"/>
    </w:p>
    <w:p w14:paraId="5A70694E">
      <w:pPr>
        <w:pStyle w:val="22"/>
        <w:ind w:firstLine="480"/>
        <w:rPr>
          <w:rFonts w:ascii="Times New Roman" w:hAnsi="Times New Roman"/>
          <w:spacing w:val="0"/>
          <w:sz w:val="24"/>
          <w:szCs w:val="24"/>
        </w:rPr>
      </w:pPr>
      <w:r>
        <w:rPr>
          <w:rFonts w:hint="eastAsia" w:ascii="Times New Roman" w:hAnsi="Times New Roman"/>
          <w:spacing w:val="0"/>
          <w:sz w:val="24"/>
          <w:szCs w:val="24"/>
        </w:rPr>
        <w:t>本项目的保质期为项目竣工验收合格之日起两年，保质期内投标人需免费为项目提供包含以下系统支持服务：</w:t>
      </w:r>
    </w:p>
    <w:p w14:paraId="144E3F35">
      <w:pPr>
        <w:widowControl/>
        <w:numPr>
          <w:ilvl w:val="0"/>
          <w:numId w:val="9"/>
        </w:numPr>
        <w:spacing w:line="360" w:lineRule="auto"/>
        <w:rPr>
          <w:rFonts w:ascii="Times New Roman" w:hAnsi="Times New Roman"/>
          <w:sz w:val="24"/>
        </w:rPr>
      </w:pPr>
      <w:r>
        <w:rPr>
          <w:rFonts w:hint="eastAsia" w:ascii="Times New Roman" w:hAnsi="Times New Roman"/>
          <w:sz w:val="24"/>
        </w:rPr>
        <w:t>电话热线服务</w:t>
      </w:r>
    </w:p>
    <w:p w14:paraId="3AF5130C">
      <w:pPr>
        <w:widowControl/>
        <w:spacing w:line="360" w:lineRule="auto"/>
        <w:ind w:left="960"/>
        <w:rPr>
          <w:rFonts w:ascii="Times New Roman" w:hAnsi="Times New Roman"/>
          <w:sz w:val="24"/>
        </w:rPr>
      </w:pPr>
      <w:r>
        <w:rPr>
          <w:rFonts w:hint="eastAsia" w:ascii="Times New Roman" w:hAnsi="Times New Roman"/>
          <w:sz w:val="24"/>
        </w:rPr>
        <w:t>配备有经验的售后工程师接听客服电话，及时响应招标人提出的系统问题。</w:t>
      </w:r>
    </w:p>
    <w:p w14:paraId="0C514E7A">
      <w:pPr>
        <w:widowControl/>
        <w:spacing w:line="360" w:lineRule="auto"/>
        <w:ind w:left="960"/>
        <w:rPr>
          <w:rFonts w:ascii="Times New Roman" w:hAnsi="Times New Roman"/>
          <w:sz w:val="24"/>
        </w:rPr>
      </w:pPr>
      <w:r>
        <w:rPr>
          <w:rFonts w:hint="eastAsia" w:ascii="Times New Roman" w:hAnsi="Times New Roman"/>
          <w:sz w:val="24"/>
        </w:rPr>
        <w:t>要求响应时间范围为7×24小时。响应速度为5分钟以内。</w:t>
      </w:r>
    </w:p>
    <w:p w14:paraId="592C19F2">
      <w:pPr>
        <w:widowControl/>
        <w:numPr>
          <w:ilvl w:val="0"/>
          <w:numId w:val="9"/>
        </w:numPr>
        <w:spacing w:line="360" w:lineRule="auto"/>
        <w:rPr>
          <w:rFonts w:ascii="Times New Roman" w:hAnsi="Times New Roman"/>
          <w:sz w:val="24"/>
        </w:rPr>
      </w:pPr>
      <w:r>
        <w:rPr>
          <w:rFonts w:hint="eastAsia" w:ascii="Times New Roman" w:hAnsi="Times New Roman"/>
          <w:sz w:val="24"/>
        </w:rPr>
        <w:t>远程支持</w:t>
      </w:r>
    </w:p>
    <w:p w14:paraId="608CC338">
      <w:pPr>
        <w:widowControl/>
        <w:spacing w:line="360" w:lineRule="auto"/>
        <w:ind w:left="960"/>
        <w:rPr>
          <w:rFonts w:ascii="Times New Roman" w:hAnsi="Times New Roman"/>
          <w:sz w:val="24"/>
        </w:rPr>
      </w:pPr>
      <w:r>
        <w:rPr>
          <w:rFonts w:hint="eastAsia" w:ascii="Times New Roman" w:hAnsi="Times New Roman"/>
          <w:sz w:val="24"/>
        </w:rPr>
        <w:t>对于客服电话解答不了的问题，由售后工程师通过远程网络连线至主机进行远程支持。</w:t>
      </w:r>
    </w:p>
    <w:p w14:paraId="2A3BC673">
      <w:pPr>
        <w:widowControl/>
        <w:spacing w:line="360" w:lineRule="auto"/>
        <w:ind w:left="960"/>
        <w:rPr>
          <w:rFonts w:ascii="Times New Roman" w:hAnsi="Times New Roman"/>
          <w:sz w:val="24"/>
        </w:rPr>
      </w:pPr>
      <w:r>
        <w:rPr>
          <w:rFonts w:hint="eastAsia" w:ascii="Times New Roman" w:hAnsi="Times New Roman"/>
          <w:sz w:val="24"/>
        </w:rPr>
        <w:t>要求响应时间范围为：7×24小时。响应速度10分钟以内。</w:t>
      </w:r>
    </w:p>
    <w:p w14:paraId="70B0B6D0">
      <w:pPr>
        <w:widowControl/>
        <w:numPr>
          <w:ilvl w:val="0"/>
          <w:numId w:val="9"/>
        </w:numPr>
        <w:spacing w:line="360" w:lineRule="auto"/>
        <w:rPr>
          <w:rFonts w:ascii="Times New Roman" w:hAnsi="Times New Roman"/>
          <w:sz w:val="24"/>
        </w:rPr>
      </w:pPr>
      <w:r>
        <w:rPr>
          <w:rFonts w:hint="eastAsia" w:ascii="Times New Roman" w:hAnsi="Times New Roman"/>
          <w:sz w:val="24"/>
        </w:rPr>
        <w:t>现场服务</w:t>
      </w:r>
    </w:p>
    <w:p w14:paraId="63F4CD4A">
      <w:pPr>
        <w:widowControl/>
        <w:spacing w:line="360" w:lineRule="auto"/>
        <w:ind w:left="960"/>
        <w:rPr>
          <w:rFonts w:ascii="Times New Roman" w:hAnsi="Times New Roman"/>
          <w:sz w:val="24"/>
        </w:rPr>
      </w:pPr>
      <w:r>
        <w:rPr>
          <w:rFonts w:hint="eastAsia" w:ascii="Times New Roman" w:hAnsi="Times New Roman"/>
          <w:sz w:val="24"/>
        </w:rPr>
        <w:t>对出现不能远程解决的问题，或在系统的运行环境不完全成熟的条件下，需要提供售后工程师的上门服务，现场解决问题。</w:t>
      </w:r>
    </w:p>
    <w:p w14:paraId="7DC53159">
      <w:pPr>
        <w:widowControl/>
        <w:spacing w:line="360" w:lineRule="auto"/>
        <w:ind w:left="960"/>
        <w:rPr>
          <w:rFonts w:ascii="Times New Roman" w:hAnsi="Times New Roman"/>
          <w:sz w:val="24"/>
        </w:rPr>
      </w:pPr>
      <w:r>
        <w:rPr>
          <w:rFonts w:hint="eastAsia" w:ascii="Times New Roman" w:hAnsi="Times New Roman"/>
          <w:sz w:val="24"/>
        </w:rPr>
        <w:t>要求响应时间范围为：7×24小时，响应速度</w:t>
      </w:r>
      <w:r>
        <w:rPr>
          <w:rFonts w:ascii="Times New Roman" w:hAnsi="Times New Roman"/>
          <w:sz w:val="24"/>
        </w:rPr>
        <w:t>10</w:t>
      </w:r>
      <w:r>
        <w:rPr>
          <w:rFonts w:hint="eastAsia" w:ascii="Times New Roman" w:hAnsi="Times New Roman"/>
          <w:sz w:val="24"/>
        </w:rPr>
        <w:t>分钟以内，45分钟到达现场。</w:t>
      </w:r>
    </w:p>
    <w:sectPr>
      <w:footerReference r:id="rId6" w:type="default"/>
      <w:pgSz w:w="11906" w:h="16838"/>
      <w:pgMar w:top="1440" w:right="1800" w:bottom="1440" w:left="1800" w:header="107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B50A">
    <w:pPr>
      <w:pStyle w:val="11"/>
    </w:pPr>
    <w:r>
      <mc:AlternateContent>
        <mc:Choice Requires="wps">
          <w:drawing>
            <wp:anchor distT="0" distB="0" distL="114300" distR="114300" simplePos="0" relativeHeight="251661312" behindDoc="0" locked="0" layoutInCell="1" allowOverlap="1">
              <wp:simplePos x="0" y="0"/>
              <wp:positionH relativeFrom="margin">
                <wp:posOffset>2607945</wp:posOffset>
              </wp:positionH>
              <wp:positionV relativeFrom="paragraph">
                <wp:posOffset>-15240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085533">
                          <w:pPr>
                            <w:pStyle w:val="11"/>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left:205.35pt;margin-top:-1.2pt;height:144pt;width:144pt;mso-position-horizontal-relative:margin;mso-wrap-style:none;z-index:251661312;mso-width-relative:page;mso-height-relative:page;" filled="f" stroked="f" coordsize="21600,21600" o:gfxdata="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TxnYNtcAAAAKAQAADwAAAAAAAAABACAAAAAiAAAAZHJzL2Rvd25yZXYueG1s&#10;UEsBAhQAFAAAAAgAh07iQFpcRlnAAQAAjQMAAA4AAAAAAAAAAQAgAAAAJgEAAGRycy9lMm9Eb2Mu&#10;eG1sUEsFBgAAAAAGAAYAWQEAAFgFAAAAAA==&#10;">
              <v:fill on="f" focussize="0,0"/>
              <v:stroke on="f"/>
              <v:imagedata o:title=""/>
              <o:lock v:ext="edit" aspectratio="f"/>
              <v:textbox inset="0mm,0mm,0mm,0mm" style="mso-fit-shape-to-text:t;">
                <w:txbxContent>
                  <w:p w14:paraId="37085533">
                    <w:pPr>
                      <w:pStyle w:val="11"/>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0F51B">
    <w:pPr>
      <w:pStyle w:val="12"/>
      <w:jc w:val="center"/>
      <w:rPr>
        <w:rFonts w:ascii="Times New Roman" w:hAnsi="Times New Roman"/>
        <w:sz w:val="21"/>
        <w:szCs w:val="21"/>
      </w:rPr>
    </w:pPr>
    <w:r>
      <w:rPr>
        <w:rFonts w:hint="eastAsia" w:ascii="Times New Roman" w:hAnsi="Times New Roman"/>
        <w:sz w:val="21"/>
        <w:szCs w:val="21"/>
      </w:rPr>
      <w:t>2025年广州南沙供电局庆盛粤港澳大湾区生态合作型营业厅建设项目技术规范书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BE97A">
    <w:r>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801485" cy="9611995"/>
          <wp:effectExtent l="0" t="0" r="0" b="0"/>
          <wp:wrapNone/>
          <wp:docPr id="1" name="WordPictureWatermark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6"/>
                  <pic:cNvPicPr>
                    <a:picLocks noChangeAspect="1"/>
                  </pic:cNvPicPr>
                </pic:nvPicPr>
                <pic:blipFill>
                  <a:blip r:embed="rId1"/>
                  <a:stretch>
                    <a:fillRect/>
                  </a:stretch>
                </pic:blipFill>
                <pic:spPr>
                  <a:xfrm>
                    <a:off x="0" y="0"/>
                    <a:ext cx="6801485" cy="96119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08989">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6801485" cy="9611995"/>
          <wp:effectExtent l="0" t="0" r="0" b="0"/>
          <wp:wrapNone/>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
                  <a:stretch>
                    <a:fillRect/>
                  </a:stretch>
                </pic:blipFill>
                <pic:spPr>
                  <a:xfrm>
                    <a:off x="0" y="0"/>
                    <a:ext cx="6801485" cy="96119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EEC0F"/>
    <w:multiLevelType w:val="singleLevel"/>
    <w:tmpl w:val="A1BEEC0F"/>
    <w:lvl w:ilvl="0" w:tentative="0">
      <w:start w:val="1"/>
      <w:numFmt w:val="decimal"/>
      <w:lvlText w:val="(%1)"/>
      <w:lvlJc w:val="left"/>
      <w:pPr>
        <w:ind w:left="425" w:hanging="425"/>
      </w:pPr>
      <w:rPr>
        <w:rFonts w:hint="default"/>
      </w:rPr>
    </w:lvl>
  </w:abstractNum>
  <w:abstractNum w:abstractNumId="1">
    <w:nsid w:val="0DBD4E81"/>
    <w:multiLevelType w:val="multilevel"/>
    <w:tmpl w:val="0DBD4E81"/>
    <w:lvl w:ilvl="0" w:tentative="0">
      <w:start w:val="1"/>
      <w:numFmt w:val="decimal"/>
      <w:pStyle w:val="2"/>
      <w:suff w:val="space"/>
      <w:lvlText w:val="%1"/>
      <w:lvlJc w:val="left"/>
      <w:pPr>
        <w:ind w:left="0" w:firstLine="0"/>
      </w:pPr>
      <w:rPr>
        <w:rFonts w:hint="eastAsia"/>
        <w:b/>
        <w:i w:val="0"/>
      </w:rPr>
    </w:lvl>
    <w:lvl w:ilvl="1" w:tentative="0">
      <w:start w:val="1"/>
      <w:numFmt w:val="decimal"/>
      <w:pStyle w:val="3"/>
      <w:suff w:val="space"/>
      <w:lvlText w:val="%1.%2"/>
      <w:lvlJc w:val="left"/>
      <w:pPr>
        <w:ind w:left="0" w:firstLine="0"/>
      </w:pPr>
      <w:rPr>
        <w:rFonts w:hint="eastAsia" w:eastAsia="宋体"/>
        <w:b/>
        <w:i w:val="0"/>
      </w:rPr>
    </w:lvl>
    <w:lvl w:ilvl="2" w:tentative="0">
      <w:start w:val="1"/>
      <w:numFmt w:val="decimal"/>
      <w:suff w:val="space"/>
      <w:lvlText w:val="%1.%2.%3"/>
      <w:lvlJc w:val="left"/>
      <w:pPr>
        <w:ind w:left="0" w:firstLine="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44261F19"/>
    <w:multiLevelType w:val="multilevel"/>
    <w:tmpl w:val="44261F1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4FDE4CF9"/>
    <w:multiLevelType w:val="multilevel"/>
    <w:tmpl w:val="4FDE4CF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54423B4B"/>
    <w:multiLevelType w:val="multilevel"/>
    <w:tmpl w:val="54423B4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54A871A8"/>
    <w:multiLevelType w:val="multilevel"/>
    <w:tmpl w:val="54A871A8"/>
    <w:lvl w:ilvl="0" w:tentative="0">
      <w:start w:val="1"/>
      <w:numFmt w:val="bullet"/>
      <w:lvlText w:val=""/>
      <w:lvlJc w:val="left"/>
      <w:pPr>
        <w:tabs>
          <w:tab w:val="left" w:pos="964"/>
        </w:tabs>
        <w:ind w:left="964" w:hanging="482"/>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5500AF5E"/>
    <w:multiLevelType w:val="singleLevel"/>
    <w:tmpl w:val="5500AF5E"/>
    <w:lvl w:ilvl="0" w:tentative="0">
      <w:start w:val="2"/>
      <w:numFmt w:val="decimal"/>
      <w:suff w:val="nothing"/>
      <w:lvlText w:val="%1）"/>
      <w:lvlJc w:val="left"/>
    </w:lvl>
  </w:abstractNum>
  <w:abstractNum w:abstractNumId="7">
    <w:nsid w:val="565B189D"/>
    <w:multiLevelType w:val="multilevel"/>
    <w:tmpl w:val="565B189D"/>
    <w:lvl w:ilvl="0" w:tentative="0">
      <w:start w:val="1"/>
      <w:numFmt w:val="decimal"/>
      <w:lvlText w:val="%1)"/>
      <w:lvlJc w:val="left"/>
      <w:pPr>
        <w:ind w:left="900" w:hanging="420"/>
      </w:p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5F0D34E6"/>
    <w:multiLevelType w:val="multilevel"/>
    <w:tmpl w:val="5F0D34E6"/>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
  </w:num>
  <w:num w:numId="2">
    <w:abstractNumId w:val="4"/>
  </w:num>
  <w:num w:numId="3">
    <w:abstractNumId w:val="7"/>
  </w:num>
  <w:num w:numId="4">
    <w:abstractNumId w:val="0"/>
  </w:num>
  <w:num w:numId="5">
    <w:abstractNumId w:val="8"/>
  </w:num>
  <w:num w:numId="6">
    <w:abstractNumId w:val="3"/>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xNDk2MzE2NjQxMGEyZGMxM2FhNTEyNWU2OWU4ZDgifQ=="/>
  </w:docVars>
  <w:rsids>
    <w:rsidRoot w:val="00B17F02"/>
    <w:rsid w:val="00013856"/>
    <w:rsid w:val="00057881"/>
    <w:rsid w:val="00161E5C"/>
    <w:rsid w:val="00271916"/>
    <w:rsid w:val="002E19A1"/>
    <w:rsid w:val="002E367A"/>
    <w:rsid w:val="003B3894"/>
    <w:rsid w:val="004772CA"/>
    <w:rsid w:val="005B0ABA"/>
    <w:rsid w:val="00654054"/>
    <w:rsid w:val="006E00C5"/>
    <w:rsid w:val="00720717"/>
    <w:rsid w:val="00742D32"/>
    <w:rsid w:val="0077380B"/>
    <w:rsid w:val="007870E7"/>
    <w:rsid w:val="007C773C"/>
    <w:rsid w:val="008F4400"/>
    <w:rsid w:val="00905C6D"/>
    <w:rsid w:val="009C4FC7"/>
    <w:rsid w:val="00A32987"/>
    <w:rsid w:val="00A86DC4"/>
    <w:rsid w:val="00B10E8E"/>
    <w:rsid w:val="00B17F02"/>
    <w:rsid w:val="00B74169"/>
    <w:rsid w:val="00C578E2"/>
    <w:rsid w:val="00DE404A"/>
    <w:rsid w:val="00F52F81"/>
    <w:rsid w:val="09D1170E"/>
    <w:rsid w:val="0D496892"/>
    <w:rsid w:val="0EB21FBD"/>
    <w:rsid w:val="138E0F2A"/>
    <w:rsid w:val="142F2DB5"/>
    <w:rsid w:val="157D1577"/>
    <w:rsid w:val="19713B3C"/>
    <w:rsid w:val="19F02889"/>
    <w:rsid w:val="1CC827DA"/>
    <w:rsid w:val="217A1B37"/>
    <w:rsid w:val="21863561"/>
    <w:rsid w:val="24A71FD0"/>
    <w:rsid w:val="29021EC6"/>
    <w:rsid w:val="2F7C3CC6"/>
    <w:rsid w:val="36A520B9"/>
    <w:rsid w:val="3F7A5648"/>
    <w:rsid w:val="4CEC7012"/>
    <w:rsid w:val="52E144FF"/>
    <w:rsid w:val="566625F2"/>
    <w:rsid w:val="59EE5D3B"/>
    <w:rsid w:val="5E954808"/>
    <w:rsid w:val="6328008F"/>
    <w:rsid w:val="644A7612"/>
    <w:rsid w:val="64F46001"/>
    <w:rsid w:val="65517DBE"/>
    <w:rsid w:val="683D6FF1"/>
    <w:rsid w:val="6A80797C"/>
    <w:rsid w:val="6FD9207B"/>
    <w:rsid w:val="77582252"/>
    <w:rsid w:val="777D1373"/>
    <w:rsid w:val="799055DF"/>
    <w:rsid w:val="79BC3DD6"/>
    <w:rsid w:val="7F6578FB"/>
    <w:rsid w:val="EF5DE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numPr>
        <w:ilvl w:val="0"/>
        <w:numId w:val="1"/>
      </w:numPr>
      <w:spacing w:before="50" w:beforeLines="50" w:after="50" w:afterLines="50" w:line="360" w:lineRule="auto"/>
      <w:outlineLvl w:val="0"/>
    </w:pPr>
    <w:rPr>
      <w:b/>
      <w:bCs/>
      <w:kern w:val="44"/>
      <w:sz w:val="32"/>
      <w:szCs w:val="44"/>
    </w:rPr>
  </w:style>
  <w:style w:type="paragraph" w:styleId="3">
    <w:name w:val="heading 2"/>
    <w:basedOn w:val="1"/>
    <w:next w:val="1"/>
    <w:qFormat/>
    <w:uiPriority w:val="9"/>
    <w:pPr>
      <w:numPr>
        <w:ilvl w:val="1"/>
        <w:numId w:val="1"/>
      </w:numPr>
      <w:spacing w:line="360" w:lineRule="auto"/>
      <w:outlineLvl w:val="1"/>
    </w:pPr>
    <w:rPr>
      <w:rFonts w:ascii="Cambria" w:hAnsi="Cambria"/>
      <w:b/>
      <w:bCs/>
      <w:sz w:val="30"/>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tabs>
        <w:tab w:val="left" w:pos="864"/>
      </w:tabs>
      <w:topLinePunct/>
      <w:adjustRightInd w:val="0"/>
      <w:snapToGrid w:val="0"/>
      <w:spacing w:line="480" w:lineRule="atLeast"/>
      <w:outlineLvl w:val="3"/>
    </w:pPr>
    <w:rPr>
      <w:rFonts w:ascii="Times New Roman" w:hAnsi="Times New Roman"/>
      <w:b/>
      <w:bCs/>
      <w:sz w:val="24"/>
      <w:lang w:val="sv-SE"/>
    </w:rPr>
  </w:style>
  <w:style w:type="paragraph" w:styleId="6">
    <w:name w:val="heading 5"/>
    <w:basedOn w:val="1"/>
    <w:next w:val="1"/>
    <w:qFormat/>
    <w:uiPriority w:val="9"/>
    <w:pPr>
      <w:keepNext/>
      <w:keepLines/>
      <w:tabs>
        <w:tab w:val="left" w:pos="1008"/>
      </w:tabs>
      <w:topLinePunct/>
      <w:adjustRightInd w:val="0"/>
      <w:snapToGrid w:val="0"/>
      <w:spacing w:line="480" w:lineRule="atLeast"/>
      <w:textAlignment w:val="center"/>
      <w:outlineLvl w:val="4"/>
    </w:pPr>
    <w:rPr>
      <w:rFonts w:ascii="Times New Roman" w:hAnsi="Times New Roman"/>
      <w:b/>
      <w:bCs/>
      <w:sz w:val="24"/>
      <w:szCs w:val="28"/>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Body Text"/>
    <w:basedOn w:val="1"/>
    <w:unhideWhenUsed/>
    <w:qFormat/>
    <w:uiPriority w:val="99"/>
    <w:pPr>
      <w:widowControl/>
      <w:spacing w:after="120"/>
      <w:jc w:val="left"/>
    </w:pPr>
    <w:rPr>
      <w:kern w:val="0"/>
      <w:sz w:val="22"/>
      <w:lang w:val="zh-CN" w:eastAsia="en-US" w:bidi="en-US"/>
    </w:rPr>
  </w:style>
  <w:style w:type="paragraph" w:styleId="9">
    <w:name w:val="toc 3"/>
    <w:basedOn w:val="1"/>
    <w:next w:val="1"/>
    <w:qFormat/>
    <w:uiPriority w:val="39"/>
    <w:pPr>
      <w:ind w:left="840" w:leftChars="400"/>
    </w:pPr>
  </w:style>
  <w:style w:type="paragraph" w:styleId="10">
    <w:name w:val="Balloon Text"/>
    <w:basedOn w:val="1"/>
    <w:link w:val="24"/>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Title"/>
    <w:basedOn w:val="1"/>
    <w:next w:val="1"/>
    <w:qFormat/>
    <w:uiPriority w:val="99"/>
    <w:pPr>
      <w:spacing w:before="240" w:after="60"/>
      <w:jc w:val="center"/>
      <w:outlineLvl w:val="0"/>
    </w:pPr>
    <w:rPr>
      <w:rFonts w:ascii="Cambria" w:hAnsi="Cambria"/>
      <w:b/>
      <w:sz w:val="32"/>
      <w:szCs w:val="20"/>
    </w:rPr>
  </w:style>
  <w:style w:type="character" w:styleId="18">
    <w:name w:val="Hyperlink"/>
    <w:basedOn w:val="17"/>
    <w:unhideWhenUsed/>
    <w:qFormat/>
    <w:uiPriority w:val="99"/>
    <w:rPr>
      <w:color w:val="0026E5" w:themeColor="hyperlink"/>
      <w:u w:val="single"/>
      <w14:textFill>
        <w14:solidFill>
          <w14:schemeClr w14:val="hlink"/>
        </w14:solidFill>
      </w14:textFill>
    </w:rPr>
  </w:style>
  <w:style w:type="character" w:styleId="19">
    <w:name w:val="annotation reference"/>
    <w:basedOn w:val="17"/>
    <w:qFormat/>
    <w:uiPriority w:val="0"/>
    <w:rPr>
      <w:sz w:val="21"/>
      <w:szCs w:val="21"/>
    </w:rPr>
  </w:style>
  <w:style w:type="paragraph" w:customStyle="1" w:styleId="20">
    <w:name w:val="主内容"/>
    <w:basedOn w:val="1"/>
    <w:qFormat/>
    <w:uiPriority w:val="0"/>
    <w:pPr>
      <w:overflowPunct w:val="0"/>
      <w:autoSpaceDE w:val="0"/>
      <w:autoSpaceDN w:val="0"/>
      <w:adjustRightInd w:val="0"/>
      <w:snapToGrid w:val="0"/>
      <w:ind w:firstLine="200" w:firstLineChars="200"/>
      <w:jc w:val="left"/>
      <w:textAlignment w:val="baseline"/>
    </w:pPr>
    <w:rPr>
      <w:kern w:val="0"/>
      <w:szCs w:val="20"/>
    </w:rPr>
  </w:style>
  <w:style w:type="paragraph" w:customStyle="1" w:styleId="21">
    <w:name w:val="列表段落1"/>
    <w:basedOn w:val="1"/>
    <w:qFormat/>
    <w:uiPriority w:val="34"/>
    <w:pPr>
      <w:ind w:firstLine="420" w:firstLineChars="200"/>
    </w:pPr>
  </w:style>
  <w:style w:type="paragraph" w:customStyle="1" w:styleId="22">
    <w:name w:val="6级正文"/>
    <w:basedOn w:val="1"/>
    <w:qFormat/>
    <w:uiPriority w:val="0"/>
    <w:pPr>
      <w:spacing w:line="360" w:lineRule="auto"/>
      <w:ind w:firstLine="444" w:firstLineChars="200"/>
    </w:pPr>
    <w:rPr>
      <w:rFonts w:ascii="宋体" w:hAnsi="宋体"/>
      <w:spacing w:val="6"/>
      <w:szCs w:val="21"/>
    </w:rPr>
  </w:style>
  <w:style w:type="paragraph" w:styleId="23">
    <w:name w:val="List Paragraph"/>
    <w:basedOn w:val="1"/>
    <w:unhideWhenUsed/>
    <w:qFormat/>
    <w:uiPriority w:val="99"/>
    <w:pPr>
      <w:ind w:firstLine="420" w:firstLineChars="200"/>
    </w:pPr>
  </w:style>
  <w:style w:type="character" w:customStyle="1" w:styleId="24">
    <w:name w:val="批注框文本 Char"/>
    <w:basedOn w:val="17"/>
    <w:link w:val="10"/>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3023</Words>
  <Characters>3585</Characters>
  <Lines>66</Lines>
  <Paragraphs>18</Paragraphs>
  <TotalTime>0</TotalTime>
  <ScaleCrop>false</ScaleCrop>
  <LinksUpToDate>false</LinksUpToDate>
  <CharactersWithSpaces>3656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2025-07-29T08:48:00Z</dcterms:created>
  <dc:creator>HP</dc:creator>
  <cp:lastModifiedBy>钟彩玲</cp:lastModifiedBy>
  <dcterms:modified xsi:type="dcterms:W3CDTF">2025-07-30T03:07:05Z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C107529C48E77E1CBEFA85689D040359_43</vt:lpwstr>
  </property>
  <property fmtid="{D5CDD505-2E9C-101B-9397-08002B2CF9AE}" pid="4" name="KSOTemplateDocerSaveRecord">
    <vt:lpwstr>eyJoZGlkIjoiYzcxODc2ZDhjOGFjYzNlOWIxMWRkMjk1ZjA5OTBkYTAiLCJ1c2VySWQiOiIyNjY5ODYzMDAifQ==</vt:lpwstr>
  </property>
</Properties>
</file>