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87797">
      <w:pPr>
        <w:jc w:val="center"/>
        <w:rPr>
          <w:rFonts w:ascii="Times New Roman" w:hAnsi="Times New Roman"/>
        </w:rPr>
      </w:pPr>
      <w:bookmarkStart w:id="148" w:name="_GoBack"/>
      <w:bookmarkEnd w:id="148"/>
      <w:r>
        <w:rPr>
          <w:rFonts w:hint="eastAsia"/>
          <w:sz w:val="24"/>
        </w:rPr>
        <w:drawing>
          <wp:anchor distT="0" distB="0" distL="114300" distR="114300" simplePos="0" relativeHeight="251659264" behindDoc="0" locked="0" layoutInCell="1" allowOverlap="1">
            <wp:simplePos x="0" y="0"/>
            <wp:positionH relativeFrom="column">
              <wp:posOffset>-1681480</wp:posOffset>
            </wp:positionH>
            <wp:positionV relativeFrom="paragraph">
              <wp:posOffset>-926465</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48AEB553">
      <w:pPr>
        <w:jc w:val="center"/>
        <w:rPr>
          <w:rFonts w:ascii="Times New Roman" w:hAnsi="Times New Roman"/>
          <w:b/>
          <w:bCs/>
          <w:sz w:val="44"/>
          <w:szCs w:val="40"/>
        </w:rPr>
      </w:pPr>
    </w:p>
    <w:p w14:paraId="48609195">
      <w:pPr>
        <w:pStyle w:val="10"/>
        <w:rPr>
          <w:rFonts w:ascii="Times New Roman" w:hAnsi="Times New Roman"/>
          <w:b/>
          <w:bCs/>
          <w:sz w:val="44"/>
          <w:szCs w:val="40"/>
        </w:rPr>
      </w:pPr>
    </w:p>
    <w:p w14:paraId="3BD6B8CF">
      <w:pPr>
        <w:pStyle w:val="10"/>
        <w:rPr>
          <w:rFonts w:ascii="Times New Roman" w:hAnsi="Times New Roman"/>
          <w:b/>
          <w:bCs/>
          <w:sz w:val="44"/>
          <w:szCs w:val="40"/>
        </w:rPr>
      </w:pPr>
    </w:p>
    <w:p w14:paraId="6C2A6036">
      <w:pPr>
        <w:pStyle w:val="10"/>
        <w:rPr>
          <w:rFonts w:ascii="Times New Roman" w:hAnsi="Times New Roman"/>
          <w:b/>
          <w:bCs/>
          <w:sz w:val="44"/>
          <w:szCs w:val="40"/>
        </w:rPr>
      </w:pPr>
    </w:p>
    <w:p w14:paraId="12662AB9">
      <w:pPr>
        <w:pStyle w:val="10"/>
        <w:rPr>
          <w:rFonts w:ascii="Times New Roman" w:hAnsi="Times New Roman"/>
          <w:b/>
          <w:bCs/>
          <w:sz w:val="44"/>
          <w:szCs w:val="40"/>
        </w:rPr>
      </w:pPr>
    </w:p>
    <w:p w14:paraId="0F0DF9EA">
      <w:pPr>
        <w:jc w:val="center"/>
        <w:rPr>
          <w:rFonts w:ascii="Times New Roman" w:hAnsi="Times New Roman"/>
          <w:b/>
          <w:bCs/>
          <w:sz w:val="44"/>
          <w:szCs w:val="40"/>
        </w:rPr>
      </w:pPr>
    </w:p>
    <w:p w14:paraId="088AD58D">
      <w:pPr>
        <w:jc w:val="center"/>
        <w:rPr>
          <w:rFonts w:ascii="Times New Roman" w:hAnsi="Times New Roman"/>
          <w:b/>
          <w:bCs/>
          <w:sz w:val="44"/>
          <w:szCs w:val="44"/>
        </w:rPr>
      </w:pPr>
    </w:p>
    <w:p w14:paraId="575E2E4D">
      <w:pPr>
        <w:jc w:val="center"/>
        <w:rPr>
          <w:rFonts w:ascii="Times New Roman" w:hAnsi="Times New Roman"/>
          <w:b/>
          <w:bCs/>
          <w:sz w:val="44"/>
          <w:szCs w:val="44"/>
        </w:rPr>
      </w:pPr>
      <w:bookmarkStart w:id="0" w:name="_Toc26743"/>
      <w:bookmarkStart w:id="1" w:name="_Toc19244_WPSOffice_Level1"/>
      <w:r>
        <w:rPr>
          <w:rFonts w:hint="eastAsia" w:ascii="Times New Roman" w:hAnsi="Times New Roman"/>
          <w:b/>
          <w:bCs/>
          <w:sz w:val="44"/>
          <w:szCs w:val="44"/>
        </w:rPr>
        <w:t>2025年广州花都供电局花东基本型营业厅改造项目</w:t>
      </w:r>
      <w:r>
        <w:rPr>
          <w:rFonts w:ascii="Times New Roman" w:hAnsi="Times New Roman"/>
          <w:b/>
          <w:bCs/>
          <w:sz w:val="44"/>
          <w:szCs w:val="44"/>
        </w:rPr>
        <w:t>技术规范书</w:t>
      </w:r>
      <w:bookmarkEnd w:id="0"/>
      <w:bookmarkEnd w:id="1"/>
    </w:p>
    <w:p w14:paraId="22ECE146">
      <w:pPr>
        <w:jc w:val="center"/>
        <w:rPr>
          <w:rFonts w:ascii="Times New Roman" w:hAnsi="Times New Roman"/>
          <w:b/>
          <w:bCs/>
          <w:sz w:val="44"/>
          <w:szCs w:val="40"/>
        </w:rPr>
      </w:pPr>
    </w:p>
    <w:p w14:paraId="6B7BB11B">
      <w:pPr>
        <w:jc w:val="center"/>
        <w:rPr>
          <w:rFonts w:ascii="Times New Roman" w:hAnsi="Times New Roman"/>
          <w:b/>
          <w:bCs/>
          <w:sz w:val="44"/>
          <w:szCs w:val="40"/>
        </w:rPr>
      </w:pPr>
    </w:p>
    <w:p w14:paraId="65C3641B">
      <w:pPr>
        <w:jc w:val="center"/>
        <w:rPr>
          <w:rFonts w:ascii="Times New Roman" w:hAnsi="Times New Roman"/>
          <w:b/>
          <w:bCs/>
          <w:sz w:val="40"/>
          <w:szCs w:val="36"/>
        </w:rPr>
      </w:pPr>
      <w:bookmarkStart w:id="2" w:name="_Toc20516_WPSOffice_Level1"/>
    </w:p>
    <w:p w14:paraId="7FA6802E">
      <w:pPr>
        <w:jc w:val="center"/>
        <w:rPr>
          <w:rFonts w:ascii="Times New Roman" w:hAnsi="Times New Roman"/>
          <w:b/>
          <w:bCs/>
          <w:sz w:val="40"/>
          <w:szCs w:val="36"/>
        </w:rPr>
      </w:pPr>
    </w:p>
    <w:p w14:paraId="3CC79D35">
      <w:pPr>
        <w:jc w:val="center"/>
        <w:rPr>
          <w:rFonts w:ascii="Times New Roman" w:hAnsi="Times New Roman"/>
          <w:b/>
          <w:bCs/>
          <w:sz w:val="40"/>
          <w:szCs w:val="36"/>
        </w:rPr>
      </w:pPr>
    </w:p>
    <w:p w14:paraId="10FC7644">
      <w:pPr>
        <w:jc w:val="center"/>
        <w:rPr>
          <w:rFonts w:ascii="Times New Roman" w:hAnsi="Times New Roman"/>
          <w:b/>
          <w:bCs/>
          <w:sz w:val="40"/>
          <w:szCs w:val="36"/>
        </w:rPr>
      </w:pPr>
    </w:p>
    <w:p w14:paraId="740AF296">
      <w:pPr>
        <w:jc w:val="center"/>
        <w:rPr>
          <w:rFonts w:ascii="Times New Roman" w:hAnsi="Times New Roman"/>
          <w:b/>
          <w:bCs/>
          <w:sz w:val="40"/>
          <w:szCs w:val="36"/>
        </w:rPr>
      </w:pPr>
    </w:p>
    <w:bookmarkEnd w:id="2"/>
    <w:p w14:paraId="6D40CD2B">
      <w:pPr>
        <w:ind w:firstLine="883" w:firstLineChars="200"/>
        <w:jc w:val="left"/>
        <w:rPr>
          <w:rFonts w:ascii="Times New Roman" w:hAnsi="Times New Roman"/>
          <w:b/>
          <w:bCs/>
          <w:sz w:val="44"/>
          <w:szCs w:val="40"/>
        </w:rPr>
      </w:pPr>
    </w:p>
    <w:p w14:paraId="316C0E38">
      <w:pPr>
        <w:jc w:val="center"/>
        <w:rPr>
          <w:rFonts w:ascii="Times New Roman" w:hAnsi="Times New Roman"/>
          <w:b/>
          <w:bCs/>
          <w:sz w:val="44"/>
          <w:szCs w:val="40"/>
        </w:rPr>
      </w:pPr>
    </w:p>
    <w:p w14:paraId="2F5720EC">
      <w:pPr>
        <w:jc w:val="center"/>
        <w:rPr>
          <w:rFonts w:ascii="Times New Roman" w:hAnsi="Times New Roman"/>
          <w:b/>
          <w:bCs/>
          <w:sz w:val="44"/>
          <w:szCs w:val="40"/>
        </w:rPr>
      </w:pPr>
    </w:p>
    <w:p w14:paraId="42D5B9F2">
      <w:pPr>
        <w:jc w:val="center"/>
        <w:rPr>
          <w:rFonts w:ascii="Times New Roman" w:hAnsi="Times New Roman"/>
          <w:b/>
          <w:bCs/>
          <w:sz w:val="32"/>
          <w:szCs w:val="32"/>
        </w:rPr>
      </w:pPr>
      <w:bookmarkStart w:id="3" w:name="_Toc11979"/>
      <w:bookmarkStart w:id="4" w:name="_Toc30035_WPSOffice_Level1"/>
      <w:r>
        <w:rPr>
          <w:rFonts w:ascii="Times New Roman" w:hAnsi="Times New Roman"/>
          <w:b/>
          <w:bCs/>
          <w:sz w:val="32"/>
          <w:szCs w:val="32"/>
        </w:rPr>
        <w:t>202</w:t>
      </w:r>
      <w:r>
        <w:rPr>
          <w:rFonts w:hint="eastAsia" w:ascii="Times New Roman" w:hAnsi="Times New Roman"/>
          <w:b/>
          <w:bCs/>
          <w:sz w:val="32"/>
          <w:szCs w:val="32"/>
        </w:rPr>
        <w:t>5</w:t>
      </w:r>
      <w:r>
        <w:rPr>
          <w:rFonts w:ascii="Times New Roman" w:hAnsi="Times New Roman"/>
          <w:b/>
          <w:bCs/>
          <w:sz w:val="32"/>
          <w:szCs w:val="32"/>
        </w:rPr>
        <w:t>年</w:t>
      </w:r>
      <w:r>
        <w:rPr>
          <w:rFonts w:hint="eastAsia" w:ascii="Times New Roman" w:hAnsi="Times New Roman"/>
          <w:b/>
          <w:bCs/>
          <w:sz w:val="32"/>
          <w:szCs w:val="32"/>
          <w:lang w:val="en-US" w:eastAsia="zh-CN"/>
        </w:rPr>
        <w:t>8</w:t>
      </w:r>
      <w:r>
        <w:rPr>
          <w:rFonts w:ascii="Times New Roman" w:hAnsi="Times New Roman"/>
          <w:b/>
          <w:bCs/>
          <w:sz w:val="32"/>
          <w:szCs w:val="32"/>
        </w:rPr>
        <w:t>月</w:t>
      </w:r>
      <w:bookmarkEnd w:id="3"/>
      <w:bookmarkEnd w:id="4"/>
    </w:p>
    <w:p w14:paraId="701A5C69">
      <w:pPr>
        <w:spacing w:line="360" w:lineRule="auto"/>
        <w:rPr>
          <w:rFonts w:hint="eastAsia"/>
          <w:b/>
          <w:sz w:val="32"/>
          <w:szCs w:val="32"/>
        </w:rPr>
      </w:pPr>
    </w:p>
    <w:p w14:paraId="75BC0C59">
      <w:pPr>
        <w:spacing w:line="360" w:lineRule="auto"/>
        <w:rPr>
          <w:szCs w:val="21"/>
        </w:rPr>
        <w:sectPr>
          <w:pgSz w:w="11906" w:h="16838"/>
          <w:pgMar w:top="1440" w:right="1800" w:bottom="1440" w:left="1800" w:header="851" w:footer="992" w:gutter="0"/>
          <w:cols w:space="425" w:num="1"/>
          <w:docGrid w:type="lines" w:linePitch="312" w:charSpace="0"/>
        </w:sectPr>
      </w:pPr>
    </w:p>
    <w:sdt>
      <w:sdtPr>
        <w:rPr>
          <w:rFonts w:asciiTheme="minorHAnsi" w:hAnsiTheme="minorHAnsi" w:eastAsiaTheme="minorEastAsia" w:cstheme="minorBidi"/>
          <w:color w:val="auto"/>
          <w:kern w:val="2"/>
          <w:sz w:val="21"/>
          <w:szCs w:val="21"/>
          <w:lang w:val="zh-CN"/>
        </w:rPr>
        <w:id w:val="-1945768256"/>
        <w:docPartObj>
          <w:docPartGallery w:val="Table of Contents"/>
          <w:docPartUnique/>
        </w:docPartObj>
      </w:sdtPr>
      <w:sdtEndPr>
        <w:rPr>
          <w:rFonts w:asciiTheme="minorHAnsi" w:hAnsiTheme="minorHAnsi" w:eastAsiaTheme="minorEastAsia" w:cstheme="minorBidi"/>
          <w:b/>
          <w:bCs/>
          <w:color w:val="auto"/>
          <w:kern w:val="2"/>
          <w:sz w:val="21"/>
          <w:szCs w:val="21"/>
          <w:lang w:val="zh-CN"/>
        </w:rPr>
      </w:sdtEndPr>
      <w:sdtContent>
        <w:p w14:paraId="72D4D63D">
          <w:pPr>
            <w:pStyle w:val="38"/>
            <w:spacing w:before="0" w:line="360" w:lineRule="auto"/>
            <w:jc w:val="center"/>
            <w:rPr>
              <w:b/>
              <w:color w:val="auto"/>
              <w:sz w:val="21"/>
              <w:szCs w:val="21"/>
            </w:rPr>
          </w:pPr>
          <w:r>
            <w:rPr>
              <w:b/>
              <w:color w:val="auto"/>
              <w:sz w:val="21"/>
              <w:szCs w:val="21"/>
              <w:lang w:val="zh-CN"/>
            </w:rPr>
            <w:t>目录</w:t>
          </w:r>
        </w:p>
        <w:p w14:paraId="152CAE45">
          <w:pPr>
            <w:pStyle w:val="20"/>
            <w:tabs>
              <w:tab w:val="right" w:leader="dot" w:pos="8296"/>
            </w:tabs>
          </w:pPr>
          <w:r>
            <w:rPr>
              <w:szCs w:val="21"/>
            </w:rPr>
            <w:fldChar w:fldCharType="begin"/>
          </w:r>
          <w:r>
            <w:rPr>
              <w:szCs w:val="21"/>
            </w:rPr>
            <w:instrText xml:space="preserve"> TOC \o "1-3" \h \z \u </w:instrText>
          </w:r>
          <w:r>
            <w:rPr>
              <w:szCs w:val="21"/>
            </w:rPr>
            <w:fldChar w:fldCharType="separate"/>
          </w:r>
          <w:r>
            <w:fldChar w:fldCharType="begin"/>
          </w:r>
          <w:r>
            <w:instrText xml:space="preserve"> HYPERLINK \l "_Toc206145295" </w:instrText>
          </w:r>
          <w:r>
            <w:fldChar w:fldCharType="separate"/>
          </w:r>
          <w:r>
            <w:rPr>
              <w:rStyle w:val="33"/>
              <w:b/>
            </w:rPr>
            <w:t>1 总则</w:t>
          </w:r>
          <w:r>
            <w:tab/>
          </w:r>
          <w:r>
            <w:fldChar w:fldCharType="begin"/>
          </w:r>
          <w:r>
            <w:instrText xml:space="preserve"> PAGEREF _Toc206145295 \h </w:instrText>
          </w:r>
          <w:r>
            <w:fldChar w:fldCharType="separate"/>
          </w:r>
          <w:r>
            <w:t>- 1 -</w:t>
          </w:r>
          <w:r>
            <w:fldChar w:fldCharType="end"/>
          </w:r>
          <w:r>
            <w:fldChar w:fldCharType="end"/>
          </w:r>
        </w:p>
        <w:p w14:paraId="127CF3B3">
          <w:pPr>
            <w:pStyle w:val="24"/>
            <w:tabs>
              <w:tab w:val="right" w:leader="dot" w:pos="8296"/>
            </w:tabs>
          </w:pPr>
          <w:r>
            <w:fldChar w:fldCharType="begin"/>
          </w:r>
          <w:r>
            <w:instrText xml:space="preserve"> HYPERLINK \l "_Toc206145296" </w:instrText>
          </w:r>
          <w:r>
            <w:fldChar w:fldCharType="separate"/>
          </w:r>
          <w:r>
            <w:rPr>
              <w:rStyle w:val="33"/>
              <w:b/>
            </w:rPr>
            <w:t>1.1投标须知</w:t>
          </w:r>
          <w:r>
            <w:tab/>
          </w:r>
          <w:r>
            <w:fldChar w:fldCharType="begin"/>
          </w:r>
          <w:r>
            <w:instrText xml:space="preserve"> PAGEREF _Toc206145296 \h </w:instrText>
          </w:r>
          <w:r>
            <w:fldChar w:fldCharType="separate"/>
          </w:r>
          <w:r>
            <w:t>- 1 -</w:t>
          </w:r>
          <w:r>
            <w:fldChar w:fldCharType="end"/>
          </w:r>
          <w:r>
            <w:fldChar w:fldCharType="end"/>
          </w:r>
        </w:p>
        <w:p w14:paraId="238BFBC0">
          <w:pPr>
            <w:pStyle w:val="24"/>
            <w:tabs>
              <w:tab w:val="right" w:leader="dot" w:pos="8296"/>
            </w:tabs>
          </w:pPr>
          <w:r>
            <w:fldChar w:fldCharType="begin"/>
          </w:r>
          <w:r>
            <w:instrText xml:space="preserve"> HYPERLINK \l "_Toc206145297" </w:instrText>
          </w:r>
          <w:r>
            <w:fldChar w:fldCharType="separate"/>
          </w:r>
          <w:r>
            <w:rPr>
              <w:rStyle w:val="33"/>
              <w:b/>
            </w:rPr>
            <w:t>1.2 遵循标准</w:t>
          </w:r>
          <w:r>
            <w:tab/>
          </w:r>
          <w:r>
            <w:fldChar w:fldCharType="begin"/>
          </w:r>
          <w:r>
            <w:instrText xml:space="preserve"> PAGEREF _Toc206145297 \h </w:instrText>
          </w:r>
          <w:r>
            <w:fldChar w:fldCharType="separate"/>
          </w:r>
          <w:r>
            <w:t>- 1 -</w:t>
          </w:r>
          <w:r>
            <w:fldChar w:fldCharType="end"/>
          </w:r>
          <w:r>
            <w:fldChar w:fldCharType="end"/>
          </w:r>
        </w:p>
        <w:p w14:paraId="25A5969A">
          <w:pPr>
            <w:pStyle w:val="24"/>
            <w:tabs>
              <w:tab w:val="right" w:leader="dot" w:pos="8296"/>
            </w:tabs>
          </w:pPr>
          <w:r>
            <w:fldChar w:fldCharType="begin"/>
          </w:r>
          <w:r>
            <w:instrText xml:space="preserve"> HYPERLINK \l "_Toc206145298" </w:instrText>
          </w:r>
          <w:r>
            <w:fldChar w:fldCharType="separate"/>
          </w:r>
          <w:r>
            <w:rPr>
              <w:rStyle w:val="33"/>
              <w:b/>
            </w:rPr>
            <w:t>1.3 技术投标书编制要求</w:t>
          </w:r>
          <w:r>
            <w:tab/>
          </w:r>
          <w:r>
            <w:fldChar w:fldCharType="begin"/>
          </w:r>
          <w:r>
            <w:instrText xml:space="preserve"> PAGEREF _Toc206145298 \h </w:instrText>
          </w:r>
          <w:r>
            <w:fldChar w:fldCharType="separate"/>
          </w:r>
          <w:r>
            <w:t>- 2 -</w:t>
          </w:r>
          <w:r>
            <w:fldChar w:fldCharType="end"/>
          </w:r>
          <w:r>
            <w:fldChar w:fldCharType="end"/>
          </w:r>
        </w:p>
        <w:p w14:paraId="0AC5A27C">
          <w:pPr>
            <w:pStyle w:val="20"/>
            <w:tabs>
              <w:tab w:val="right" w:leader="dot" w:pos="8296"/>
            </w:tabs>
          </w:pPr>
          <w:r>
            <w:fldChar w:fldCharType="begin"/>
          </w:r>
          <w:r>
            <w:instrText xml:space="preserve"> HYPERLINK \l "_Toc206145299" </w:instrText>
          </w:r>
          <w:r>
            <w:fldChar w:fldCharType="separate"/>
          </w:r>
          <w:r>
            <w:rPr>
              <w:rStyle w:val="33"/>
              <w:b/>
            </w:rPr>
            <w:t>2 项目概况</w:t>
          </w:r>
          <w:r>
            <w:tab/>
          </w:r>
          <w:r>
            <w:fldChar w:fldCharType="begin"/>
          </w:r>
          <w:r>
            <w:instrText xml:space="preserve"> PAGEREF _Toc206145299 \h </w:instrText>
          </w:r>
          <w:r>
            <w:fldChar w:fldCharType="separate"/>
          </w:r>
          <w:r>
            <w:t>- 2 -</w:t>
          </w:r>
          <w:r>
            <w:fldChar w:fldCharType="end"/>
          </w:r>
          <w:r>
            <w:fldChar w:fldCharType="end"/>
          </w:r>
        </w:p>
        <w:p w14:paraId="071D5C91">
          <w:pPr>
            <w:pStyle w:val="24"/>
            <w:tabs>
              <w:tab w:val="right" w:leader="dot" w:pos="8296"/>
            </w:tabs>
          </w:pPr>
          <w:r>
            <w:fldChar w:fldCharType="begin"/>
          </w:r>
          <w:r>
            <w:instrText xml:space="preserve"> HYPERLINK \l "_Toc206145300" </w:instrText>
          </w:r>
          <w:r>
            <w:fldChar w:fldCharType="separate"/>
          </w:r>
          <w:r>
            <w:rPr>
              <w:rStyle w:val="33"/>
              <w:b/>
            </w:rPr>
            <w:t>2.1 项目背景</w:t>
          </w:r>
          <w:r>
            <w:tab/>
          </w:r>
          <w:r>
            <w:fldChar w:fldCharType="begin"/>
          </w:r>
          <w:r>
            <w:instrText xml:space="preserve"> PAGEREF _Toc206145300 \h </w:instrText>
          </w:r>
          <w:r>
            <w:fldChar w:fldCharType="separate"/>
          </w:r>
          <w:r>
            <w:t>- 2 -</w:t>
          </w:r>
          <w:r>
            <w:fldChar w:fldCharType="end"/>
          </w:r>
          <w:r>
            <w:fldChar w:fldCharType="end"/>
          </w:r>
        </w:p>
        <w:p w14:paraId="23E89BD3">
          <w:pPr>
            <w:pStyle w:val="24"/>
            <w:tabs>
              <w:tab w:val="right" w:leader="dot" w:pos="8296"/>
            </w:tabs>
          </w:pPr>
          <w:r>
            <w:fldChar w:fldCharType="begin"/>
          </w:r>
          <w:r>
            <w:instrText xml:space="preserve"> HYPERLINK \l "_Toc206145301" </w:instrText>
          </w:r>
          <w:r>
            <w:fldChar w:fldCharType="separate"/>
          </w:r>
          <w:r>
            <w:rPr>
              <w:rStyle w:val="33"/>
              <w:b/>
            </w:rPr>
            <w:t>2.2 设计原则</w:t>
          </w:r>
          <w:r>
            <w:tab/>
          </w:r>
          <w:r>
            <w:fldChar w:fldCharType="begin"/>
          </w:r>
          <w:r>
            <w:instrText xml:space="preserve"> PAGEREF _Toc206145301 \h </w:instrText>
          </w:r>
          <w:r>
            <w:fldChar w:fldCharType="separate"/>
          </w:r>
          <w:r>
            <w:t>- 3 -</w:t>
          </w:r>
          <w:r>
            <w:fldChar w:fldCharType="end"/>
          </w:r>
          <w:r>
            <w:fldChar w:fldCharType="end"/>
          </w:r>
        </w:p>
        <w:p w14:paraId="7041DA14">
          <w:pPr>
            <w:pStyle w:val="24"/>
            <w:tabs>
              <w:tab w:val="right" w:leader="dot" w:pos="8296"/>
            </w:tabs>
          </w:pPr>
          <w:r>
            <w:fldChar w:fldCharType="begin"/>
          </w:r>
          <w:r>
            <w:instrText xml:space="preserve"> HYPERLINK \l "_Toc206145302" </w:instrText>
          </w:r>
          <w:r>
            <w:fldChar w:fldCharType="separate"/>
          </w:r>
          <w:r>
            <w:rPr>
              <w:rStyle w:val="33"/>
              <w:b/>
            </w:rPr>
            <w:t>2.3 建设目标</w:t>
          </w:r>
          <w:r>
            <w:tab/>
          </w:r>
          <w:r>
            <w:fldChar w:fldCharType="begin"/>
          </w:r>
          <w:r>
            <w:instrText xml:space="preserve"> PAGEREF _Toc206145302 \h </w:instrText>
          </w:r>
          <w:r>
            <w:fldChar w:fldCharType="separate"/>
          </w:r>
          <w:r>
            <w:t>- 3 -</w:t>
          </w:r>
          <w:r>
            <w:fldChar w:fldCharType="end"/>
          </w:r>
          <w:r>
            <w:fldChar w:fldCharType="end"/>
          </w:r>
        </w:p>
        <w:p w14:paraId="206A77B4">
          <w:pPr>
            <w:pStyle w:val="24"/>
            <w:tabs>
              <w:tab w:val="right" w:leader="dot" w:pos="8296"/>
            </w:tabs>
          </w:pPr>
          <w:r>
            <w:fldChar w:fldCharType="begin"/>
          </w:r>
          <w:r>
            <w:instrText xml:space="preserve"> HYPERLINK \l "_Toc206145303" </w:instrText>
          </w:r>
          <w:r>
            <w:fldChar w:fldCharType="separate"/>
          </w:r>
          <w:r>
            <w:rPr>
              <w:rStyle w:val="33"/>
              <w:b/>
            </w:rPr>
            <w:t>2.4 项目范围</w:t>
          </w:r>
          <w:r>
            <w:tab/>
          </w:r>
          <w:r>
            <w:fldChar w:fldCharType="begin"/>
          </w:r>
          <w:r>
            <w:instrText xml:space="preserve"> PAGEREF _Toc206145303 \h </w:instrText>
          </w:r>
          <w:r>
            <w:fldChar w:fldCharType="separate"/>
          </w:r>
          <w:r>
            <w:t>- 4 -</w:t>
          </w:r>
          <w:r>
            <w:fldChar w:fldCharType="end"/>
          </w:r>
          <w:r>
            <w:fldChar w:fldCharType="end"/>
          </w:r>
        </w:p>
        <w:p w14:paraId="5E05792F">
          <w:pPr>
            <w:pStyle w:val="24"/>
            <w:tabs>
              <w:tab w:val="right" w:leader="dot" w:pos="8296"/>
            </w:tabs>
          </w:pPr>
          <w:r>
            <w:fldChar w:fldCharType="begin"/>
          </w:r>
          <w:r>
            <w:instrText xml:space="preserve"> HYPERLINK \l "_Toc206145304" </w:instrText>
          </w:r>
          <w:r>
            <w:fldChar w:fldCharType="separate"/>
          </w:r>
          <w:r>
            <w:rPr>
              <w:rStyle w:val="33"/>
              <w:b/>
            </w:rPr>
            <w:t>2.5 项目现状</w:t>
          </w:r>
          <w:r>
            <w:tab/>
          </w:r>
          <w:r>
            <w:fldChar w:fldCharType="begin"/>
          </w:r>
          <w:r>
            <w:instrText xml:space="preserve"> PAGEREF _Toc206145304 \h </w:instrText>
          </w:r>
          <w:r>
            <w:fldChar w:fldCharType="separate"/>
          </w:r>
          <w:r>
            <w:t>- 4 -</w:t>
          </w:r>
          <w:r>
            <w:fldChar w:fldCharType="end"/>
          </w:r>
          <w:r>
            <w:fldChar w:fldCharType="end"/>
          </w:r>
        </w:p>
        <w:p w14:paraId="7D33531E">
          <w:pPr>
            <w:pStyle w:val="24"/>
            <w:tabs>
              <w:tab w:val="right" w:leader="dot" w:pos="8296"/>
            </w:tabs>
          </w:pPr>
          <w:r>
            <w:fldChar w:fldCharType="begin"/>
          </w:r>
          <w:r>
            <w:instrText xml:space="preserve"> HYPERLINK \l "_Toc206145305" </w:instrText>
          </w:r>
          <w:r>
            <w:fldChar w:fldCharType="separate"/>
          </w:r>
          <w:r>
            <w:rPr>
              <w:rStyle w:val="33"/>
              <w:b/>
            </w:rPr>
            <w:t>2.6 营业厅类型</w:t>
          </w:r>
          <w:r>
            <w:tab/>
          </w:r>
          <w:r>
            <w:fldChar w:fldCharType="begin"/>
          </w:r>
          <w:r>
            <w:instrText xml:space="preserve"> PAGEREF _Toc206145305 \h </w:instrText>
          </w:r>
          <w:r>
            <w:fldChar w:fldCharType="separate"/>
          </w:r>
          <w:r>
            <w:t>- 4 -</w:t>
          </w:r>
          <w:r>
            <w:fldChar w:fldCharType="end"/>
          </w:r>
          <w:r>
            <w:fldChar w:fldCharType="end"/>
          </w:r>
        </w:p>
        <w:p w14:paraId="0340173D">
          <w:pPr>
            <w:pStyle w:val="20"/>
            <w:tabs>
              <w:tab w:val="right" w:leader="dot" w:pos="8296"/>
            </w:tabs>
          </w:pPr>
          <w:r>
            <w:fldChar w:fldCharType="begin"/>
          </w:r>
          <w:r>
            <w:instrText xml:space="preserve"> HYPERLINK \l "_Toc206145306" </w:instrText>
          </w:r>
          <w:r>
            <w:fldChar w:fldCharType="separate"/>
          </w:r>
          <w:r>
            <w:rPr>
              <w:rStyle w:val="33"/>
              <w:b/>
            </w:rPr>
            <w:t>3项目建设要求</w:t>
          </w:r>
          <w:r>
            <w:tab/>
          </w:r>
          <w:r>
            <w:fldChar w:fldCharType="begin"/>
          </w:r>
          <w:r>
            <w:instrText xml:space="preserve"> PAGEREF _Toc206145306 \h </w:instrText>
          </w:r>
          <w:r>
            <w:fldChar w:fldCharType="separate"/>
          </w:r>
          <w:r>
            <w:t>- 5 -</w:t>
          </w:r>
          <w:r>
            <w:fldChar w:fldCharType="end"/>
          </w:r>
          <w:r>
            <w:fldChar w:fldCharType="end"/>
          </w:r>
        </w:p>
        <w:p w14:paraId="12AD73AE">
          <w:pPr>
            <w:pStyle w:val="24"/>
            <w:tabs>
              <w:tab w:val="right" w:leader="dot" w:pos="8296"/>
            </w:tabs>
          </w:pPr>
          <w:r>
            <w:fldChar w:fldCharType="begin"/>
          </w:r>
          <w:r>
            <w:instrText xml:space="preserve"> HYPERLINK \l "_Toc206145307" </w:instrText>
          </w:r>
          <w:r>
            <w:fldChar w:fldCharType="separate"/>
          </w:r>
          <w:r>
            <w:rPr>
              <w:rStyle w:val="33"/>
              <w:b/>
            </w:rPr>
            <w:t>3.1 主要涉及内容</w:t>
          </w:r>
          <w:r>
            <w:tab/>
          </w:r>
          <w:r>
            <w:fldChar w:fldCharType="begin"/>
          </w:r>
          <w:r>
            <w:instrText xml:space="preserve"> PAGEREF _Toc206145307 \h </w:instrText>
          </w:r>
          <w:r>
            <w:fldChar w:fldCharType="separate"/>
          </w:r>
          <w:r>
            <w:t>- 5 -</w:t>
          </w:r>
          <w:r>
            <w:fldChar w:fldCharType="end"/>
          </w:r>
          <w:r>
            <w:fldChar w:fldCharType="end"/>
          </w:r>
        </w:p>
        <w:p w14:paraId="640F80FD">
          <w:pPr>
            <w:pStyle w:val="24"/>
            <w:tabs>
              <w:tab w:val="right" w:leader="dot" w:pos="8296"/>
            </w:tabs>
          </w:pPr>
          <w:r>
            <w:fldChar w:fldCharType="begin"/>
          </w:r>
          <w:r>
            <w:instrText xml:space="preserve"> HYPERLINK \l "_Toc206145308" </w:instrText>
          </w:r>
          <w:r>
            <w:fldChar w:fldCharType="separate"/>
          </w:r>
          <w:r>
            <w:rPr>
              <w:rStyle w:val="33"/>
              <w:b/>
            </w:rPr>
            <w:t>3.2 实施范围</w:t>
          </w:r>
          <w:r>
            <w:tab/>
          </w:r>
          <w:r>
            <w:fldChar w:fldCharType="begin"/>
          </w:r>
          <w:r>
            <w:instrText xml:space="preserve"> PAGEREF _Toc206145308 \h </w:instrText>
          </w:r>
          <w:r>
            <w:fldChar w:fldCharType="separate"/>
          </w:r>
          <w:r>
            <w:t>- 5 -</w:t>
          </w:r>
          <w:r>
            <w:fldChar w:fldCharType="end"/>
          </w:r>
          <w:r>
            <w:fldChar w:fldCharType="end"/>
          </w:r>
        </w:p>
        <w:p w14:paraId="0B17BDA6">
          <w:pPr>
            <w:pStyle w:val="24"/>
            <w:tabs>
              <w:tab w:val="right" w:leader="dot" w:pos="8296"/>
            </w:tabs>
          </w:pPr>
          <w:r>
            <w:fldChar w:fldCharType="begin"/>
          </w:r>
          <w:r>
            <w:instrText xml:space="preserve"> HYPERLINK \l "_Toc206145309" </w:instrText>
          </w:r>
          <w:r>
            <w:fldChar w:fldCharType="separate"/>
          </w:r>
          <w:r>
            <w:rPr>
              <w:rStyle w:val="33"/>
              <w:b/>
            </w:rPr>
            <w:t>3.3 总体要求</w:t>
          </w:r>
          <w:r>
            <w:tab/>
          </w:r>
          <w:r>
            <w:fldChar w:fldCharType="begin"/>
          </w:r>
          <w:r>
            <w:instrText xml:space="preserve"> PAGEREF _Toc206145309 \h </w:instrText>
          </w:r>
          <w:r>
            <w:fldChar w:fldCharType="separate"/>
          </w:r>
          <w:r>
            <w:t>- 6 -</w:t>
          </w:r>
          <w:r>
            <w:fldChar w:fldCharType="end"/>
          </w:r>
          <w:r>
            <w:fldChar w:fldCharType="end"/>
          </w:r>
        </w:p>
        <w:p w14:paraId="155DBF29">
          <w:pPr>
            <w:pStyle w:val="24"/>
            <w:tabs>
              <w:tab w:val="right" w:leader="dot" w:pos="8296"/>
            </w:tabs>
          </w:pPr>
          <w:r>
            <w:fldChar w:fldCharType="begin"/>
          </w:r>
          <w:r>
            <w:instrText xml:space="preserve"> HYPERLINK \l "_Toc206145310" </w:instrText>
          </w:r>
          <w:r>
            <w:fldChar w:fldCharType="separate"/>
          </w:r>
          <w:r>
            <w:rPr>
              <w:rStyle w:val="33"/>
              <w:b/>
            </w:rPr>
            <w:t>3.4 拆除工程</w:t>
          </w:r>
          <w:r>
            <w:tab/>
          </w:r>
          <w:r>
            <w:fldChar w:fldCharType="begin"/>
          </w:r>
          <w:r>
            <w:instrText xml:space="preserve"> PAGEREF _Toc206145310 \h </w:instrText>
          </w:r>
          <w:r>
            <w:fldChar w:fldCharType="separate"/>
          </w:r>
          <w:r>
            <w:t>- 6 -</w:t>
          </w:r>
          <w:r>
            <w:fldChar w:fldCharType="end"/>
          </w:r>
          <w:r>
            <w:fldChar w:fldCharType="end"/>
          </w:r>
        </w:p>
        <w:p w14:paraId="00204556">
          <w:pPr>
            <w:pStyle w:val="24"/>
            <w:tabs>
              <w:tab w:val="right" w:leader="dot" w:pos="8296"/>
            </w:tabs>
          </w:pPr>
          <w:r>
            <w:fldChar w:fldCharType="begin"/>
          </w:r>
          <w:r>
            <w:instrText xml:space="preserve"> HYPERLINK \l "_Toc206145311" </w:instrText>
          </w:r>
          <w:r>
            <w:fldChar w:fldCharType="separate"/>
          </w:r>
          <w:r>
            <w:rPr>
              <w:rStyle w:val="33"/>
              <w:b/>
            </w:rPr>
            <w:t>3.5 装饰装修工程</w:t>
          </w:r>
          <w:r>
            <w:tab/>
          </w:r>
          <w:r>
            <w:fldChar w:fldCharType="begin"/>
          </w:r>
          <w:r>
            <w:instrText xml:space="preserve"> PAGEREF _Toc206145311 \h </w:instrText>
          </w:r>
          <w:r>
            <w:fldChar w:fldCharType="separate"/>
          </w:r>
          <w:r>
            <w:t>- 6 -</w:t>
          </w:r>
          <w:r>
            <w:fldChar w:fldCharType="end"/>
          </w:r>
          <w:r>
            <w:fldChar w:fldCharType="end"/>
          </w:r>
        </w:p>
        <w:p w14:paraId="0B47AEB7">
          <w:pPr>
            <w:pStyle w:val="14"/>
            <w:tabs>
              <w:tab w:val="right" w:leader="dot" w:pos="8296"/>
            </w:tabs>
          </w:pPr>
          <w:r>
            <w:fldChar w:fldCharType="begin"/>
          </w:r>
          <w:r>
            <w:instrText xml:space="preserve"> HYPERLINK \l "_Toc206145312" </w:instrText>
          </w:r>
          <w:r>
            <w:fldChar w:fldCharType="separate"/>
          </w:r>
          <w:r>
            <w:rPr>
              <w:rStyle w:val="33"/>
              <w:b/>
            </w:rPr>
            <w:t>3.5.1装修原则</w:t>
          </w:r>
          <w:r>
            <w:tab/>
          </w:r>
          <w:r>
            <w:fldChar w:fldCharType="begin"/>
          </w:r>
          <w:r>
            <w:instrText xml:space="preserve"> PAGEREF _Toc206145312 \h </w:instrText>
          </w:r>
          <w:r>
            <w:fldChar w:fldCharType="separate"/>
          </w:r>
          <w:r>
            <w:t>- 7 -</w:t>
          </w:r>
          <w:r>
            <w:fldChar w:fldCharType="end"/>
          </w:r>
          <w:r>
            <w:fldChar w:fldCharType="end"/>
          </w:r>
        </w:p>
        <w:p w14:paraId="54C999C6">
          <w:pPr>
            <w:pStyle w:val="24"/>
            <w:tabs>
              <w:tab w:val="right" w:leader="dot" w:pos="8296"/>
            </w:tabs>
          </w:pPr>
          <w:r>
            <w:fldChar w:fldCharType="begin"/>
          </w:r>
          <w:r>
            <w:instrText xml:space="preserve"> HYPERLINK \l "_Toc206145313" </w:instrText>
          </w:r>
          <w:r>
            <w:fldChar w:fldCharType="separate"/>
          </w:r>
          <w:r>
            <w:rPr>
              <w:rStyle w:val="33"/>
              <w:b/>
            </w:rPr>
            <w:t>3.6 供配电系统</w:t>
          </w:r>
          <w:r>
            <w:tab/>
          </w:r>
          <w:r>
            <w:fldChar w:fldCharType="begin"/>
          </w:r>
          <w:r>
            <w:instrText xml:space="preserve"> PAGEREF _Toc206145313 \h </w:instrText>
          </w:r>
          <w:r>
            <w:fldChar w:fldCharType="separate"/>
          </w:r>
          <w:r>
            <w:t>- 7 -</w:t>
          </w:r>
          <w:r>
            <w:fldChar w:fldCharType="end"/>
          </w:r>
          <w:r>
            <w:fldChar w:fldCharType="end"/>
          </w:r>
        </w:p>
        <w:p w14:paraId="2B49483B">
          <w:pPr>
            <w:pStyle w:val="24"/>
            <w:tabs>
              <w:tab w:val="right" w:leader="dot" w:pos="8296"/>
            </w:tabs>
          </w:pPr>
          <w:r>
            <w:fldChar w:fldCharType="begin"/>
          </w:r>
          <w:r>
            <w:instrText xml:space="preserve"> HYPERLINK \l "_Toc206145314" </w:instrText>
          </w:r>
          <w:r>
            <w:fldChar w:fldCharType="separate"/>
          </w:r>
          <w:r>
            <w:rPr>
              <w:rStyle w:val="33"/>
              <w:b/>
            </w:rPr>
            <w:t>3.7 综合布线及通信系统</w:t>
          </w:r>
          <w:r>
            <w:tab/>
          </w:r>
          <w:r>
            <w:fldChar w:fldCharType="begin"/>
          </w:r>
          <w:r>
            <w:instrText xml:space="preserve"> PAGEREF _Toc206145314 \h </w:instrText>
          </w:r>
          <w:r>
            <w:fldChar w:fldCharType="separate"/>
          </w:r>
          <w:r>
            <w:t>- 11 -</w:t>
          </w:r>
          <w:r>
            <w:fldChar w:fldCharType="end"/>
          </w:r>
          <w:r>
            <w:fldChar w:fldCharType="end"/>
          </w:r>
        </w:p>
        <w:p w14:paraId="7D43EA8D">
          <w:pPr>
            <w:pStyle w:val="14"/>
            <w:tabs>
              <w:tab w:val="right" w:leader="dot" w:pos="8296"/>
            </w:tabs>
          </w:pPr>
          <w:r>
            <w:fldChar w:fldCharType="begin"/>
          </w:r>
          <w:r>
            <w:instrText xml:space="preserve"> HYPERLINK \l "_Toc206145315" </w:instrText>
          </w:r>
          <w:r>
            <w:fldChar w:fldCharType="separate"/>
          </w:r>
          <w:r>
            <w:rPr>
              <w:rStyle w:val="33"/>
              <w:b/>
            </w:rPr>
            <w:t>3.7.1一般原则</w:t>
          </w:r>
          <w:r>
            <w:tab/>
          </w:r>
          <w:r>
            <w:fldChar w:fldCharType="begin"/>
          </w:r>
          <w:r>
            <w:instrText xml:space="preserve"> PAGEREF _Toc206145315 \h </w:instrText>
          </w:r>
          <w:r>
            <w:fldChar w:fldCharType="separate"/>
          </w:r>
          <w:r>
            <w:t>- 11 -</w:t>
          </w:r>
          <w:r>
            <w:fldChar w:fldCharType="end"/>
          </w:r>
          <w:r>
            <w:fldChar w:fldCharType="end"/>
          </w:r>
        </w:p>
        <w:p w14:paraId="4C567F0F">
          <w:pPr>
            <w:pStyle w:val="14"/>
            <w:tabs>
              <w:tab w:val="right" w:leader="dot" w:pos="8296"/>
            </w:tabs>
          </w:pPr>
          <w:r>
            <w:fldChar w:fldCharType="begin"/>
          </w:r>
          <w:r>
            <w:instrText xml:space="preserve"> HYPERLINK \l "_Toc206145316" </w:instrText>
          </w:r>
          <w:r>
            <w:fldChar w:fldCharType="separate"/>
          </w:r>
          <w:r>
            <w:rPr>
              <w:rStyle w:val="33"/>
              <w:b/>
            </w:rPr>
            <w:t>3.7.2实施要求</w:t>
          </w:r>
          <w:r>
            <w:tab/>
          </w:r>
          <w:r>
            <w:fldChar w:fldCharType="begin"/>
          </w:r>
          <w:r>
            <w:instrText xml:space="preserve"> PAGEREF _Toc206145316 \h </w:instrText>
          </w:r>
          <w:r>
            <w:fldChar w:fldCharType="separate"/>
          </w:r>
          <w:r>
            <w:t>- 11 -</w:t>
          </w:r>
          <w:r>
            <w:fldChar w:fldCharType="end"/>
          </w:r>
          <w:r>
            <w:fldChar w:fldCharType="end"/>
          </w:r>
        </w:p>
        <w:p w14:paraId="5F00C3CB">
          <w:pPr>
            <w:pStyle w:val="14"/>
            <w:tabs>
              <w:tab w:val="right" w:leader="dot" w:pos="8296"/>
            </w:tabs>
          </w:pPr>
          <w:r>
            <w:fldChar w:fldCharType="begin"/>
          </w:r>
          <w:r>
            <w:instrText xml:space="preserve"> HYPERLINK \l "_Toc206145317" </w:instrText>
          </w:r>
          <w:r>
            <w:fldChar w:fldCharType="separate"/>
          </w:r>
          <w:r>
            <w:rPr>
              <w:rStyle w:val="33"/>
              <w:b/>
            </w:rPr>
            <w:t>3.7.3设备要求</w:t>
          </w:r>
          <w:r>
            <w:tab/>
          </w:r>
          <w:r>
            <w:fldChar w:fldCharType="begin"/>
          </w:r>
          <w:r>
            <w:instrText xml:space="preserve"> PAGEREF _Toc206145317 \h </w:instrText>
          </w:r>
          <w:r>
            <w:fldChar w:fldCharType="separate"/>
          </w:r>
          <w:r>
            <w:t>- 12 -</w:t>
          </w:r>
          <w:r>
            <w:fldChar w:fldCharType="end"/>
          </w:r>
          <w:r>
            <w:fldChar w:fldCharType="end"/>
          </w:r>
        </w:p>
        <w:p w14:paraId="41994513">
          <w:pPr>
            <w:pStyle w:val="14"/>
            <w:tabs>
              <w:tab w:val="right" w:leader="dot" w:pos="8296"/>
            </w:tabs>
          </w:pPr>
          <w:r>
            <w:fldChar w:fldCharType="begin"/>
          </w:r>
          <w:r>
            <w:instrText xml:space="preserve"> HYPERLINK \l "_Toc206145318" </w:instrText>
          </w:r>
          <w:r>
            <w:fldChar w:fldCharType="separate"/>
          </w:r>
          <w:r>
            <w:rPr>
              <w:rStyle w:val="33"/>
              <w:b/>
            </w:rPr>
            <w:t>3.7.4施工技术要求</w:t>
          </w:r>
          <w:r>
            <w:tab/>
          </w:r>
          <w:r>
            <w:fldChar w:fldCharType="begin"/>
          </w:r>
          <w:r>
            <w:instrText xml:space="preserve"> PAGEREF _Toc206145318 \h </w:instrText>
          </w:r>
          <w:r>
            <w:fldChar w:fldCharType="separate"/>
          </w:r>
          <w:r>
            <w:t>- 15 -</w:t>
          </w:r>
          <w:r>
            <w:fldChar w:fldCharType="end"/>
          </w:r>
          <w:r>
            <w:fldChar w:fldCharType="end"/>
          </w:r>
        </w:p>
        <w:p w14:paraId="59B869C8">
          <w:pPr>
            <w:pStyle w:val="14"/>
            <w:tabs>
              <w:tab w:val="right" w:leader="dot" w:pos="8296"/>
            </w:tabs>
          </w:pPr>
          <w:r>
            <w:fldChar w:fldCharType="begin"/>
          </w:r>
          <w:r>
            <w:instrText xml:space="preserve"> HYPERLINK \l "_Toc206145319" </w:instrText>
          </w:r>
          <w:r>
            <w:fldChar w:fldCharType="separate"/>
          </w:r>
          <w:r>
            <w:rPr>
              <w:rStyle w:val="33"/>
              <w:b/>
            </w:rPr>
            <w:t>3.7.5门禁系统</w:t>
          </w:r>
          <w:r>
            <w:tab/>
          </w:r>
          <w:r>
            <w:fldChar w:fldCharType="begin"/>
          </w:r>
          <w:r>
            <w:instrText xml:space="preserve"> PAGEREF _Toc206145319 \h </w:instrText>
          </w:r>
          <w:r>
            <w:fldChar w:fldCharType="separate"/>
          </w:r>
          <w:r>
            <w:t>- 18 -</w:t>
          </w:r>
          <w:r>
            <w:fldChar w:fldCharType="end"/>
          </w:r>
          <w:r>
            <w:fldChar w:fldCharType="end"/>
          </w:r>
        </w:p>
        <w:p w14:paraId="4372F108">
          <w:pPr>
            <w:pStyle w:val="14"/>
            <w:tabs>
              <w:tab w:val="right" w:leader="dot" w:pos="8296"/>
            </w:tabs>
          </w:pPr>
          <w:r>
            <w:fldChar w:fldCharType="begin"/>
          </w:r>
          <w:r>
            <w:instrText xml:space="preserve"> HYPERLINK \l "_Toc206145320" </w:instrText>
          </w:r>
          <w:r>
            <w:fldChar w:fldCharType="separate"/>
          </w:r>
          <w:r>
            <w:rPr>
              <w:rStyle w:val="33"/>
              <w:b/>
            </w:rPr>
            <w:t>3.7.6视频监控系统</w:t>
          </w:r>
          <w:r>
            <w:tab/>
          </w:r>
          <w:r>
            <w:fldChar w:fldCharType="begin"/>
          </w:r>
          <w:r>
            <w:instrText xml:space="preserve"> PAGEREF _Toc206145320 \h </w:instrText>
          </w:r>
          <w:r>
            <w:fldChar w:fldCharType="separate"/>
          </w:r>
          <w:r>
            <w:t>- 18 -</w:t>
          </w:r>
          <w:r>
            <w:fldChar w:fldCharType="end"/>
          </w:r>
          <w:r>
            <w:fldChar w:fldCharType="end"/>
          </w:r>
        </w:p>
        <w:p w14:paraId="73AA0AC3">
          <w:pPr>
            <w:pStyle w:val="24"/>
            <w:tabs>
              <w:tab w:val="right" w:leader="dot" w:pos="8296"/>
            </w:tabs>
          </w:pPr>
          <w:r>
            <w:fldChar w:fldCharType="begin"/>
          </w:r>
          <w:r>
            <w:instrText xml:space="preserve"> HYPERLINK \l "_Toc206145321" </w:instrText>
          </w:r>
          <w:r>
            <w:fldChar w:fldCharType="separate"/>
          </w:r>
          <w:r>
            <w:rPr>
              <w:rStyle w:val="33"/>
              <w:b/>
            </w:rPr>
            <w:t>3.8空调及排风系统</w:t>
          </w:r>
          <w:r>
            <w:tab/>
          </w:r>
          <w:r>
            <w:fldChar w:fldCharType="begin"/>
          </w:r>
          <w:r>
            <w:instrText xml:space="preserve"> PAGEREF _Toc206145321 \h </w:instrText>
          </w:r>
          <w:r>
            <w:fldChar w:fldCharType="separate"/>
          </w:r>
          <w:r>
            <w:t>- 19 -</w:t>
          </w:r>
          <w:r>
            <w:fldChar w:fldCharType="end"/>
          </w:r>
          <w:r>
            <w:fldChar w:fldCharType="end"/>
          </w:r>
        </w:p>
        <w:p w14:paraId="19D65DC0">
          <w:pPr>
            <w:pStyle w:val="24"/>
            <w:tabs>
              <w:tab w:val="right" w:leader="dot" w:pos="8296"/>
            </w:tabs>
          </w:pPr>
          <w:r>
            <w:fldChar w:fldCharType="begin"/>
          </w:r>
          <w:r>
            <w:instrText xml:space="preserve"> HYPERLINK \l "_Toc206145322" </w:instrText>
          </w:r>
          <w:r>
            <w:fldChar w:fldCharType="separate"/>
          </w:r>
          <w:r>
            <w:rPr>
              <w:rStyle w:val="33"/>
              <w:b/>
            </w:rPr>
            <w:t>3.9专用设施技术要求</w:t>
          </w:r>
          <w:r>
            <w:tab/>
          </w:r>
          <w:r>
            <w:fldChar w:fldCharType="begin"/>
          </w:r>
          <w:r>
            <w:instrText xml:space="preserve"> PAGEREF _Toc206145322 \h </w:instrText>
          </w:r>
          <w:r>
            <w:fldChar w:fldCharType="separate"/>
          </w:r>
          <w:r>
            <w:t>- 19 -</w:t>
          </w:r>
          <w:r>
            <w:fldChar w:fldCharType="end"/>
          </w:r>
          <w:r>
            <w:fldChar w:fldCharType="end"/>
          </w:r>
        </w:p>
        <w:p w14:paraId="0C813A26">
          <w:pPr>
            <w:pStyle w:val="20"/>
            <w:tabs>
              <w:tab w:val="right" w:leader="dot" w:pos="8296"/>
            </w:tabs>
          </w:pPr>
          <w:r>
            <w:fldChar w:fldCharType="begin"/>
          </w:r>
          <w:r>
            <w:instrText xml:space="preserve"> HYPERLINK \l "_Toc206145323" </w:instrText>
          </w:r>
          <w:r>
            <w:fldChar w:fldCharType="separate"/>
          </w:r>
          <w:r>
            <w:rPr>
              <w:rStyle w:val="33"/>
              <w:b/>
            </w:rPr>
            <w:t>4技术服务内容及要求</w:t>
          </w:r>
          <w:r>
            <w:tab/>
          </w:r>
          <w:r>
            <w:fldChar w:fldCharType="begin"/>
          </w:r>
          <w:r>
            <w:instrText xml:space="preserve"> PAGEREF _Toc206145323 \h </w:instrText>
          </w:r>
          <w:r>
            <w:fldChar w:fldCharType="separate"/>
          </w:r>
          <w:r>
            <w:t>- 19 -</w:t>
          </w:r>
          <w:r>
            <w:fldChar w:fldCharType="end"/>
          </w:r>
          <w:r>
            <w:fldChar w:fldCharType="end"/>
          </w:r>
        </w:p>
        <w:p w14:paraId="1DDDBBD4">
          <w:pPr>
            <w:pStyle w:val="24"/>
            <w:tabs>
              <w:tab w:val="right" w:leader="dot" w:pos="8296"/>
            </w:tabs>
          </w:pPr>
          <w:r>
            <w:fldChar w:fldCharType="begin"/>
          </w:r>
          <w:r>
            <w:instrText xml:space="preserve"> HYPERLINK \l "_Toc206145324" </w:instrText>
          </w:r>
          <w:r>
            <w:fldChar w:fldCharType="separate"/>
          </w:r>
          <w:r>
            <w:rPr>
              <w:rStyle w:val="33"/>
              <w:b/>
            </w:rPr>
            <w:t>4.1 技术服务内容</w:t>
          </w:r>
          <w:r>
            <w:tab/>
          </w:r>
          <w:r>
            <w:fldChar w:fldCharType="begin"/>
          </w:r>
          <w:r>
            <w:instrText xml:space="preserve"> PAGEREF _Toc206145324 \h </w:instrText>
          </w:r>
          <w:r>
            <w:fldChar w:fldCharType="separate"/>
          </w:r>
          <w:r>
            <w:t>- 19 -</w:t>
          </w:r>
          <w:r>
            <w:fldChar w:fldCharType="end"/>
          </w:r>
          <w:r>
            <w:fldChar w:fldCharType="end"/>
          </w:r>
        </w:p>
        <w:p w14:paraId="506B3E6B">
          <w:pPr>
            <w:pStyle w:val="14"/>
            <w:tabs>
              <w:tab w:val="right" w:leader="dot" w:pos="8296"/>
            </w:tabs>
          </w:pPr>
          <w:r>
            <w:fldChar w:fldCharType="begin"/>
          </w:r>
          <w:r>
            <w:instrText xml:space="preserve"> HYPERLINK \l "_Toc206145325" </w:instrText>
          </w:r>
          <w:r>
            <w:fldChar w:fldCharType="separate"/>
          </w:r>
          <w:r>
            <w:rPr>
              <w:rStyle w:val="33"/>
              <w:b/>
              <w:lang w:val="zh-CN"/>
            </w:rPr>
            <w:t>4.1.1 现场技术服务</w:t>
          </w:r>
          <w:r>
            <w:tab/>
          </w:r>
          <w:r>
            <w:fldChar w:fldCharType="begin"/>
          </w:r>
          <w:r>
            <w:instrText xml:space="preserve"> PAGEREF _Toc206145325 \h </w:instrText>
          </w:r>
          <w:r>
            <w:fldChar w:fldCharType="separate"/>
          </w:r>
          <w:r>
            <w:t>- 19 -</w:t>
          </w:r>
          <w:r>
            <w:fldChar w:fldCharType="end"/>
          </w:r>
          <w:r>
            <w:fldChar w:fldCharType="end"/>
          </w:r>
        </w:p>
        <w:p w14:paraId="6C22FF91">
          <w:pPr>
            <w:pStyle w:val="14"/>
            <w:tabs>
              <w:tab w:val="right" w:leader="dot" w:pos="8296"/>
            </w:tabs>
          </w:pPr>
          <w:r>
            <w:fldChar w:fldCharType="begin"/>
          </w:r>
          <w:r>
            <w:instrText xml:space="preserve"> HYPERLINK \l "_Toc206145326" </w:instrText>
          </w:r>
          <w:r>
            <w:fldChar w:fldCharType="separate"/>
          </w:r>
          <w:r>
            <w:rPr>
              <w:rStyle w:val="33"/>
              <w:b/>
              <w:lang w:val="zh-CN"/>
            </w:rPr>
            <w:t>4.1.2 培训</w:t>
          </w:r>
          <w:r>
            <w:tab/>
          </w:r>
          <w:r>
            <w:fldChar w:fldCharType="begin"/>
          </w:r>
          <w:r>
            <w:instrText xml:space="preserve"> PAGEREF _Toc206145326 \h </w:instrText>
          </w:r>
          <w:r>
            <w:fldChar w:fldCharType="separate"/>
          </w:r>
          <w:r>
            <w:t>- 20 -</w:t>
          </w:r>
          <w:r>
            <w:fldChar w:fldCharType="end"/>
          </w:r>
          <w:r>
            <w:fldChar w:fldCharType="end"/>
          </w:r>
        </w:p>
        <w:p w14:paraId="293DBE39">
          <w:pPr>
            <w:pStyle w:val="24"/>
            <w:tabs>
              <w:tab w:val="right" w:leader="dot" w:pos="8296"/>
            </w:tabs>
          </w:pPr>
          <w:r>
            <w:fldChar w:fldCharType="begin"/>
          </w:r>
          <w:r>
            <w:instrText xml:space="preserve"> HYPERLINK \l "_Toc206145327" </w:instrText>
          </w:r>
          <w:r>
            <w:fldChar w:fldCharType="separate"/>
          </w:r>
          <w:r>
            <w:rPr>
              <w:rStyle w:val="33"/>
              <w:b/>
            </w:rPr>
            <w:t>4.2 售后服务</w:t>
          </w:r>
          <w:r>
            <w:tab/>
          </w:r>
          <w:r>
            <w:fldChar w:fldCharType="begin"/>
          </w:r>
          <w:r>
            <w:instrText xml:space="preserve"> PAGEREF _Toc206145327 \h </w:instrText>
          </w:r>
          <w:r>
            <w:fldChar w:fldCharType="separate"/>
          </w:r>
          <w:r>
            <w:t>- 21 -</w:t>
          </w:r>
          <w:r>
            <w:fldChar w:fldCharType="end"/>
          </w:r>
          <w:r>
            <w:fldChar w:fldCharType="end"/>
          </w:r>
        </w:p>
        <w:p w14:paraId="0F339825">
          <w:pPr>
            <w:pStyle w:val="24"/>
            <w:tabs>
              <w:tab w:val="right" w:leader="dot" w:pos="8296"/>
            </w:tabs>
          </w:pPr>
          <w:r>
            <w:fldChar w:fldCharType="begin"/>
          </w:r>
          <w:r>
            <w:instrText xml:space="preserve"> HYPERLINK \l "_Toc206145328" </w:instrText>
          </w:r>
          <w:r>
            <w:fldChar w:fldCharType="separate"/>
          </w:r>
          <w:r>
            <w:rPr>
              <w:rStyle w:val="33"/>
              <w:b/>
            </w:rPr>
            <w:t>4.3 项目管理要求</w:t>
          </w:r>
          <w:r>
            <w:tab/>
          </w:r>
          <w:r>
            <w:fldChar w:fldCharType="begin"/>
          </w:r>
          <w:r>
            <w:instrText xml:space="preserve"> PAGEREF _Toc206145328 \h </w:instrText>
          </w:r>
          <w:r>
            <w:fldChar w:fldCharType="separate"/>
          </w:r>
          <w:r>
            <w:t>- 21 -</w:t>
          </w:r>
          <w:r>
            <w:fldChar w:fldCharType="end"/>
          </w:r>
          <w:r>
            <w:fldChar w:fldCharType="end"/>
          </w:r>
        </w:p>
        <w:p w14:paraId="0E9F2301">
          <w:pPr>
            <w:pStyle w:val="14"/>
            <w:tabs>
              <w:tab w:val="right" w:leader="dot" w:pos="8296"/>
            </w:tabs>
          </w:pPr>
          <w:r>
            <w:fldChar w:fldCharType="begin"/>
          </w:r>
          <w:r>
            <w:instrText xml:space="preserve"> HYPERLINK \l "_Toc206145329" </w:instrText>
          </w:r>
          <w:r>
            <w:fldChar w:fldCharType="separate"/>
          </w:r>
          <w:r>
            <w:rPr>
              <w:rStyle w:val="33"/>
              <w:b/>
              <w:lang w:val="zh-CN"/>
            </w:rPr>
            <w:t>4.3.1 进度要求</w:t>
          </w:r>
          <w:r>
            <w:tab/>
          </w:r>
          <w:r>
            <w:fldChar w:fldCharType="begin"/>
          </w:r>
          <w:r>
            <w:instrText xml:space="preserve"> PAGEREF _Toc206145329 \h </w:instrText>
          </w:r>
          <w:r>
            <w:fldChar w:fldCharType="separate"/>
          </w:r>
          <w:r>
            <w:t>- 21 -</w:t>
          </w:r>
          <w:r>
            <w:fldChar w:fldCharType="end"/>
          </w:r>
          <w:r>
            <w:fldChar w:fldCharType="end"/>
          </w:r>
        </w:p>
        <w:p w14:paraId="726EA9C2">
          <w:pPr>
            <w:pStyle w:val="14"/>
            <w:tabs>
              <w:tab w:val="right" w:leader="dot" w:pos="8296"/>
            </w:tabs>
          </w:pPr>
          <w:r>
            <w:fldChar w:fldCharType="begin"/>
          </w:r>
          <w:r>
            <w:instrText xml:space="preserve"> HYPERLINK \l "_Toc206145330" </w:instrText>
          </w:r>
          <w:r>
            <w:fldChar w:fldCharType="separate"/>
          </w:r>
          <w:r>
            <w:rPr>
              <w:rStyle w:val="33"/>
              <w:b/>
              <w:lang w:val="zh-CN"/>
            </w:rPr>
            <w:t>4.3.2 质量要求</w:t>
          </w:r>
          <w:r>
            <w:tab/>
          </w:r>
          <w:r>
            <w:fldChar w:fldCharType="begin"/>
          </w:r>
          <w:r>
            <w:instrText xml:space="preserve"> PAGEREF _Toc206145330 \h </w:instrText>
          </w:r>
          <w:r>
            <w:fldChar w:fldCharType="separate"/>
          </w:r>
          <w:r>
            <w:t>- 22 -</w:t>
          </w:r>
          <w:r>
            <w:fldChar w:fldCharType="end"/>
          </w:r>
          <w:r>
            <w:fldChar w:fldCharType="end"/>
          </w:r>
        </w:p>
        <w:p w14:paraId="61BC9DFC">
          <w:pPr>
            <w:pStyle w:val="20"/>
            <w:tabs>
              <w:tab w:val="right" w:leader="dot" w:pos="8296"/>
            </w:tabs>
          </w:pPr>
          <w:r>
            <w:fldChar w:fldCharType="begin"/>
          </w:r>
          <w:r>
            <w:instrText xml:space="preserve"> HYPERLINK \l "_Toc206145331" </w:instrText>
          </w:r>
          <w:r>
            <w:fldChar w:fldCharType="separate"/>
          </w:r>
          <w:r>
            <w:rPr>
              <w:rStyle w:val="33"/>
              <w:b/>
            </w:rPr>
            <w:t>5质量保证措施</w:t>
          </w:r>
          <w:r>
            <w:tab/>
          </w:r>
          <w:r>
            <w:fldChar w:fldCharType="begin"/>
          </w:r>
          <w:r>
            <w:instrText xml:space="preserve"> PAGEREF _Toc206145331 \h </w:instrText>
          </w:r>
          <w:r>
            <w:fldChar w:fldCharType="separate"/>
          </w:r>
          <w:r>
            <w:t>- 22 -</w:t>
          </w:r>
          <w:r>
            <w:fldChar w:fldCharType="end"/>
          </w:r>
          <w:r>
            <w:fldChar w:fldCharType="end"/>
          </w:r>
        </w:p>
        <w:p w14:paraId="42B0B71C">
          <w:pPr>
            <w:pStyle w:val="24"/>
            <w:tabs>
              <w:tab w:val="right" w:leader="dot" w:pos="8296"/>
            </w:tabs>
          </w:pPr>
          <w:r>
            <w:fldChar w:fldCharType="begin"/>
          </w:r>
          <w:r>
            <w:instrText xml:space="preserve"> HYPERLINK \l "_Toc206145332" </w:instrText>
          </w:r>
          <w:r>
            <w:fldChar w:fldCharType="separate"/>
          </w:r>
          <w:r>
            <w:rPr>
              <w:rStyle w:val="33"/>
              <w:b/>
            </w:rPr>
            <w:t>5.1 组织保证</w:t>
          </w:r>
          <w:r>
            <w:tab/>
          </w:r>
          <w:r>
            <w:fldChar w:fldCharType="begin"/>
          </w:r>
          <w:r>
            <w:instrText xml:space="preserve"> PAGEREF _Toc206145332 \h </w:instrText>
          </w:r>
          <w:r>
            <w:fldChar w:fldCharType="separate"/>
          </w:r>
          <w:r>
            <w:t>- 22 -</w:t>
          </w:r>
          <w:r>
            <w:fldChar w:fldCharType="end"/>
          </w:r>
          <w:r>
            <w:fldChar w:fldCharType="end"/>
          </w:r>
        </w:p>
        <w:p w14:paraId="017BC93E">
          <w:pPr>
            <w:pStyle w:val="24"/>
            <w:tabs>
              <w:tab w:val="right" w:leader="dot" w:pos="8296"/>
            </w:tabs>
          </w:pPr>
          <w:r>
            <w:fldChar w:fldCharType="begin"/>
          </w:r>
          <w:r>
            <w:instrText xml:space="preserve"> HYPERLINK \l "_Toc206145333" </w:instrText>
          </w:r>
          <w:r>
            <w:fldChar w:fldCharType="separate"/>
          </w:r>
          <w:r>
            <w:rPr>
              <w:rStyle w:val="33"/>
              <w:b/>
            </w:rPr>
            <w:t>5.2 质量保证</w:t>
          </w:r>
          <w:r>
            <w:tab/>
          </w:r>
          <w:r>
            <w:fldChar w:fldCharType="begin"/>
          </w:r>
          <w:r>
            <w:instrText xml:space="preserve"> PAGEREF _Toc206145333 \h </w:instrText>
          </w:r>
          <w:r>
            <w:fldChar w:fldCharType="separate"/>
          </w:r>
          <w:r>
            <w:t>- 22 -</w:t>
          </w:r>
          <w:r>
            <w:fldChar w:fldCharType="end"/>
          </w:r>
          <w:r>
            <w:fldChar w:fldCharType="end"/>
          </w:r>
        </w:p>
        <w:p w14:paraId="20622118">
          <w:pPr>
            <w:pStyle w:val="24"/>
            <w:tabs>
              <w:tab w:val="right" w:leader="dot" w:pos="8296"/>
            </w:tabs>
          </w:pPr>
          <w:r>
            <w:fldChar w:fldCharType="begin"/>
          </w:r>
          <w:r>
            <w:instrText xml:space="preserve"> HYPERLINK \l "_Toc206145334" </w:instrText>
          </w:r>
          <w:r>
            <w:fldChar w:fldCharType="separate"/>
          </w:r>
          <w:r>
            <w:rPr>
              <w:rStyle w:val="33"/>
              <w:b/>
            </w:rPr>
            <w:t>5.3 项目管理</w:t>
          </w:r>
          <w:r>
            <w:tab/>
          </w:r>
          <w:r>
            <w:fldChar w:fldCharType="begin"/>
          </w:r>
          <w:r>
            <w:instrText xml:space="preserve"> PAGEREF _Toc206145334 \h </w:instrText>
          </w:r>
          <w:r>
            <w:fldChar w:fldCharType="separate"/>
          </w:r>
          <w:r>
            <w:t>- 22 -</w:t>
          </w:r>
          <w:r>
            <w:fldChar w:fldCharType="end"/>
          </w:r>
          <w:r>
            <w:fldChar w:fldCharType="end"/>
          </w:r>
        </w:p>
        <w:p w14:paraId="659F8BD7">
          <w:pPr>
            <w:pStyle w:val="20"/>
            <w:tabs>
              <w:tab w:val="right" w:leader="dot" w:pos="8296"/>
            </w:tabs>
          </w:pPr>
          <w:r>
            <w:fldChar w:fldCharType="begin"/>
          </w:r>
          <w:r>
            <w:instrText xml:space="preserve"> HYPERLINK \l "_Toc206145335" </w:instrText>
          </w:r>
          <w:r>
            <w:fldChar w:fldCharType="separate"/>
          </w:r>
          <w:r>
            <w:rPr>
              <w:rStyle w:val="33"/>
              <w:b/>
            </w:rPr>
            <w:t>6技术文档要求</w:t>
          </w:r>
          <w:r>
            <w:tab/>
          </w:r>
          <w:r>
            <w:fldChar w:fldCharType="begin"/>
          </w:r>
          <w:r>
            <w:instrText xml:space="preserve"> PAGEREF _Toc206145335 \h </w:instrText>
          </w:r>
          <w:r>
            <w:fldChar w:fldCharType="separate"/>
          </w:r>
          <w:r>
            <w:t>- 23 -</w:t>
          </w:r>
          <w:r>
            <w:fldChar w:fldCharType="end"/>
          </w:r>
          <w:r>
            <w:fldChar w:fldCharType="end"/>
          </w:r>
        </w:p>
        <w:p w14:paraId="4E10BE28">
          <w:pPr>
            <w:pStyle w:val="24"/>
            <w:tabs>
              <w:tab w:val="right" w:leader="dot" w:pos="8296"/>
            </w:tabs>
          </w:pPr>
          <w:r>
            <w:fldChar w:fldCharType="begin"/>
          </w:r>
          <w:r>
            <w:instrText xml:space="preserve"> HYPERLINK \l "_Toc206145336" </w:instrText>
          </w:r>
          <w:r>
            <w:fldChar w:fldCharType="separate"/>
          </w:r>
          <w:r>
            <w:rPr>
              <w:rStyle w:val="33"/>
              <w:b/>
            </w:rPr>
            <w:t>6.1 一般要求</w:t>
          </w:r>
          <w:r>
            <w:tab/>
          </w:r>
          <w:r>
            <w:fldChar w:fldCharType="begin"/>
          </w:r>
          <w:r>
            <w:instrText xml:space="preserve"> PAGEREF _Toc206145336 \h </w:instrText>
          </w:r>
          <w:r>
            <w:fldChar w:fldCharType="separate"/>
          </w:r>
          <w:r>
            <w:t>- 23 -</w:t>
          </w:r>
          <w:r>
            <w:fldChar w:fldCharType="end"/>
          </w:r>
          <w:r>
            <w:fldChar w:fldCharType="end"/>
          </w:r>
        </w:p>
        <w:p w14:paraId="0B692DA2">
          <w:pPr>
            <w:pStyle w:val="24"/>
            <w:tabs>
              <w:tab w:val="right" w:leader="dot" w:pos="8296"/>
            </w:tabs>
          </w:pPr>
          <w:r>
            <w:fldChar w:fldCharType="begin"/>
          </w:r>
          <w:r>
            <w:instrText xml:space="preserve"> HYPERLINK \l "_Toc206145337" </w:instrText>
          </w:r>
          <w:r>
            <w:fldChar w:fldCharType="separate"/>
          </w:r>
          <w:r>
            <w:rPr>
              <w:rStyle w:val="33"/>
              <w:b/>
            </w:rPr>
            <w:t>6.2 资料提交的基本要求</w:t>
          </w:r>
          <w:r>
            <w:tab/>
          </w:r>
          <w:r>
            <w:fldChar w:fldCharType="begin"/>
          </w:r>
          <w:r>
            <w:instrText xml:space="preserve"> PAGEREF _Toc206145337 \h </w:instrText>
          </w:r>
          <w:r>
            <w:fldChar w:fldCharType="separate"/>
          </w:r>
          <w:r>
            <w:t>- 23 -</w:t>
          </w:r>
          <w:r>
            <w:fldChar w:fldCharType="end"/>
          </w:r>
          <w:r>
            <w:fldChar w:fldCharType="end"/>
          </w:r>
        </w:p>
        <w:p w14:paraId="3065649B">
          <w:pPr>
            <w:pStyle w:val="20"/>
            <w:tabs>
              <w:tab w:val="right" w:leader="dot" w:pos="8296"/>
            </w:tabs>
          </w:pPr>
          <w:r>
            <w:fldChar w:fldCharType="begin"/>
          </w:r>
          <w:r>
            <w:instrText xml:space="preserve"> HYPERLINK \l "_Toc206145338" </w:instrText>
          </w:r>
          <w:r>
            <w:fldChar w:fldCharType="separate"/>
          </w:r>
          <w:r>
            <w:rPr>
              <w:rStyle w:val="33"/>
              <w:b/>
            </w:rPr>
            <w:t>7测试和验收</w:t>
          </w:r>
          <w:r>
            <w:tab/>
          </w:r>
          <w:r>
            <w:fldChar w:fldCharType="begin"/>
          </w:r>
          <w:r>
            <w:instrText xml:space="preserve"> PAGEREF _Toc206145338 \h </w:instrText>
          </w:r>
          <w:r>
            <w:fldChar w:fldCharType="separate"/>
          </w:r>
          <w:r>
            <w:t>- 24 -</w:t>
          </w:r>
          <w:r>
            <w:fldChar w:fldCharType="end"/>
          </w:r>
          <w:r>
            <w:fldChar w:fldCharType="end"/>
          </w:r>
        </w:p>
        <w:p w14:paraId="62DCF59F">
          <w:pPr>
            <w:pStyle w:val="24"/>
            <w:tabs>
              <w:tab w:val="right" w:leader="dot" w:pos="8296"/>
            </w:tabs>
          </w:pPr>
          <w:r>
            <w:fldChar w:fldCharType="begin"/>
          </w:r>
          <w:r>
            <w:instrText xml:space="preserve"> HYPERLINK \l "_Toc206145339" </w:instrText>
          </w:r>
          <w:r>
            <w:fldChar w:fldCharType="separate"/>
          </w:r>
          <w:r>
            <w:rPr>
              <w:rStyle w:val="33"/>
              <w:b/>
            </w:rPr>
            <w:t>7.1 总体要求</w:t>
          </w:r>
          <w:r>
            <w:tab/>
          </w:r>
          <w:r>
            <w:fldChar w:fldCharType="begin"/>
          </w:r>
          <w:r>
            <w:instrText xml:space="preserve"> PAGEREF _Toc206145339 \h </w:instrText>
          </w:r>
          <w:r>
            <w:fldChar w:fldCharType="separate"/>
          </w:r>
          <w:r>
            <w:t>- 24 -</w:t>
          </w:r>
          <w:r>
            <w:fldChar w:fldCharType="end"/>
          </w:r>
          <w:r>
            <w:fldChar w:fldCharType="end"/>
          </w:r>
        </w:p>
        <w:p w14:paraId="620940E1">
          <w:pPr>
            <w:pStyle w:val="24"/>
            <w:tabs>
              <w:tab w:val="right" w:leader="dot" w:pos="8296"/>
            </w:tabs>
          </w:pPr>
          <w:r>
            <w:fldChar w:fldCharType="begin"/>
          </w:r>
          <w:r>
            <w:instrText xml:space="preserve"> HYPERLINK \l "_Toc206145340" </w:instrText>
          </w:r>
          <w:r>
            <w:fldChar w:fldCharType="separate"/>
          </w:r>
          <w:r>
            <w:rPr>
              <w:rStyle w:val="33"/>
              <w:b/>
            </w:rPr>
            <w:t>7.2 材料和设备验收</w:t>
          </w:r>
          <w:r>
            <w:tab/>
          </w:r>
          <w:r>
            <w:fldChar w:fldCharType="begin"/>
          </w:r>
          <w:r>
            <w:instrText xml:space="preserve"> PAGEREF _Toc206145340 \h </w:instrText>
          </w:r>
          <w:r>
            <w:fldChar w:fldCharType="separate"/>
          </w:r>
          <w:r>
            <w:t>- 25 -</w:t>
          </w:r>
          <w:r>
            <w:fldChar w:fldCharType="end"/>
          </w:r>
          <w:r>
            <w:fldChar w:fldCharType="end"/>
          </w:r>
        </w:p>
        <w:p w14:paraId="0589CC62">
          <w:pPr>
            <w:pStyle w:val="24"/>
            <w:tabs>
              <w:tab w:val="right" w:leader="dot" w:pos="8296"/>
            </w:tabs>
          </w:pPr>
          <w:r>
            <w:fldChar w:fldCharType="begin"/>
          </w:r>
          <w:r>
            <w:instrText xml:space="preserve"> HYPERLINK \l "_Toc206145341" </w:instrText>
          </w:r>
          <w:r>
            <w:fldChar w:fldCharType="separate"/>
          </w:r>
          <w:r>
            <w:rPr>
              <w:rStyle w:val="33"/>
              <w:b/>
            </w:rPr>
            <w:t>7.3 隐蔽工程验收</w:t>
          </w:r>
          <w:r>
            <w:tab/>
          </w:r>
          <w:r>
            <w:fldChar w:fldCharType="begin"/>
          </w:r>
          <w:r>
            <w:instrText xml:space="preserve"> PAGEREF _Toc206145341 \h </w:instrText>
          </w:r>
          <w:r>
            <w:fldChar w:fldCharType="separate"/>
          </w:r>
          <w:r>
            <w:t>- 25 -</w:t>
          </w:r>
          <w:r>
            <w:fldChar w:fldCharType="end"/>
          </w:r>
          <w:r>
            <w:fldChar w:fldCharType="end"/>
          </w:r>
        </w:p>
        <w:p w14:paraId="2565B4B6">
          <w:pPr>
            <w:pStyle w:val="24"/>
            <w:tabs>
              <w:tab w:val="right" w:leader="dot" w:pos="8296"/>
            </w:tabs>
          </w:pPr>
          <w:r>
            <w:fldChar w:fldCharType="begin"/>
          </w:r>
          <w:r>
            <w:instrText xml:space="preserve"> HYPERLINK \l "_Toc206145342" </w:instrText>
          </w:r>
          <w:r>
            <w:fldChar w:fldCharType="separate"/>
          </w:r>
          <w:r>
            <w:rPr>
              <w:rStyle w:val="33"/>
              <w:b/>
            </w:rPr>
            <w:t>7.4 工程自验收</w:t>
          </w:r>
          <w:r>
            <w:tab/>
          </w:r>
          <w:r>
            <w:fldChar w:fldCharType="begin"/>
          </w:r>
          <w:r>
            <w:instrText xml:space="preserve"> PAGEREF _Toc206145342 \h </w:instrText>
          </w:r>
          <w:r>
            <w:fldChar w:fldCharType="separate"/>
          </w:r>
          <w:r>
            <w:t>- 26 -</w:t>
          </w:r>
          <w:r>
            <w:fldChar w:fldCharType="end"/>
          </w:r>
          <w:r>
            <w:fldChar w:fldCharType="end"/>
          </w:r>
        </w:p>
        <w:p w14:paraId="746FAA5D">
          <w:pPr>
            <w:pStyle w:val="24"/>
            <w:tabs>
              <w:tab w:val="right" w:leader="dot" w:pos="8296"/>
            </w:tabs>
          </w:pPr>
          <w:r>
            <w:fldChar w:fldCharType="begin"/>
          </w:r>
          <w:r>
            <w:instrText xml:space="preserve"> HYPERLINK \l "_Toc206145343" </w:instrText>
          </w:r>
          <w:r>
            <w:fldChar w:fldCharType="separate"/>
          </w:r>
          <w:r>
            <w:rPr>
              <w:rStyle w:val="33"/>
              <w:b/>
            </w:rPr>
            <w:t>7.5 工程竣工验收说明</w:t>
          </w:r>
          <w:r>
            <w:tab/>
          </w:r>
          <w:r>
            <w:fldChar w:fldCharType="begin"/>
          </w:r>
          <w:r>
            <w:instrText xml:space="preserve"> PAGEREF _Toc206145343 \h </w:instrText>
          </w:r>
          <w:r>
            <w:fldChar w:fldCharType="separate"/>
          </w:r>
          <w:r>
            <w:t>- 26 -</w:t>
          </w:r>
          <w:r>
            <w:fldChar w:fldCharType="end"/>
          </w:r>
          <w:r>
            <w:fldChar w:fldCharType="end"/>
          </w:r>
        </w:p>
        <w:p w14:paraId="478BAFB8">
          <w:pPr>
            <w:pStyle w:val="24"/>
            <w:tabs>
              <w:tab w:val="right" w:leader="dot" w:pos="8296"/>
            </w:tabs>
          </w:pPr>
          <w:r>
            <w:fldChar w:fldCharType="begin"/>
          </w:r>
          <w:r>
            <w:instrText xml:space="preserve"> HYPERLINK \l "_Toc206145344" </w:instrText>
          </w:r>
          <w:r>
            <w:fldChar w:fldCharType="separate"/>
          </w:r>
          <w:r>
            <w:rPr>
              <w:rStyle w:val="33"/>
              <w:b/>
            </w:rPr>
            <w:t>7.6 验收程序</w:t>
          </w:r>
          <w:r>
            <w:tab/>
          </w:r>
          <w:r>
            <w:fldChar w:fldCharType="begin"/>
          </w:r>
          <w:r>
            <w:instrText xml:space="preserve"> PAGEREF _Toc206145344 \h </w:instrText>
          </w:r>
          <w:r>
            <w:fldChar w:fldCharType="separate"/>
          </w:r>
          <w:r>
            <w:t>- 26 -</w:t>
          </w:r>
          <w:r>
            <w:fldChar w:fldCharType="end"/>
          </w:r>
          <w:r>
            <w:fldChar w:fldCharType="end"/>
          </w:r>
        </w:p>
        <w:p w14:paraId="41F17357">
          <w:pPr>
            <w:pStyle w:val="24"/>
            <w:tabs>
              <w:tab w:val="right" w:leader="dot" w:pos="8296"/>
            </w:tabs>
          </w:pPr>
          <w:r>
            <w:fldChar w:fldCharType="begin"/>
          </w:r>
          <w:r>
            <w:instrText xml:space="preserve"> HYPERLINK \l "_Toc206145345" </w:instrText>
          </w:r>
          <w:r>
            <w:fldChar w:fldCharType="separate"/>
          </w:r>
          <w:r>
            <w:rPr>
              <w:rStyle w:val="33"/>
              <w:b/>
            </w:rPr>
            <w:t>7.7 验收流程及内容</w:t>
          </w:r>
          <w:r>
            <w:tab/>
          </w:r>
          <w:r>
            <w:fldChar w:fldCharType="begin"/>
          </w:r>
          <w:r>
            <w:instrText xml:space="preserve"> PAGEREF _Toc206145345 \h </w:instrText>
          </w:r>
          <w:r>
            <w:fldChar w:fldCharType="separate"/>
          </w:r>
          <w:r>
            <w:t>- 26 -</w:t>
          </w:r>
          <w:r>
            <w:fldChar w:fldCharType="end"/>
          </w:r>
          <w:r>
            <w:fldChar w:fldCharType="end"/>
          </w:r>
        </w:p>
        <w:p w14:paraId="7B6DAFFF">
          <w:pPr>
            <w:pStyle w:val="20"/>
            <w:tabs>
              <w:tab w:val="right" w:leader="dot" w:pos="8296"/>
            </w:tabs>
          </w:pPr>
          <w:r>
            <w:fldChar w:fldCharType="begin"/>
          </w:r>
          <w:r>
            <w:instrText xml:space="preserve"> HYPERLINK \l "_Toc206145346" </w:instrText>
          </w:r>
          <w:r>
            <w:fldChar w:fldCharType="separate"/>
          </w:r>
          <w:r>
            <w:rPr>
              <w:rStyle w:val="33"/>
              <w:b/>
            </w:rPr>
            <w:t>8 环保控制措施</w:t>
          </w:r>
          <w:r>
            <w:tab/>
          </w:r>
          <w:r>
            <w:fldChar w:fldCharType="begin"/>
          </w:r>
          <w:r>
            <w:instrText xml:space="preserve"> PAGEREF _Toc206145346 \h </w:instrText>
          </w:r>
          <w:r>
            <w:fldChar w:fldCharType="separate"/>
          </w:r>
          <w:r>
            <w:t>- 28 -</w:t>
          </w:r>
          <w:r>
            <w:fldChar w:fldCharType="end"/>
          </w:r>
          <w:r>
            <w:fldChar w:fldCharType="end"/>
          </w:r>
        </w:p>
        <w:p w14:paraId="585F042B">
          <w:pPr>
            <w:pStyle w:val="24"/>
            <w:tabs>
              <w:tab w:val="right" w:leader="dot" w:pos="8296"/>
            </w:tabs>
          </w:pPr>
          <w:r>
            <w:fldChar w:fldCharType="begin"/>
          </w:r>
          <w:r>
            <w:instrText xml:space="preserve"> HYPERLINK \l "_Toc206145347" </w:instrText>
          </w:r>
          <w:r>
            <w:fldChar w:fldCharType="separate"/>
          </w:r>
          <w:r>
            <w:rPr>
              <w:rStyle w:val="33"/>
              <w:b/>
            </w:rPr>
            <w:t>8.1建筑装修材料要求</w:t>
          </w:r>
          <w:r>
            <w:tab/>
          </w:r>
          <w:r>
            <w:fldChar w:fldCharType="begin"/>
          </w:r>
          <w:r>
            <w:instrText xml:space="preserve"> PAGEREF _Toc206145347 \h </w:instrText>
          </w:r>
          <w:r>
            <w:fldChar w:fldCharType="separate"/>
          </w:r>
          <w:r>
            <w:t>- 28 -</w:t>
          </w:r>
          <w:r>
            <w:fldChar w:fldCharType="end"/>
          </w:r>
          <w:r>
            <w:fldChar w:fldCharType="end"/>
          </w:r>
        </w:p>
        <w:p w14:paraId="6BAE7723">
          <w:pPr>
            <w:pStyle w:val="24"/>
            <w:tabs>
              <w:tab w:val="right" w:leader="dot" w:pos="8296"/>
            </w:tabs>
          </w:pPr>
          <w:r>
            <w:fldChar w:fldCharType="begin"/>
          </w:r>
          <w:r>
            <w:instrText xml:space="preserve"> HYPERLINK \l "_Toc206145348" </w:instrText>
          </w:r>
          <w:r>
            <w:fldChar w:fldCharType="separate"/>
          </w:r>
          <w:r>
            <w:rPr>
              <w:rStyle w:val="33"/>
              <w:b/>
            </w:rPr>
            <w:t>8.2材料送检要求</w:t>
          </w:r>
          <w:r>
            <w:tab/>
          </w:r>
          <w:r>
            <w:fldChar w:fldCharType="begin"/>
          </w:r>
          <w:r>
            <w:instrText xml:space="preserve"> PAGEREF _Toc206145348 \h </w:instrText>
          </w:r>
          <w:r>
            <w:fldChar w:fldCharType="separate"/>
          </w:r>
          <w:r>
            <w:t>- 29 -</w:t>
          </w:r>
          <w:r>
            <w:fldChar w:fldCharType="end"/>
          </w:r>
          <w:r>
            <w:fldChar w:fldCharType="end"/>
          </w:r>
        </w:p>
        <w:p w14:paraId="710A6812">
          <w:pPr>
            <w:pStyle w:val="24"/>
            <w:tabs>
              <w:tab w:val="right" w:leader="dot" w:pos="8296"/>
            </w:tabs>
          </w:pPr>
          <w:r>
            <w:fldChar w:fldCharType="begin"/>
          </w:r>
          <w:r>
            <w:instrText xml:space="preserve"> HYPERLINK \l "_Toc206145349" </w:instrText>
          </w:r>
          <w:r>
            <w:fldChar w:fldCharType="separate"/>
          </w:r>
          <w:r>
            <w:rPr>
              <w:rStyle w:val="33"/>
              <w:b/>
            </w:rPr>
            <w:t>8.3环保验收要求</w:t>
          </w:r>
          <w:r>
            <w:tab/>
          </w:r>
          <w:r>
            <w:fldChar w:fldCharType="begin"/>
          </w:r>
          <w:r>
            <w:instrText xml:space="preserve"> PAGEREF _Toc206145349 \h </w:instrText>
          </w:r>
          <w:r>
            <w:fldChar w:fldCharType="separate"/>
          </w:r>
          <w:r>
            <w:t>- 29 -</w:t>
          </w:r>
          <w:r>
            <w:fldChar w:fldCharType="end"/>
          </w:r>
          <w:r>
            <w:fldChar w:fldCharType="end"/>
          </w:r>
        </w:p>
        <w:p w14:paraId="4AE57C9C">
          <w:pPr>
            <w:pStyle w:val="20"/>
            <w:tabs>
              <w:tab w:val="right" w:leader="dot" w:pos="8296"/>
            </w:tabs>
          </w:pPr>
          <w:r>
            <w:fldChar w:fldCharType="begin"/>
          </w:r>
          <w:r>
            <w:instrText xml:space="preserve"> HYPERLINK \l "_Toc206145350" </w:instrText>
          </w:r>
          <w:r>
            <w:fldChar w:fldCharType="separate"/>
          </w:r>
          <w:r>
            <w:rPr>
              <w:rStyle w:val="33"/>
              <w:b/>
            </w:rPr>
            <w:t>9其他要求</w:t>
          </w:r>
          <w:r>
            <w:tab/>
          </w:r>
          <w:r>
            <w:fldChar w:fldCharType="begin"/>
          </w:r>
          <w:r>
            <w:instrText xml:space="preserve"> PAGEREF _Toc206145350 \h </w:instrText>
          </w:r>
          <w:r>
            <w:fldChar w:fldCharType="separate"/>
          </w:r>
          <w:r>
            <w:t>- 29 -</w:t>
          </w:r>
          <w:r>
            <w:fldChar w:fldCharType="end"/>
          </w:r>
          <w:r>
            <w:fldChar w:fldCharType="end"/>
          </w:r>
        </w:p>
        <w:p w14:paraId="519205F9">
          <w:pPr>
            <w:pStyle w:val="20"/>
            <w:tabs>
              <w:tab w:val="right" w:leader="dot" w:pos="8296"/>
            </w:tabs>
          </w:pPr>
          <w:r>
            <w:fldChar w:fldCharType="begin"/>
          </w:r>
          <w:r>
            <w:instrText xml:space="preserve"> HYPERLINK \l "_Toc206145351" </w:instrText>
          </w:r>
          <w:r>
            <w:fldChar w:fldCharType="separate"/>
          </w:r>
          <w:r>
            <w:rPr>
              <w:rStyle w:val="33"/>
              <w:b/>
            </w:rPr>
            <w:t>10 项目品牌推荐及内容清单</w:t>
          </w:r>
          <w:r>
            <w:tab/>
          </w:r>
          <w:r>
            <w:fldChar w:fldCharType="begin"/>
          </w:r>
          <w:r>
            <w:instrText xml:space="preserve"> PAGEREF _Toc206145351 \h </w:instrText>
          </w:r>
          <w:r>
            <w:fldChar w:fldCharType="separate"/>
          </w:r>
          <w:r>
            <w:t>- 29 -</w:t>
          </w:r>
          <w:r>
            <w:fldChar w:fldCharType="end"/>
          </w:r>
          <w:r>
            <w:fldChar w:fldCharType="end"/>
          </w:r>
        </w:p>
        <w:p w14:paraId="5019C19F">
          <w:pPr>
            <w:pStyle w:val="20"/>
            <w:tabs>
              <w:tab w:val="right" w:leader="dot" w:pos="8296"/>
            </w:tabs>
          </w:pPr>
          <w:r>
            <w:fldChar w:fldCharType="begin"/>
          </w:r>
          <w:r>
            <w:instrText xml:space="preserve"> HYPERLINK \l "_Toc206145352" </w:instrText>
          </w:r>
          <w:r>
            <w:fldChar w:fldCharType="separate"/>
          </w:r>
          <w:r>
            <w:rPr>
              <w:rStyle w:val="33"/>
              <w:b/>
            </w:rPr>
            <w:t>附录A 技术投标书格式</w:t>
          </w:r>
          <w:r>
            <w:tab/>
          </w:r>
          <w:r>
            <w:fldChar w:fldCharType="begin"/>
          </w:r>
          <w:r>
            <w:instrText xml:space="preserve"> PAGEREF _Toc206145352 \h </w:instrText>
          </w:r>
          <w:r>
            <w:fldChar w:fldCharType="separate"/>
          </w:r>
          <w:r>
            <w:t>31</w:t>
          </w:r>
          <w:r>
            <w:fldChar w:fldCharType="end"/>
          </w:r>
          <w:r>
            <w:fldChar w:fldCharType="end"/>
          </w:r>
        </w:p>
        <w:p w14:paraId="3CA5329F">
          <w:pPr>
            <w:pStyle w:val="20"/>
            <w:tabs>
              <w:tab w:val="right" w:leader="dot" w:pos="8296"/>
            </w:tabs>
          </w:pPr>
          <w:r>
            <w:fldChar w:fldCharType="begin"/>
          </w:r>
          <w:r>
            <w:instrText xml:space="preserve"> HYPERLINK \l "_Toc206145353" </w:instrText>
          </w:r>
          <w:r>
            <w:fldChar w:fldCharType="separate"/>
          </w:r>
          <w:r>
            <w:rPr>
              <w:rStyle w:val="33"/>
              <w:b/>
            </w:rPr>
            <w:t>附录B 技术差异表</w:t>
          </w:r>
          <w:r>
            <w:tab/>
          </w:r>
          <w:r>
            <w:fldChar w:fldCharType="begin"/>
          </w:r>
          <w:r>
            <w:instrText xml:space="preserve"> PAGEREF _Toc206145353 \h </w:instrText>
          </w:r>
          <w:r>
            <w:fldChar w:fldCharType="separate"/>
          </w:r>
          <w:r>
            <w:t>32</w:t>
          </w:r>
          <w:r>
            <w:fldChar w:fldCharType="end"/>
          </w:r>
          <w:r>
            <w:fldChar w:fldCharType="end"/>
          </w:r>
        </w:p>
        <w:p w14:paraId="18385E24">
          <w:pPr>
            <w:pStyle w:val="24"/>
            <w:tabs>
              <w:tab w:val="right" w:leader="dot" w:pos="8296"/>
            </w:tabs>
            <w:ind w:left="0" w:leftChars="0"/>
            <w:rPr>
              <w:szCs w:val="21"/>
            </w:rPr>
            <w:sectPr>
              <w:headerReference r:id="rId3" w:type="default"/>
              <w:footerReference r:id="rId4" w:type="default"/>
              <w:pgSz w:w="11906" w:h="16838"/>
              <w:pgMar w:top="1440" w:right="1800" w:bottom="1440" w:left="1800" w:header="851" w:footer="992" w:gutter="0"/>
              <w:pgNumType w:fmt="upperRoman" w:start="1"/>
              <w:cols w:space="425" w:num="1"/>
              <w:docGrid w:type="lines" w:linePitch="312" w:charSpace="0"/>
            </w:sectPr>
          </w:pPr>
          <w:r>
            <w:rPr>
              <w:bCs/>
              <w:szCs w:val="21"/>
              <w:lang w:val="zh-CN"/>
            </w:rPr>
            <w:fldChar w:fldCharType="end"/>
          </w:r>
        </w:p>
      </w:sdtContent>
    </w:sdt>
    <w:p w14:paraId="76FA6740">
      <w:pPr>
        <w:spacing w:line="360" w:lineRule="auto"/>
        <w:outlineLvl w:val="0"/>
        <w:rPr>
          <w:b/>
          <w:szCs w:val="21"/>
        </w:rPr>
      </w:pPr>
      <w:bookmarkStart w:id="5" w:name="_Toc206145295"/>
      <w:r>
        <w:rPr>
          <w:rFonts w:hint="eastAsia"/>
          <w:b/>
          <w:szCs w:val="21"/>
        </w:rPr>
        <w:t>1 总则</w:t>
      </w:r>
      <w:bookmarkEnd w:id="5"/>
    </w:p>
    <w:p w14:paraId="2B52A06F">
      <w:pPr>
        <w:spacing w:line="360" w:lineRule="auto"/>
        <w:outlineLvl w:val="1"/>
        <w:rPr>
          <w:b/>
          <w:szCs w:val="21"/>
        </w:rPr>
      </w:pPr>
      <w:bookmarkStart w:id="6" w:name="_Toc206145296"/>
      <w:r>
        <w:rPr>
          <w:rFonts w:hint="eastAsia"/>
          <w:b/>
          <w:szCs w:val="21"/>
        </w:rPr>
        <w:t>1.1</w:t>
      </w:r>
      <w:r>
        <w:rPr>
          <w:b/>
          <w:szCs w:val="21"/>
        </w:rPr>
        <w:t>投标须知</w:t>
      </w:r>
      <w:bookmarkEnd w:id="6"/>
    </w:p>
    <w:p w14:paraId="57DF6A61">
      <w:pPr>
        <w:numPr>
          <w:ilvl w:val="0"/>
          <w:numId w:val="5"/>
        </w:numPr>
        <w:spacing w:line="360" w:lineRule="auto"/>
        <w:rPr>
          <w:szCs w:val="21"/>
          <w:lang w:bidi="en-US"/>
        </w:rPr>
      </w:pPr>
      <w:r>
        <w:rPr>
          <w:rFonts w:hint="eastAsia"/>
          <w:szCs w:val="21"/>
          <w:lang w:bidi="en-US"/>
        </w:rPr>
        <w:t>本招标文件仅适用于“2025年广州花都供电局花东基本型营业厅改造项目”技术规范书。</w:t>
      </w:r>
    </w:p>
    <w:p w14:paraId="78BAE1A5">
      <w:pPr>
        <w:numPr>
          <w:ilvl w:val="0"/>
          <w:numId w:val="5"/>
        </w:numPr>
        <w:spacing w:line="360" w:lineRule="auto"/>
        <w:rPr>
          <w:szCs w:val="21"/>
          <w:lang w:bidi="en-US"/>
        </w:rPr>
      </w:pPr>
      <w:r>
        <w:rPr>
          <w:rFonts w:hint="eastAsia"/>
          <w:szCs w:val="21"/>
          <w:lang w:bidi="en-US"/>
        </w:rPr>
        <w:t>本招标文件描述本项目工程工作目标、内容和要求，可供投标人编写投标文件之用。</w:t>
      </w:r>
    </w:p>
    <w:p w14:paraId="1618A79E">
      <w:pPr>
        <w:numPr>
          <w:ilvl w:val="0"/>
          <w:numId w:val="5"/>
        </w:numPr>
        <w:spacing w:line="360" w:lineRule="auto"/>
        <w:rPr>
          <w:szCs w:val="21"/>
          <w:lang w:bidi="en-US"/>
        </w:rPr>
      </w:pPr>
      <w:r>
        <w:rPr>
          <w:rFonts w:hint="eastAsia"/>
          <w:szCs w:val="21"/>
          <w:lang w:bidi="en-US"/>
        </w:rPr>
        <w:t>投标人应按照本招标文件的要求提供详细、完整的解决方案。该方案应完全满足或高于本招标文件要求，对于本招标文件中的某些部分，投标人如不能满足要求，或有其它替代方案，或有其它修改建议，应在方案中指出其必须进行修改的理由以及与原要求的差异，否则，招标人即认为投标人可以满足本招标文件的要求。</w:t>
      </w:r>
    </w:p>
    <w:p w14:paraId="059A5E74">
      <w:pPr>
        <w:numPr>
          <w:ilvl w:val="0"/>
          <w:numId w:val="5"/>
        </w:numPr>
        <w:spacing w:line="360" w:lineRule="auto"/>
        <w:rPr>
          <w:szCs w:val="21"/>
          <w:lang w:bidi="en-US"/>
        </w:rPr>
      </w:pPr>
      <w:r>
        <w:rPr>
          <w:rFonts w:hint="eastAsia"/>
          <w:szCs w:val="21"/>
          <w:lang w:bidi="en-US"/>
        </w:rPr>
        <w:t>投标人提供的产品是标准的，技术上是成熟的；全部设备应该是全新的，具有先进结构和一流工艺水平，并能在中国境内安全使用，符合环保要求。</w:t>
      </w:r>
    </w:p>
    <w:p w14:paraId="788C73A6">
      <w:pPr>
        <w:numPr>
          <w:ilvl w:val="0"/>
          <w:numId w:val="5"/>
        </w:numPr>
        <w:spacing w:line="360" w:lineRule="auto"/>
        <w:rPr>
          <w:szCs w:val="21"/>
          <w:lang w:bidi="en-US"/>
        </w:rPr>
      </w:pPr>
      <w:r>
        <w:rPr>
          <w:rFonts w:hint="eastAsia"/>
          <w:szCs w:val="21"/>
          <w:lang w:bidi="en-US"/>
        </w:rPr>
        <w:t>所有招标人认为是本招标文件范围所要求而被遗漏的项目，都被认为是包含在本次招标范围内，投标人的报价被视为包含此遗漏项目的报价。投标人可以就投标人认为的遗漏项目提请招标人注意，并详细说明理由，招标人将就此进行澄清。</w:t>
      </w:r>
    </w:p>
    <w:p w14:paraId="37079483">
      <w:pPr>
        <w:numPr>
          <w:ilvl w:val="0"/>
          <w:numId w:val="5"/>
        </w:numPr>
        <w:spacing w:line="360" w:lineRule="auto"/>
        <w:rPr>
          <w:szCs w:val="21"/>
          <w:lang w:bidi="en-US"/>
        </w:rPr>
      </w:pPr>
      <w:r>
        <w:rPr>
          <w:rFonts w:hint="eastAsia"/>
          <w:szCs w:val="21"/>
          <w:lang w:bidi="en-US"/>
        </w:rPr>
        <w:t>本技术规范书提出的要求是最低限度的技术要求，并未对一切技术细节做出规定，也未充分引述有关标准和规范的条文。投标人提供的系统必须遵循国际和国内相关领域最新版本的标准和规范，并满足南方电网公司制定的相关技术规范。如本技术规范书对保证项目成功所需服务及成果的要求有所遗漏，投标人应予以补充并进行报价，否则中标后发现的遗漏部分将视为已被投标人认可并免费提供。</w:t>
      </w:r>
    </w:p>
    <w:p w14:paraId="38176B29">
      <w:pPr>
        <w:numPr>
          <w:ilvl w:val="0"/>
          <w:numId w:val="5"/>
        </w:numPr>
        <w:spacing w:line="360" w:lineRule="auto"/>
        <w:rPr>
          <w:szCs w:val="21"/>
          <w:lang w:bidi="en-US"/>
        </w:rPr>
      </w:pPr>
      <w:r>
        <w:rPr>
          <w:rFonts w:hint="eastAsia"/>
          <w:szCs w:val="21"/>
          <w:lang w:bidi="en-US"/>
        </w:rPr>
        <w:t>招标人保留解释修改本技术规范书的权力，双方对本技术规范书条款理解有歧义的，以招标人的解决为准；在投标截止前，招标人可以根据需要对本技术规范书进行变更。</w:t>
      </w:r>
    </w:p>
    <w:p w14:paraId="7B94EC2F">
      <w:pPr>
        <w:numPr>
          <w:ilvl w:val="0"/>
          <w:numId w:val="5"/>
        </w:numPr>
        <w:spacing w:line="360" w:lineRule="auto"/>
        <w:rPr>
          <w:szCs w:val="21"/>
          <w:lang w:bidi="en-US"/>
        </w:rPr>
      </w:pPr>
      <w:r>
        <w:rPr>
          <w:rFonts w:hint="eastAsia"/>
          <w:szCs w:val="21"/>
          <w:lang w:bidi="en-US"/>
        </w:rPr>
        <w:t>本技术规范书所使用的标准如遇与投标人所执行的标准不一致时, 按较高标准执行。</w:t>
      </w:r>
    </w:p>
    <w:p w14:paraId="3F360686">
      <w:pPr>
        <w:numPr>
          <w:ilvl w:val="0"/>
          <w:numId w:val="5"/>
        </w:numPr>
        <w:spacing w:line="360" w:lineRule="auto"/>
        <w:rPr>
          <w:szCs w:val="21"/>
          <w:lang w:bidi="en-US"/>
        </w:rPr>
      </w:pPr>
      <w:r>
        <w:rPr>
          <w:rFonts w:hint="eastAsia"/>
          <w:szCs w:val="21"/>
          <w:lang w:bidi="en-US"/>
        </w:rPr>
        <w:t>投标人应保证所提供的所有资料真实、完整、准确无误，否则招标人将有权取消投标人的中标资格，由此产生的一切后果由投标人承担。</w:t>
      </w:r>
    </w:p>
    <w:p w14:paraId="5BF40C2C">
      <w:pPr>
        <w:numPr>
          <w:ilvl w:val="0"/>
          <w:numId w:val="5"/>
        </w:numPr>
        <w:spacing w:line="360" w:lineRule="auto"/>
        <w:rPr>
          <w:szCs w:val="21"/>
          <w:lang w:bidi="en-US"/>
        </w:rPr>
      </w:pPr>
      <w:r>
        <w:rPr>
          <w:rFonts w:hint="eastAsia"/>
          <w:szCs w:val="21"/>
          <w:lang w:bidi="en-US"/>
        </w:rPr>
        <w:t>技术规范书的描述与施工图设计的描述有冲突时，以施工图设计为准。</w:t>
      </w:r>
    </w:p>
    <w:p w14:paraId="001D739B">
      <w:pPr>
        <w:numPr>
          <w:ilvl w:val="0"/>
          <w:numId w:val="5"/>
        </w:numPr>
        <w:spacing w:line="360" w:lineRule="auto"/>
        <w:rPr>
          <w:b/>
          <w:szCs w:val="21"/>
          <w:lang w:bidi="en-US"/>
        </w:rPr>
      </w:pPr>
      <w:r>
        <w:rPr>
          <w:rFonts w:hint="eastAsia"/>
          <w:b/>
          <w:szCs w:val="21"/>
          <w:lang w:bidi="en-US"/>
        </w:rPr>
        <w:t>本技术</w:t>
      </w:r>
      <w:r>
        <w:rPr>
          <w:b/>
          <w:szCs w:val="21"/>
          <w:lang w:bidi="en-US"/>
        </w:rPr>
        <w:t>规范书涉及的</w:t>
      </w:r>
      <w:r>
        <w:rPr>
          <w:rFonts w:hint="eastAsia"/>
          <w:b/>
          <w:szCs w:val="21"/>
          <w:lang w:bidi="en-US"/>
        </w:rPr>
        <w:t>建设</w:t>
      </w:r>
      <w:r>
        <w:rPr>
          <w:b/>
          <w:szCs w:val="21"/>
          <w:lang w:bidi="en-US"/>
        </w:rPr>
        <w:t>范围描述</w:t>
      </w:r>
      <w:r>
        <w:rPr>
          <w:rFonts w:hint="eastAsia"/>
          <w:b/>
          <w:szCs w:val="21"/>
          <w:lang w:bidi="en-US"/>
        </w:rPr>
        <w:t>仅作为投标报价的参考，最终由审定的施工图为准。</w:t>
      </w:r>
    </w:p>
    <w:p w14:paraId="467B7EED">
      <w:pPr>
        <w:spacing w:line="360" w:lineRule="auto"/>
        <w:outlineLvl w:val="1"/>
        <w:rPr>
          <w:b/>
          <w:szCs w:val="21"/>
        </w:rPr>
      </w:pPr>
      <w:bookmarkStart w:id="7" w:name="_Toc206145297"/>
      <w:r>
        <w:rPr>
          <w:rFonts w:hint="eastAsia"/>
          <w:b/>
          <w:szCs w:val="21"/>
        </w:rPr>
        <w:t>1.2 遵循标准</w:t>
      </w:r>
      <w:bookmarkEnd w:id="7"/>
    </w:p>
    <w:p w14:paraId="1EACDE52">
      <w:pPr>
        <w:spacing w:line="360" w:lineRule="auto"/>
        <w:ind w:firstLine="420" w:firstLineChars="200"/>
        <w:rPr>
          <w:szCs w:val="21"/>
          <w:lang w:bidi="en-US"/>
        </w:rPr>
      </w:pPr>
      <w:r>
        <w:rPr>
          <w:rFonts w:hint="eastAsia"/>
          <w:szCs w:val="21"/>
          <w:lang w:bidi="en-US"/>
        </w:rPr>
        <w:t>投标人提供的设计成果应引用国际标准、国家标准、电力行业标准、工信部部颁标准而制定。所用的标准必须是最新版本，如果这些标准的内容有矛盾时，应按照最高标准的条款执行或按双方协商同意的标准或条款执行。投标人需遵循但不限于以下的相关标准、规范：</w:t>
      </w:r>
    </w:p>
    <w:p w14:paraId="7F41FCD2">
      <w:pPr>
        <w:spacing w:line="360" w:lineRule="auto"/>
        <w:ind w:firstLine="420" w:firstLineChars="200"/>
        <w:rPr>
          <w:szCs w:val="21"/>
          <w:lang w:bidi="en-US"/>
        </w:rPr>
      </w:pPr>
      <w:r>
        <w:rPr>
          <w:rFonts w:hint="eastAsia"/>
          <w:szCs w:val="21"/>
          <w:lang w:bidi="en-US"/>
        </w:rPr>
        <w:t xml:space="preserve">《办公建筑设计规范》（JGJ67-2006）                                 </w:t>
      </w:r>
    </w:p>
    <w:p w14:paraId="3E2E5B3A">
      <w:pPr>
        <w:spacing w:line="360" w:lineRule="auto"/>
        <w:ind w:firstLine="420" w:firstLineChars="200"/>
        <w:rPr>
          <w:szCs w:val="21"/>
          <w:lang w:bidi="en-US"/>
        </w:rPr>
      </w:pPr>
      <w:r>
        <w:rPr>
          <w:rFonts w:hint="eastAsia"/>
          <w:szCs w:val="21"/>
          <w:lang w:bidi="en-US"/>
        </w:rPr>
        <w:t xml:space="preserve">《建筑设计防火规范》（GB 50016-2014）               </w:t>
      </w:r>
    </w:p>
    <w:p w14:paraId="2F0BCA7E">
      <w:pPr>
        <w:spacing w:line="360" w:lineRule="auto"/>
        <w:ind w:firstLine="420" w:firstLineChars="200"/>
        <w:rPr>
          <w:szCs w:val="21"/>
          <w:lang w:bidi="en-US"/>
        </w:rPr>
      </w:pPr>
      <w:r>
        <w:rPr>
          <w:rFonts w:hint="eastAsia"/>
          <w:szCs w:val="21"/>
          <w:lang w:bidi="en-US"/>
        </w:rPr>
        <w:t>《建筑内部装修设计防火规范》（GB 50222-2001）</w:t>
      </w:r>
    </w:p>
    <w:p w14:paraId="05551D18">
      <w:pPr>
        <w:spacing w:line="360" w:lineRule="auto"/>
        <w:ind w:firstLine="420" w:firstLineChars="200"/>
        <w:rPr>
          <w:szCs w:val="21"/>
          <w:lang w:bidi="en-US"/>
        </w:rPr>
      </w:pPr>
      <w:r>
        <w:rPr>
          <w:rFonts w:hint="eastAsia"/>
          <w:szCs w:val="21"/>
          <w:lang w:bidi="en-US"/>
        </w:rPr>
        <w:t>《民用建筑工程室内环境污染控制规范》（GB50325-2010）</w:t>
      </w:r>
    </w:p>
    <w:p w14:paraId="79C0A4BA">
      <w:pPr>
        <w:spacing w:line="360" w:lineRule="auto"/>
        <w:ind w:firstLine="420" w:firstLineChars="200"/>
        <w:rPr>
          <w:szCs w:val="21"/>
          <w:lang w:bidi="en-US"/>
        </w:rPr>
      </w:pPr>
      <w:r>
        <w:rPr>
          <w:rFonts w:hint="eastAsia"/>
          <w:szCs w:val="21"/>
          <w:lang w:bidi="en-US"/>
        </w:rPr>
        <w:t>《民用建筑电气设计规范》（JGJ16-2008）</w:t>
      </w:r>
    </w:p>
    <w:p w14:paraId="2764FEBF">
      <w:pPr>
        <w:spacing w:line="360" w:lineRule="auto"/>
        <w:ind w:firstLine="420" w:firstLineChars="200"/>
        <w:rPr>
          <w:szCs w:val="21"/>
          <w:lang w:bidi="en-US"/>
        </w:rPr>
      </w:pPr>
      <w:r>
        <w:rPr>
          <w:rFonts w:hint="eastAsia"/>
          <w:szCs w:val="21"/>
          <w:lang w:bidi="en-US"/>
        </w:rPr>
        <w:t>《低压配电设计规范》（GB50054-2011）</w:t>
      </w:r>
    </w:p>
    <w:p w14:paraId="44002D75">
      <w:pPr>
        <w:spacing w:line="360" w:lineRule="auto"/>
        <w:ind w:firstLine="420" w:firstLineChars="200"/>
        <w:rPr>
          <w:szCs w:val="21"/>
          <w:lang w:val="zh-CN"/>
        </w:rPr>
      </w:pPr>
      <w:r>
        <w:rPr>
          <w:szCs w:val="21"/>
          <w:lang w:val="zh-CN"/>
        </w:rPr>
        <w:t>《综合布线系统工程设计规范》GB/T50311-2007</w:t>
      </w:r>
    </w:p>
    <w:p w14:paraId="0985D157">
      <w:pPr>
        <w:spacing w:line="360" w:lineRule="auto"/>
        <w:ind w:firstLine="420" w:firstLineChars="200"/>
        <w:rPr>
          <w:szCs w:val="21"/>
          <w:lang w:val="zh-CN"/>
        </w:rPr>
      </w:pPr>
      <w:r>
        <w:rPr>
          <w:szCs w:val="21"/>
          <w:lang w:val="zh-CN"/>
        </w:rPr>
        <w:t>《综合布线系统工程验收规范》GB/T50312-2007</w:t>
      </w:r>
    </w:p>
    <w:p w14:paraId="72DDDD54">
      <w:pPr>
        <w:spacing w:line="360" w:lineRule="auto"/>
        <w:ind w:firstLine="420" w:firstLineChars="200"/>
        <w:rPr>
          <w:szCs w:val="21"/>
          <w:lang w:val="zh-CN"/>
        </w:rPr>
      </w:pPr>
      <w:r>
        <w:rPr>
          <w:szCs w:val="21"/>
          <w:lang w:val="zh-CN"/>
        </w:rPr>
        <w:t>《通信光缆的一般要求》GB/T 7424.1-2003</w:t>
      </w:r>
    </w:p>
    <w:p w14:paraId="46F381E8">
      <w:pPr>
        <w:spacing w:line="360" w:lineRule="auto"/>
        <w:ind w:firstLine="420" w:firstLineChars="200"/>
        <w:rPr>
          <w:szCs w:val="21"/>
          <w:lang w:val="zh-CN"/>
        </w:rPr>
      </w:pPr>
      <w:r>
        <w:rPr>
          <w:rFonts w:hint="eastAsia"/>
          <w:szCs w:val="21"/>
          <w:lang w:val="zh-CN"/>
        </w:rPr>
        <w:t>《电子信息系统机房设计规范》GB50174-2008</w:t>
      </w:r>
    </w:p>
    <w:p w14:paraId="68728E76">
      <w:pPr>
        <w:spacing w:line="360" w:lineRule="auto"/>
        <w:ind w:firstLine="420" w:firstLineChars="200"/>
        <w:rPr>
          <w:szCs w:val="21"/>
          <w:lang w:val="zh-CN"/>
        </w:rPr>
      </w:pPr>
      <w:r>
        <w:rPr>
          <w:rFonts w:hint="eastAsia"/>
          <w:szCs w:val="21"/>
          <w:lang w:val="zh-CN"/>
        </w:rPr>
        <w:t>《电子信息系统机房施工及验收规范》GB50462-2008</w:t>
      </w:r>
    </w:p>
    <w:p w14:paraId="2E915A4F">
      <w:pPr>
        <w:spacing w:line="360" w:lineRule="auto"/>
        <w:ind w:firstLine="420" w:firstLineChars="200"/>
        <w:rPr>
          <w:szCs w:val="21"/>
          <w:lang w:val="zh-CN"/>
        </w:rPr>
      </w:pPr>
      <w:r>
        <w:rPr>
          <w:rFonts w:hint="eastAsia"/>
          <w:szCs w:val="21"/>
          <w:lang w:val="zh-CN"/>
        </w:rPr>
        <w:t>《民用建筑供暖通风与空气调节设计规范》GB50736-2012</w:t>
      </w:r>
    </w:p>
    <w:p w14:paraId="1F9EA39F">
      <w:pPr>
        <w:spacing w:line="360" w:lineRule="auto"/>
        <w:ind w:firstLine="420" w:firstLineChars="200"/>
        <w:rPr>
          <w:szCs w:val="21"/>
          <w:lang w:bidi="en-US"/>
        </w:rPr>
      </w:pPr>
      <w:r>
        <w:rPr>
          <w:rFonts w:hint="eastAsia"/>
          <w:szCs w:val="21"/>
          <w:lang w:bidi="en-US"/>
        </w:rPr>
        <w:t>《电子计算机场地通用规范》（GB/T 2887—2011）</w:t>
      </w:r>
    </w:p>
    <w:p w14:paraId="1E69BBAA">
      <w:pPr>
        <w:spacing w:line="360" w:lineRule="auto"/>
        <w:ind w:firstLine="420" w:firstLineChars="200"/>
        <w:rPr>
          <w:szCs w:val="21"/>
          <w:lang w:bidi="en-US"/>
        </w:rPr>
      </w:pPr>
      <w:r>
        <w:rPr>
          <w:rFonts w:hint="eastAsia"/>
          <w:szCs w:val="21"/>
          <w:lang w:bidi="en-US"/>
        </w:rPr>
        <w:t>《建筑照明设计标准》（GB50034-2013）</w:t>
      </w:r>
    </w:p>
    <w:p w14:paraId="3DF2A0BE">
      <w:pPr>
        <w:spacing w:line="360" w:lineRule="auto"/>
        <w:ind w:firstLine="420" w:firstLineChars="200"/>
        <w:rPr>
          <w:szCs w:val="21"/>
          <w:lang w:bidi="en-US"/>
        </w:rPr>
      </w:pPr>
      <w:r>
        <w:rPr>
          <w:rFonts w:hint="eastAsia"/>
          <w:szCs w:val="21"/>
          <w:lang w:bidi="en-US"/>
        </w:rPr>
        <w:t>《南方电网营销技改项目管理办法》</w:t>
      </w:r>
    </w:p>
    <w:p w14:paraId="42BA161C">
      <w:pPr>
        <w:spacing w:line="360" w:lineRule="auto"/>
        <w:ind w:firstLine="420" w:firstLineChars="200"/>
        <w:rPr>
          <w:szCs w:val="21"/>
          <w:lang w:bidi="en-US"/>
        </w:rPr>
      </w:pPr>
      <w:r>
        <w:rPr>
          <w:rFonts w:hint="eastAsia"/>
          <w:szCs w:val="21"/>
          <w:lang w:bidi="en-US"/>
        </w:rPr>
        <w:t>《南方电网2012年营销技改项目规划库》</w:t>
      </w:r>
    </w:p>
    <w:p w14:paraId="70DDC7DC">
      <w:pPr>
        <w:spacing w:line="360" w:lineRule="auto"/>
        <w:ind w:firstLine="420" w:firstLineChars="200"/>
        <w:rPr>
          <w:szCs w:val="21"/>
          <w:lang w:bidi="en-US"/>
        </w:rPr>
      </w:pPr>
      <w:r>
        <w:rPr>
          <w:rFonts w:hint="eastAsia"/>
          <w:szCs w:val="21"/>
          <w:lang w:bidi="en-US"/>
        </w:rPr>
        <w:t>中国南方电网公司《供电营业厅建设与管理标准》（Q/CSG 22105-2011）</w:t>
      </w:r>
    </w:p>
    <w:p w14:paraId="3578BD7D">
      <w:pPr>
        <w:spacing w:line="360" w:lineRule="auto"/>
        <w:ind w:firstLine="420" w:firstLineChars="200"/>
        <w:rPr>
          <w:szCs w:val="21"/>
          <w:lang w:bidi="en-US"/>
        </w:rPr>
      </w:pPr>
      <w:r>
        <w:rPr>
          <w:rFonts w:hint="eastAsia"/>
          <w:szCs w:val="21"/>
          <w:lang w:bidi="en-US"/>
        </w:rPr>
        <w:t xml:space="preserve">《关于印发广州供电局服务渠道发展规划报告的通知》（广供电市[2017]24号） </w:t>
      </w:r>
    </w:p>
    <w:p w14:paraId="0F279021">
      <w:pPr>
        <w:spacing w:line="360" w:lineRule="auto"/>
        <w:ind w:firstLine="420" w:firstLineChars="200"/>
        <w:rPr>
          <w:szCs w:val="21"/>
          <w:lang w:bidi="en-US"/>
        </w:rPr>
      </w:pPr>
      <w:r>
        <w:rPr>
          <w:rFonts w:hint="eastAsia"/>
          <w:szCs w:val="21"/>
          <w:lang w:bidi="en-US"/>
        </w:rPr>
        <w:t>《实体渠道转型规划》</w:t>
      </w:r>
    </w:p>
    <w:p w14:paraId="46F240BE">
      <w:pPr>
        <w:spacing w:line="360" w:lineRule="auto"/>
        <w:ind w:firstLine="420" w:firstLineChars="200"/>
        <w:rPr>
          <w:szCs w:val="21"/>
          <w:lang w:bidi="en-US"/>
        </w:rPr>
      </w:pPr>
      <w:r>
        <w:rPr>
          <w:rFonts w:hint="eastAsia"/>
          <w:szCs w:val="21"/>
          <w:lang w:bidi="en-US"/>
        </w:rPr>
        <w:t>中标人在开展工作时要遵循南方电网公司颁布的相关制度及管理办法。</w:t>
      </w:r>
    </w:p>
    <w:p w14:paraId="188C6481">
      <w:pPr>
        <w:spacing w:line="360" w:lineRule="auto"/>
        <w:outlineLvl w:val="1"/>
        <w:rPr>
          <w:b/>
          <w:szCs w:val="21"/>
        </w:rPr>
      </w:pPr>
      <w:bookmarkStart w:id="8" w:name="_Toc206145298"/>
      <w:r>
        <w:rPr>
          <w:rFonts w:hint="eastAsia"/>
          <w:b/>
          <w:szCs w:val="21"/>
        </w:rPr>
        <w:t>1.3 技术投标书编制要求</w:t>
      </w:r>
      <w:bookmarkEnd w:id="8"/>
    </w:p>
    <w:p w14:paraId="2F661466">
      <w:pPr>
        <w:spacing w:line="360" w:lineRule="auto"/>
        <w:ind w:firstLine="420" w:firstLineChars="200"/>
        <w:rPr>
          <w:szCs w:val="21"/>
          <w:lang w:bidi="en-US"/>
        </w:rPr>
      </w:pPr>
      <w:r>
        <w:rPr>
          <w:rFonts w:hint="eastAsia"/>
          <w:szCs w:val="21"/>
          <w:lang w:bidi="en-US"/>
        </w:rPr>
        <w:t>投标人提供的技术投标书格式参照</w:t>
      </w:r>
      <w:r>
        <w:rPr>
          <w:szCs w:val="21"/>
          <w:lang w:bidi="en-US"/>
        </w:rPr>
        <w:t>附录</w:t>
      </w:r>
      <w:r>
        <w:rPr>
          <w:rFonts w:hint="eastAsia"/>
          <w:szCs w:val="21"/>
          <w:lang w:bidi="en-US"/>
        </w:rPr>
        <w:t>A，并遵循以下要求编制：</w:t>
      </w:r>
    </w:p>
    <w:p w14:paraId="4BD897EC">
      <w:pPr>
        <w:spacing w:line="360" w:lineRule="auto"/>
        <w:ind w:firstLine="420" w:firstLineChars="200"/>
        <w:rPr>
          <w:szCs w:val="21"/>
          <w:lang w:bidi="en-US"/>
        </w:rPr>
      </w:pPr>
      <w:r>
        <w:rPr>
          <w:rFonts w:hint="eastAsia"/>
          <w:szCs w:val="21"/>
          <w:lang w:bidi="en-US"/>
        </w:rPr>
        <w:t>投标人需按照本技术招标文件内容次序编制相应的技术方案，对项目要求和需求逐项给予响应并提出解决方案，如对本招标文件有修改建议亦应一并提出并详细说明。</w:t>
      </w:r>
    </w:p>
    <w:p w14:paraId="1C7F7F5A">
      <w:pPr>
        <w:spacing w:line="360" w:lineRule="auto"/>
        <w:outlineLvl w:val="0"/>
        <w:rPr>
          <w:b/>
          <w:szCs w:val="21"/>
        </w:rPr>
      </w:pPr>
      <w:bookmarkStart w:id="9" w:name="_Toc206145299"/>
      <w:r>
        <w:rPr>
          <w:rFonts w:hint="eastAsia"/>
          <w:b/>
          <w:szCs w:val="21"/>
        </w:rPr>
        <w:t>2 项目概况</w:t>
      </w:r>
      <w:bookmarkEnd w:id="9"/>
    </w:p>
    <w:p w14:paraId="338763C5">
      <w:pPr>
        <w:spacing w:line="360" w:lineRule="auto"/>
        <w:outlineLvl w:val="1"/>
        <w:rPr>
          <w:b/>
          <w:szCs w:val="21"/>
        </w:rPr>
      </w:pPr>
      <w:bookmarkStart w:id="10" w:name="_Toc206145300"/>
      <w:r>
        <w:rPr>
          <w:b/>
          <w:szCs w:val="21"/>
        </w:rPr>
        <w:t>2</w:t>
      </w:r>
      <w:r>
        <w:rPr>
          <w:rFonts w:hint="eastAsia"/>
          <w:b/>
          <w:szCs w:val="21"/>
        </w:rPr>
        <w:t>.1 项目背景</w:t>
      </w:r>
      <w:bookmarkEnd w:id="10"/>
    </w:p>
    <w:p w14:paraId="7C043831">
      <w:pPr>
        <w:spacing w:line="360" w:lineRule="auto"/>
        <w:ind w:firstLine="420" w:firstLineChars="200"/>
        <w:rPr>
          <w:szCs w:val="21"/>
          <w:lang w:bidi="en-US"/>
        </w:rPr>
      </w:pPr>
      <w:r>
        <w:rPr>
          <w:rFonts w:hint="eastAsia"/>
          <w:szCs w:val="21"/>
          <w:lang w:bidi="en-US"/>
        </w:rPr>
        <w:t>自本轮电改启动以来，网公司积极探索深入实践。其中，业务方面向综合能源服务商转型是大势所趋，这不仅是落实党和国家新发展理念和能源战略思想的要求，也是顺应能源新技术、新模式和新业态兴起的需要。</w:t>
      </w:r>
    </w:p>
    <w:p w14:paraId="5BEA0F22">
      <w:pPr>
        <w:spacing w:line="360" w:lineRule="auto"/>
        <w:ind w:firstLine="420" w:firstLineChars="200"/>
        <w:rPr>
          <w:szCs w:val="21"/>
          <w:lang w:bidi="en-US"/>
        </w:rPr>
      </w:pPr>
      <w:r>
        <w:rPr>
          <w:rFonts w:hint="eastAsia"/>
          <w:szCs w:val="21"/>
          <w:lang w:bidi="en-US"/>
        </w:rPr>
        <w:t>新形势下，渠道作为产品/业务销售服务的通道，一方面即需要保证传统的客户服务功能，另一方面，需要从单一的业务办理场所向承载多种新业务的综合业务服务营销平台转型。过去那种千店一面、业务承载内容简单、服务模式单一（传统缴费、更名过户等低效益业务办理）已难以承载公司未来在新型市场环境下的发展需求转型。</w:t>
      </w:r>
    </w:p>
    <w:p w14:paraId="5A63151B">
      <w:pPr>
        <w:spacing w:line="360" w:lineRule="auto"/>
        <w:ind w:firstLine="420" w:firstLineChars="200"/>
        <w:rPr>
          <w:szCs w:val="21"/>
          <w:lang w:bidi="en-US"/>
        </w:rPr>
      </w:pPr>
      <w:r>
        <w:rPr>
          <w:rFonts w:hint="eastAsia"/>
          <w:szCs w:val="21"/>
          <w:lang w:bidi="en-US"/>
        </w:rPr>
        <w:t>电力智能化营业厅作为智能电网建设重点建设项目，不仅承担了传统电力营业厅的基本功能，同时通过智能化营业厅的建设将电网公司及电力建设智能电网的能力和信心传达给用户。</w:t>
      </w:r>
    </w:p>
    <w:p w14:paraId="49F3FFCF">
      <w:pPr>
        <w:spacing w:line="360" w:lineRule="auto"/>
        <w:outlineLvl w:val="1"/>
        <w:rPr>
          <w:b/>
          <w:szCs w:val="21"/>
        </w:rPr>
      </w:pPr>
      <w:bookmarkStart w:id="11" w:name="_Toc206145301"/>
      <w:r>
        <w:rPr>
          <w:b/>
          <w:szCs w:val="21"/>
        </w:rPr>
        <w:t>2</w:t>
      </w:r>
      <w:r>
        <w:rPr>
          <w:rFonts w:hint="eastAsia"/>
          <w:b/>
          <w:szCs w:val="21"/>
        </w:rPr>
        <w:t>.2 设计原则</w:t>
      </w:r>
      <w:bookmarkEnd w:id="11"/>
    </w:p>
    <w:p w14:paraId="143B9B7D">
      <w:pPr>
        <w:pStyle w:val="77"/>
        <w:numPr>
          <w:ilvl w:val="0"/>
          <w:numId w:val="6"/>
        </w:numPr>
        <w:adjustRightInd w:val="0"/>
        <w:snapToGrid w:val="0"/>
        <w:spacing w:line="480" w:lineRule="atLeast"/>
        <w:ind w:firstLineChars="0"/>
        <w:rPr>
          <w:szCs w:val="21"/>
        </w:rPr>
      </w:pPr>
      <w:r>
        <w:rPr>
          <w:rFonts w:hint="eastAsia"/>
          <w:szCs w:val="21"/>
        </w:rPr>
        <w:t>人性化：以客户</w:t>
      </w:r>
      <w:r>
        <w:rPr>
          <w:szCs w:val="21"/>
        </w:rPr>
        <w:t>的</w:t>
      </w:r>
      <w:r>
        <w:rPr>
          <w:rFonts w:hint="eastAsia"/>
          <w:szCs w:val="21"/>
        </w:rPr>
        <w:t>服务</w:t>
      </w:r>
      <w:r>
        <w:rPr>
          <w:szCs w:val="21"/>
        </w:rPr>
        <w:t>需求及</w:t>
      </w:r>
      <w:r>
        <w:rPr>
          <w:rFonts w:hint="eastAsia"/>
          <w:szCs w:val="21"/>
        </w:rPr>
        <w:t>服务</w:t>
      </w:r>
      <w:r>
        <w:rPr>
          <w:szCs w:val="21"/>
        </w:rPr>
        <w:t>感受为出发点，</w:t>
      </w:r>
      <w:r>
        <w:rPr>
          <w:rFonts w:hint="eastAsia"/>
          <w:szCs w:val="21"/>
        </w:rPr>
        <w:t>营造让客户</w:t>
      </w:r>
      <w:r>
        <w:rPr>
          <w:szCs w:val="21"/>
        </w:rPr>
        <w:t>感到舒适、轻松、方便的</w:t>
      </w:r>
      <w:r>
        <w:rPr>
          <w:rFonts w:hint="eastAsia"/>
          <w:szCs w:val="21"/>
        </w:rPr>
        <w:t>服务环境，从功能设置开始，在每一个细节注重客户使用的方便性和舒适性。</w:t>
      </w:r>
    </w:p>
    <w:p w14:paraId="0FE103D6">
      <w:pPr>
        <w:pStyle w:val="77"/>
        <w:numPr>
          <w:ilvl w:val="0"/>
          <w:numId w:val="6"/>
        </w:numPr>
        <w:adjustRightInd w:val="0"/>
        <w:snapToGrid w:val="0"/>
        <w:spacing w:line="480" w:lineRule="atLeast"/>
        <w:ind w:firstLineChars="0"/>
        <w:rPr>
          <w:szCs w:val="21"/>
        </w:rPr>
      </w:pPr>
      <w:r>
        <w:rPr>
          <w:rFonts w:hint="eastAsia"/>
          <w:szCs w:val="21"/>
        </w:rPr>
        <w:t>安全可靠性：符合安全、防火、卫生等设计规范，遵守与设计任务相适应的有关定额标准。</w:t>
      </w:r>
    </w:p>
    <w:p w14:paraId="5AD093B1">
      <w:pPr>
        <w:pStyle w:val="77"/>
        <w:numPr>
          <w:ilvl w:val="0"/>
          <w:numId w:val="6"/>
        </w:numPr>
        <w:adjustRightInd w:val="0"/>
        <w:snapToGrid w:val="0"/>
        <w:spacing w:line="480" w:lineRule="atLeast"/>
        <w:ind w:firstLineChars="0"/>
        <w:rPr>
          <w:szCs w:val="21"/>
        </w:rPr>
      </w:pPr>
      <w:r>
        <w:rPr>
          <w:rFonts w:hint="eastAsia"/>
          <w:szCs w:val="21"/>
        </w:rPr>
        <w:t>科学系统性：具有使用合理的室内空间组织和平面布局，提供符合使用要求的室内声、光、热效应，以满足室内环境物质功能的需要；功能区域的划分，达到更优的分流功能。</w:t>
      </w:r>
    </w:p>
    <w:p w14:paraId="53D223EB">
      <w:pPr>
        <w:pStyle w:val="77"/>
        <w:numPr>
          <w:ilvl w:val="0"/>
          <w:numId w:val="6"/>
        </w:numPr>
        <w:adjustRightInd w:val="0"/>
        <w:snapToGrid w:val="0"/>
        <w:spacing w:line="480" w:lineRule="atLeast"/>
        <w:ind w:firstLineChars="0"/>
        <w:rPr>
          <w:szCs w:val="21"/>
        </w:rPr>
      </w:pPr>
      <w:r>
        <w:rPr>
          <w:rFonts w:hint="eastAsia"/>
          <w:szCs w:val="21"/>
        </w:rPr>
        <w:t>先进性：充分体现新技术、新材料的特点，选用绿色节能、防止污染的环保材料；选择采用新技术。</w:t>
      </w:r>
    </w:p>
    <w:p w14:paraId="482AABBF">
      <w:pPr>
        <w:pStyle w:val="77"/>
        <w:numPr>
          <w:ilvl w:val="0"/>
          <w:numId w:val="6"/>
        </w:numPr>
        <w:adjustRightInd w:val="0"/>
        <w:snapToGrid w:val="0"/>
        <w:spacing w:line="480" w:lineRule="atLeast"/>
        <w:ind w:firstLineChars="0"/>
        <w:rPr>
          <w:szCs w:val="21"/>
        </w:rPr>
      </w:pPr>
      <w:r>
        <w:rPr>
          <w:rFonts w:hint="eastAsia"/>
          <w:szCs w:val="21"/>
        </w:rPr>
        <w:t>规范性：</w:t>
      </w:r>
      <w:bookmarkStart w:id="12" w:name="_Toc171480078"/>
      <w:r>
        <w:rPr>
          <w:rFonts w:hint="eastAsia"/>
          <w:szCs w:val="21"/>
        </w:rPr>
        <w:t>严格按照《关于印发广州供电局服务渠道发展规划报告的通知》及实体渠道转型规划要求执行。</w:t>
      </w:r>
      <w:bookmarkEnd w:id="12"/>
    </w:p>
    <w:p w14:paraId="01061109">
      <w:pPr>
        <w:pStyle w:val="77"/>
        <w:numPr>
          <w:ilvl w:val="0"/>
          <w:numId w:val="6"/>
        </w:numPr>
        <w:adjustRightInd w:val="0"/>
        <w:snapToGrid w:val="0"/>
        <w:spacing w:line="480" w:lineRule="atLeast"/>
        <w:ind w:firstLineChars="0"/>
        <w:rPr>
          <w:szCs w:val="21"/>
        </w:rPr>
      </w:pPr>
      <w:r>
        <w:rPr>
          <w:rFonts w:hint="eastAsia"/>
          <w:szCs w:val="21"/>
        </w:rPr>
        <w:t>美观舒适性：具有造型优美的空间构成和界面处理，宜人的光、色和材料配置，符合建筑物性格的环境气氛，以满足室内环境精神功能的需要。</w:t>
      </w:r>
    </w:p>
    <w:p w14:paraId="6403B9C7">
      <w:pPr>
        <w:pStyle w:val="77"/>
        <w:numPr>
          <w:ilvl w:val="0"/>
          <w:numId w:val="6"/>
        </w:numPr>
        <w:adjustRightInd w:val="0"/>
        <w:snapToGrid w:val="0"/>
        <w:spacing w:line="480" w:lineRule="atLeast"/>
        <w:ind w:firstLineChars="0"/>
        <w:rPr>
          <w:szCs w:val="21"/>
        </w:rPr>
      </w:pPr>
      <w:r>
        <w:rPr>
          <w:rFonts w:hint="eastAsia"/>
          <w:szCs w:val="21"/>
        </w:rPr>
        <w:t>灵活性与可扩展性：随着时间的推移，考虑具有适应调整室内功能、更新装饰材料的可能性。</w:t>
      </w:r>
    </w:p>
    <w:p w14:paraId="50F98AD2">
      <w:pPr>
        <w:pStyle w:val="77"/>
        <w:numPr>
          <w:ilvl w:val="0"/>
          <w:numId w:val="6"/>
        </w:numPr>
        <w:adjustRightInd w:val="0"/>
        <w:snapToGrid w:val="0"/>
        <w:spacing w:line="480" w:lineRule="atLeast"/>
        <w:ind w:firstLineChars="0"/>
        <w:rPr>
          <w:szCs w:val="21"/>
        </w:rPr>
      </w:pPr>
      <w:r>
        <w:rPr>
          <w:rFonts w:hint="eastAsia"/>
          <w:szCs w:val="21"/>
        </w:rPr>
        <w:t>实用性经济性：采用合理的装修构造和技术措施，选择合适的装饰材料，使其具有良好的经济效益。</w:t>
      </w:r>
    </w:p>
    <w:p w14:paraId="673C9AC5">
      <w:pPr>
        <w:spacing w:line="360" w:lineRule="auto"/>
        <w:outlineLvl w:val="1"/>
        <w:rPr>
          <w:b/>
          <w:szCs w:val="21"/>
        </w:rPr>
      </w:pPr>
      <w:bookmarkStart w:id="13" w:name="_Toc206145302"/>
      <w:r>
        <w:rPr>
          <w:b/>
          <w:szCs w:val="21"/>
        </w:rPr>
        <w:t>2</w:t>
      </w:r>
      <w:r>
        <w:rPr>
          <w:rFonts w:hint="eastAsia"/>
          <w:b/>
          <w:szCs w:val="21"/>
        </w:rPr>
        <w:t>.3 建设目标</w:t>
      </w:r>
      <w:bookmarkEnd w:id="13"/>
    </w:p>
    <w:p w14:paraId="43E6D4D5">
      <w:pPr>
        <w:adjustRightInd w:val="0"/>
        <w:snapToGrid w:val="0"/>
        <w:spacing w:line="480" w:lineRule="atLeast"/>
        <w:ind w:firstLine="420" w:firstLineChars="200"/>
        <w:rPr>
          <w:szCs w:val="21"/>
        </w:rPr>
      </w:pPr>
      <w:r>
        <w:rPr>
          <w:rFonts w:hint="eastAsia"/>
          <w:szCs w:val="21"/>
        </w:rPr>
        <w:t>1、将营业厅按网公司、省公司及广州局关于营业厅的标准要求完成建设，能够满足营业厅工作条件；</w:t>
      </w:r>
    </w:p>
    <w:p w14:paraId="0ED425F4">
      <w:pPr>
        <w:adjustRightInd w:val="0"/>
        <w:snapToGrid w:val="0"/>
        <w:spacing w:line="480" w:lineRule="atLeast"/>
        <w:ind w:firstLine="420" w:firstLineChars="200"/>
        <w:rPr>
          <w:szCs w:val="21"/>
        </w:rPr>
      </w:pPr>
      <w:r>
        <w:rPr>
          <w:szCs w:val="21"/>
        </w:rPr>
        <w:t>2</w:t>
      </w:r>
      <w:r>
        <w:rPr>
          <w:rFonts w:hint="eastAsia"/>
          <w:szCs w:val="21"/>
        </w:rPr>
        <w:t>、管制业务深入精细化运营，持续向自助服务渠道分流。</w:t>
      </w:r>
    </w:p>
    <w:p w14:paraId="781A9B8F">
      <w:pPr>
        <w:adjustRightInd w:val="0"/>
        <w:snapToGrid w:val="0"/>
        <w:spacing w:line="480" w:lineRule="atLeast"/>
        <w:ind w:firstLine="420" w:firstLineChars="200"/>
        <w:rPr>
          <w:szCs w:val="21"/>
        </w:rPr>
      </w:pPr>
      <w:r>
        <w:rPr>
          <w:szCs w:val="21"/>
        </w:rPr>
        <w:t>3</w:t>
      </w:r>
      <w:r>
        <w:rPr>
          <w:rFonts w:hint="eastAsia"/>
          <w:szCs w:val="21"/>
        </w:rPr>
        <w:t>、整体渠道转型建设目标：创造经济价值、打造全渠道一体化服务战略转型。</w:t>
      </w:r>
    </w:p>
    <w:p w14:paraId="720B838C">
      <w:pPr>
        <w:adjustRightInd w:val="0"/>
        <w:snapToGrid w:val="0"/>
        <w:spacing w:line="480" w:lineRule="atLeast"/>
        <w:ind w:firstLine="420" w:firstLineChars="200"/>
        <w:rPr>
          <w:szCs w:val="21"/>
        </w:rPr>
      </w:pPr>
      <w:r>
        <w:rPr>
          <w:szCs w:val="21"/>
        </w:rPr>
        <w:t>4</w:t>
      </w:r>
      <w:r>
        <w:rPr>
          <w:rFonts w:hint="eastAsia"/>
          <w:szCs w:val="21"/>
        </w:rPr>
        <w:t>、规划建设三层渠道服务结构，实体营业厅、客户经理、95598热线成为客户复杂问题的解决中心；掌厅、自助终端、网厅作为客户自助服务渠道降本增效；微信、支付宝渠道作为便民支付渠道。</w:t>
      </w:r>
    </w:p>
    <w:p w14:paraId="6B11BEB4">
      <w:pPr>
        <w:spacing w:line="360" w:lineRule="auto"/>
        <w:outlineLvl w:val="1"/>
        <w:rPr>
          <w:b/>
          <w:szCs w:val="21"/>
        </w:rPr>
      </w:pPr>
      <w:bookmarkStart w:id="14" w:name="_Toc206145303"/>
      <w:r>
        <w:rPr>
          <w:b/>
          <w:szCs w:val="21"/>
        </w:rPr>
        <w:t>2</w:t>
      </w:r>
      <w:r>
        <w:rPr>
          <w:rFonts w:hint="eastAsia"/>
          <w:b/>
          <w:szCs w:val="21"/>
        </w:rPr>
        <w:t>.4 项目范围</w:t>
      </w:r>
      <w:bookmarkEnd w:id="14"/>
    </w:p>
    <w:p w14:paraId="2B05EAA1">
      <w:pPr>
        <w:spacing w:line="360" w:lineRule="auto"/>
        <w:ind w:firstLine="420" w:firstLineChars="200"/>
        <w:rPr>
          <w:szCs w:val="21"/>
          <w:lang w:bidi="en-US"/>
        </w:rPr>
      </w:pPr>
      <w:r>
        <w:rPr>
          <w:rFonts w:hint="eastAsia"/>
          <w:szCs w:val="21"/>
          <w:lang w:bidi="en-US"/>
        </w:rPr>
        <w:t>本项目升级改造场地为广州花都</w:t>
      </w:r>
      <w:r>
        <w:rPr>
          <w:szCs w:val="21"/>
          <w:lang w:bidi="en-US"/>
        </w:rPr>
        <w:t>供电局</w:t>
      </w:r>
      <w:r>
        <w:rPr>
          <w:rFonts w:hint="eastAsia"/>
          <w:szCs w:val="21"/>
          <w:lang w:bidi="en-US"/>
        </w:rPr>
        <w:t>花东所</w:t>
      </w:r>
      <w:r>
        <w:rPr>
          <w:szCs w:val="21"/>
          <w:lang w:bidi="en-US"/>
        </w:rPr>
        <w:t>营业厅</w:t>
      </w:r>
      <w:r>
        <w:rPr>
          <w:rFonts w:hint="eastAsia"/>
          <w:szCs w:val="21"/>
          <w:lang w:bidi="en-US"/>
        </w:rPr>
        <w:t>，改造面积约1</w:t>
      </w:r>
      <w:r>
        <w:rPr>
          <w:szCs w:val="21"/>
          <w:lang w:bidi="en-US"/>
        </w:rPr>
        <w:t>05</w:t>
      </w:r>
      <w:r>
        <w:rPr>
          <w:rFonts w:hint="eastAsia"/>
          <w:szCs w:val="21"/>
          <w:lang w:bidi="en-US"/>
        </w:rPr>
        <w:t>㎡。</w:t>
      </w:r>
    </w:p>
    <w:p w14:paraId="4A82AF34">
      <w:pPr>
        <w:spacing w:line="360" w:lineRule="auto"/>
        <w:outlineLvl w:val="1"/>
        <w:rPr>
          <w:b/>
          <w:szCs w:val="21"/>
        </w:rPr>
      </w:pPr>
      <w:bookmarkStart w:id="15" w:name="_Toc206145304"/>
      <w:r>
        <w:rPr>
          <w:b/>
          <w:szCs w:val="21"/>
        </w:rPr>
        <w:t>2</w:t>
      </w:r>
      <w:r>
        <w:rPr>
          <w:rFonts w:hint="eastAsia"/>
          <w:b/>
          <w:szCs w:val="21"/>
        </w:rPr>
        <w:t>.5 项目现状</w:t>
      </w:r>
      <w:bookmarkEnd w:id="15"/>
    </w:p>
    <w:p w14:paraId="6596DAA1">
      <w:pPr>
        <w:ind w:firstLine="420" w:firstLineChars="200"/>
      </w:pPr>
      <w:r>
        <w:rPr>
          <w:rFonts w:hint="eastAsia"/>
          <w:szCs w:val="21"/>
          <w:lang w:bidi="en-US"/>
        </w:rPr>
        <w:t>营业厅改造后的平面布局如下图所示</w:t>
      </w:r>
      <w:r>
        <w:t>：</w:t>
      </w:r>
    </w:p>
    <w:p w14:paraId="603BA066">
      <w:pPr>
        <w:jc w:val="center"/>
      </w:pPr>
      <w:r>
        <w:drawing>
          <wp:inline distT="0" distB="0" distL="0" distR="0">
            <wp:extent cx="4332605" cy="4554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rcRect r="17850"/>
                    <a:stretch>
                      <a:fillRect/>
                    </a:stretch>
                  </pic:blipFill>
                  <pic:spPr>
                    <a:xfrm>
                      <a:off x="0" y="0"/>
                      <a:ext cx="4332849" cy="4554855"/>
                    </a:xfrm>
                    <a:prstGeom prst="rect">
                      <a:avLst/>
                    </a:prstGeom>
                    <a:ln>
                      <a:noFill/>
                    </a:ln>
                  </pic:spPr>
                </pic:pic>
              </a:graphicData>
            </a:graphic>
          </wp:inline>
        </w:drawing>
      </w:r>
    </w:p>
    <w:p w14:paraId="53F49AE8">
      <w:pPr>
        <w:pStyle w:val="72"/>
        <w:spacing w:line="360" w:lineRule="auto"/>
        <w:ind w:firstLine="400"/>
        <w:jc w:val="center"/>
        <w:outlineLvl w:val="9"/>
        <w:rPr>
          <w:rFonts w:asciiTheme="minorEastAsia" w:hAnsiTheme="minorEastAsia"/>
          <w:b/>
        </w:rPr>
      </w:pPr>
      <w:r>
        <w:rPr>
          <w:rFonts w:hint="eastAsia" w:asciiTheme="minorEastAsia" w:hAnsiTheme="minorEastAsia" w:eastAsiaTheme="minorEastAsia"/>
          <w:b/>
        </w:rPr>
        <w:t>图2</w:t>
      </w:r>
      <w:r>
        <w:rPr>
          <w:rFonts w:asciiTheme="minorEastAsia" w:hAnsiTheme="minorEastAsia" w:eastAsiaTheme="minorEastAsia"/>
          <w:b/>
        </w:rPr>
        <w:t>-1</w:t>
      </w:r>
      <w:r>
        <w:rPr>
          <w:rFonts w:hint="eastAsia" w:asciiTheme="minorEastAsia" w:hAnsiTheme="minorEastAsia" w:eastAsiaTheme="minorEastAsia"/>
          <w:b/>
        </w:rPr>
        <w:t>花都</w:t>
      </w:r>
      <w:r>
        <w:rPr>
          <w:rFonts w:asciiTheme="minorEastAsia" w:hAnsiTheme="minorEastAsia" w:eastAsiaTheme="minorEastAsia"/>
          <w:b/>
        </w:rPr>
        <w:t>供电</w:t>
      </w:r>
      <w:r>
        <w:rPr>
          <w:rFonts w:hint="eastAsia" w:asciiTheme="minorEastAsia" w:hAnsiTheme="minorEastAsia" w:eastAsiaTheme="minorEastAsia"/>
          <w:b/>
          <w:lang w:val="en-US"/>
        </w:rPr>
        <w:t>局花东营业厅</w:t>
      </w:r>
      <w:r>
        <w:rPr>
          <w:rFonts w:hint="eastAsia" w:asciiTheme="minorEastAsia" w:hAnsiTheme="minorEastAsia" w:eastAsiaTheme="minorEastAsia"/>
          <w:b/>
        </w:rPr>
        <w:t>布局图</w:t>
      </w:r>
    </w:p>
    <w:p w14:paraId="3F63542A">
      <w:pPr>
        <w:spacing w:line="360" w:lineRule="auto"/>
        <w:outlineLvl w:val="1"/>
        <w:rPr>
          <w:b/>
          <w:szCs w:val="21"/>
        </w:rPr>
      </w:pPr>
      <w:bookmarkStart w:id="16" w:name="_Toc206145305"/>
      <w:r>
        <w:rPr>
          <w:b/>
          <w:szCs w:val="21"/>
        </w:rPr>
        <w:t>2</w:t>
      </w:r>
      <w:r>
        <w:rPr>
          <w:rFonts w:hint="eastAsia"/>
          <w:b/>
          <w:szCs w:val="21"/>
        </w:rPr>
        <w:t>.6 营业厅类型</w:t>
      </w:r>
      <w:bookmarkEnd w:id="16"/>
    </w:p>
    <w:tbl>
      <w:tblPr>
        <w:tblStyle w:val="29"/>
        <w:tblW w:w="9003" w:type="dxa"/>
        <w:tblInd w:w="0" w:type="dxa"/>
        <w:tblLayout w:type="fixed"/>
        <w:tblCellMar>
          <w:top w:w="0" w:type="dxa"/>
          <w:left w:w="108" w:type="dxa"/>
          <w:bottom w:w="0" w:type="dxa"/>
          <w:right w:w="108" w:type="dxa"/>
        </w:tblCellMar>
      </w:tblPr>
      <w:tblGrid>
        <w:gridCol w:w="683"/>
        <w:gridCol w:w="1165"/>
        <w:gridCol w:w="2382"/>
        <w:gridCol w:w="4773"/>
      </w:tblGrid>
      <w:tr w14:paraId="69F8654B">
        <w:tblPrEx>
          <w:tblCellMar>
            <w:top w:w="0" w:type="dxa"/>
            <w:left w:w="108" w:type="dxa"/>
            <w:bottom w:w="0" w:type="dxa"/>
            <w:right w:w="108" w:type="dxa"/>
          </w:tblCellMar>
        </w:tblPrEx>
        <w:trPr>
          <w:trHeight w:val="280" w:hRule="atLeast"/>
          <w:tblHeader/>
        </w:trPr>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29EE42BE">
            <w:pPr>
              <w:widowControl/>
              <w:jc w:val="center"/>
              <w:rPr>
                <w:rFonts w:ascii="宋体" w:hAnsi="宋体" w:cs="宋体"/>
                <w:b/>
                <w:color w:val="000000"/>
                <w:kern w:val="0"/>
                <w:szCs w:val="21"/>
              </w:rPr>
            </w:pPr>
            <w:r>
              <w:rPr>
                <w:rFonts w:hint="eastAsia" w:ascii="宋体" w:hAnsi="宋体" w:cs="宋体"/>
                <w:b/>
                <w:color w:val="000000"/>
                <w:kern w:val="0"/>
                <w:szCs w:val="21"/>
              </w:rPr>
              <w:t>序号</w:t>
            </w:r>
          </w:p>
        </w:tc>
        <w:tc>
          <w:tcPr>
            <w:tcW w:w="1165" w:type="dxa"/>
            <w:tcBorders>
              <w:top w:val="single" w:color="auto" w:sz="4" w:space="0"/>
              <w:left w:val="nil"/>
              <w:bottom w:val="single" w:color="auto" w:sz="4" w:space="0"/>
              <w:right w:val="single" w:color="auto" w:sz="4" w:space="0"/>
            </w:tcBorders>
            <w:shd w:val="clear" w:color="auto" w:fill="auto"/>
            <w:vAlign w:val="center"/>
          </w:tcPr>
          <w:p w14:paraId="2D33212D">
            <w:pPr>
              <w:widowControl/>
              <w:jc w:val="center"/>
              <w:rPr>
                <w:rFonts w:ascii="宋体" w:hAnsi="宋体" w:cs="宋体"/>
                <w:b/>
                <w:color w:val="000000"/>
                <w:kern w:val="0"/>
                <w:szCs w:val="21"/>
              </w:rPr>
            </w:pPr>
            <w:r>
              <w:rPr>
                <w:rFonts w:hint="eastAsia" w:ascii="宋体" w:hAnsi="宋体" w:cs="宋体"/>
                <w:b/>
                <w:color w:val="000000"/>
                <w:kern w:val="0"/>
                <w:szCs w:val="21"/>
              </w:rPr>
              <w:t>类型</w:t>
            </w:r>
          </w:p>
        </w:tc>
        <w:tc>
          <w:tcPr>
            <w:tcW w:w="2382" w:type="dxa"/>
            <w:tcBorders>
              <w:top w:val="single" w:color="auto" w:sz="4" w:space="0"/>
              <w:left w:val="nil"/>
              <w:bottom w:val="single" w:color="auto" w:sz="4" w:space="0"/>
              <w:right w:val="single" w:color="auto" w:sz="4" w:space="0"/>
            </w:tcBorders>
            <w:shd w:val="clear" w:color="auto" w:fill="auto"/>
            <w:vAlign w:val="center"/>
          </w:tcPr>
          <w:p w14:paraId="3D3B20BF">
            <w:pPr>
              <w:widowControl/>
              <w:jc w:val="center"/>
              <w:rPr>
                <w:rFonts w:ascii="宋体" w:hAnsi="宋体" w:cs="宋体"/>
                <w:b/>
                <w:color w:val="000000"/>
                <w:kern w:val="0"/>
                <w:szCs w:val="21"/>
              </w:rPr>
            </w:pPr>
            <w:r>
              <w:rPr>
                <w:rFonts w:hint="eastAsia" w:ascii="宋体" w:hAnsi="宋体" w:cs="宋体"/>
                <w:b/>
                <w:color w:val="000000"/>
                <w:kern w:val="0"/>
                <w:szCs w:val="21"/>
              </w:rPr>
              <w:t>定位</w:t>
            </w:r>
          </w:p>
        </w:tc>
        <w:tc>
          <w:tcPr>
            <w:tcW w:w="4773" w:type="dxa"/>
            <w:tcBorders>
              <w:top w:val="single" w:color="auto" w:sz="4" w:space="0"/>
              <w:left w:val="nil"/>
              <w:bottom w:val="single" w:color="auto" w:sz="4" w:space="0"/>
              <w:right w:val="single" w:color="auto" w:sz="4" w:space="0"/>
            </w:tcBorders>
            <w:shd w:val="clear" w:color="auto" w:fill="auto"/>
            <w:vAlign w:val="center"/>
          </w:tcPr>
          <w:p w14:paraId="20B3B7F8">
            <w:pPr>
              <w:widowControl/>
              <w:jc w:val="center"/>
              <w:rPr>
                <w:rFonts w:ascii="宋体" w:hAnsi="宋体" w:cs="宋体"/>
                <w:b/>
                <w:color w:val="000000"/>
                <w:kern w:val="0"/>
                <w:szCs w:val="21"/>
              </w:rPr>
            </w:pPr>
            <w:r>
              <w:rPr>
                <w:rFonts w:hint="eastAsia" w:ascii="宋体" w:hAnsi="宋体" w:cs="宋体"/>
                <w:b/>
                <w:color w:val="000000"/>
                <w:kern w:val="0"/>
                <w:szCs w:val="21"/>
              </w:rPr>
              <w:t>服务范围</w:t>
            </w:r>
          </w:p>
        </w:tc>
      </w:tr>
      <w:tr w14:paraId="13F90BE9">
        <w:tblPrEx>
          <w:tblCellMar>
            <w:top w:w="0" w:type="dxa"/>
            <w:left w:w="108" w:type="dxa"/>
            <w:bottom w:w="0" w:type="dxa"/>
            <w:right w:w="108" w:type="dxa"/>
          </w:tblCellMar>
        </w:tblPrEx>
        <w:trPr>
          <w:trHeight w:val="1130" w:hRule="atLeast"/>
        </w:trPr>
        <w:tc>
          <w:tcPr>
            <w:tcW w:w="683" w:type="dxa"/>
            <w:tcBorders>
              <w:top w:val="nil"/>
              <w:left w:val="single" w:color="auto" w:sz="4" w:space="0"/>
              <w:bottom w:val="single" w:color="auto" w:sz="4" w:space="0"/>
              <w:right w:val="single" w:color="auto" w:sz="4" w:space="0"/>
            </w:tcBorders>
            <w:shd w:val="clear" w:color="auto" w:fill="auto"/>
            <w:vAlign w:val="center"/>
          </w:tcPr>
          <w:p w14:paraId="6E5E219C">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1165" w:type="dxa"/>
            <w:tcBorders>
              <w:top w:val="nil"/>
              <w:left w:val="nil"/>
              <w:bottom w:val="single" w:color="auto" w:sz="4" w:space="0"/>
              <w:right w:val="single" w:color="auto" w:sz="4" w:space="0"/>
            </w:tcBorders>
            <w:shd w:val="clear" w:color="auto" w:fill="auto"/>
            <w:vAlign w:val="center"/>
          </w:tcPr>
          <w:p w14:paraId="70FD17AC">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品牌型</w:t>
            </w:r>
          </w:p>
        </w:tc>
        <w:tc>
          <w:tcPr>
            <w:tcW w:w="2382" w:type="dxa"/>
            <w:tcBorders>
              <w:top w:val="nil"/>
              <w:left w:val="nil"/>
              <w:bottom w:val="single" w:color="auto" w:sz="4" w:space="0"/>
              <w:right w:val="single" w:color="auto" w:sz="4" w:space="0"/>
            </w:tcBorders>
            <w:shd w:val="clear" w:color="auto" w:fill="auto"/>
            <w:vAlign w:val="center"/>
          </w:tcPr>
          <w:p w14:paraId="4FA80035">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竞争型业务的宣传、体验、推广中心，品牌传播与高端体验的渠道，以体验带动新产品新业务销售。</w:t>
            </w:r>
          </w:p>
        </w:tc>
        <w:tc>
          <w:tcPr>
            <w:tcW w:w="4773" w:type="dxa"/>
            <w:tcBorders>
              <w:top w:val="nil"/>
              <w:left w:val="nil"/>
              <w:bottom w:val="single" w:color="auto" w:sz="4" w:space="0"/>
              <w:right w:val="single" w:color="auto" w:sz="4" w:space="0"/>
            </w:tcBorders>
            <w:shd w:val="clear" w:color="auto" w:fill="auto"/>
            <w:vAlign w:val="center"/>
          </w:tcPr>
          <w:p w14:paraId="32EC1B1B">
            <w:pPr>
              <w:widowControl/>
              <w:jc w:val="left"/>
              <w:rPr>
                <w:rFonts w:cs="Arial" w:asciiTheme="minorEastAsia" w:hAnsiTheme="minorEastAsia"/>
                <w:color w:val="000000"/>
                <w:kern w:val="0"/>
                <w:szCs w:val="21"/>
              </w:rPr>
            </w:pPr>
            <w:r>
              <w:rPr>
                <w:rFonts w:hint="eastAsia" w:cs="Arial" w:asciiTheme="minorEastAsia" w:hAnsiTheme="minorEastAsia"/>
                <w:color w:val="000000"/>
                <w:kern w:val="0"/>
                <w:szCs w:val="21"/>
              </w:rPr>
              <w:t>服务全市范围或区局管辖范围内的城市中心区与新兴重点发展区</w:t>
            </w:r>
            <w:r>
              <w:rPr>
                <w:rFonts w:hint="eastAsia" w:cs="Arial" w:asciiTheme="minorEastAsia" w:hAnsiTheme="minorEastAsia"/>
                <w:color w:val="000000"/>
                <w:kern w:val="0"/>
                <w:szCs w:val="21"/>
              </w:rPr>
              <w:br w:type="textWrapping"/>
            </w:r>
            <w:r>
              <w:rPr>
                <w:rFonts w:hint="eastAsia" w:cs="Arial" w:asciiTheme="minorEastAsia" w:hAnsiTheme="minorEastAsia"/>
                <w:color w:val="000000"/>
                <w:kern w:val="0"/>
                <w:szCs w:val="21"/>
              </w:rPr>
              <w:t>城市中心区指全市性的商务中心区（</w:t>
            </w:r>
            <w:r>
              <w:rPr>
                <w:rFonts w:cs="Arial" w:asciiTheme="minorEastAsia" w:hAnsiTheme="minorEastAsia"/>
                <w:color w:val="000000"/>
                <w:kern w:val="0"/>
                <w:szCs w:val="21"/>
              </w:rPr>
              <w:t>CBD</w:t>
            </w:r>
            <w:r>
              <w:rPr>
                <w:rFonts w:hint="eastAsia" w:cs="Arial" w:asciiTheme="minorEastAsia" w:hAnsiTheme="minorEastAsia"/>
                <w:color w:val="000000"/>
                <w:kern w:val="0"/>
                <w:szCs w:val="21"/>
              </w:rPr>
              <w:t>）或商业中心，人流密集。新兴重点发展区指未来城市建设和发展的重点，发展潜力大</w:t>
            </w:r>
          </w:p>
        </w:tc>
      </w:tr>
      <w:tr w14:paraId="277BAF3B">
        <w:tblPrEx>
          <w:tblCellMar>
            <w:top w:w="0" w:type="dxa"/>
            <w:left w:w="108" w:type="dxa"/>
            <w:bottom w:w="0" w:type="dxa"/>
            <w:right w:w="108" w:type="dxa"/>
          </w:tblCellMar>
        </w:tblPrEx>
        <w:trPr>
          <w:trHeight w:val="1680" w:hRule="atLeast"/>
        </w:trPr>
        <w:tc>
          <w:tcPr>
            <w:tcW w:w="683" w:type="dxa"/>
            <w:tcBorders>
              <w:top w:val="nil"/>
              <w:left w:val="single" w:color="auto" w:sz="4" w:space="0"/>
              <w:bottom w:val="single" w:color="auto" w:sz="4" w:space="0"/>
              <w:right w:val="single" w:color="auto" w:sz="4" w:space="0"/>
            </w:tcBorders>
            <w:shd w:val="clear" w:color="auto" w:fill="auto"/>
            <w:vAlign w:val="center"/>
          </w:tcPr>
          <w:p w14:paraId="6D0B9D11">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1165" w:type="dxa"/>
            <w:tcBorders>
              <w:top w:val="nil"/>
              <w:left w:val="nil"/>
              <w:bottom w:val="single" w:color="auto" w:sz="4" w:space="0"/>
              <w:right w:val="single" w:color="auto" w:sz="4" w:space="0"/>
            </w:tcBorders>
            <w:shd w:val="clear" w:color="auto" w:fill="auto"/>
            <w:vAlign w:val="center"/>
          </w:tcPr>
          <w:p w14:paraId="07A7C9C5">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功能型</w:t>
            </w:r>
          </w:p>
        </w:tc>
        <w:tc>
          <w:tcPr>
            <w:tcW w:w="2382" w:type="dxa"/>
            <w:tcBorders>
              <w:top w:val="nil"/>
              <w:left w:val="nil"/>
              <w:bottom w:val="single" w:color="auto" w:sz="4" w:space="0"/>
              <w:right w:val="single" w:color="auto" w:sz="4" w:space="0"/>
            </w:tcBorders>
            <w:shd w:val="clear" w:color="auto" w:fill="auto"/>
            <w:vAlign w:val="center"/>
          </w:tcPr>
          <w:p w14:paraId="1BC84247">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销售与服务中心。新产品、新业务体验推介、咨询与销售，同时兼具业务办理，特别是复杂业务处理的主要渠道。</w:t>
            </w:r>
          </w:p>
        </w:tc>
        <w:tc>
          <w:tcPr>
            <w:tcW w:w="4773" w:type="dxa"/>
            <w:tcBorders>
              <w:top w:val="nil"/>
              <w:left w:val="nil"/>
              <w:bottom w:val="single" w:color="auto" w:sz="4" w:space="0"/>
              <w:right w:val="single" w:color="auto" w:sz="4" w:space="0"/>
            </w:tcBorders>
            <w:shd w:val="clear" w:color="auto" w:fill="auto"/>
            <w:vAlign w:val="center"/>
          </w:tcPr>
          <w:p w14:paraId="64874DC2">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服务区局管辖范围内的居民区、工业区、商业区、商务区类型的营销服务目标区域。</w:t>
            </w:r>
            <w:r>
              <w:rPr>
                <w:rFonts w:hint="eastAsia" w:cs="宋体" w:asciiTheme="minorEastAsia" w:hAnsiTheme="minorEastAsia"/>
                <w:color w:val="000000"/>
                <w:kern w:val="0"/>
                <w:szCs w:val="21"/>
              </w:rPr>
              <w:br w:type="textWrapping"/>
            </w:r>
            <w:r>
              <w:rPr>
                <w:rFonts w:hint="eastAsia" w:cs="宋体" w:asciiTheme="minorEastAsia" w:hAnsiTheme="minorEastAsia"/>
                <w:color w:val="000000"/>
                <w:kern w:val="0"/>
                <w:szCs w:val="21"/>
              </w:rPr>
              <w:t>根据前期数据收集与调研，全市营业厅无论位于城区、近郊与远郊，前往营业厅的用户80%以上位于周边6公里范围内。设置6公里为功能型营业厅的服务半径。</w:t>
            </w:r>
          </w:p>
        </w:tc>
      </w:tr>
      <w:tr w14:paraId="0D7E0B84">
        <w:tblPrEx>
          <w:tblCellMar>
            <w:top w:w="0" w:type="dxa"/>
            <w:left w:w="108" w:type="dxa"/>
            <w:bottom w:w="0" w:type="dxa"/>
            <w:right w:w="108" w:type="dxa"/>
          </w:tblCellMar>
        </w:tblPrEx>
        <w:trPr>
          <w:trHeight w:val="1680" w:hRule="atLeast"/>
        </w:trPr>
        <w:tc>
          <w:tcPr>
            <w:tcW w:w="683" w:type="dxa"/>
            <w:tcBorders>
              <w:top w:val="nil"/>
              <w:left w:val="single" w:color="auto" w:sz="4" w:space="0"/>
              <w:bottom w:val="single" w:color="auto" w:sz="4" w:space="0"/>
              <w:right w:val="single" w:color="auto" w:sz="4" w:space="0"/>
            </w:tcBorders>
            <w:shd w:val="clear" w:color="auto" w:fill="auto"/>
            <w:vAlign w:val="center"/>
          </w:tcPr>
          <w:p w14:paraId="5BF121C9">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1165" w:type="dxa"/>
            <w:tcBorders>
              <w:top w:val="nil"/>
              <w:left w:val="nil"/>
              <w:bottom w:val="single" w:color="auto" w:sz="4" w:space="0"/>
              <w:right w:val="single" w:color="auto" w:sz="4" w:space="0"/>
            </w:tcBorders>
            <w:shd w:val="clear" w:color="auto" w:fill="auto"/>
            <w:vAlign w:val="center"/>
          </w:tcPr>
          <w:p w14:paraId="06529596">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基本型</w:t>
            </w:r>
          </w:p>
        </w:tc>
        <w:tc>
          <w:tcPr>
            <w:tcW w:w="2382" w:type="dxa"/>
            <w:tcBorders>
              <w:top w:val="nil"/>
              <w:left w:val="nil"/>
              <w:bottom w:val="single" w:color="auto" w:sz="4" w:space="0"/>
              <w:right w:val="single" w:color="auto" w:sz="4" w:space="0"/>
            </w:tcBorders>
            <w:shd w:val="clear" w:color="auto" w:fill="auto"/>
            <w:vAlign w:val="center"/>
          </w:tcPr>
          <w:p w14:paraId="53431E49">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服务网点，贴近客户，承接上层营业厅分流的业务办理负荷，同时可考虑简单的新产品新业务宣传咨询。</w:t>
            </w:r>
          </w:p>
        </w:tc>
        <w:tc>
          <w:tcPr>
            <w:tcW w:w="4773" w:type="dxa"/>
            <w:tcBorders>
              <w:top w:val="nil"/>
              <w:left w:val="nil"/>
              <w:bottom w:val="single" w:color="auto" w:sz="4" w:space="0"/>
              <w:right w:val="single" w:color="auto" w:sz="4" w:space="0"/>
            </w:tcBorders>
            <w:shd w:val="clear" w:color="auto" w:fill="auto"/>
            <w:vAlign w:val="center"/>
          </w:tcPr>
          <w:p w14:paraId="75402EC4">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服务区局管辖范围内的居民区、工业区、商业区、商务区类型的营销服务目标区域。</w:t>
            </w:r>
            <w:r>
              <w:rPr>
                <w:rFonts w:hint="eastAsia" w:cs="宋体" w:asciiTheme="minorEastAsia" w:hAnsiTheme="minorEastAsia"/>
                <w:color w:val="000000"/>
                <w:kern w:val="0"/>
                <w:szCs w:val="21"/>
              </w:rPr>
              <w:br w:type="textWrapping"/>
            </w:r>
            <w:r>
              <w:rPr>
                <w:rFonts w:hint="eastAsia" w:cs="宋体" w:asciiTheme="minorEastAsia" w:hAnsiTheme="minorEastAsia"/>
                <w:color w:val="000000"/>
                <w:kern w:val="0"/>
                <w:szCs w:val="21"/>
              </w:rPr>
              <w:t>由于服务网点规模与能力有限，基于消费者行为调研，其服务的客户主要来自周边2公里范围内，即服务半径约为2公里</w:t>
            </w:r>
            <w:r>
              <w:rPr>
                <w:rFonts w:hint="eastAsia" w:cs="宋体" w:asciiTheme="minorEastAsia" w:hAnsiTheme="minorEastAsia"/>
                <w:color w:val="000000"/>
                <w:kern w:val="0"/>
                <w:szCs w:val="21"/>
              </w:rPr>
              <w:br w:type="textWrapping"/>
            </w:r>
            <w:r>
              <w:rPr>
                <w:rFonts w:hint="eastAsia" w:cs="宋体" w:asciiTheme="minorEastAsia" w:hAnsiTheme="minorEastAsia"/>
                <w:color w:val="000000"/>
                <w:kern w:val="0"/>
                <w:szCs w:val="21"/>
              </w:rPr>
              <w:t>供电所管辖区域</w:t>
            </w:r>
          </w:p>
        </w:tc>
      </w:tr>
      <w:tr w14:paraId="3D9504C6">
        <w:tblPrEx>
          <w:tblCellMar>
            <w:top w:w="0" w:type="dxa"/>
            <w:left w:w="108" w:type="dxa"/>
            <w:bottom w:w="0" w:type="dxa"/>
            <w:right w:w="108" w:type="dxa"/>
          </w:tblCellMar>
        </w:tblPrEx>
        <w:trPr>
          <w:trHeight w:val="1680" w:hRule="atLeast"/>
        </w:trPr>
        <w:tc>
          <w:tcPr>
            <w:tcW w:w="683" w:type="dxa"/>
            <w:tcBorders>
              <w:top w:val="nil"/>
              <w:left w:val="single" w:color="auto" w:sz="4" w:space="0"/>
              <w:bottom w:val="single" w:color="auto" w:sz="4" w:space="0"/>
              <w:right w:val="single" w:color="auto" w:sz="4" w:space="0"/>
            </w:tcBorders>
            <w:shd w:val="clear" w:color="auto" w:fill="auto"/>
            <w:vAlign w:val="center"/>
          </w:tcPr>
          <w:p w14:paraId="14F41414">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1165" w:type="dxa"/>
            <w:tcBorders>
              <w:top w:val="nil"/>
              <w:left w:val="nil"/>
              <w:bottom w:val="single" w:color="auto" w:sz="4" w:space="0"/>
              <w:right w:val="single" w:color="auto" w:sz="4" w:space="0"/>
            </w:tcBorders>
            <w:shd w:val="clear" w:color="auto" w:fill="auto"/>
            <w:vAlign w:val="center"/>
          </w:tcPr>
          <w:p w14:paraId="2EF886E9">
            <w:pPr>
              <w:widowControl/>
              <w:jc w:val="center"/>
              <w:rPr>
                <w:rFonts w:ascii="宋体" w:hAnsi="宋体" w:cs="宋体"/>
                <w:color w:val="000000"/>
                <w:kern w:val="0"/>
                <w:szCs w:val="21"/>
              </w:rPr>
            </w:pPr>
            <w:r>
              <w:rPr>
                <w:rFonts w:hint="eastAsia" w:ascii="宋体" w:hAnsi="宋体" w:cs="宋体"/>
                <w:color w:val="000000"/>
                <w:kern w:val="0"/>
                <w:szCs w:val="21"/>
              </w:rPr>
              <w:t>营业点</w:t>
            </w:r>
          </w:p>
        </w:tc>
        <w:tc>
          <w:tcPr>
            <w:tcW w:w="2382" w:type="dxa"/>
            <w:tcBorders>
              <w:top w:val="nil"/>
              <w:left w:val="nil"/>
              <w:bottom w:val="single" w:color="auto" w:sz="4" w:space="0"/>
              <w:right w:val="single" w:color="auto" w:sz="4" w:space="0"/>
            </w:tcBorders>
            <w:shd w:val="clear" w:color="auto" w:fill="auto"/>
            <w:vAlign w:val="center"/>
          </w:tcPr>
          <w:p w14:paraId="00D250F1">
            <w:pPr>
              <w:widowControl/>
              <w:jc w:val="left"/>
              <w:rPr>
                <w:rFonts w:ascii="宋体" w:hAnsi="宋体" w:cs="宋体"/>
                <w:color w:val="000000"/>
                <w:kern w:val="0"/>
                <w:szCs w:val="21"/>
              </w:rPr>
            </w:pPr>
            <w:r>
              <w:rPr>
                <w:rFonts w:hint="eastAsia" w:ascii="宋体" w:hAnsi="宋体" w:cs="宋体"/>
                <w:color w:val="000000"/>
                <w:kern w:val="0"/>
                <w:szCs w:val="21"/>
              </w:rPr>
              <w:t>自助服务渠道，主要承接分流的传统业务办理。</w:t>
            </w:r>
          </w:p>
        </w:tc>
        <w:tc>
          <w:tcPr>
            <w:tcW w:w="4773" w:type="dxa"/>
            <w:tcBorders>
              <w:top w:val="nil"/>
              <w:left w:val="nil"/>
              <w:bottom w:val="single" w:color="auto" w:sz="4" w:space="0"/>
              <w:right w:val="single" w:color="auto" w:sz="4" w:space="0"/>
            </w:tcBorders>
            <w:shd w:val="clear" w:color="auto" w:fill="auto"/>
            <w:vAlign w:val="center"/>
          </w:tcPr>
          <w:p w14:paraId="7F110509">
            <w:pPr>
              <w:widowControl/>
              <w:jc w:val="left"/>
              <w:rPr>
                <w:rFonts w:ascii="宋体" w:hAnsi="宋体" w:cs="宋体"/>
                <w:color w:val="000000"/>
                <w:kern w:val="0"/>
                <w:szCs w:val="21"/>
              </w:rPr>
            </w:pPr>
            <w:r>
              <w:rPr>
                <w:rFonts w:hint="eastAsia" w:ascii="宋体" w:hAnsi="宋体" w:cs="宋体"/>
                <w:color w:val="000000"/>
                <w:kern w:val="0"/>
                <w:szCs w:val="21"/>
              </w:rPr>
              <w:t>服务区局管辖范围内的居民区、工业区、商业区、商务区类型的营销服务目标区域。</w:t>
            </w:r>
            <w:r>
              <w:rPr>
                <w:rFonts w:hint="eastAsia" w:ascii="宋体" w:hAnsi="宋体" w:cs="宋体"/>
                <w:color w:val="000000"/>
                <w:kern w:val="0"/>
                <w:szCs w:val="21"/>
              </w:rPr>
              <w:br w:type="textWrapping"/>
            </w:r>
            <w:r>
              <w:rPr>
                <w:rFonts w:hint="eastAsia" w:ascii="宋体" w:hAnsi="宋体" w:cs="宋体"/>
                <w:color w:val="000000"/>
                <w:kern w:val="0"/>
                <w:szCs w:val="21"/>
              </w:rPr>
              <w:t>由于服务网点规模与能力有限，基于消费者行为调研，其服务的客户主要来自周边2公里范围内，即服务半径约为2公里</w:t>
            </w:r>
            <w:r>
              <w:rPr>
                <w:rFonts w:hint="eastAsia" w:ascii="宋体" w:hAnsi="宋体" w:cs="宋体"/>
                <w:color w:val="000000"/>
                <w:kern w:val="0"/>
                <w:szCs w:val="21"/>
              </w:rPr>
              <w:br w:type="textWrapping"/>
            </w:r>
            <w:r>
              <w:rPr>
                <w:rFonts w:hint="eastAsia" w:ascii="宋体" w:hAnsi="宋体" w:cs="宋体"/>
                <w:color w:val="000000"/>
                <w:kern w:val="0"/>
                <w:szCs w:val="21"/>
              </w:rPr>
              <w:t>供电所管辖区域</w:t>
            </w:r>
          </w:p>
        </w:tc>
      </w:tr>
    </w:tbl>
    <w:p w14:paraId="236ACB4C">
      <w:r>
        <w:rPr>
          <w:rFonts w:hint="eastAsia"/>
        </w:rPr>
        <w:t xml:space="preserve">    本项目花都花东营业厅为</w:t>
      </w:r>
      <w:r>
        <w:rPr>
          <w:rFonts w:hint="eastAsia" w:cs="宋体" w:asciiTheme="minorEastAsia" w:hAnsiTheme="minorEastAsia"/>
          <w:color w:val="000000"/>
          <w:kern w:val="0"/>
          <w:szCs w:val="21"/>
        </w:rPr>
        <w:t>基本型营业厅。</w:t>
      </w:r>
    </w:p>
    <w:p w14:paraId="3C49FEC0">
      <w:pPr>
        <w:spacing w:line="360" w:lineRule="auto"/>
        <w:outlineLvl w:val="0"/>
        <w:rPr>
          <w:b/>
          <w:szCs w:val="21"/>
        </w:rPr>
      </w:pPr>
      <w:bookmarkStart w:id="17" w:name="_Toc206145306"/>
      <w:r>
        <w:rPr>
          <w:rFonts w:hint="eastAsia"/>
          <w:b/>
          <w:szCs w:val="21"/>
        </w:rPr>
        <w:t>3项目建设要求</w:t>
      </w:r>
      <w:bookmarkEnd w:id="17"/>
    </w:p>
    <w:p w14:paraId="3F4C6CC9">
      <w:pPr>
        <w:spacing w:line="360" w:lineRule="auto"/>
        <w:outlineLvl w:val="1"/>
        <w:rPr>
          <w:b/>
        </w:rPr>
      </w:pPr>
      <w:bookmarkStart w:id="18" w:name="_Toc499384550"/>
      <w:bookmarkStart w:id="19" w:name="_Toc206145307"/>
      <w:bookmarkStart w:id="20" w:name="_Toc499237695"/>
      <w:r>
        <w:rPr>
          <w:b/>
        </w:rPr>
        <w:t>3</w:t>
      </w:r>
      <w:r>
        <w:rPr>
          <w:rFonts w:hint="eastAsia"/>
          <w:b/>
        </w:rPr>
        <w:t>.1 主要涉及内容</w:t>
      </w:r>
      <w:bookmarkEnd w:id="18"/>
      <w:bookmarkEnd w:id="19"/>
      <w:bookmarkEnd w:id="20"/>
    </w:p>
    <w:tbl>
      <w:tblPr>
        <w:tblStyle w:val="29"/>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4473"/>
        <w:gridCol w:w="1579"/>
        <w:gridCol w:w="1577"/>
      </w:tblGrid>
      <w:tr w14:paraId="4425B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3FB5EA1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序号</w:t>
            </w:r>
          </w:p>
        </w:tc>
        <w:tc>
          <w:tcPr>
            <w:tcW w:w="4473" w:type="dxa"/>
            <w:shd w:val="clear" w:color="auto" w:fill="auto"/>
            <w:vAlign w:val="center"/>
          </w:tcPr>
          <w:p w14:paraId="065A546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设备名称</w:t>
            </w:r>
          </w:p>
        </w:tc>
        <w:tc>
          <w:tcPr>
            <w:tcW w:w="1579" w:type="dxa"/>
            <w:shd w:val="clear" w:color="auto" w:fill="auto"/>
            <w:vAlign w:val="center"/>
          </w:tcPr>
          <w:p w14:paraId="7268558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单位</w:t>
            </w:r>
          </w:p>
        </w:tc>
        <w:tc>
          <w:tcPr>
            <w:tcW w:w="1577" w:type="dxa"/>
            <w:shd w:val="clear" w:color="auto" w:fill="auto"/>
            <w:vAlign w:val="center"/>
          </w:tcPr>
          <w:p w14:paraId="15A045E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w:t>
            </w:r>
          </w:p>
        </w:tc>
      </w:tr>
      <w:tr w14:paraId="48B04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1808F50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w:t>
            </w:r>
          </w:p>
        </w:tc>
        <w:tc>
          <w:tcPr>
            <w:tcW w:w="4473" w:type="dxa"/>
            <w:shd w:val="clear" w:color="auto" w:fill="auto"/>
            <w:vAlign w:val="center"/>
          </w:tcPr>
          <w:p w14:paraId="2109BCCC">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拆除工程</w:t>
            </w:r>
          </w:p>
        </w:tc>
        <w:tc>
          <w:tcPr>
            <w:tcW w:w="1579" w:type="dxa"/>
            <w:shd w:val="clear" w:color="auto" w:fill="auto"/>
            <w:vAlign w:val="center"/>
          </w:tcPr>
          <w:p w14:paraId="53A11A3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w:t>
            </w:r>
          </w:p>
        </w:tc>
        <w:tc>
          <w:tcPr>
            <w:tcW w:w="1577" w:type="dxa"/>
            <w:shd w:val="clear" w:color="auto" w:fill="auto"/>
            <w:vAlign w:val="center"/>
          </w:tcPr>
          <w:p w14:paraId="4FAA259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r>
      <w:tr w14:paraId="7904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581C5B0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w:t>
            </w:r>
          </w:p>
        </w:tc>
        <w:tc>
          <w:tcPr>
            <w:tcW w:w="4473" w:type="dxa"/>
            <w:shd w:val="clear" w:color="auto" w:fill="auto"/>
            <w:vAlign w:val="center"/>
          </w:tcPr>
          <w:p w14:paraId="304C4F45">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装饰装修工程</w:t>
            </w:r>
          </w:p>
        </w:tc>
        <w:tc>
          <w:tcPr>
            <w:tcW w:w="1579" w:type="dxa"/>
            <w:shd w:val="clear" w:color="auto" w:fill="auto"/>
            <w:vAlign w:val="center"/>
          </w:tcPr>
          <w:p w14:paraId="631A929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w:t>
            </w:r>
          </w:p>
        </w:tc>
        <w:tc>
          <w:tcPr>
            <w:tcW w:w="1577" w:type="dxa"/>
            <w:shd w:val="clear" w:color="auto" w:fill="auto"/>
            <w:vAlign w:val="center"/>
          </w:tcPr>
          <w:p w14:paraId="5367C9B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r>
      <w:tr w14:paraId="5152E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37D32D6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w:t>
            </w:r>
          </w:p>
        </w:tc>
        <w:tc>
          <w:tcPr>
            <w:tcW w:w="4473" w:type="dxa"/>
            <w:shd w:val="clear" w:color="auto" w:fill="auto"/>
            <w:vAlign w:val="center"/>
          </w:tcPr>
          <w:p w14:paraId="126CE4D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供配电系统</w:t>
            </w:r>
          </w:p>
        </w:tc>
        <w:tc>
          <w:tcPr>
            <w:tcW w:w="1579" w:type="dxa"/>
            <w:shd w:val="clear" w:color="auto" w:fill="auto"/>
            <w:vAlign w:val="center"/>
          </w:tcPr>
          <w:p w14:paraId="35F058B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w:t>
            </w:r>
          </w:p>
        </w:tc>
        <w:tc>
          <w:tcPr>
            <w:tcW w:w="1577" w:type="dxa"/>
            <w:shd w:val="clear" w:color="auto" w:fill="auto"/>
            <w:vAlign w:val="center"/>
          </w:tcPr>
          <w:p w14:paraId="18ED5B1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r>
      <w:tr w14:paraId="41A3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3BCA62D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四、</w:t>
            </w:r>
          </w:p>
        </w:tc>
        <w:tc>
          <w:tcPr>
            <w:tcW w:w="4473" w:type="dxa"/>
            <w:shd w:val="clear" w:color="auto" w:fill="auto"/>
            <w:vAlign w:val="center"/>
          </w:tcPr>
          <w:p w14:paraId="35EFC87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消防系统</w:t>
            </w:r>
          </w:p>
        </w:tc>
        <w:tc>
          <w:tcPr>
            <w:tcW w:w="1579" w:type="dxa"/>
            <w:shd w:val="clear" w:color="auto" w:fill="auto"/>
            <w:vAlign w:val="center"/>
          </w:tcPr>
          <w:p w14:paraId="684F0DD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w:t>
            </w:r>
          </w:p>
        </w:tc>
        <w:tc>
          <w:tcPr>
            <w:tcW w:w="1577" w:type="dxa"/>
            <w:shd w:val="clear" w:color="auto" w:fill="auto"/>
            <w:vAlign w:val="center"/>
          </w:tcPr>
          <w:p w14:paraId="1404825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r>
      <w:tr w14:paraId="76E3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20F62BC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五、</w:t>
            </w:r>
          </w:p>
        </w:tc>
        <w:tc>
          <w:tcPr>
            <w:tcW w:w="4473" w:type="dxa"/>
            <w:shd w:val="clear" w:color="auto" w:fill="auto"/>
            <w:vAlign w:val="center"/>
          </w:tcPr>
          <w:p w14:paraId="036266D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专用设施</w:t>
            </w:r>
          </w:p>
        </w:tc>
        <w:tc>
          <w:tcPr>
            <w:tcW w:w="1579" w:type="dxa"/>
            <w:shd w:val="clear" w:color="auto" w:fill="auto"/>
            <w:vAlign w:val="center"/>
          </w:tcPr>
          <w:p w14:paraId="4A6D363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w:t>
            </w:r>
          </w:p>
        </w:tc>
        <w:tc>
          <w:tcPr>
            <w:tcW w:w="1577" w:type="dxa"/>
            <w:shd w:val="clear" w:color="auto" w:fill="auto"/>
            <w:vAlign w:val="center"/>
          </w:tcPr>
          <w:p w14:paraId="39052E9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r>
      <w:tr w14:paraId="09BA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2C7A5B3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六、</w:t>
            </w:r>
          </w:p>
        </w:tc>
        <w:tc>
          <w:tcPr>
            <w:tcW w:w="4473" w:type="dxa"/>
            <w:shd w:val="clear" w:color="auto" w:fill="auto"/>
            <w:vAlign w:val="center"/>
          </w:tcPr>
          <w:p w14:paraId="4B7F8EAC">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综合布线系统及通信系统</w:t>
            </w:r>
          </w:p>
        </w:tc>
        <w:tc>
          <w:tcPr>
            <w:tcW w:w="1579" w:type="dxa"/>
            <w:shd w:val="clear" w:color="auto" w:fill="auto"/>
            <w:vAlign w:val="center"/>
          </w:tcPr>
          <w:p w14:paraId="0199694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w:t>
            </w:r>
          </w:p>
        </w:tc>
        <w:tc>
          <w:tcPr>
            <w:tcW w:w="1577" w:type="dxa"/>
            <w:shd w:val="clear" w:color="auto" w:fill="auto"/>
            <w:vAlign w:val="center"/>
          </w:tcPr>
          <w:p w14:paraId="5826DC3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r>
      <w:tr w14:paraId="71BF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00DEAFE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七、</w:t>
            </w:r>
          </w:p>
        </w:tc>
        <w:tc>
          <w:tcPr>
            <w:tcW w:w="4473" w:type="dxa"/>
            <w:shd w:val="clear" w:color="auto" w:fill="auto"/>
            <w:vAlign w:val="center"/>
          </w:tcPr>
          <w:p w14:paraId="4A87150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空调及排风系统</w:t>
            </w:r>
          </w:p>
        </w:tc>
        <w:tc>
          <w:tcPr>
            <w:tcW w:w="1579" w:type="dxa"/>
            <w:shd w:val="clear" w:color="auto" w:fill="auto"/>
            <w:vAlign w:val="center"/>
          </w:tcPr>
          <w:p w14:paraId="23F60F5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w:t>
            </w:r>
          </w:p>
        </w:tc>
        <w:tc>
          <w:tcPr>
            <w:tcW w:w="1577" w:type="dxa"/>
            <w:shd w:val="clear" w:color="auto" w:fill="auto"/>
            <w:vAlign w:val="center"/>
          </w:tcPr>
          <w:p w14:paraId="499FDE4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r>
      <w:tr w14:paraId="00DD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74" w:type="dxa"/>
            <w:shd w:val="clear" w:color="auto" w:fill="auto"/>
            <w:vAlign w:val="center"/>
          </w:tcPr>
          <w:p w14:paraId="14B99FC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八、</w:t>
            </w:r>
          </w:p>
        </w:tc>
        <w:tc>
          <w:tcPr>
            <w:tcW w:w="4473" w:type="dxa"/>
            <w:shd w:val="clear" w:color="auto" w:fill="auto"/>
            <w:vAlign w:val="center"/>
          </w:tcPr>
          <w:p w14:paraId="3A4A29EB">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其他系统</w:t>
            </w:r>
          </w:p>
        </w:tc>
        <w:tc>
          <w:tcPr>
            <w:tcW w:w="1579" w:type="dxa"/>
            <w:shd w:val="clear" w:color="auto" w:fill="auto"/>
            <w:vAlign w:val="center"/>
          </w:tcPr>
          <w:p w14:paraId="14F97B1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w:t>
            </w:r>
          </w:p>
        </w:tc>
        <w:tc>
          <w:tcPr>
            <w:tcW w:w="1577" w:type="dxa"/>
            <w:shd w:val="clear" w:color="auto" w:fill="auto"/>
            <w:vAlign w:val="center"/>
          </w:tcPr>
          <w:p w14:paraId="3749A93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r>
    </w:tbl>
    <w:p w14:paraId="65D48FD6">
      <w:pPr>
        <w:ind w:firstLine="422" w:firstLineChars="200"/>
        <w:rPr>
          <w:b/>
        </w:rPr>
      </w:pPr>
      <w:r>
        <w:rPr>
          <w:rFonts w:hint="eastAsia"/>
          <w:b/>
          <w:szCs w:val="21"/>
          <w:lang w:val="zh-CN"/>
        </w:rPr>
        <w:t>项目最终实施内容以审定的施工图中本工程以上系统所对应的内容为准。</w:t>
      </w:r>
    </w:p>
    <w:p w14:paraId="697EF28A">
      <w:pPr>
        <w:spacing w:line="360" w:lineRule="auto"/>
        <w:outlineLvl w:val="1"/>
        <w:rPr>
          <w:b/>
          <w:szCs w:val="21"/>
        </w:rPr>
      </w:pPr>
      <w:bookmarkStart w:id="21" w:name="_Toc206145308"/>
      <w:r>
        <w:rPr>
          <w:rFonts w:hint="eastAsia"/>
          <w:b/>
          <w:szCs w:val="21"/>
        </w:rPr>
        <w:t>3.2 实施范围</w:t>
      </w:r>
      <w:bookmarkEnd w:id="21"/>
    </w:p>
    <w:p w14:paraId="786FC1A4">
      <w:pPr>
        <w:numPr>
          <w:ilvl w:val="0"/>
          <w:numId w:val="7"/>
        </w:numPr>
        <w:spacing w:line="360" w:lineRule="auto"/>
        <w:rPr>
          <w:szCs w:val="21"/>
          <w:lang w:val="zh-CN"/>
        </w:rPr>
      </w:pPr>
      <w:r>
        <w:rPr>
          <w:rFonts w:hint="eastAsia"/>
          <w:b/>
          <w:szCs w:val="21"/>
          <w:lang w:val="zh-CN"/>
        </w:rPr>
        <w:t>拆除工程</w:t>
      </w:r>
      <w:r>
        <w:rPr>
          <w:rFonts w:hint="eastAsia"/>
          <w:szCs w:val="21"/>
          <w:lang w:val="zh-CN"/>
        </w:rPr>
        <w:t>：本建设范围内的天面、墙面、地面、隔断、门窗、设备、管线的拆除。</w:t>
      </w:r>
    </w:p>
    <w:p w14:paraId="5F20F52B">
      <w:pPr>
        <w:numPr>
          <w:ilvl w:val="0"/>
          <w:numId w:val="7"/>
        </w:numPr>
        <w:spacing w:line="360" w:lineRule="auto"/>
        <w:rPr>
          <w:szCs w:val="21"/>
          <w:lang w:val="zh-CN"/>
        </w:rPr>
      </w:pPr>
      <w:r>
        <w:rPr>
          <w:rFonts w:hint="eastAsia"/>
          <w:b/>
          <w:szCs w:val="21"/>
          <w:lang w:val="zh-CN"/>
        </w:rPr>
        <w:t>装修工程</w:t>
      </w:r>
      <w:r>
        <w:rPr>
          <w:rFonts w:hint="eastAsia"/>
          <w:szCs w:val="21"/>
          <w:lang w:val="zh-CN"/>
        </w:rPr>
        <w:t>：本建设范围内的天面、墙面、地面、隔断、门窗的建设。</w:t>
      </w:r>
    </w:p>
    <w:p w14:paraId="215ACE4F">
      <w:pPr>
        <w:numPr>
          <w:ilvl w:val="0"/>
          <w:numId w:val="7"/>
        </w:numPr>
        <w:spacing w:line="360" w:lineRule="auto"/>
        <w:rPr>
          <w:b/>
          <w:szCs w:val="21"/>
          <w:lang w:val="zh-CN"/>
        </w:rPr>
      </w:pPr>
      <w:r>
        <w:rPr>
          <w:rFonts w:hint="eastAsia"/>
          <w:b/>
          <w:szCs w:val="21"/>
          <w:lang w:val="zh-CN"/>
        </w:rPr>
        <w:t>供配电系统：</w:t>
      </w:r>
      <w:r>
        <w:rPr>
          <w:rFonts w:hint="eastAsia"/>
          <w:szCs w:val="21"/>
          <w:lang w:val="zh-CN"/>
        </w:rPr>
        <w:t>本建设范围所有设备用电、配电箱</w:t>
      </w:r>
      <w:r>
        <w:rPr>
          <w:szCs w:val="21"/>
          <w:lang w:val="zh-CN"/>
        </w:rPr>
        <w:t>、</w:t>
      </w:r>
      <w:r>
        <w:rPr>
          <w:rFonts w:hint="eastAsia"/>
          <w:szCs w:val="21"/>
          <w:lang w:val="zh-CN"/>
        </w:rPr>
        <w:t>照明、备用照明、插座、空调新风机、工控等动力用电的采购、运输（含</w:t>
      </w:r>
      <w:r>
        <w:rPr>
          <w:szCs w:val="21"/>
          <w:lang w:val="zh-CN"/>
        </w:rPr>
        <w:t>二次搬运）</w:t>
      </w:r>
      <w:r>
        <w:rPr>
          <w:rFonts w:hint="eastAsia"/>
          <w:szCs w:val="21"/>
          <w:lang w:val="zh-CN"/>
        </w:rPr>
        <w:t>、安装、调试。本建设范围内的照明灯具的采购、运输（含</w:t>
      </w:r>
      <w:r>
        <w:rPr>
          <w:szCs w:val="21"/>
          <w:lang w:val="zh-CN"/>
        </w:rPr>
        <w:t>二次搬运）</w:t>
      </w:r>
      <w:r>
        <w:rPr>
          <w:rFonts w:hint="eastAsia"/>
          <w:szCs w:val="21"/>
          <w:lang w:val="zh-CN"/>
        </w:rPr>
        <w:t>、安装、调试。</w:t>
      </w:r>
    </w:p>
    <w:p w14:paraId="2B307D2F">
      <w:pPr>
        <w:numPr>
          <w:ilvl w:val="0"/>
          <w:numId w:val="7"/>
        </w:numPr>
        <w:spacing w:line="360" w:lineRule="auto"/>
        <w:rPr>
          <w:b/>
          <w:szCs w:val="21"/>
          <w:lang w:val="zh-CN"/>
        </w:rPr>
      </w:pPr>
      <w:r>
        <w:rPr>
          <w:rFonts w:hint="eastAsia"/>
          <w:b/>
          <w:szCs w:val="21"/>
          <w:lang w:val="zh-CN"/>
        </w:rPr>
        <w:t>消防系统</w:t>
      </w:r>
      <w:r>
        <w:rPr>
          <w:rFonts w:hint="eastAsia"/>
          <w:szCs w:val="21"/>
          <w:lang w:val="zh-CN"/>
        </w:rPr>
        <w:t>：本建设范围所有消防系统的改造</w:t>
      </w:r>
      <w:r>
        <w:rPr>
          <w:szCs w:val="21"/>
          <w:lang w:val="zh-CN"/>
        </w:rPr>
        <w:t>、</w:t>
      </w:r>
      <w:r>
        <w:rPr>
          <w:rFonts w:hint="eastAsia"/>
          <w:szCs w:val="21"/>
          <w:lang w:val="zh-CN"/>
        </w:rPr>
        <w:t>采购、运输（含</w:t>
      </w:r>
      <w:r>
        <w:rPr>
          <w:szCs w:val="21"/>
          <w:lang w:val="zh-CN"/>
        </w:rPr>
        <w:t>二次搬运）</w:t>
      </w:r>
      <w:r>
        <w:rPr>
          <w:rFonts w:hint="eastAsia"/>
          <w:szCs w:val="21"/>
          <w:lang w:val="zh-CN"/>
        </w:rPr>
        <w:t>、安装、调试。</w:t>
      </w:r>
    </w:p>
    <w:p w14:paraId="05F418D3">
      <w:pPr>
        <w:numPr>
          <w:ilvl w:val="0"/>
          <w:numId w:val="7"/>
        </w:numPr>
        <w:spacing w:line="360" w:lineRule="auto"/>
        <w:rPr>
          <w:szCs w:val="21"/>
          <w:lang w:val="zh-CN"/>
        </w:rPr>
      </w:pPr>
      <w:r>
        <w:rPr>
          <w:rFonts w:hint="eastAsia"/>
          <w:b/>
          <w:szCs w:val="21"/>
          <w:lang w:val="zh-CN"/>
        </w:rPr>
        <w:t>专用设施</w:t>
      </w:r>
      <w:r>
        <w:rPr>
          <w:rFonts w:hint="eastAsia"/>
          <w:szCs w:val="21"/>
          <w:lang w:val="zh-CN"/>
        </w:rPr>
        <w:t>：本建设范围所有营业厅专用设施的供货、运输（含</w:t>
      </w:r>
      <w:r>
        <w:rPr>
          <w:szCs w:val="21"/>
          <w:lang w:val="zh-CN"/>
        </w:rPr>
        <w:t>二次搬运）</w:t>
      </w:r>
      <w:r>
        <w:rPr>
          <w:rFonts w:hint="eastAsia"/>
          <w:szCs w:val="21"/>
          <w:lang w:val="zh-CN"/>
        </w:rPr>
        <w:t>、仓储及安装。</w:t>
      </w:r>
    </w:p>
    <w:p w14:paraId="42BC92E2">
      <w:pPr>
        <w:numPr>
          <w:ilvl w:val="0"/>
          <w:numId w:val="7"/>
        </w:numPr>
        <w:spacing w:line="360" w:lineRule="auto"/>
        <w:rPr>
          <w:b/>
          <w:szCs w:val="21"/>
          <w:lang w:val="zh-CN"/>
        </w:rPr>
      </w:pPr>
      <w:r>
        <w:rPr>
          <w:rFonts w:hint="eastAsia"/>
          <w:b/>
          <w:szCs w:val="21"/>
          <w:lang w:val="zh-CN"/>
        </w:rPr>
        <w:t>综合布线及通信系统：</w:t>
      </w:r>
      <w:r>
        <w:rPr>
          <w:rFonts w:hint="eastAsia"/>
          <w:szCs w:val="21"/>
          <w:lang w:val="zh-CN"/>
        </w:rPr>
        <w:t>本建设范围所有设备机柜及机柜电源、配线架、</w:t>
      </w:r>
      <w:r>
        <w:rPr>
          <w:szCs w:val="21"/>
          <w:lang w:val="zh-CN"/>
        </w:rPr>
        <w:t>综合布线</w:t>
      </w:r>
      <w:r>
        <w:rPr>
          <w:rFonts w:hint="eastAsia"/>
          <w:szCs w:val="21"/>
          <w:lang w:val="zh-CN"/>
        </w:rPr>
        <w:t>、</w:t>
      </w:r>
      <w:r>
        <w:rPr>
          <w:szCs w:val="21"/>
          <w:lang w:val="zh-CN"/>
        </w:rPr>
        <w:t>网络交换机</w:t>
      </w:r>
      <w:r>
        <w:rPr>
          <w:rFonts w:hint="eastAsia"/>
          <w:szCs w:val="21"/>
          <w:lang w:val="zh-CN"/>
        </w:rPr>
        <w:t>等设备材料的供货、运输（含</w:t>
      </w:r>
      <w:r>
        <w:rPr>
          <w:szCs w:val="21"/>
          <w:lang w:val="zh-CN"/>
        </w:rPr>
        <w:t>二次搬运）</w:t>
      </w:r>
      <w:r>
        <w:rPr>
          <w:rFonts w:hint="eastAsia"/>
          <w:szCs w:val="21"/>
          <w:lang w:val="zh-CN"/>
        </w:rPr>
        <w:t>、仓储及安装调试。本建设范围所有门禁系统设备以及配套的管线槽及配件等设备材料的供货、运输（含</w:t>
      </w:r>
      <w:r>
        <w:rPr>
          <w:szCs w:val="21"/>
          <w:lang w:val="zh-CN"/>
        </w:rPr>
        <w:t>二次搬运）</w:t>
      </w:r>
      <w:r>
        <w:rPr>
          <w:rFonts w:hint="eastAsia"/>
          <w:szCs w:val="21"/>
          <w:lang w:val="zh-CN"/>
        </w:rPr>
        <w:t>、仓储及安装调试；视频监控系统的安装调试配合。</w:t>
      </w:r>
    </w:p>
    <w:p w14:paraId="033DDE0F">
      <w:pPr>
        <w:numPr>
          <w:ilvl w:val="0"/>
          <w:numId w:val="7"/>
        </w:numPr>
        <w:spacing w:line="360" w:lineRule="auto"/>
        <w:rPr>
          <w:b/>
          <w:szCs w:val="21"/>
          <w:lang w:val="zh-CN"/>
        </w:rPr>
      </w:pPr>
      <w:r>
        <w:rPr>
          <w:rFonts w:hint="eastAsia"/>
          <w:b/>
          <w:szCs w:val="21"/>
          <w:lang w:val="zh-CN"/>
        </w:rPr>
        <w:t>空调及排风系统</w:t>
      </w:r>
      <w:r>
        <w:rPr>
          <w:rFonts w:hint="eastAsia"/>
          <w:szCs w:val="21"/>
          <w:lang w:val="zh-CN"/>
        </w:rPr>
        <w:t>：本建设范围所有空调、新排风</w:t>
      </w:r>
      <w:r>
        <w:rPr>
          <w:szCs w:val="21"/>
          <w:lang w:val="zh-CN"/>
        </w:rPr>
        <w:t>、</w:t>
      </w:r>
      <w:r>
        <w:rPr>
          <w:rFonts w:hint="eastAsia"/>
          <w:szCs w:val="21"/>
          <w:lang w:val="zh-CN"/>
        </w:rPr>
        <w:t>管路以及</w:t>
      </w:r>
      <w:r>
        <w:rPr>
          <w:szCs w:val="21"/>
          <w:lang w:val="zh-CN"/>
        </w:rPr>
        <w:t>相应的配套附件</w:t>
      </w:r>
      <w:r>
        <w:rPr>
          <w:rFonts w:hint="eastAsia"/>
          <w:szCs w:val="21"/>
          <w:lang w:val="zh-CN"/>
        </w:rPr>
        <w:t>等的改造</w:t>
      </w:r>
      <w:r>
        <w:rPr>
          <w:szCs w:val="21"/>
          <w:lang w:val="zh-CN"/>
        </w:rPr>
        <w:t>、</w:t>
      </w:r>
      <w:r>
        <w:rPr>
          <w:rFonts w:hint="eastAsia"/>
          <w:szCs w:val="21"/>
          <w:lang w:val="zh-CN"/>
        </w:rPr>
        <w:t>采购、运输（含</w:t>
      </w:r>
      <w:r>
        <w:rPr>
          <w:szCs w:val="21"/>
          <w:lang w:val="zh-CN"/>
        </w:rPr>
        <w:t>二次搬运）</w:t>
      </w:r>
      <w:r>
        <w:rPr>
          <w:rFonts w:hint="eastAsia"/>
          <w:szCs w:val="21"/>
          <w:lang w:val="zh-CN"/>
        </w:rPr>
        <w:t>、安装、调试。</w:t>
      </w:r>
    </w:p>
    <w:p w14:paraId="4260CB03">
      <w:pPr>
        <w:numPr>
          <w:ilvl w:val="0"/>
          <w:numId w:val="7"/>
        </w:numPr>
        <w:spacing w:line="360" w:lineRule="auto"/>
        <w:rPr>
          <w:szCs w:val="21"/>
          <w:lang w:val="zh-CN"/>
        </w:rPr>
      </w:pPr>
      <w:r>
        <w:rPr>
          <w:rFonts w:hint="eastAsia"/>
          <w:b/>
          <w:szCs w:val="21"/>
          <w:lang w:val="zh-CN"/>
        </w:rPr>
        <w:t>其他：</w:t>
      </w:r>
      <w:r>
        <w:rPr>
          <w:rFonts w:hint="eastAsia"/>
          <w:szCs w:val="21"/>
          <w:lang w:val="zh-CN"/>
        </w:rPr>
        <w:t>本建设范围所有营业厅广告展板、导视系统、空气检测治理等的设计、制作、运输（含</w:t>
      </w:r>
      <w:r>
        <w:rPr>
          <w:szCs w:val="21"/>
          <w:lang w:val="zh-CN"/>
        </w:rPr>
        <w:t>二次搬运）</w:t>
      </w:r>
      <w:r>
        <w:rPr>
          <w:rFonts w:hint="eastAsia"/>
          <w:szCs w:val="21"/>
          <w:lang w:val="zh-CN"/>
        </w:rPr>
        <w:t>、安装。</w:t>
      </w:r>
    </w:p>
    <w:p w14:paraId="0F47697B">
      <w:pPr>
        <w:numPr>
          <w:ilvl w:val="0"/>
          <w:numId w:val="7"/>
        </w:numPr>
        <w:spacing w:line="360" w:lineRule="auto"/>
        <w:rPr>
          <w:szCs w:val="21"/>
          <w:lang w:val="zh-CN"/>
        </w:rPr>
      </w:pPr>
      <w:r>
        <w:rPr>
          <w:rFonts w:hint="eastAsia"/>
          <w:szCs w:val="21"/>
          <w:lang w:val="zh-CN"/>
        </w:rPr>
        <w:t>投标人负责本期工程以上内容的实施，乙供设备材料的采购、仓储、运输（含</w:t>
      </w:r>
      <w:r>
        <w:rPr>
          <w:szCs w:val="21"/>
          <w:lang w:val="zh-CN"/>
        </w:rPr>
        <w:t>二次搬运）、</w:t>
      </w:r>
      <w:r>
        <w:rPr>
          <w:rFonts w:hint="eastAsia"/>
          <w:szCs w:val="21"/>
          <w:lang w:val="zh-CN"/>
        </w:rPr>
        <w:t>安装调试和验收测试。</w:t>
      </w:r>
      <w:r>
        <w:rPr>
          <w:szCs w:val="21"/>
          <w:lang w:val="zh-CN"/>
        </w:rPr>
        <w:t xml:space="preserve"> </w:t>
      </w:r>
    </w:p>
    <w:p w14:paraId="17548EB0">
      <w:pPr>
        <w:numPr>
          <w:ilvl w:val="0"/>
          <w:numId w:val="7"/>
        </w:numPr>
        <w:spacing w:line="360" w:lineRule="auto"/>
        <w:rPr>
          <w:szCs w:val="21"/>
          <w:lang w:val="zh-CN"/>
        </w:rPr>
      </w:pPr>
      <w:r>
        <w:rPr>
          <w:rFonts w:hint="eastAsia"/>
          <w:szCs w:val="21"/>
          <w:lang w:val="zh-CN"/>
        </w:rPr>
        <w:t>投标人负责与项目场地范围内其他相关专业（如系统</w:t>
      </w:r>
      <w:r>
        <w:rPr>
          <w:szCs w:val="21"/>
          <w:lang w:val="zh-CN"/>
        </w:rPr>
        <w:t>集成、</w:t>
      </w:r>
      <w:r>
        <w:rPr>
          <w:rFonts w:hint="eastAsia"/>
          <w:szCs w:val="21"/>
          <w:lang w:val="zh-CN"/>
        </w:rPr>
        <w:t>软件及工控系统等）施工单位进行工程配合。</w:t>
      </w:r>
    </w:p>
    <w:p w14:paraId="7866045E">
      <w:pPr>
        <w:spacing w:line="360" w:lineRule="auto"/>
        <w:outlineLvl w:val="1"/>
        <w:rPr>
          <w:b/>
          <w:szCs w:val="21"/>
        </w:rPr>
      </w:pPr>
      <w:bookmarkStart w:id="22" w:name="_Toc206145309"/>
      <w:bookmarkStart w:id="23" w:name="_Toc503643636"/>
      <w:r>
        <w:rPr>
          <w:rFonts w:hint="eastAsia"/>
          <w:b/>
          <w:szCs w:val="21"/>
        </w:rPr>
        <w:t>3.3 总体要求</w:t>
      </w:r>
      <w:bookmarkEnd w:id="22"/>
      <w:bookmarkEnd w:id="23"/>
    </w:p>
    <w:p w14:paraId="7002355C">
      <w:pPr>
        <w:numPr>
          <w:ilvl w:val="0"/>
          <w:numId w:val="8"/>
        </w:numPr>
        <w:spacing w:line="360" w:lineRule="auto"/>
        <w:ind w:left="0" w:firstLine="420" w:firstLineChars="200"/>
        <w:rPr>
          <w:szCs w:val="21"/>
          <w:lang w:val="zh-CN"/>
        </w:rPr>
      </w:pPr>
      <w:r>
        <w:rPr>
          <w:rFonts w:hint="eastAsia"/>
          <w:szCs w:val="21"/>
          <w:lang w:val="zh-CN"/>
        </w:rPr>
        <w:t>选用装潢材料，要以自然材质为主，并充分考虑环保因素，环保</w:t>
      </w:r>
      <w:r>
        <w:rPr>
          <w:szCs w:val="21"/>
          <w:lang w:val="zh-CN"/>
        </w:rPr>
        <w:t>控制要求见本技术规范书第</w:t>
      </w:r>
      <w:r>
        <w:rPr>
          <w:rFonts w:hint="eastAsia"/>
          <w:szCs w:val="21"/>
          <w:lang w:val="zh-CN"/>
        </w:rPr>
        <w:t>8章；</w:t>
      </w:r>
    </w:p>
    <w:p w14:paraId="7F9839FE">
      <w:pPr>
        <w:numPr>
          <w:ilvl w:val="0"/>
          <w:numId w:val="8"/>
        </w:numPr>
        <w:spacing w:line="360" w:lineRule="auto"/>
        <w:ind w:left="0" w:firstLine="420" w:firstLineChars="200"/>
        <w:rPr>
          <w:szCs w:val="21"/>
          <w:lang w:val="zh-CN"/>
        </w:rPr>
      </w:pPr>
      <w:r>
        <w:rPr>
          <w:rFonts w:hint="eastAsia"/>
          <w:szCs w:val="21"/>
          <w:lang w:val="zh-CN"/>
        </w:rPr>
        <w:t>施工规范化，必须严格遵循国家、行业以及企业相关标准规范和国际标准；</w:t>
      </w:r>
    </w:p>
    <w:p w14:paraId="44CCB587">
      <w:pPr>
        <w:numPr>
          <w:ilvl w:val="0"/>
          <w:numId w:val="8"/>
        </w:numPr>
        <w:spacing w:line="360" w:lineRule="auto"/>
        <w:ind w:left="0" w:firstLine="420" w:firstLineChars="200"/>
        <w:rPr>
          <w:szCs w:val="21"/>
          <w:lang w:val="zh-CN"/>
        </w:rPr>
      </w:pPr>
      <w:r>
        <w:rPr>
          <w:rFonts w:hint="eastAsia"/>
          <w:szCs w:val="21"/>
          <w:lang w:val="zh-CN"/>
        </w:rPr>
        <w:t>本项目所有线缆及材料均需达到国家相关防火规范要求；</w:t>
      </w:r>
    </w:p>
    <w:p w14:paraId="743E73AA">
      <w:pPr>
        <w:numPr>
          <w:ilvl w:val="0"/>
          <w:numId w:val="8"/>
        </w:numPr>
        <w:spacing w:line="360" w:lineRule="auto"/>
        <w:ind w:left="0" w:firstLine="420" w:firstLineChars="200"/>
        <w:rPr>
          <w:szCs w:val="21"/>
          <w:lang w:val="zh-CN"/>
        </w:rPr>
      </w:pPr>
      <w:r>
        <w:rPr>
          <w:rFonts w:hint="eastAsia"/>
          <w:szCs w:val="21"/>
          <w:lang w:val="zh-CN"/>
        </w:rPr>
        <w:t>投标人</w:t>
      </w:r>
      <w:r>
        <w:rPr>
          <w:szCs w:val="21"/>
          <w:lang w:val="zh-CN"/>
        </w:rPr>
        <w:t>应严格按照有关法律法规及本合同技术规范书的规定进行工程的施工和安装，保证工程达到合同所要求的各项性能指标</w:t>
      </w:r>
      <w:r>
        <w:rPr>
          <w:rFonts w:hint="eastAsia"/>
          <w:szCs w:val="21"/>
          <w:lang w:val="zh-CN"/>
        </w:rPr>
        <w:t>；</w:t>
      </w:r>
    </w:p>
    <w:p w14:paraId="067B7386">
      <w:pPr>
        <w:numPr>
          <w:ilvl w:val="0"/>
          <w:numId w:val="8"/>
        </w:numPr>
        <w:spacing w:line="360" w:lineRule="auto"/>
        <w:ind w:left="0" w:firstLine="420" w:firstLineChars="200"/>
        <w:rPr>
          <w:szCs w:val="21"/>
          <w:lang w:val="zh-CN"/>
        </w:rPr>
      </w:pPr>
      <w:r>
        <w:rPr>
          <w:rFonts w:hint="eastAsia"/>
          <w:szCs w:val="21"/>
          <w:lang w:val="zh-CN"/>
        </w:rPr>
        <w:t>投标人应在投标文件中详细列明本工程实施所需各项施工方案、主要施工方法和技术措施等，并附上施工工艺效果图，针对部分关键工序还应附上以往参与同类工程的施工现场照片；</w:t>
      </w:r>
    </w:p>
    <w:p w14:paraId="4858A9AF">
      <w:pPr>
        <w:numPr>
          <w:ilvl w:val="0"/>
          <w:numId w:val="8"/>
        </w:numPr>
        <w:spacing w:line="360" w:lineRule="auto"/>
        <w:ind w:left="0" w:firstLine="420" w:firstLineChars="200"/>
        <w:rPr>
          <w:szCs w:val="21"/>
          <w:lang w:val="zh-CN"/>
        </w:rPr>
      </w:pPr>
      <w:r>
        <w:rPr>
          <w:rFonts w:hint="eastAsia"/>
          <w:szCs w:val="21"/>
          <w:lang w:val="zh-CN"/>
        </w:rPr>
        <w:t>投标人</w:t>
      </w:r>
      <w:r>
        <w:rPr>
          <w:szCs w:val="21"/>
          <w:lang w:val="zh-CN"/>
        </w:rPr>
        <w:t>应负责施工过程中的全面质量管理，保证项目建设按照</w:t>
      </w:r>
      <w:r>
        <w:rPr>
          <w:rFonts w:hint="eastAsia"/>
          <w:szCs w:val="21"/>
          <w:lang w:val="zh-CN"/>
        </w:rPr>
        <w:t>国际、国家、行业和企业各项同类工程施工安装技术规范、标准和验收规范，以及</w:t>
      </w:r>
      <w:r>
        <w:rPr>
          <w:szCs w:val="21"/>
          <w:lang w:val="zh-CN"/>
        </w:rPr>
        <w:t>设备制造商提供</w:t>
      </w:r>
      <w:r>
        <w:rPr>
          <w:rFonts w:hint="eastAsia"/>
          <w:szCs w:val="21"/>
          <w:lang w:val="zh-CN"/>
        </w:rPr>
        <w:t>设备施工安装规范的要求进行，</w:t>
      </w:r>
      <w:r>
        <w:rPr>
          <w:szCs w:val="21"/>
          <w:lang w:val="zh-CN"/>
        </w:rPr>
        <w:t>使之满足设计</w:t>
      </w:r>
      <w:r>
        <w:rPr>
          <w:rFonts w:hint="eastAsia"/>
          <w:szCs w:val="21"/>
          <w:lang w:val="zh-CN"/>
        </w:rPr>
        <w:t>及使用</w:t>
      </w:r>
      <w:r>
        <w:rPr>
          <w:szCs w:val="21"/>
          <w:lang w:val="zh-CN"/>
        </w:rPr>
        <w:t>要求，并形成综合生产能力。</w:t>
      </w:r>
    </w:p>
    <w:p w14:paraId="5C992AC7">
      <w:pPr>
        <w:spacing w:line="360" w:lineRule="auto"/>
        <w:outlineLvl w:val="1"/>
        <w:rPr>
          <w:b/>
          <w:szCs w:val="21"/>
        </w:rPr>
      </w:pPr>
      <w:bookmarkStart w:id="24" w:name="_Toc503643638"/>
      <w:bookmarkStart w:id="25" w:name="_Toc206145310"/>
      <w:r>
        <w:rPr>
          <w:rFonts w:hint="eastAsia"/>
          <w:b/>
          <w:szCs w:val="21"/>
        </w:rPr>
        <w:t>3.</w:t>
      </w:r>
      <w:r>
        <w:rPr>
          <w:b/>
          <w:szCs w:val="21"/>
        </w:rPr>
        <w:t>4</w:t>
      </w:r>
      <w:r>
        <w:rPr>
          <w:rFonts w:hint="eastAsia"/>
          <w:b/>
          <w:szCs w:val="21"/>
        </w:rPr>
        <w:t xml:space="preserve"> 拆除工程</w:t>
      </w:r>
      <w:bookmarkEnd w:id="24"/>
      <w:bookmarkEnd w:id="25"/>
    </w:p>
    <w:p w14:paraId="4ACADC93">
      <w:pPr>
        <w:spacing w:line="360" w:lineRule="auto"/>
        <w:ind w:firstLine="420" w:firstLineChars="200"/>
        <w:rPr>
          <w:szCs w:val="21"/>
        </w:rPr>
      </w:pPr>
      <w:r>
        <w:rPr>
          <w:szCs w:val="21"/>
        </w:rPr>
        <w:t>对</w:t>
      </w:r>
      <w:r>
        <w:rPr>
          <w:rFonts w:hint="eastAsia"/>
          <w:szCs w:val="21"/>
        </w:rPr>
        <w:t>本建设范围内功能用房的天面、墙面、地面、隔断、门窗、设备、管线进行拆除，满足二次装修的场地条件，拆除过程中需保证可利旧设备及材料的完整性及可用性，并妥善保管。</w:t>
      </w:r>
    </w:p>
    <w:p w14:paraId="69996245">
      <w:pPr>
        <w:spacing w:line="360" w:lineRule="auto"/>
        <w:outlineLvl w:val="1"/>
        <w:rPr>
          <w:b/>
          <w:szCs w:val="21"/>
        </w:rPr>
      </w:pPr>
      <w:bookmarkStart w:id="26" w:name="_Toc206145311"/>
      <w:bookmarkStart w:id="27" w:name="_Toc446681829"/>
      <w:r>
        <w:rPr>
          <w:rFonts w:hint="eastAsia"/>
          <w:b/>
          <w:szCs w:val="21"/>
        </w:rPr>
        <w:t>3.</w:t>
      </w:r>
      <w:r>
        <w:rPr>
          <w:b/>
          <w:szCs w:val="21"/>
        </w:rPr>
        <w:t>5</w:t>
      </w:r>
      <w:r>
        <w:rPr>
          <w:rFonts w:hint="eastAsia"/>
          <w:b/>
          <w:szCs w:val="21"/>
        </w:rPr>
        <w:t xml:space="preserve"> 装饰</w:t>
      </w:r>
      <w:r>
        <w:rPr>
          <w:b/>
          <w:szCs w:val="21"/>
        </w:rPr>
        <w:t>装修</w:t>
      </w:r>
      <w:r>
        <w:rPr>
          <w:rFonts w:hint="eastAsia"/>
          <w:b/>
          <w:szCs w:val="21"/>
        </w:rPr>
        <w:t>工程</w:t>
      </w:r>
      <w:bookmarkEnd w:id="26"/>
      <w:bookmarkEnd w:id="27"/>
    </w:p>
    <w:p w14:paraId="4221DACE">
      <w:pPr>
        <w:spacing w:line="360" w:lineRule="auto"/>
        <w:ind w:firstLine="420" w:firstLineChars="200"/>
        <w:rPr>
          <w:szCs w:val="21"/>
        </w:rPr>
      </w:pPr>
      <w:r>
        <w:rPr>
          <w:rFonts w:hint="eastAsia"/>
          <w:szCs w:val="21"/>
        </w:rPr>
        <w:t>本次营业厅装修应选择优质装修材料，装修材料宜选用外观效果好、不易变形、变色、易清洁、防火性能好，且高度耐用的材料。</w:t>
      </w:r>
    </w:p>
    <w:p w14:paraId="042CE8E8">
      <w:pPr>
        <w:spacing w:line="360" w:lineRule="auto"/>
        <w:jc w:val="left"/>
        <w:outlineLvl w:val="2"/>
        <w:rPr>
          <w:b/>
        </w:rPr>
      </w:pPr>
      <w:bookmarkStart w:id="28" w:name="_Toc206145312"/>
      <w:bookmarkStart w:id="29" w:name="_Toc446681830"/>
      <w:r>
        <w:rPr>
          <w:rFonts w:hint="eastAsia"/>
          <w:b/>
        </w:rPr>
        <w:t>3.</w:t>
      </w:r>
      <w:r>
        <w:rPr>
          <w:b/>
        </w:rPr>
        <w:t>5</w:t>
      </w:r>
      <w:r>
        <w:rPr>
          <w:rFonts w:hint="eastAsia"/>
          <w:b/>
        </w:rPr>
        <w:t>.1</w:t>
      </w:r>
      <w:r>
        <w:rPr>
          <w:b/>
        </w:rPr>
        <w:t>装修原则</w:t>
      </w:r>
      <w:bookmarkEnd w:id="28"/>
      <w:bookmarkEnd w:id="29"/>
    </w:p>
    <w:p w14:paraId="2E95C177">
      <w:pPr>
        <w:pStyle w:val="70"/>
        <w:numPr>
          <w:ilvl w:val="0"/>
          <w:numId w:val="9"/>
        </w:numPr>
        <w:ind w:left="0" w:firstLine="567" w:firstLineChars="0"/>
        <w:rPr>
          <w:rFonts w:ascii="Times New Roman" w:hAnsi="Times New Roman"/>
          <w:color w:val="000000"/>
          <w:sz w:val="21"/>
          <w:szCs w:val="21"/>
        </w:rPr>
      </w:pPr>
      <w:r>
        <w:rPr>
          <w:rFonts w:ascii="Times New Roman" w:hAnsi="Times New Roman"/>
          <w:color w:val="000000"/>
          <w:sz w:val="21"/>
          <w:szCs w:val="21"/>
        </w:rPr>
        <w:t>在充分考虑安全性、可靠性、先进性的前提下，室内装潢基本格调要</w:t>
      </w:r>
      <w:r>
        <w:rPr>
          <w:rFonts w:hint="eastAsia" w:ascii="Times New Roman" w:hAnsi="Times New Roman"/>
          <w:color w:val="000000"/>
          <w:sz w:val="21"/>
          <w:szCs w:val="21"/>
        </w:rPr>
        <w:t>严格遵守本招标文件提供的效果要求，装修成果要能够基本吻合效果图设计和设计方案的创意与立意。</w:t>
      </w:r>
    </w:p>
    <w:p w14:paraId="49DAC832">
      <w:pPr>
        <w:pStyle w:val="70"/>
        <w:numPr>
          <w:ilvl w:val="0"/>
          <w:numId w:val="9"/>
        </w:numPr>
        <w:ind w:left="0" w:firstLine="567" w:firstLineChars="0"/>
        <w:rPr>
          <w:rFonts w:ascii="Times New Roman" w:hAnsi="Times New Roman"/>
          <w:color w:val="000000"/>
          <w:sz w:val="21"/>
          <w:szCs w:val="21"/>
        </w:rPr>
      </w:pPr>
      <w:r>
        <w:rPr>
          <w:rFonts w:ascii="Times New Roman" w:hAnsi="Times New Roman"/>
          <w:color w:val="000000"/>
          <w:sz w:val="21"/>
          <w:szCs w:val="21"/>
        </w:rPr>
        <w:t>要以绿色环保材质为主，并充分考虑环保因素，有利于工作人员的自身健康。</w:t>
      </w:r>
    </w:p>
    <w:p w14:paraId="54CA9FAB">
      <w:pPr>
        <w:pStyle w:val="70"/>
        <w:numPr>
          <w:ilvl w:val="0"/>
          <w:numId w:val="9"/>
        </w:numPr>
        <w:ind w:left="0" w:firstLine="567" w:firstLineChars="0"/>
        <w:rPr>
          <w:rFonts w:ascii="Times New Roman" w:hAnsi="Times New Roman"/>
          <w:color w:val="000000"/>
          <w:sz w:val="21"/>
          <w:szCs w:val="21"/>
        </w:rPr>
      </w:pPr>
      <w:r>
        <w:rPr>
          <w:rFonts w:ascii="Times New Roman" w:hAnsi="Times New Roman"/>
          <w:color w:val="000000"/>
          <w:sz w:val="21"/>
          <w:szCs w:val="21"/>
        </w:rPr>
        <w:t>材料运用简洁、大方、耐磨，环保的现代材料，在照明采光上使用全局照明，能满足各个区域的需求，经过精心设计，在满足各个区域需要的同时，又简洁，大方，美观，能充分体现出形象与现代感。</w:t>
      </w:r>
    </w:p>
    <w:p w14:paraId="71F2974A">
      <w:pPr>
        <w:pStyle w:val="70"/>
        <w:numPr>
          <w:ilvl w:val="0"/>
          <w:numId w:val="9"/>
        </w:numPr>
        <w:ind w:left="0" w:firstLine="567" w:firstLineChars="0"/>
        <w:rPr>
          <w:rFonts w:ascii="Times New Roman" w:hAnsi="Times New Roman"/>
          <w:color w:val="000000"/>
          <w:sz w:val="21"/>
          <w:szCs w:val="21"/>
        </w:rPr>
      </w:pPr>
      <w:r>
        <w:rPr>
          <w:rFonts w:ascii="Times New Roman" w:hAnsi="Times New Roman"/>
          <w:color w:val="000000"/>
          <w:sz w:val="21"/>
          <w:szCs w:val="21"/>
        </w:rPr>
        <w:t>规范化，必须严格遵循国家的规范和国际标准。</w:t>
      </w:r>
    </w:p>
    <w:p w14:paraId="4EF13447">
      <w:pPr>
        <w:spacing w:line="360" w:lineRule="auto"/>
        <w:outlineLvl w:val="1"/>
        <w:rPr>
          <w:b/>
          <w:szCs w:val="21"/>
        </w:rPr>
      </w:pPr>
      <w:bookmarkStart w:id="30" w:name="_Toc376987459"/>
      <w:bookmarkEnd w:id="30"/>
      <w:bookmarkStart w:id="31" w:name="_Toc324537111"/>
      <w:bookmarkEnd w:id="31"/>
      <w:bookmarkStart w:id="32" w:name="_Toc376991973"/>
      <w:bookmarkEnd w:id="32"/>
      <w:bookmarkStart w:id="33" w:name="_Toc374913133"/>
      <w:bookmarkEnd w:id="33"/>
      <w:bookmarkStart w:id="34" w:name="_Toc324537117"/>
      <w:bookmarkEnd w:id="34"/>
      <w:bookmarkStart w:id="35" w:name="_Toc324537112"/>
      <w:bookmarkEnd w:id="35"/>
      <w:bookmarkStart w:id="36" w:name="_Toc324537109"/>
      <w:bookmarkEnd w:id="36"/>
      <w:bookmarkStart w:id="37" w:name="_Toc376991977"/>
      <w:bookmarkEnd w:id="37"/>
      <w:bookmarkStart w:id="38" w:name="_Toc376990704"/>
      <w:bookmarkEnd w:id="38"/>
      <w:bookmarkStart w:id="39" w:name="_Toc374913134"/>
      <w:bookmarkEnd w:id="39"/>
      <w:bookmarkStart w:id="40" w:name="_Toc324537108"/>
      <w:bookmarkEnd w:id="40"/>
      <w:bookmarkStart w:id="41" w:name="_Toc376989083"/>
      <w:bookmarkEnd w:id="41"/>
      <w:bookmarkStart w:id="42" w:name="_Toc375036923"/>
      <w:bookmarkEnd w:id="42"/>
      <w:bookmarkStart w:id="43" w:name="_Toc375036919"/>
      <w:bookmarkEnd w:id="43"/>
      <w:bookmarkStart w:id="44" w:name="_Toc324537113"/>
      <w:bookmarkEnd w:id="44"/>
      <w:bookmarkStart w:id="45" w:name="_Toc376989082"/>
      <w:bookmarkEnd w:id="45"/>
      <w:bookmarkStart w:id="46" w:name="_Toc376991975"/>
      <w:bookmarkEnd w:id="46"/>
      <w:bookmarkStart w:id="47" w:name="_Toc376990707"/>
      <w:bookmarkEnd w:id="47"/>
      <w:bookmarkStart w:id="48" w:name="_Toc375036922"/>
      <w:bookmarkEnd w:id="48"/>
      <w:bookmarkStart w:id="49" w:name="_Toc324537116"/>
      <w:bookmarkEnd w:id="49"/>
      <w:bookmarkStart w:id="50" w:name="_Toc324537110"/>
      <w:bookmarkEnd w:id="50"/>
      <w:bookmarkStart w:id="51" w:name="_Toc376990706"/>
      <w:bookmarkEnd w:id="51"/>
      <w:bookmarkStart w:id="52" w:name="_Toc376989084"/>
      <w:bookmarkEnd w:id="52"/>
      <w:bookmarkStart w:id="53" w:name="_Toc376990708"/>
      <w:bookmarkEnd w:id="53"/>
      <w:bookmarkStart w:id="54" w:name="_Toc376989080"/>
      <w:bookmarkEnd w:id="54"/>
      <w:bookmarkStart w:id="55" w:name="_Toc376987458"/>
      <w:bookmarkEnd w:id="55"/>
      <w:bookmarkStart w:id="56" w:name="_Toc376987457"/>
      <w:bookmarkEnd w:id="56"/>
      <w:bookmarkStart w:id="57" w:name="_Toc376987455"/>
      <w:bookmarkEnd w:id="57"/>
      <w:bookmarkStart w:id="58" w:name="_Toc375036921"/>
      <w:bookmarkEnd w:id="58"/>
      <w:bookmarkStart w:id="59" w:name="_Toc376991976"/>
      <w:bookmarkEnd w:id="59"/>
      <w:bookmarkStart w:id="60" w:name="_Toc374913130"/>
      <w:bookmarkEnd w:id="60"/>
      <w:bookmarkStart w:id="61" w:name="_Toc374913132"/>
      <w:bookmarkEnd w:id="61"/>
      <w:bookmarkStart w:id="62" w:name="_Toc324537115"/>
      <w:bookmarkEnd w:id="62"/>
      <w:bookmarkStart w:id="63" w:name="_Toc324537114"/>
      <w:bookmarkEnd w:id="63"/>
      <w:bookmarkStart w:id="64" w:name="_Toc206145313"/>
      <w:r>
        <w:rPr>
          <w:rFonts w:hint="eastAsia"/>
          <w:b/>
          <w:szCs w:val="21"/>
        </w:rPr>
        <w:t>3.</w:t>
      </w:r>
      <w:r>
        <w:rPr>
          <w:b/>
          <w:szCs w:val="21"/>
        </w:rPr>
        <w:t>6</w:t>
      </w:r>
      <w:r>
        <w:rPr>
          <w:rFonts w:hint="eastAsia"/>
          <w:b/>
          <w:szCs w:val="21"/>
        </w:rPr>
        <w:t xml:space="preserve"> 供配电系统</w:t>
      </w:r>
      <w:bookmarkEnd w:id="64"/>
    </w:p>
    <w:p w14:paraId="3AB542F4">
      <w:pPr>
        <w:pStyle w:val="66"/>
        <w:numPr>
          <w:ilvl w:val="0"/>
          <w:numId w:val="10"/>
        </w:numPr>
        <w:ind w:left="-2" w:leftChars="-1" w:firstLine="371" w:firstLineChars="177"/>
        <w:rPr>
          <w:sz w:val="21"/>
          <w:szCs w:val="21"/>
        </w:rPr>
      </w:pPr>
      <w:r>
        <w:rPr>
          <w:rFonts w:hint="eastAsia"/>
          <w:sz w:val="21"/>
          <w:szCs w:val="21"/>
        </w:rPr>
        <w:t>低压配电电缆线路</w:t>
      </w:r>
    </w:p>
    <w:p w14:paraId="76981082">
      <w:pPr>
        <w:pStyle w:val="66"/>
        <w:numPr>
          <w:ilvl w:val="0"/>
          <w:numId w:val="11"/>
        </w:numPr>
        <w:ind w:firstLine="420"/>
        <w:rPr>
          <w:sz w:val="21"/>
          <w:szCs w:val="21"/>
        </w:rPr>
      </w:pPr>
      <w:r>
        <w:rPr>
          <w:rFonts w:hint="eastAsia"/>
          <w:sz w:val="21"/>
          <w:szCs w:val="21"/>
        </w:rPr>
        <w:t>线路及安装须符合</w:t>
      </w:r>
      <w:r>
        <w:rPr>
          <w:sz w:val="21"/>
          <w:szCs w:val="21"/>
        </w:rPr>
        <w:t>GB50217</w:t>
      </w:r>
      <w:r>
        <w:rPr>
          <w:rFonts w:hint="eastAsia"/>
          <w:sz w:val="21"/>
          <w:szCs w:val="21"/>
        </w:rPr>
        <w:t>及</w:t>
      </w:r>
      <w:r>
        <w:rPr>
          <w:sz w:val="21"/>
          <w:szCs w:val="21"/>
        </w:rPr>
        <w:t>BS7671</w:t>
      </w:r>
      <w:r>
        <w:rPr>
          <w:rFonts w:hint="eastAsia"/>
          <w:sz w:val="21"/>
          <w:szCs w:val="21"/>
        </w:rPr>
        <w:t>之有关规范的要求。</w:t>
      </w:r>
    </w:p>
    <w:p w14:paraId="6447B07B">
      <w:pPr>
        <w:pStyle w:val="66"/>
        <w:numPr>
          <w:ilvl w:val="0"/>
          <w:numId w:val="11"/>
        </w:numPr>
        <w:ind w:firstLine="420"/>
        <w:rPr>
          <w:sz w:val="21"/>
          <w:szCs w:val="21"/>
        </w:rPr>
      </w:pPr>
      <w:r>
        <w:rPr>
          <w:rFonts w:hint="eastAsia"/>
          <w:sz w:val="21"/>
          <w:szCs w:val="21"/>
        </w:rPr>
        <w:t>所有电缆须得到</w:t>
      </w:r>
      <w:r>
        <w:rPr>
          <w:sz w:val="21"/>
          <w:szCs w:val="21"/>
        </w:rPr>
        <w:t>BASEC</w:t>
      </w:r>
      <w:r>
        <w:rPr>
          <w:rFonts w:hint="eastAsia"/>
          <w:sz w:val="21"/>
          <w:szCs w:val="21"/>
        </w:rPr>
        <w:t>保证。</w:t>
      </w:r>
    </w:p>
    <w:p w14:paraId="1F5D83CC">
      <w:pPr>
        <w:pStyle w:val="66"/>
        <w:numPr>
          <w:ilvl w:val="0"/>
          <w:numId w:val="11"/>
        </w:numPr>
        <w:ind w:firstLine="420"/>
        <w:rPr>
          <w:sz w:val="21"/>
          <w:szCs w:val="21"/>
        </w:rPr>
      </w:pPr>
      <w:r>
        <w:rPr>
          <w:rFonts w:hint="eastAsia"/>
          <w:sz w:val="21"/>
          <w:szCs w:val="21"/>
        </w:rPr>
        <w:t>所有电缆安装须根据厂商建议。</w:t>
      </w:r>
    </w:p>
    <w:p w14:paraId="72F7ED17">
      <w:pPr>
        <w:pStyle w:val="66"/>
        <w:numPr>
          <w:ilvl w:val="0"/>
          <w:numId w:val="11"/>
        </w:numPr>
        <w:ind w:firstLine="420"/>
        <w:rPr>
          <w:sz w:val="21"/>
          <w:szCs w:val="21"/>
        </w:rPr>
      </w:pPr>
      <w:r>
        <w:rPr>
          <w:rFonts w:hint="eastAsia"/>
          <w:sz w:val="21"/>
          <w:szCs w:val="21"/>
        </w:rPr>
        <w:t>由线盘引出的电缆不可长期放在地上，须在布线电缆桥上。</w:t>
      </w:r>
    </w:p>
    <w:p w14:paraId="7C680EE4">
      <w:pPr>
        <w:pStyle w:val="66"/>
        <w:numPr>
          <w:ilvl w:val="0"/>
          <w:numId w:val="11"/>
        </w:numPr>
        <w:ind w:firstLine="420"/>
        <w:rPr>
          <w:sz w:val="21"/>
          <w:szCs w:val="21"/>
        </w:rPr>
      </w:pPr>
      <w:r>
        <w:rPr>
          <w:rFonts w:hint="eastAsia"/>
          <w:sz w:val="21"/>
          <w:szCs w:val="21"/>
        </w:rPr>
        <w:t>电缆的可转曲的弯度不可多于厂商建议。</w:t>
      </w:r>
    </w:p>
    <w:p w14:paraId="53C10593">
      <w:pPr>
        <w:pStyle w:val="66"/>
        <w:numPr>
          <w:ilvl w:val="0"/>
          <w:numId w:val="11"/>
        </w:numPr>
        <w:ind w:firstLine="420"/>
        <w:rPr>
          <w:sz w:val="21"/>
          <w:szCs w:val="21"/>
        </w:rPr>
      </w:pPr>
      <w:r>
        <w:rPr>
          <w:rFonts w:hint="eastAsia"/>
          <w:sz w:val="21"/>
          <w:szCs w:val="21"/>
        </w:rPr>
        <w:t>图样上电缆长度只作参考，实际长度须由投标者提供。</w:t>
      </w:r>
    </w:p>
    <w:p w14:paraId="1DA28C73">
      <w:pPr>
        <w:pStyle w:val="66"/>
        <w:numPr>
          <w:ilvl w:val="0"/>
          <w:numId w:val="11"/>
        </w:numPr>
        <w:ind w:firstLine="420"/>
        <w:rPr>
          <w:sz w:val="21"/>
          <w:szCs w:val="21"/>
        </w:rPr>
      </w:pPr>
      <w:r>
        <w:rPr>
          <w:rFonts w:hint="eastAsia"/>
          <w:sz w:val="21"/>
          <w:szCs w:val="21"/>
        </w:rPr>
        <w:t>如特别声明外，否则所有地下电缆须安装于保护管内。</w:t>
      </w:r>
    </w:p>
    <w:p w14:paraId="55CC70CF">
      <w:pPr>
        <w:pStyle w:val="66"/>
        <w:numPr>
          <w:ilvl w:val="0"/>
          <w:numId w:val="11"/>
        </w:numPr>
        <w:ind w:firstLine="420"/>
        <w:rPr>
          <w:sz w:val="21"/>
          <w:szCs w:val="21"/>
        </w:rPr>
      </w:pPr>
      <w:r>
        <w:rPr>
          <w:rFonts w:hint="eastAsia"/>
          <w:sz w:val="21"/>
          <w:szCs w:val="21"/>
        </w:rPr>
        <w:t>若电缆安装于危险场所须符合</w:t>
      </w:r>
      <w:r>
        <w:rPr>
          <w:sz w:val="21"/>
          <w:szCs w:val="21"/>
        </w:rPr>
        <w:t>BS4066</w:t>
      </w:r>
      <w:r>
        <w:rPr>
          <w:rFonts w:hint="eastAsia"/>
          <w:sz w:val="21"/>
          <w:szCs w:val="21"/>
        </w:rPr>
        <w:t>及</w:t>
      </w:r>
      <w:r>
        <w:rPr>
          <w:sz w:val="21"/>
          <w:szCs w:val="21"/>
        </w:rPr>
        <w:t>IEC332</w:t>
      </w:r>
      <w:r>
        <w:rPr>
          <w:rFonts w:hint="eastAsia"/>
          <w:sz w:val="21"/>
          <w:szCs w:val="21"/>
        </w:rPr>
        <w:t>测试要求或国家规范要求。</w:t>
      </w:r>
    </w:p>
    <w:p w14:paraId="3943479C">
      <w:pPr>
        <w:pStyle w:val="66"/>
        <w:numPr>
          <w:ilvl w:val="0"/>
          <w:numId w:val="10"/>
        </w:numPr>
        <w:ind w:left="-2" w:leftChars="-1" w:firstLine="371" w:firstLineChars="177"/>
        <w:rPr>
          <w:sz w:val="21"/>
          <w:szCs w:val="21"/>
        </w:rPr>
      </w:pPr>
      <w:bookmarkStart w:id="65" w:name="_Toc255482814"/>
      <w:r>
        <w:rPr>
          <w:rFonts w:hint="eastAsia"/>
          <w:sz w:val="21"/>
          <w:szCs w:val="21"/>
        </w:rPr>
        <w:t>电缆及电线之安装</w:t>
      </w:r>
      <w:bookmarkEnd w:id="65"/>
    </w:p>
    <w:p w14:paraId="06228EDC">
      <w:pPr>
        <w:pStyle w:val="66"/>
        <w:numPr>
          <w:ilvl w:val="0"/>
          <w:numId w:val="12"/>
        </w:numPr>
        <w:ind w:firstLine="420"/>
        <w:rPr>
          <w:sz w:val="21"/>
          <w:szCs w:val="21"/>
        </w:rPr>
      </w:pPr>
      <w:r>
        <w:rPr>
          <w:rFonts w:hint="eastAsia"/>
          <w:sz w:val="21"/>
          <w:szCs w:val="21"/>
        </w:rPr>
        <w:t>电缆及电线安装须符合</w:t>
      </w:r>
      <w:r>
        <w:rPr>
          <w:sz w:val="21"/>
          <w:szCs w:val="21"/>
        </w:rPr>
        <w:t>GB50217-94</w:t>
      </w:r>
      <w:r>
        <w:rPr>
          <w:rFonts w:hint="eastAsia"/>
          <w:sz w:val="21"/>
          <w:szCs w:val="21"/>
        </w:rPr>
        <w:t>及</w:t>
      </w:r>
      <w:r>
        <w:rPr>
          <w:sz w:val="21"/>
          <w:szCs w:val="21"/>
        </w:rPr>
        <w:t>IEE</w:t>
      </w:r>
      <w:r>
        <w:rPr>
          <w:rFonts w:hint="eastAsia"/>
          <w:sz w:val="21"/>
          <w:szCs w:val="21"/>
        </w:rPr>
        <w:t>E电气装置规例之有关规范。</w:t>
      </w:r>
    </w:p>
    <w:p w14:paraId="01CFB1E3">
      <w:pPr>
        <w:pStyle w:val="66"/>
        <w:numPr>
          <w:ilvl w:val="0"/>
          <w:numId w:val="12"/>
        </w:numPr>
        <w:ind w:firstLine="420"/>
        <w:rPr>
          <w:sz w:val="21"/>
          <w:szCs w:val="21"/>
        </w:rPr>
      </w:pPr>
      <w:r>
        <w:rPr>
          <w:rFonts w:hint="eastAsia"/>
          <w:sz w:val="21"/>
          <w:szCs w:val="21"/>
        </w:rPr>
        <w:t>按下列规定提供完整的低压电缆线路系统。</w:t>
      </w:r>
    </w:p>
    <w:p w14:paraId="156F37A9">
      <w:pPr>
        <w:pStyle w:val="66"/>
        <w:numPr>
          <w:ilvl w:val="0"/>
          <w:numId w:val="12"/>
        </w:numPr>
        <w:ind w:firstLine="420"/>
        <w:rPr>
          <w:sz w:val="21"/>
          <w:szCs w:val="21"/>
        </w:rPr>
      </w:pPr>
      <w:r>
        <w:rPr>
          <w:rFonts w:hint="eastAsia"/>
          <w:sz w:val="21"/>
          <w:szCs w:val="21"/>
        </w:rPr>
        <w:t>电缆安装须接照</w:t>
      </w:r>
      <w:r>
        <w:rPr>
          <w:sz w:val="21"/>
          <w:szCs w:val="21"/>
        </w:rPr>
        <w:t>JGJ/T16-92</w:t>
      </w:r>
      <w:r>
        <w:rPr>
          <w:rFonts w:hint="eastAsia"/>
          <w:sz w:val="21"/>
          <w:szCs w:val="21"/>
        </w:rPr>
        <w:t>布线程安装，电缆弯曲内径须符合</w:t>
      </w:r>
      <w:r>
        <w:rPr>
          <w:sz w:val="21"/>
          <w:szCs w:val="21"/>
        </w:rPr>
        <w:t>IEE</w:t>
      </w:r>
      <w:r>
        <w:rPr>
          <w:rFonts w:hint="eastAsia"/>
          <w:sz w:val="21"/>
          <w:szCs w:val="21"/>
        </w:rPr>
        <w:t>电气装置规例要求。</w:t>
      </w:r>
    </w:p>
    <w:p w14:paraId="293A74F0">
      <w:pPr>
        <w:pStyle w:val="66"/>
        <w:numPr>
          <w:ilvl w:val="0"/>
          <w:numId w:val="12"/>
        </w:numPr>
        <w:ind w:firstLine="420"/>
        <w:rPr>
          <w:sz w:val="21"/>
          <w:szCs w:val="21"/>
        </w:rPr>
      </w:pPr>
      <w:r>
        <w:rPr>
          <w:rFonts w:hint="eastAsia"/>
          <w:sz w:val="21"/>
          <w:szCs w:val="21"/>
        </w:rPr>
        <w:t>电缆须成盘运输。电缆两端保持密封。当电缆自电缆盘上切下后须立即按批准的方式将两端予以密封以避免潮气浸入。</w:t>
      </w:r>
    </w:p>
    <w:p w14:paraId="6FF767BF">
      <w:pPr>
        <w:pStyle w:val="66"/>
        <w:numPr>
          <w:ilvl w:val="0"/>
          <w:numId w:val="12"/>
        </w:numPr>
        <w:ind w:firstLine="420"/>
        <w:rPr>
          <w:sz w:val="21"/>
          <w:szCs w:val="21"/>
        </w:rPr>
      </w:pPr>
      <w:r>
        <w:rPr>
          <w:rFonts w:hint="eastAsia"/>
          <w:sz w:val="21"/>
          <w:szCs w:val="21"/>
        </w:rPr>
        <w:t>沿图及批准之施工图上所示的电缆路径安装电缆。</w:t>
      </w:r>
    </w:p>
    <w:p w14:paraId="4F488A8E">
      <w:pPr>
        <w:pStyle w:val="66"/>
        <w:numPr>
          <w:ilvl w:val="0"/>
          <w:numId w:val="12"/>
        </w:numPr>
        <w:ind w:firstLine="420"/>
        <w:rPr>
          <w:sz w:val="21"/>
          <w:szCs w:val="21"/>
        </w:rPr>
      </w:pPr>
      <w:r>
        <w:rPr>
          <w:rFonts w:hint="eastAsia"/>
          <w:sz w:val="21"/>
          <w:szCs w:val="21"/>
        </w:rPr>
        <w:t>电缆须加以保护免遭受在正常工作条件下可能的机械损伤。</w:t>
      </w:r>
    </w:p>
    <w:p w14:paraId="2F8A0FE9">
      <w:pPr>
        <w:pStyle w:val="66"/>
        <w:numPr>
          <w:ilvl w:val="0"/>
          <w:numId w:val="12"/>
        </w:numPr>
        <w:ind w:firstLine="420"/>
        <w:rPr>
          <w:sz w:val="21"/>
          <w:szCs w:val="21"/>
        </w:rPr>
      </w:pPr>
      <w:r>
        <w:rPr>
          <w:rFonts w:hint="eastAsia"/>
          <w:sz w:val="21"/>
          <w:szCs w:val="21"/>
        </w:rPr>
        <w:t>电缆除敷设于电缆管中或电线管中外，均必须敷设于水平和垂直的电缆托盘或梯架上，并按规定方式予以牢固。在水平方向以尼龙带扣将电缆束牢。在垂直方向敷设的电缆上以批准的电缆夹或鞍型夹固定。电缆固定点的间距须按</w:t>
      </w:r>
      <w:r>
        <w:rPr>
          <w:sz w:val="21"/>
          <w:szCs w:val="21"/>
        </w:rPr>
        <w:t>IEE</w:t>
      </w:r>
      <w:r>
        <w:rPr>
          <w:rFonts w:hint="eastAsia"/>
          <w:sz w:val="21"/>
          <w:szCs w:val="21"/>
        </w:rPr>
        <w:t>E和</w:t>
      </w:r>
      <w:r>
        <w:rPr>
          <w:sz w:val="21"/>
          <w:szCs w:val="21"/>
        </w:rPr>
        <w:t>JGJ/T16-92</w:t>
      </w:r>
      <w:r>
        <w:rPr>
          <w:rFonts w:hint="eastAsia"/>
          <w:sz w:val="21"/>
          <w:szCs w:val="21"/>
        </w:rPr>
        <w:t>布线规程的规定。</w:t>
      </w:r>
    </w:p>
    <w:p w14:paraId="7B2ADC14">
      <w:pPr>
        <w:pStyle w:val="66"/>
        <w:numPr>
          <w:ilvl w:val="0"/>
          <w:numId w:val="12"/>
        </w:numPr>
        <w:ind w:firstLine="420"/>
        <w:rPr>
          <w:sz w:val="21"/>
          <w:szCs w:val="21"/>
        </w:rPr>
      </w:pPr>
      <w:r>
        <w:rPr>
          <w:rFonts w:hint="eastAsia"/>
          <w:sz w:val="21"/>
          <w:szCs w:val="21"/>
        </w:rPr>
        <w:t>电缆穿过楼板和墙壁处须以批准之防火材料将电缆孔封闭，以保持与所穿过的楼板和墙壁相同的耐火等级。</w:t>
      </w:r>
    </w:p>
    <w:p w14:paraId="79366E91">
      <w:pPr>
        <w:pStyle w:val="66"/>
        <w:numPr>
          <w:ilvl w:val="0"/>
          <w:numId w:val="12"/>
        </w:numPr>
        <w:ind w:firstLine="420"/>
        <w:rPr>
          <w:sz w:val="21"/>
          <w:szCs w:val="21"/>
        </w:rPr>
      </w:pPr>
      <w:r>
        <w:rPr>
          <w:rFonts w:hint="eastAsia"/>
          <w:sz w:val="21"/>
          <w:szCs w:val="21"/>
        </w:rPr>
        <w:t>所供应的电缆须为两终端间连续的整段而无中间接头。如由于电缆长度或路径的关系必需有直线接头则在开工前将拟采用的连接方法报批。</w:t>
      </w:r>
    </w:p>
    <w:p w14:paraId="79135AD2">
      <w:pPr>
        <w:pStyle w:val="66"/>
        <w:numPr>
          <w:ilvl w:val="0"/>
          <w:numId w:val="12"/>
        </w:numPr>
        <w:ind w:firstLine="420"/>
        <w:rPr>
          <w:sz w:val="21"/>
          <w:szCs w:val="21"/>
        </w:rPr>
      </w:pPr>
      <w:r>
        <w:rPr>
          <w:rFonts w:hint="eastAsia"/>
          <w:sz w:val="21"/>
          <w:szCs w:val="21"/>
        </w:rPr>
        <w:t>电缆接头盒中电缆的连接须在机械上，电气上均牢固可靠，须予以保护免受机械及震动之损害。在连接处不得受任何机械应力亦不得使电缆导线受到机械损伤。</w:t>
      </w:r>
    </w:p>
    <w:p w14:paraId="1748E41A">
      <w:pPr>
        <w:pStyle w:val="66"/>
        <w:numPr>
          <w:ilvl w:val="0"/>
          <w:numId w:val="12"/>
        </w:numPr>
        <w:ind w:firstLine="420"/>
        <w:rPr>
          <w:sz w:val="21"/>
          <w:szCs w:val="21"/>
        </w:rPr>
      </w:pPr>
      <w:r>
        <w:rPr>
          <w:rFonts w:hint="eastAsia"/>
          <w:sz w:val="21"/>
          <w:szCs w:val="21"/>
        </w:rPr>
        <w:t>电缆连接盒须适合于所使用的电缆截面和电缆型式。在连接多股导线时不得切断芯股。须使用电缆和电缆连接盒制造厂商所规定的工具。</w:t>
      </w:r>
    </w:p>
    <w:p w14:paraId="28A61567">
      <w:pPr>
        <w:pStyle w:val="66"/>
        <w:numPr>
          <w:ilvl w:val="0"/>
          <w:numId w:val="12"/>
        </w:numPr>
        <w:ind w:firstLine="420"/>
        <w:rPr>
          <w:sz w:val="21"/>
          <w:szCs w:val="21"/>
        </w:rPr>
      </w:pPr>
      <w:r>
        <w:rPr>
          <w:rFonts w:hint="eastAsia"/>
          <w:sz w:val="21"/>
          <w:szCs w:val="21"/>
        </w:rPr>
        <w:t>电缆分支连接盒须为于上升电缆上分出单独的分支回路而设计。分支导线须以专门设计之压缩型连接器与主电缆导线连接，外包塑料保护层并填以丙烯酸树脂。在接线时不得切断多股导线之芯股。</w:t>
      </w:r>
    </w:p>
    <w:p w14:paraId="29F2B633">
      <w:pPr>
        <w:pStyle w:val="66"/>
        <w:numPr>
          <w:ilvl w:val="0"/>
          <w:numId w:val="12"/>
        </w:numPr>
        <w:ind w:firstLine="420"/>
        <w:rPr>
          <w:sz w:val="21"/>
          <w:szCs w:val="21"/>
        </w:rPr>
      </w:pPr>
      <w:r>
        <w:rPr>
          <w:rFonts w:hint="eastAsia"/>
          <w:sz w:val="21"/>
          <w:szCs w:val="21"/>
        </w:rPr>
        <w:t>对铠装电缆，须保持主电缆与分支电缆接地之连续性。</w:t>
      </w:r>
    </w:p>
    <w:p w14:paraId="2CE640A6">
      <w:pPr>
        <w:pStyle w:val="66"/>
        <w:numPr>
          <w:ilvl w:val="0"/>
          <w:numId w:val="10"/>
        </w:numPr>
        <w:ind w:left="-2" w:leftChars="-1" w:firstLine="371" w:firstLineChars="177"/>
        <w:rPr>
          <w:sz w:val="21"/>
          <w:szCs w:val="21"/>
        </w:rPr>
      </w:pPr>
      <w:r>
        <w:rPr>
          <w:rFonts w:hint="eastAsia"/>
          <w:sz w:val="21"/>
          <w:szCs w:val="21"/>
        </w:rPr>
        <w:t>标签</w:t>
      </w:r>
    </w:p>
    <w:p w14:paraId="7442ED0A">
      <w:pPr>
        <w:pStyle w:val="66"/>
        <w:numPr>
          <w:ilvl w:val="0"/>
          <w:numId w:val="13"/>
        </w:numPr>
        <w:ind w:firstLine="420"/>
        <w:rPr>
          <w:sz w:val="21"/>
          <w:szCs w:val="21"/>
        </w:rPr>
      </w:pPr>
      <w:r>
        <w:rPr>
          <w:rFonts w:hint="eastAsia"/>
          <w:sz w:val="21"/>
          <w:szCs w:val="21"/>
        </w:rPr>
        <w:t>在开挖频繁的地方，须在保护板提供醒目的标志带。</w:t>
      </w:r>
    </w:p>
    <w:p w14:paraId="58B4B536">
      <w:pPr>
        <w:pStyle w:val="66"/>
        <w:numPr>
          <w:ilvl w:val="0"/>
          <w:numId w:val="13"/>
        </w:numPr>
        <w:ind w:firstLine="420"/>
        <w:rPr>
          <w:sz w:val="21"/>
          <w:szCs w:val="21"/>
        </w:rPr>
      </w:pPr>
      <w:r>
        <w:rPr>
          <w:rFonts w:hint="eastAsia"/>
          <w:sz w:val="21"/>
          <w:szCs w:val="21"/>
        </w:rPr>
        <w:t>标志带须提供于电缆终端及所有转变位置。</w:t>
      </w:r>
    </w:p>
    <w:p w14:paraId="2E60E930">
      <w:pPr>
        <w:pStyle w:val="66"/>
        <w:numPr>
          <w:ilvl w:val="0"/>
          <w:numId w:val="13"/>
        </w:numPr>
        <w:ind w:firstLine="420"/>
        <w:rPr>
          <w:sz w:val="21"/>
          <w:szCs w:val="21"/>
        </w:rPr>
      </w:pPr>
      <w:r>
        <w:rPr>
          <w:rFonts w:hint="eastAsia"/>
          <w:sz w:val="21"/>
          <w:szCs w:val="21"/>
        </w:rPr>
        <w:t>若电缆非穿管敷设，并有多于一条电缆敷设，则须每隔</w:t>
      </w:r>
      <w:r>
        <w:rPr>
          <w:sz w:val="21"/>
          <w:szCs w:val="21"/>
        </w:rPr>
        <w:t>10</w:t>
      </w:r>
      <w:r>
        <w:rPr>
          <w:rFonts w:hint="eastAsia"/>
          <w:sz w:val="21"/>
          <w:szCs w:val="21"/>
        </w:rPr>
        <w:t>米设标志带。</w:t>
      </w:r>
    </w:p>
    <w:p w14:paraId="1C293D06">
      <w:pPr>
        <w:pStyle w:val="66"/>
        <w:numPr>
          <w:ilvl w:val="0"/>
          <w:numId w:val="13"/>
        </w:numPr>
        <w:ind w:firstLine="420"/>
        <w:rPr>
          <w:sz w:val="21"/>
          <w:szCs w:val="21"/>
        </w:rPr>
      </w:pPr>
      <w:r>
        <w:rPr>
          <w:rFonts w:hint="eastAsia"/>
          <w:sz w:val="21"/>
          <w:szCs w:val="21"/>
        </w:rPr>
        <w:t>地面电缆须在电柜每最少</w:t>
      </w:r>
      <w:r>
        <w:rPr>
          <w:sz w:val="21"/>
          <w:szCs w:val="21"/>
        </w:rPr>
        <w:t>30m</w:t>
      </w:r>
      <w:r>
        <w:rPr>
          <w:rFonts w:hint="eastAsia"/>
          <w:sz w:val="21"/>
          <w:szCs w:val="21"/>
        </w:rPr>
        <w:t>上距离附加标签。</w:t>
      </w:r>
    </w:p>
    <w:p w14:paraId="505B5D3C">
      <w:pPr>
        <w:pStyle w:val="66"/>
        <w:numPr>
          <w:ilvl w:val="0"/>
          <w:numId w:val="13"/>
        </w:numPr>
        <w:ind w:firstLine="420"/>
        <w:rPr>
          <w:sz w:val="21"/>
          <w:szCs w:val="21"/>
        </w:rPr>
      </w:pPr>
      <w:r>
        <w:rPr>
          <w:rFonts w:hint="eastAsia"/>
          <w:sz w:val="21"/>
          <w:szCs w:val="21"/>
        </w:rPr>
        <w:t>控制电缆须根据图样号码个别标签。</w:t>
      </w:r>
    </w:p>
    <w:p w14:paraId="443E86E8">
      <w:pPr>
        <w:pStyle w:val="66"/>
        <w:numPr>
          <w:ilvl w:val="0"/>
          <w:numId w:val="10"/>
        </w:numPr>
        <w:ind w:left="-2" w:leftChars="-1" w:firstLine="371" w:firstLineChars="177"/>
        <w:rPr>
          <w:sz w:val="21"/>
          <w:szCs w:val="21"/>
        </w:rPr>
      </w:pPr>
      <w:bookmarkStart w:id="66" w:name="_Toc255482829"/>
      <w:r>
        <w:rPr>
          <w:rFonts w:hint="eastAsia"/>
          <w:sz w:val="21"/>
          <w:szCs w:val="21"/>
        </w:rPr>
        <w:t>金属电线管及其配件</w:t>
      </w:r>
      <w:bookmarkEnd w:id="66"/>
    </w:p>
    <w:p w14:paraId="000CC866">
      <w:pPr>
        <w:pStyle w:val="66"/>
        <w:numPr>
          <w:ilvl w:val="0"/>
          <w:numId w:val="14"/>
        </w:numPr>
        <w:ind w:firstLine="420"/>
        <w:rPr>
          <w:sz w:val="21"/>
          <w:szCs w:val="21"/>
        </w:rPr>
      </w:pPr>
      <w:r>
        <w:rPr>
          <w:rFonts w:hint="eastAsia"/>
          <w:sz w:val="21"/>
          <w:szCs w:val="21"/>
        </w:rPr>
        <w:t>配线系统须符合</w:t>
      </w:r>
      <w:r>
        <w:rPr>
          <w:sz w:val="21"/>
          <w:szCs w:val="21"/>
        </w:rPr>
        <w:t>GB50258</w:t>
      </w:r>
      <w:r>
        <w:rPr>
          <w:rFonts w:hint="eastAsia"/>
          <w:sz w:val="21"/>
          <w:szCs w:val="21"/>
        </w:rPr>
        <w:t>之要求。电线管必须为符合</w:t>
      </w:r>
      <w:r>
        <w:rPr>
          <w:sz w:val="21"/>
          <w:szCs w:val="21"/>
        </w:rPr>
        <w:t>BS4568</w:t>
      </w:r>
      <w:r>
        <w:rPr>
          <w:rFonts w:hint="eastAsia"/>
          <w:sz w:val="21"/>
          <w:szCs w:val="21"/>
        </w:rPr>
        <w:t>：第</w:t>
      </w:r>
      <w:r>
        <w:rPr>
          <w:sz w:val="21"/>
          <w:szCs w:val="21"/>
        </w:rPr>
        <w:t>1</w:t>
      </w:r>
      <w:r>
        <w:rPr>
          <w:rFonts w:hint="eastAsia"/>
          <w:sz w:val="21"/>
          <w:szCs w:val="21"/>
        </w:rPr>
        <w:t>部分，热浸镀锌焊接钢管。电线管配件须符合</w:t>
      </w:r>
      <w:r>
        <w:rPr>
          <w:sz w:val="21"/>
          <w:szCs w:val="21"/>
        </w:rPr>
        <w:t>BS4568</w:t>
      </w:r>
      <w:r>
        <w:rPr>
          <w:rFonts w:hint="eastAsia"/>
          <w:sz w:val="21"/>
          <w:szCs w:val="21"/>
        </w:rPr>
        <w:t>：第</w:t>
      </w:r>
      <w:r>
        <w:rPr>
          <w:sz w:val="21"/>
          <w:szCs w:val="21"/>
        </w:rPr>
        <w:t>2</w:t>
      </w:r>
      <w:r>
        <w:rPr>
          <w:rFonts w:hint="eastAsia"/>
          <w:sz w:val="21"/>
          <w:szCs w:val="21"/>
        </w:rPr>
        <w:t>部分之要求。</w:t>
      </w:r>
    </w:p>
    <w:p w14:paraId="37807208">
      <w:pPr>
        <w:pStyle w:val="66"/>
        <w:numPr>
          <w:ilvl w:val="0"/>
          <w:numId w:val="14"/>
        </w:numPr>
        <w:ind w:firstLine="420"/>
        <w:rPr>
          <w:sz w:val="21"/>
          <w:szCs w:val="21"/>
        </w:rPr>
      </w:pPr>
      <w:r>
        <w:rPr>
          <w:rFonts w:hint="eastAsia"/>
          <w:sz w:val="21"/>
          <w:szCs w:val="21"/>
        </w:rPr>
        <w:t>挠性电线管及配件必须符合</w:t>
      </w:r>
      <w:r>
        <w:rPr>
          <w:sz w:val="21"/>
          <w:szCs w:val="21"/>
        </w:rPr>
        <w:t>BS731</w:t>
      </w:r>
      <w:r>
        <w:rPr>
          <w:rFonts w:hint="eastAsia"/>
          <w:sz w:val="21"/>
          <w:szCs w:val="21"/>
        </w:rPr>
        <w:t>：第</w:t>
      </w:r>
      <w:r>
        <w:rPr>
          <w:sz w:val="21"/>
          <w:szCs w:val="21"/>
        </w:rPr>
        <w:t>1</w:t>
      </w:r>
      <w:r>
        <w:rPr>
          <w:rFonts w:hint="eastAsia"/>
          <w:sz w:val="21"/>
          <w:szCs w:val="21"/>
        </w:rPr>
        <w:t>部分幷须为镀锌防水型，阻燃</w:t>
      </w:r>
      <w:r>
        <w:rPr>
          <w:sz w:val="21"/>
          <w:szCs w:val="21"/>
        </w:rPr>
        <w:t>PVC</w:t>
      </w:r>
      <w:r>
        <w:rPr>
          <w:rFonts w:hint="eastAsia"/>
          <w:sz w:val="21"/>
          <w:szCs w:val="21"/>
        </w:rPr>
        <w:t>外护套幷内附一条单独的接地。</w:t>
      </w:r>
    </w:p>
    <w:p w14:paraId="033C4908">
      <w:pPr>
        <w:pStyle w:val="66"/>
        <w:numPr>
          <w:ilvl w:val="0"/>
          <w:numId w:val="14"/>
        </w:numPr>
        <w:ind w:firstLine="420"/>
        <w:rPr>
          <w:sz w:val="21"/>
          <w:szCs w:val="21"/>
        </w:rPr>
      </w:pPr>
      <w:r>
        <w:rPr>
          <w:rFonts w:hint="eastAsia"/>
          <w:sz w:val="21"/>
          <w:szCs w:val="21"/>
        </w:rPr>
        <w:t>电线管的最小直径为</w:t>
      </w:r>
      <w:r>
        <w:rPr>
          <w:sz w:val="21"/>
          <w:szCs w:val="21"/>
        </w:rPr>
        <w:t>20</w:t>
      </w:r>
      <w:r>
        <w:rPr>
          <w:rFonts w:hint="eastAsia"/>
          <w:sz w:val="21"/>
          <w:szCs w:val="21"/>
        </w:rPr>
        <w:t>毫米。</w:t>
      </w:r>
    </w:p>
    <w:p w14:paraId="21CA3EDB">
      <w:pPr>
        <w:pStyle w:val="66"/>
        <w:numPr>
          <w:ilvl w:val="0"/>
          <w:numId w:val="14"/>
        </w:numPr>
        <w:ind w:firstLine="420"/>
        <w:rPr>
          <w:sz w:val="21"/>
          <w:szCs w:val="21"/>
        </w:rPr>
      </w:pPr>
      <w:r>
        <w:rPr>
          <w:rFonts w:hint="eastAsia"/>
          <w:sz w:val="21"/>
          <w:szCs w:val="21"/>
        </w:rPr>
        <w:t>圆形电线管盒须为锻铁制，具有长内螺纹管口，供连接</w:t>
      </w:r>
      <w:r>
        <w:rPr>
          <w:sz w:val="21"/>
          <w:szCs w:val="21"/>
        </w:rPr>
        <w:t>20</w:t>
      </w:r>
      <w:r>
        <w:rPr>
          <w:rFonts w:hint="eastAsia"/>
          <w:sz w:val="21"/>
          <w:szCs w:val="21"/>
        </w:rPr>
        <w:t>毫米及</w:t>
      </w:r>
      <w:r>
        <w:rPr>
          <w:sz w:val="21"/>
          <w:szCs w:val="21"/>
        </w:rPr>
        <w:t>25</w:t>
      </w:r>
      <w:r>
        <w:rPr>
          <w:rFonts w:hint="eastAsia"/>
          <w:sz w:val="21"/>
          <w:szCs w:val="21"/>
        </w:rPr>
        <w:t>毫米电线管之接口。对埋入结构内暗藏系统须使用深型盒而对明装系统则须采用浅型盒。电线管盒内须有一只固定于底部的黄铜接地端子。</w:t>
      </w:r>
    </w:p>
    <w:p w14:paraId="25841CA3">
      <w:pPr>
        <w:pStyle w:val="66"/>
        <w:numPr>
          <w:ilvl w:val="0"/>
          <w:numId w:val="14"/>
        </w:numPr>
        <w:ind w:firstLine="420"/>
        <w:rPr>
          <w:sz w:val="21"/>
          <w:szCs w:val="21"/>
        </w:rPr>
      </w:pPr>
      <w:r>
        <w:rPr>
          <w:sz w:val="21"/>
          <w:szCs w:val="21"/>
        </w:rPr>
        <w:t>32</w:t>
      </w:r>
      <w:r>
        <w:rPr>
          <w:rFonts w:hint="eastAsia"/>
          <w:sz w:val="21"/>
          <w:szCs w:val="21"/>
        </w:rPr>
        <w:t>毫米直径及以上的电线管须使用长方形的配线盒。配盒须为深度不小于</w:t>
      </w:r>
      <w:r>
        <w:rPr>
          <w:sz w:val="21"/>
          <w:szCs w:val="21"/>
        </w:rPr>
        <w:t>50</w:t>
      </w:r>
      <w:r>
        <w:rPr>
          <w:rFonts w:hint="eastAsia"/>
          <w:sz w:val="21"/>
          <w:szCs w:val="21"/>
        </w:rPr>
        <w:t>毫米之铸铁盒，其大小尺寸须能使穿于电线管内最大尺寸的电缆得以拉入而不致使电缆过度弯曲。盒盖须与盒体为同样等级黄铜螺栓固定。配线盒须按电线管径之要求钻孔。</w:t>
      </w:r>
    </w:p>
    <w:p w14:paraId="552AF825">
      <w:pPr>
        <w:pStyle w:val="66"/>
        <w:numPr>
          <w:ilvl w:val="0"/>
          <w:numId w:val="14"/>
        </w:numPr>
        <w:ind w:firstLine="420"/>
        <w:rPr>
          <w:sz w:val="21"/>
          <w:szCs w:val="21"/>
        </w:rPr>
      </w:pPr>
      <w:r>
        <w:rPr>
          <w:rFonts w:hint="eastAsia"/>
          <w:sz w:val="21"/>
          <w:szCs w:val="21"/>
        </w:rPr>
        <w:t>插座，照明开关等之出线盒须为热浸镀锌钢板制，符合</w:t>
      </w:r>
      <w:r>
        <w:rPr>
          <w:sz w:val="21"/>
          <w:szCs w:val="21"/>
        </w:rPr>
        <w:t>BS1363</w:t>
      </w:r>
      <w:r>
        <w:rPr>
          <w:rFonts w:hint="eastAsia"/>
          <w:sz w:val="21"/>
          <w:szCs w:val="21"/>
        </w:rPr>
        <w:t>及</w:t>
      </w:r>
      <w:r>
        <w:rPr>
          <w:sz w:val="21"/>
          <w:szCs w:val="21"/>
        </w:rPr>
        <w:t>4662</w:t>
      </w:r>
      <w:r>
        <w:rPr>
          <w:rFonts w:hint="eastAsia"/>
          <w:sz w:val="21"/>
          <w:szCs w:val="21"/>
        </w:rPr>
        <w:t>之要求，具有安装耳，足够的敲落孔及固定于底部之黄铜接地端子。</w:t>
      </w:r>
    </w:p>
    <w:p w14:paraId="49A7FB6A">
      <w:pPr>
        <w:pStyle w:val="66"/>
        <w:numPr>
          <w:ilvl w:val="0"/>
          <w:numId w:val="14"/>
        </w:numPr>
        <w:ind w:firstLine="420"/>
        <w:rPr>
          <w:sz w:val="21"/>
          <w:szCs w:val="21"/>
        </w:rPr>
      </w:pPr>
      <w:r>
        <w:rPr>
          <w:rFonts w:hint="eastAsia"/>
          <w:sz w:val="21"/>
          <w:szCs w:val="21"/>
        </w:rPr>
        <w:t>固定电线管之鞍形夹须由锻铁制，专为明装固定电线管而设计，使之距表面约</w:t>
      </w:r>
      <w:r>
        <w:rPr>
          <w:sz w:val="21"/>
          <w:szCs w:val="21"/>
        </w:rPr>
        <w:t>10</w:t>
      </w:r>
      <w:r>
        <w:rPr>
          <w:rFonts w:hint="eastAsia"/>
          <w:sz w:val="21"/>
          <w:szCs w:val="21"/>
        </w:rPr>
        <w:t>毫米。</w:t>
      </w:r>
    </w:p>
    <w:p w14:paraId="2FDD23B1">
      <w:pPr>
        <w:pStyle w:val="66"/>
        <w:numPr>
          <w:ilvl w:val="0"/>
          <w:numId w:val="14"/>
        </w:numPr>
        <w:ind w:firstLine="420"/>
        <w:rPr>
          <w:sz w:val="21"/>
          <w:szCs w:val="21"/>
        </w:rPr>
      </w:pPr>
      <w:r>
        <w:rPr>
          <w:rFonts w:hint="eastAsia"/>
          <w:sz w:val="21"/>
          <w:szCs w:val="21"/>
        </w:rPr>
        <w:t>对明装电线管须按规定使用明装的出线盒。</w:t>
      </w:r>
    </w:p>
    <w:p w14:paraId="20CD5B6A">
      <w:pPr>
        <w:pStyle w:val="66"/>
        <w:numPr>
          <w:ilvl w:val="0"/>
          <w:numId w:val="14"/>
        </w:numPr>
        <w:ind w:firstLine="420"/>
        <w:rPr>
          <w:sz w:val="21"/>
          <w:szCs w:val="21"/>
        </w:rPr>
      </w:pPr>
      <w:r>
        <w:rPr>
          <w:rFonts w:hint="eastAsia"/>
          <w:sz w:val="21"/>
          <w:szCs w:val="21"/>
        </w:rPr>
        <w:t>电线管与配线盒，出线盒及开关装置之连接须用联接管箍和六角公螺纹套筒。</w:t>
      </w:r>
    </w:p>
    <w:p w14:paraId="06558CE6">
      <w:pPr>
        <w:pStyle w:val="66"/>
        <w:numPr>
          <w:ilvl w:val="0"/>
          <w:numId w:val="14"/>
        </w:numPr>
        <w:ind w:firstLine="420"/>
        <w:rPr>
          <w:sz w:val="21"/>
          <w:szCs w:val="21"/>
        </w:rPr>
      </w:pPr>
      <w:r>
        <w:rPr>
          <w:rFonts w:hint="eastAsia"/>
          <w:sz w:val="21"/>
          <w:szCs w:val="21"/>
        </w:rPr>
        <w:t>挠性电线管须外包阻燃的</w:t>
      </w:r>
      <w:r>
        <w:rPr>
          <w:sz w:val="21"/>
          <w:szCs w:val="21"/>
        </w:rPr>
        <w:t>PVC</w:t>
      </w:r>
      <w:r>
        <w:rPr>
          <w:rFonts w:hint="eastAsia"/>
          <w:sz w:val="21"/>
          <w:szCs w:val="21"/>
        </w:rPr>
        <w:t>护套幷装置黄铜镀镍的联接器。联接器拧入</w:t>
      </w:r>
    </w:p>
    <w:p w14:paraId="5A1FC6B0">
      <w:pPr>
        <w:pStyle w:val="66"/>
        <w:numPr>
          <w:ilvl w:val="0"/>
          <w:numId w:val="14"/>
        </w:numPr>
        <w:ind w:firstLine="420"/>
        <w:rPr>
          <w:sz w:val="21"/>
          <w:szCs w:val="21"/>
        </w:rPr>
      </w:pPr>
      <w:r>
        <w:rPr>
          <w:rFonts w:hint="eastAsia"/>
          <w:sz w:val="21"/>
          <w:szCs w:val="21"/>
        </w:rPr>
        <w:t>挠性管及电线管中。联接器必须稳固于金属管上避免分开而使电缆暴露受损。</w:t>
      </w:r>
    </w:p>
    <w:p w14:paraId="2274ED55">
      <w:pPr>
        <w:pStyle w:val="66"/>
        <w:numPr>
          <w:ilvl w:val="0"/>
          <w:numId w:val="14"/>
        </w:numPr>
        <w:ind w:firstLine="420"/>
        <w:rPr>
          <w:sz w:val="21"/>
          <w:szCs w:val="21"/>
        </w:rPr>
      </w:pPr>
      <w:r>
        <w:rPr>
          <w:rFonts w:hint="eastAsia"/>
          <w:sz w:val="21"/>
          <w:szCs w:val="21"/>
        </w:rPr>
        <w:t>当用于室外安装，电线盒及电线管配件均须防风雨。防风雨的电线盒及电线</w:t>
      </w:r>
    </w:p>
    <w:p w14:paraId="2E05C4F8">
      <w:pPr>
        <w:pStyle w:val="66"/>
        <w:numPr>
          <w:ilvl w:val="0"/>
          <w:numId w:val="14"/>
        </w:numPr>
        <w:ind w:firstLine="420"/>
        <w:rPr>
          <w:sz w:val="21"/>
          <w:szCs w:val="21"/>
        </w:rPr>
      </w:pPr>
      <w:r>
        <w:rPr>
          <w:rFonts w:hint="eastAsia"/>
          <w:sz w:val="21"/>
          <w:szCs w:val="21"/>
        </w:rPr>
        <w:t>管配件亦用于除室外在图上规定之其它处所。</w:t>
      </w:r>
    </w:p>
    <w:p w14:paraId="0DCBC77C">
      <w:pPr>
        <w:pStyle w:val="66"/>
        <w:numPr>
          <w:ilvl w:val="0"/>
          <w:numId w:val="10"/>
        </w:numPr>
        <w:ind w:left="-2" w:leftChars="-1" w:firstLine="371" w:firstLineChars="177"/>
        <w:rPr>
          <w:sz w:val="21"/>
          <w:szCs w:val="21"/>
        </w:rPr>
      </w:pPr>
      <w:bookmarkStart w:id="67" w:name="_Toc255482830"/>
      <w:r>
        <w:rPr>
          <w:rFonts w:hint="eastAsia"/>
          <w:sz w:val="21"/>
          <w:szCs w:val="21"/>
        </w:rPr>
        <w:t>金属电线槽</w:t>
      </w:r>
      <w:bookmarkEnd w:id="67"/>
    </w:p>
    <w:p w14:paraId="5B460DB0">
      <w:pPr>
        <w:pStyle w:val="66"/>
        <w:numPr>
          <w:ilvl w:val="0"/>
          <w:numId w:val="15"/>
        </w:numPr>
        <w:ind w:firstLine="420"/>
        <w:rPr>
          <w:sz w:val="21"/>
          <w:szCs w:val="21"/>
        </w:rPr>
      </w:pPr>
      <w:r>
        <w:rPr>
          <w:rFonts w:hint="eastAsia"/>
          <w:sz w:val="21"/>
          <w:szCs w:val="21"/>
        </w:rPr>
        <w:t>电线槽及其配件须符合</w:t>
      </w:r>
      <w:r>
        <w:rPr>
          <w:sz w:val="21"/>
          <w:szCs w:val="21"/>
        </w:rPr>
        <w:t>BS4678</w:t>
      </w:r>
      <w:r>
        <w:rPr>
          <w:rFonts w:hint="eastAsia"/>
          <w:sz w:val="21"/>
          <w:szCs w:val="21"/>
        </w:rPr>
        <w:t>：第</w:t>
      </w:r>
      <w:r>
        <w:rPr>
          <w:sz w:val="21"/>
          <w:szCs w:val="21"/>
        </w:rPr>
        <w:t>1</w:t>
      </w:r>
      <w:r>
        <w:rPr>
          <w:rFonts w:hint="eastAsia"/>
          <w:sz w:val="21"/>
          <w:szCs w:val="21"/>
        </w:rPr>
        <w:t>部分，</w:t>
      </w:r>
      <w:r>
        <w:rPr>
          <w:sz w:val="21"/>
          <w:szCs w:val="21"/>
        </w:rPr>
        <w:t>3</w:t>
      </w:r>
      <w:r>
        <w:rPr>
          <w:rFonts w:hint="eastAsia"/>
          <w:sz w:val="21"/>
          <w:szCs w:val="21"/>
        </w:rPr>
        <w:t>级保护。</w:t>
      </w:r>
    </w:p>
    <w:p w14:paraId="7868A446">
      <w:pPr>
        <w:pStyle w:val="66"/>
        <w:numPr>
          <w:ilvl w:val="0"/>
          <w:numId w:val="15"/>
        </w:numPr>
        <w:ind w:firstLine="420"/>
        <w:rPr>
          <w:sz w:val="21"/>
          <w:szCs w:val="21"/>
        </w:rPr>
      </w:pPr>
      <w:r>
        <w:rPr>
          <w:rFonts w:hint="eastAsia"/>
          <w:sz w:val="21"/>
          <w:szCs w:val="21"/>
        </w:rPr>
        <w:t>电线槽须用热镀锌钢板制作，有防火要求的部分需刷防火涂料，其最小长度为</w:t>
      </w:r>
      <w:r>
        <w:rPr>
          <w:sz w:val="21"/>
          <w:szCs w:val="21"/>
        </w:rPr>
        <w:t>2</w:t>
      </w:r>
      <w:r>
        <w:rPr>
          <w:rFonts w:hint="eastAsia"/>
          <w:sz w:val="21"/>
          <w:szCs w:val="21"/>
        </w:rPr>
        <w:t>米。金属电线槽金属材料的厚度须如下表所示：</w:t>
      </w:r>
    </w:p>
    <w:tbl>
      <w:tblPr>
        <w:tblStyle w:val="29"/>
        <w:tblW w:w="5530" w:type="dxa"/>
        <w:tblInd w:w="1200" w:type="dxa"/>
        <w:tblLayout w:type="fixed"/>
        <w:tblCellMar>
          <w:top w:w="0" w:type="dxa"/>
          <w:left w:w="0" w:type="dxa"/>
          <w:bottom w:w="0" w:type="dxa"/>
          <w:right w:w="0" w:type="dxa"/>
        </w:tblCellMar>
      </w:tblPr>
      <w:tblGrid>
        <w:gridCol w:w="2585"/>
        <w:gridCol w:w="2945"/>
      </w:tblGrid>
      <w:tr w14:paraId="07BB45B2">
        <w:tblPrEx>
          <w:tblCellMar>
            <w:top w:w="0" w:type="dxa"/>
            <w:left w:w="0" w:type="dxa"/>
            <w:bottom w:w="0" w:type="dxa"/>
            <w:right w:w="0" w:type="dxa"/>
          </w:tblCellMar>
        </w:tblPrEx>
        <w:trPr>
          <w:trHeight w:val="20" w:hRule="atLeast"/>
        </w:trPr>
        <w:tc>
          <w:tcPr>
            <w:tcW w:w="2585" w:type="dxa"/>
            <w:tcBorders>
              <w:top w:val="single" w:color="000000" w:sz="4" w:space="0"/>
              <w:left w:val="single" w:color="000000" w:sz="4" w:space="0"/>
              <w:bottom w:val="single" w:color="000000" w:sz="4" w:space="0"/>
              <w:right w:val="single" w:color="000000" w:sz="4" w:space="0"/>
            </w:tcBorders>
          </w:tcPr>
          <w:p w14:paraId="4BA146BC">
            <w:pPr>
              <w:pStyle w:val="66"/>
              <w:ind w:firstLine="420"/>
              <w:rPr>
                <w:sz w:val="21"/>
                <w:szCs w:val="21"/>
              </w:rPr>
            </w:pPr>
            <w:r>
              <w:rPr>
                <w:rFonts w:hint="eastAsia"/>
                <w:sz w:val="21"/>
                <w:szCs w:val="21"/>
              </w:rPr>
              <w:t>标称尺寸（毫米）</w:t>
            </w:r>
          </w:p>
        </w:tc>
        <w:tc>
          <w:tcPr>
            <w:tcW w:w="2945" w:type="dxa"/>
            <w:tcBorders>
              <w:top w:val="single" w:color="000000" w:sz="4" w:space="0"/>
              <w:left w:val="single" w:color="000000" w:sz="4" w:space="0"/>
              <w:bottom w:val="single" w:color="000000" w:sz="4" w:space="0"/>
              <w:right w:val="single" w:color="000000" w:sz="4" w:space="0"/>
            </w:tcBorders>
          </w:tcPr>
          <w:p w14:paraId="518CEF0B">
            <w:pPr>
              <w:pStyle w:val="66"/>
              <w:ind w:firstLine="420"/>
              <w:rPr>
                <w:sz w:val="21"/>
                <w:szCs w:val="21"/>
              </w:rPr>
            </w:pPr>
            <w:r>
              <w:rPr>
                <w:rFonts w:hint="eastAsia"/>
                <w:sz w:val="21"/>
                <w:szCs w:val="21"/>
              </w:rPr>
              <w:t>最小厚度（毫米）</w:t>
            </w:r>
          </w:p>
        </w:tc>
      </w:tr>
      <w:tr w14:paraId="5482F0D0">
        <w:tblPrEx>
          <w:tblCellMar>
            <w:top w:w="0" w:type="dxa"/>
            <w:left w:w="0" w:type="dxa"/>
            <w:bottom w:w="0" w:type="dxa"/>
            <w:right w:w="0" w:type="dxa"/>
          </w:tblCellMar>
        </w:tblPrEx>
        <w:trPr>
          <w:trHeight w:val="20" w:hRule="atLeast"/>
        </w:trPr>
        <w:tc>
          <w:tcPr>
            <w:tcW w:w="2585" w:type="dxa"/>
            <w:tcBorders>
              <w:top w:val="single" w:color="000000" w:sz="4" w:space="0"/>
              <w:left w:val="single" w:color="000000" w:sz="4" w:space="0"/>
              <w:bottom w:val="single" w:color="000000" w:sz="4" w:space="0"/>
              <w:right w:val="single" w:color="000000" w:sz="4" w:space="0"/>
            </w:tcBorders>
          </w:tcPr>
          <w:p w14:paraId="2968E460">
            <w:pPr>
              <w:pStyle w:val="66"/>
              <w:ind w:firstLine="420"/>
              <w:rPr>
                <w:sz w:val="21"/>
                <w:szCs w:val="21"/>
              </w:rPr>
            </w:pPr>
            <w:r>
              <w:rPr>
                <w:sz w:val="21"/>
                <w:szCs w:val="21"/>
              </w:rPr>
              <w:t>50×50</w:t>
            </w:r>
          </w:p>
        </w:tc>
        <w:tc>
          <w:tcPr>
            <w:tcW w:w="2945" w:type="dxa"/>
            <w:tcBorders>
              <w:top w:val="single" w:color="000000" w:sz="4" w:space="0"/>
              <w:left w:val="single" w:color="000000" w:sz="4" w:space="0"/>
              <w:bottom w:val="single" w:color="000000" w:sz="4" w:space="0"/>
              <w:right w:val="single" w:color="000000" w:sz="4" w:space="0"/>
            </w:tcBorders>
          </w:tcPr>
          <w:p w14:paraId="5BFE7A9C">
            <w:pPr>
              <w:pStyle w:val="66"/>
              <w:ind w:firstLine="420"/>
              <w:rPr>
                <w:sz w:val="21"/>
                <w:szCs w:val="21"/>
              </w:rPr>
            </w:pPr>
            <w:r>
              <w:rPr>
                <w:sz w:val="21"/>
                <w:szCs w:val="21"/>
              </w:rPr>
              <w:t>1.0</w:t>
            </w:r>
          </w:p>
        </w:tc>
      </w:tr>
      <w:tr w14:paraId="3D60F0C1">
        <w:tblPrEx>
          <w:tblCellMar>
            <w:top w:w="0" w:type="dxa"/>
            <w:left w:w="0" w:type="dxa"/>
            <w:bottom w:w="0" w:type="dxa"/>
            <w:right w:w="0" w:type="dxa"/>
          </w:tblCellMar>
        </w:tblPrEx>
        <w:trPr>
          <w:trHeight w:val="20" w:hRule="atLeast"/>
        </w:trPr>
        <w:tc>
          <w:tcPr>
            <w:tcW w:w="2585" w:type="dxa"/>
            <w:tcBorders>
              <w:top w:val="single" w:color="000000" w:sz="4" w:space="0"/>
              <w:left w:val="single" w:color="000000" w:sz="4" w:space="0"/>
              <w:bottom w:val="single" w:color="000000" w:sz="4" w:space="0"/>
              <w:right w:val="single" w:color="000000" w:sz="4" w:space="0"/>
            </w:tcBorders>
          </w:tcPr>
          <w:p w14:paraId="19156D56">
            <w:pPr>
              <w:pStyle w:val="66"/>
              <w:ind w:firstLine="420"/>
              <w:rPr>
                <w:sz w:val="21"/>
                <w:szCs w:val="21"/>
              </w:rPr>
            </w:pPr>
            <w:r>
              <w:rPr>
                <w:sz w:val="21"/>
                <w:szCs w:val="21"/>
              </w:rPr>
              <w:t>75×50</w:t>
            </w:r>
          </w:p>
        </w:tc>
        <w:tc>
          <w:tcPr>
            <w:tcW w:w="2945" w:type="dxa"/>
            <w:tcBorders>
              <w:top w:val="single" w:color="000000" w:sz="4" w:space="0"/>
              <w:left w:val="single" w:color="000000" w:sz="4" w:space="0"/>
              <w:bottom w:val="single" w:color="000000" w:sz="4" w:space="0"/>
              <w:right w:val="single" w:color="000000" w:sz="4" w:space="0"/>
            </w:tcBorders>
          </w:tcPr>
          <w:p w14:paraId="5B66ED34">
            <w:pPr>
              <w:pStyle w:val="66"/>
              <w:ind w:firstLine="420"/>
              <w:rPr>
                <w:sz w:val="21"/>
                <w:szCs w:val="21"/>
              </w:rPr>
            </w:pPr>
            <w:r>
              <w:rPr>
                <w:sz w:val="21"/>
                <w:szCs w:val="21"/>
              </w:rPr>
              <w:t>1.2</w:t>
            </w:r>
          </w:p>
        </w:tc>
      </w:tr>
      <w:tr w14:paraId="10312598">
        <w:tblPrEx>
          <w:tblCellMar>
            <w:top w:w="0" w:type="dxa"/>
            <w:left w:w="0" w:type="dxa"/>
            <w:bottom w:w="0" w:type="dxa"/>
            <w:right w:w="0" w:type="dxa"/>
          </w:tblCellMar>
        </w:tblPrEx>
        <w:trPr>
          <w:trHeight w:val="20" w:hRule="atLeast"/>
        </w:trPr>
        <w:tc>
          <w:tcPr>
            <w:tcW w:w="2585" w:type="dxa"/>
            <w:tcBorders>
              <w:top w:val="single" w:color="000000" w:sz="4" w:space="0"/>
              <w:left w:val="single" w:color="000000" w:sz="4" w:space="0"/>
              <w:bottom w:val="single" w:color="000000" w:sz="4" w:space="0"/>
              <w:right w:val="single" w:color="000000" w:sz="4" w:space="0"/>
            </w:tcBorders>
          </w:tcPr>
          <w:p w14:paraId="0B9E2FE3">
            <w:pPr>
              <w:pStyle w:val="66"/>
              <w:ind w:firstLine="420"/>
              <w:rPr>
                <w:sz w:val="21"/>
                <w:szCs w:val="21"/>
              </w:rPr>
            </w:pPr>
            <w:r>
              <w:rPr>
                <w:sz w:val="21"/>
                <w:szCs w:val="21"/>
              </w:rPr>
              <w:t>75×75</w:t>
            </w:r>
          </w:p>
        </w:tc>
        <w:tc>
          <w:tcPr>
            <w:tcW w:w="2945" w:type="dxa"/>
            <w:tcBorders>
              <w:top w:val="single" w:color="000000" w:sz="4" w:space="0"/>
              <w:left w:val="single" w:color="000000" w:sz="4" w:space="0"/>
              <w:bottom w:val="single" w:color="000000" w:sz="4" w:space="0"/>
              <w:right w:val="single" w:color="000000" w:sz="4" w:space="0"/>
            </w:tcBorders>
          </w:tcPr>
          <w:p w14:paraId="0A51B73D">
            <w:pPr>
              <w:pStyle w:val="66"/>
              <w:ind w:firstLine="420"/>
              <w:rPr>
                <w:sz w:val="21"/>
                <w:szCs w:val="21"/>
              </w:rPr>
            </w:pPr>
            <w:r>
              <w:rPr>
                <w:sz w:val="21"/>
                <w:szCs w:val="21"/>
              </w:rPr>
              <w:t>1.2</w:t>
            </w:r>
          </w:p>
        </w:tc>
      </w:tr>
      <w:tr w14:paraId="568CC1AA">
        <w:tblPrEx>
          <w:tblCellMar>
            <w:top w:w="0" w:type="dxa"/>
            <w:left w:w="0" w:type="dxa"/>
            <w:bottom w:w="0" w:type="dxa"/>
            <w:right w:w="0" w:type="dxa"/>
          </w:tblCellMar>
        </w:tblPrEx>
        <w:trPr>
          <w:trHeight w:val="20" w:hRule="atLeast"/>
        </w:trPr>
        <w:tc>
          <w:tcPr>
            <w:tcW w:w="2585" w:type="dxa"/>
            <w:tcBorders>
              <w:top w:val="single" w:color="000000" w:sz="4" w:space="0"/>
              <w:left w:val="single" w:color="000000" w:sz="4" w:space="0"/>
              <w:bottom w:val="single" w:color="000000" w:sz="4" w:space="0"/>
              <w:right w:val="single" w:color="000000" w:sz="4" w:space="0"/>
            </w:tcBorders>
          </w:tcPr>
          <w:p w14:paraId="5353F5A3">
            <w:pPr>
              <w:pStyle w:val="66"/>
              <w:ind w:firstLine="420"/>
              <w:rPr>
                <w:sz w:val="21"/>
                <w:szCs w:val="21"/>
              </w:rPr>
            </w:pPr>
            <w:r>
              <w:rPr>
                <w:sz w:val="21"/>
                <w:szCs w:val="21"/>
              </w:rPr>
              <w:t>100×75</w:t>
            </w:r>
          </w:p>
        </w:tc>
        <w:tc>
          <w:tcPr>
            <w:tcW w:w="2945" w:type="dxa"/>
            <w:tcBorders>
              <w:top w:val="single" w:color="000000" w:sz="4" w:space="0"/>
              <w:left w:val="single" w:color="000000" w:sz="4" w:space="0"/>
              <w:bottom w:val="single" w:color="000000" w:sz="4" w:space="0"/>
              <w:right w:val="single" w:color="000000" w:sz="4" w:space="0"/>
            </w:tcBorders>
          </w:tcPr>
          <w:p w14:paraId="5F56AC85">
            <w:pPr>
              <w:pStyle w:val="66"/>
              <w:ind w:firstLine="420"/>
              <w:rPr>
                <w:sz w:val="21"/>
                <w:szCs w:val="21"/>
              </w:rPr>
            </w:pPr>
            <w:r>
              <w:rPr>
                <w:sz w:val="21"/>
                <w:szCs w:val="21"/>
              </w:rPr>
              <w:t>1.2</w:t>
            </w:r>
          </w:p>
        </w:tc>
      </w:tr>
      <w:tr w14:paraId="766AF26D">
        <w:tblPrEx>
          <w:tblCellMar>
            <w:top w:w="0" w:type="dxa"/>
            <w:left w:w="0" w:type="dxa"/>
            <w:bottom w:w="0" w:type="dxa"/>
            <w:right w:w="0" w:type="dxa"/>
          </w:tblCellMar>
        </w:tblPrEx>
        <w:trPr>
          <w:trHeight w:val="20" w:hRule="atLeast"/>
        </w:trPr>
        <w:tc>
          <w:tcPr>
            <w:tcW w:w="2585" w:type="dxa"/>
            <w:tcBorders>
              <w:top w:val="single" w:color="000000" w:sz="4" w:space="0"/>
              <w:left w:val="single" w:color="000000" w:sz="4" w:space="0"/>
              <w:bottom w:val="single" w:color="000000" w:sz="4" w:space="0"/>
              <w:right w:val="single" w:color="000000" w:sz="4" w:space="0"/>
            </w:tcBorders>
          </w:tcPr>
          <w:p w14:paraId="223F9F47">
            <w:pPr>
              <w:pStyle w:val="66"/>
              <w:ind w:firstLine="420"/>
              <w:rPr>
                <w:sz w:val="21"/>
                <w:szCs w:val="21"/>
              </w:rPr>
            </w:pPr>
            <w:r>
              <w:rPr>
                <w:sz w:val="21"/>
                <w:szCs w:val="21"/>
              </w:rPr>
              <w:t>100×100</w:t>
            </w:r>
          </w:p>
        </w:tc>
        <w:tc>
          <w:tcPr>
            <w:tcW w:w="2945" w:type="dxa"/>
            <w:tcBorders>
              <w:top w:val="single" w:color="000000" w:sz="4" w:space="0"/>
              <w:left w:val="single" w:color="000000" w:sz="4" w:space="0"/>
              <w:bottom w:val="single" w:color="000000" w:sz="4" w:space="0"/>
              <w:right w:val="single" w:color="000000" w:sz="4" w:space="0"/>
            </w:tcBorders>
          </w:tcPr>
          <w:p w14:paraId="7F641882">
            <w:pPr>
              <w:pStyle w:val="66"/>
              <w:ind w:firstLine="420"/>
              <w:rPr>
                <w:sz w:val="21"/>
                <w:szCs w:val="21"/>
              </w:rPr>
            </w:pPr>
            <w:r>
              <w:rPr>
                <w:sz w:val="21"/>
                <w:szCs w:val="21"/>
              </w:rPr>
              <w:t>1.4</w:t>
            </w:r>
          </w:p>
        </w:tc>
      </w:tr>
      <w:tr w14:paraId="0367E7E2">
        <w:tblPrEx>
          <w:tblCellMar>
            <w:top w:w="0" w:type="dxa"/>
            <w:left w:w="0" w:type="dxa"/>
            <w:bottom w:w="0" w:type="dxa"/>
            <w:right w:w="0" w:type="dxa"/>
          </w:tblCellMar>
        </w:tblPrEx>
        <w:trPr>
          <w:trHeight w:val="20" w:hRule="atLeast"/>
        </w:trPr>
        <w:tc>
          <w:tcPr>
            <w:tcW w:w="2585" w:type="dxa"/>
            <w:tcBorders>
              <w:top w:val="single" w:color="000000" w:sz="4" w:space="0"/>
              <w:left w:val="single" w:color="000000" w:sz="4" w:space="0"/>
              <w:bottom w:val="single" w:color="000000" w:sz="4" w:space="0"/>
              <w:right w:val="single" w:color="000000" w:sz="4" w:space="0"/>
            </w:tcBorders>
          </w:tcPr>
          <w:p w14:paraId="6D25F92E">
            <w:pPr>
              <w:pStyle w:val="66"/>
              <w:ind w:firstLine="420"/>
              <w:rPr>
                <w:sz w:val="21"/>
                <w:szCs w:val="21"/>
              </w:rPr>
            </w:pPr>
            <w:r>
              <w:rPr>
                <w:sz w:val="21"/>
                <w:szCs w:val="21"/>
              </w:rPr>
              <w:t>150×100</w:t>
            </w:r>
          </w:p>
        </w:tc>
        <w:tc>
          <w:tcPr>
            <w:tcW w:w="2945" w:type="dxa"/>
            <w:tcBorders>
              <w:top w:val="single" w:color="000000" w:sz="4" w:space="0"/>
              <w:left w:val="single" w:color="000000" w:sz="4" w:space="0"/>
              <w:bottom w:val="single" w:color="000000" w:sz="4" w:space="0"/>
              <w:right w:val="single" w:color="000000" w:sz="4" w:space="0"/>
            </w:tcBorders>
          </w:tcPr>
          <w:p w14:paraId="6D4F2914">
            <w:pPr>
              <w:pStyle w:val="66"/>
              <w:ind w:firstLine="420"/>
              <w:rPr>
                <w:sz w:val="21"/>
                <w:szCs w:val="21"/>
              </w:rPr>
            </w:pPr>
            <w:r>
              <w:rPr>
                <w:sz w:val="21"/>
                <w:szCs w:val="21"/>
              </w:rPr>
              <w:t>1.4</w:t>
            </w:r>
          </w:p>
        </w:tc>
      </w:tr>
      <w:tr w14:paraId="63D017DE">
        <w:tblPrEx>
          <w:tblCellMar>
            <w:top w:w="0" w:type="dxa"/>
            <w:left w:w="0" w:type="dxa"/>
            <w:bottom w:w="0" w:type="dxa"/>
            <w:right w:w="0" w:type="dxa"/>
          </w:tblCellMar>
        </w:tblPrEx>
        <w:trPr>
          <w:trHeight w:val="20" w:hRule="atLeast"/>
        </w:trPr>
        <w:tc>
          <w:tcPr>
            <w:tcW w:w="2585" w:type="dxa"/>
            <w:tcBorders>
              <w:top w:val="single" w:color="000000" w:sz="4" w:space="0"/>
              <w:left w:val="single" w:color="000000" w:sz="4" w:space="0"/>
              <w:bottom w:val="single" w:color="000000" w:sz="4" w:space="0"/>
              <w:right w:val="single" w:color="000000" w:sz="4" w:space="0"/>
            </w:tcBorders>
          </w:tcPr>
          <w:p w14:paraId="28C4DADB">
            <w:pPr>
              <w:pStyle w:val="66"/>
              <w:ind w:firstLine="420"/>
              <w:rPr>
                <w:sz w:val="21"/>
                <w:szCs w:val="21"/>
              </w:rPr>
            </w:pPr>
            <w:r>
              <w:rPr>
                <w:sz w:val="21"/>
                <w:szCs w:val="21"/>
              </w:rPr>
              <w:t>150×150</w:t>
            </w:r>
          </w:p>
        </w:tc>
        <w:tc>
          <w:tcPr>
            <w:tcW w:w="2945" w:type="dxa"/>
            <w:tcBorders>
              <w:top w:val="single" w:color="000000" w:sz="4" w:space="0"/>
              <w:left w:val="single" w:color="000000" w:sz="4" w:space="0"/>
              <w:bottom w:val="single" w:color="000000" w:sz="4" w:space="0"/>
              <w:right w:val="single" w:color="000000" w:sz="4" w:space="0"/>
            </w:tcBorders>
          </w:tcPr>
          <w:p w14:paraId="261A098C">
            <w:pPr>
              <w:pStyle w:val="66"/>
              <w:ind w:firstLine="420"/>
              <w:rPr>
                <w:sz w:val="21"/>
                <w:szCs w:val="21"/>
              </w:rPr>
            </w:pPr>
            <w:r>
              <w:rPr>
                <w:sz w:val="21"/>
                <w:szCs w:val="21"/>
              </w:rPr>
              <w:t>1.6</w:t>
            </w:r>
          </w:p>
        </w:tc>
      </w:tr>
    </w:tbl>
    <w:p w14:paraId="79057634">
      <w:pPr>
        <w:pStyle w:val="66"/>
        <w:numPr>
          <w:ilvl w:val="0"/>
          <w:numId w:val="15"/>
        </w:numPr>
        <w:ind w:firstLine="420"/>
        <w:rPr>
          <w:sz w:val="21"/>
          <w:szCs w:val="21"/>
        </w:rPr>
      </w:pPr>
      <w:r>
        <w:rPr>
          <w:rFonts w:hint="eastAsia"/>
          <w:sz w:val="21"/>
          <w:szCs w:val="21"/>
        </w:rPr>
        <w:t>电缆槽盖须为带中心系紧螺栓的快装型。</w:t>
      </w:r>
    </w:p>
    <w:p w14:paraId="29570418">
      <w:pPr>
        <w:pStyle w:val="66"/>
        <w:numPr>
          <w:ilvl w:val="0"/>
          <w:numId w:val="15"/>
        </w:numPr>
        <w:ind w:firstLine="420"/>
        <w:rPr>
          <w:sz w:val="21"/>
          <w:szCs w:val="21"/>
        </w:rPr>
      </w:pPr>
      <w:r>
        <w:rPr>
          <w:rFonts w:hint="eastAsia"/>
          <w:sz w:val="21"/>
          <w:szCs w:val="21"/>
        </w:rPr>
        <w:t>须提供内部带针型架以支持电缆重量及安装时固定电缆的垂直电线槽。针型架为钢针柱外包绝缘护套固定于电线槽的背板上间距为</w:t>
      </w:r>
      <w:r>
        <w:rPr>
          <w:sz w:val="21"/>
          <w:szCs w:val="21"/>
        </w:rPr>
        <w:t>3</w:t>
      </w:r>
      <w:r>
        <w:rPr>
          <w:rFonts w:hint="eastAsia"/>
          <w:sz w:val="21"/>
          <w:szCs w:val="21"/>
        </w:rPr>
        <w:t>米。</w:t>
      </w:r>
    </w:p>
    <w:p w14:paraId="505DFE9C">
      <w:pPr>
        <w:pStyle w:val="66"/>
        <w:numPr>
          <w:ilvl w:val="0"/>
          <w:numId w:val="15"/>
        </w:numPr>
        <w:ind w:firstLine="420"/>
        <w:rPr>
          <w:sz w:val="21"/>
          <w:szCs w:val="21"/>
        </w:rPr>
      </w:pPr>
      <w:r>
        <w:rPr>
          <w:rFonts w:hint="eastAsia"/>
          <w:sz w:val="21"/>
          <w:szCs w:val="21"/>
        </w:rPr>
        <w:t>终端电线槽须装设终端法兰板用以直接与配电箱或装置用螺栓连接。使用连接片幷以镀镉菌形螺栓，螺帽及防震的弹簧垫圈固定。</w:t>
      </w:r>
    </w:p>
    <w:p w14:paraId="236C355D">
      <w:pPr>
        <w:pStyle w:val="66"/>
        <w:numPr>
          <w:ilvl w:val="0"/>
          <w:numId w:val="15"/>
        </w:numPr>
        <w:ind w:firstLine="420"/>
        <w:rPr>
          <w:sz w:val="21"/>
          <w:szCs w:val="21"/>
        </w:rPr>
      </w:pPr>
      <w:r>
        <w:rPr>
          <w:rFonts w:hint="eastAsia"/>
          <w:sz w:val="21"/>
          <w:szCs w:val="21"/>
        </w:rPr>
        <w:t>电线槽之接头处须有一条镀锡铜带以螺栓与相邻的电线槽连接以保证电气上的连续性。</w:t>
      </w:r>
    </w:p>
    <w:p w14:paraId="445A0614">
      <w:pPr>
        <w:pStyle w:val="66"/>
        <w:numPr>
          <w:ilvl w:val="0"/>
          <w:numId w:val="10"/>
        </w:numPr>
        <w:ind w:left="-2" w:leftChars="-1" w:firstLine="371" w:firstLineChars="177"/>
        <w:rPr>
          <w:sz w:val="21"/>
          <w:szCs w:val="21"/>
        </w:rPr>
      </w:pPr>
      <w:bookmarkStart w:id="68" w:name="_Toc255482831"/>
      <w:r>
        <w:rPr>
          <w:rFonts w:hint="eastAsia"/>
          <w:sz w:val="21"/>
          <w:szCs w:val="21"/>
        </w:rPr>
        <w:t>分线盒及出线盒</w:t>
      </w:r>
      <w:bookmarkEnd w:id="68"/>
    </w:p>
    <w:p w14:paraId="4B8E4100">
      <w:pPr>
        <w:pStyle w:val="66"/>
        <w:numPr>
          <w:ilvl w:val="0"/>
          <w:numId w:val="16"/>
        </w:numPr>
        <w:ind w:firstLine="420"/>
        <w:rPr>
          <w:sz w:val="21"/>
          <w:szCs w:val="21"/>
        </w:rPr>
      </w:pPr>
      <w:r>
        <w:rPr>
          <w:rFonts w:hint="eastAsia"/>
          <w:sz w:val="21"/>
          <w:szCs w:val="21"/>
        </w:rPr>
        <w:t>分线盒及出线盒须由厚规镀锌钢板及其它有足够强度和性能耐腐蚀的材料制作，并能于四边进入。未用的进入端须用可拆卸的角钢封闭。按图示，将电线管引入。</w:t>
      </w:r>
    </w:p>
    <w:p w14:paraId="2D081A24">
      <w:pPr>
        <w:pStyle w:val="66"/>
        <w:numPr>
          <w:ilvl w:val="0"/>
          <w:numId w:val="16"/>
        </w:numPr>
        <w:ind w:firstLine="420"/>
        <w:rPr>
          <w:sz w:val="21"/>
          <w:szCs w:val="21"/>
        </w:rPr>
      </w:pPr>
      <w:r>
        <w:rPr>
          <w:rFonts w:hint="eastAsia"/>
          <w:sz w:val="21"/>
          <w:szCs w:val="21"/>
        </w:rPr>
        <w:t>分线盒盖须由沉头黄铜螺栓固定，四周凸起以嵌入热塑属于夸或地毯。出线盒盖须带绞链，使于任何时均可接触到支力和超低压插座。盒盖四周应凸起以嵌入热塑性地砖或地毯。盒之四周应加塑料边框以保护环绕的地板饰面。在进行制造前需由顾主授权代表确知电线槽凹入的确实深度。在任何情况下，深度不会超过</w:t>
      </w:r>
      <w:r>
        <w:rPr>
          <w:sz w:val="21"/>
          <w:szCs w:val="21"/>
        </w:rPr>
        <w:t>6</w:t>
      </w:r>
      <w:r>
        <w:rPr>
          <w:rFonts w:hint="eastAsia"/>
          <w:sz w:val="21"/>
          <w:szCs w:val="21"/>
        </w:rPr>
        <w:t>毫米。</w:t>
      </w:r>
    </w:p>
    <w:p w14:paraId="01E0BD8E">
      <w:pPr>
        <w:pStyle w:val="66"/>
        <w:numPr>
          <w:ilvl w:val="0"/>
          <w:numId w:val="16"/>
        </w:numPr>
        <w:ind w:firstLine="420"/>
        <w:rPr>
          <w:sz w:val="21"/>
          <w:szCs w:val="21"/>
        </w:rPr>
      </w:pPr>
      <w:r>
        <w:rPr>
          <w:rFonts w:hint="eastAsia"/>
          <w:sz w:val="21"/>
          <w:szCs w:val="21"/>
        </w:rPr>
        <w:t>盒高度须可单独地进行调整以考虑地板饰面之不同厚度。为地板内电线槽系统各部分间找时须留有适当的余度。</w:t>
      </w:r>
    </w:p>
    <w:p w14:paraId="48445D15">
      <w:pPr>
        <w:pStyle w:val="66"/>
        <w:numPr>
          <w:ilvl w:val="0"/>
          <w:numId w:val="16"/>
        </w:numPr>
        <w:ind w:firstLine="420"/>
        <w:rPr>
          <w:sz w:val="21"/>
          <w:szCs w:val="21"/>
        </w:rPr>
      </w:pPr>
      <w:r>
        <w:rPr>
          <w:rFonts w:hint="eastAsia"/>
          <w:sz w:val="21"/>
          <w:szCs w:val="21"/>
        </w:rPr>
        <w:t>在分线盒内使跨越桥和刚性分隔将不同回路完全分隔开。</w:t>
      </w:r>
    </w:p>
    <w:p w14:paraId="751760E7">
      <w:pPr>
        <w:pStyle w:val="66"/>
        <w:numPr>
          <w:ilvl w:val="0"/>
          <w:numId w:val="16"/>
        </w:numPr>
        <w:ind w:firstLine="420"/>
        <w:rPr>
          <w:sz w:val="21"/>
          <w:szCs w:val="21"/>
        </w:rPr>
      </w:pPr>
      <w:r>
        <w:rPr>
          <w:rFonts w:hint="eastAsia"/>
          <w:sz w:val="21"/>
          <w:szCs w:val="21"/>
        </w:rPr>
        <w:t>自出线盒中引出的电缆须用尼龙制的电缆护孔环或相同而经批准的材料加以保护并须能于不同的时候反转至关闭的位置。</w:t>
      </w:r>
    </w:p>
    <w:p w14:paraId="599FCB86">
      <w:pPr>
        <w:pStyle w:val="66"/>
        <w:numPr>
          <w:ilvl w:val="0"/>
          <w:numId w:val="16"/>
        </w:numPr>
        <w:ind w:firstLine="420"/>
        <w:rPr>
          <w:sz w:val="21"/>
          <w:szCs w:val="21"/>
        </w:rPr>
      </w:pPr>
      <w:r>
        <w:rPr>
          <w:rFonts w:hint="eastAsia"/>
          <w:sz w:val="21"/>
          <w:szCs w:val="21"/>
        </w:rPr>
        <w:t>各盒须带防水垫圈及连接盒与盖间的回路保护导线。</w:t>
      </w:r>
    </w:p>
    <w:p w14:paraId="1F6210B0">
      <w:pPr>
        <w:pStyle w:val="66"/>
        <w:numPr>
          <w:ilvl w:val="0"/>
          <w:numId w:val="10"/>
        </w:numPr>
        <w:ind w:left="-2" w:leftChars="-1" w:firstLine="371" w:firstLineChars="177"/>
        <w:rPr>
          <w:sz w:val="21"/>
          <w:szCs w:val="21"/>
        </w:rPr>
      </w:pPr>
      <w:bookmarkStart w:id="69" w:name="_Toc255482832"/>
      <w:r>
        <w:rPr>
          <w:rFonts w:hint="eastAsia"/>
          <w:sz w:val="21"/>
          <w:szCs w:val="21"/>
        </w:rPr>
        <w:t>软线</w:t>
      </w:r>
      <w:bookmarkEnd w:id="69"/>
    </w:p>
    <w:p w14:paraId="674CD435">
      <w:pPr>
        <w:pStyle w:val="66"/>
        <w:numPr>
          <w:ilvl w:val="0"/>
          <w:numId w:val="17"/>
        </w:numPr>
        <w:ind w:firstLine="420"/>
        <w:rPr>
          <w:sz w:val="21"/>
          <w:szCs w:val="21"/>
        </w:rPr>
      </w:pPr>
      <w:r>
        <w:rPr>
          <w:rFonts w:hint="eastAsia"/>
          <w:sz w:val="21"/>
          <w:szCs w:val="21"/>
        </w:rPr>
        <w:t>软线须为符合</w:t>
      </w:r>
      <w:r>
        <w:rPr>
          <w:sz w:val="21"/>
          <w:szCs w:val="21"/>
        </w:rPr>
        <w:t>GB5023.2</w:t>
      </w:r>
      <w:r>
        <w:rPr>
          <w:rFonts w:hint="eastAsia"/>
          <w:sz w:val="21"/>
          <w:szCs w:val="21"/>
        </w:rPr>
        <w:t>，</w:t>
      </w:r>
      <w:r>
        <w:rPr>
          <w:sz w:val="21"/>
          <w:szCs w:val="21"/>
        </w:rPr>
        <w:t>IEC227</w:t>
      </w:r>
      <w:r>
        <w:rPr>
          <w:rFonts w:hint="eastAsia"/>
          <w:sz w:val="21"/>
          <w:szCs w:val="21"/>
        </w:rPr>
        <w:t>及</w:t>
      </w:r>
      <w:r>
        <w:rPr>
          <w:sz w:val="21"/>
          <w:szCs w:val="21"/>
        </w:rPr>
        <w:t>IEC245</w:t>
      </w:r>
      <w:r>
        <w:rPr>
          <w:rFonts w:hint="eastAsia"/>
          <w:sz w:val="21"/>
          <w:szCs w:val="21"/>
        </w:rPr>
        <w:t>之</w:t>
      </w:r>
      <w:r>
        <w:rPr>
          <w:sz w:val="21"/>
          <w:szCs w:val="21"/>
        </w:rPr>
        <w:t>450/750</w:t>
      </w:r>
      <w:r>
        <w:rPr>
          <w:rFonts w:hint="eastAsia"/>
          <w:sz w:val="21"/>
          <w:szCs w:val="21"/>
        </w:rPr>
        <w:t>伏电压级，多股铜。</w:t>
      </w:r>
    </w:p>
    <w:p w14:paraId="2D3ED16C">
      <w:pPr>
        <w:pStyle w:val="66"/>
        <w:numPr>
          <w:ilvl w:val="0"/>
          <w:numId w:val="17"/>
        </w:numPr>
        <w:ind w:firstLine="420"/>
        <w:rPr>
          <w:sz w:val="21"/>
          <w:szCs w:val="21"/>
        </w:rPr>
      </w:pPr>
      <w:r>
        <w:rPr>
          <w:rFonts w:hint="eastAsia"/>
          <w:sz w:val="21"/>
          <w:szCs w:val="21"/>
        </w:rPr>
        <w:t>导线，耐高温，</w:t>
      </w:r>
      <w:r>
        <w:rPr>
          <w:sz w:val="21"/>
          <w:szCs w:val="21"/>
        </w:rPr>
        <w:t>PVC</w:t>
      </w:r>
      <w:r>
        <w:rPr>
          <w:rFonts w:hint="eastAsia"/>
          <w:sz w:val="21"/>
          <w:szCs w:val="21"/>
        </w:rPr>
        <w:t>绝缘带白色阻燃</w:t>
      </w:r>
      <w:r>
        <w:rPr>
          <w:sz w:val="21"/>
          <w:szCs w:val="21"/>
        </w:rPr>
        <w:t>PVC</w:t>
      </w:r>
      <w:r>
        <w:rPr>
          <w:rFonts w:hint="eastAsia"/>
          <w:sz w:val="21"/>
          <w:szCs w:val="21"/>
        </w:rPr>
        <w:t>外护套。</w:t>
      </w:r>
    </w:p>
    <w:p w14:paraId="7CE82D3C">
      <w:pPr>
        <w:pStyle w:val="66"/>
        <w:numPr>
          <w:ilvl w:val="0"/>
          <w:numId w:val="17"/>
        </w:numPr>
        <w:ind w:firstLine="420"/>
        <w:rPr>
          <w:sz w:val="21"/>
          <w:szCs w:val="21"/>
        </w:rPr>
      </w:pPr>
      <w:r>
        <w:rPr>
          <w:rFonts w:hint="eastAsia"/>
          <w:sz w:val="21"/>
          <w:szCs w:val="21"/>
        </w:rPr>
        <w:t>照明及控制回路最小导线截面必须为</w:t>
      </w:r>
      <w:r>
        <w:rPr>
          <w:sz w:val="21"/>
          <w:szCs w:val="21"/>
        </w:rPr>
        <w:t>1.5</w:t>
      </w:r>
      <w:r>
        <w:rPr>
          <w:rFonts w:hint="eastAsia"/>
          <w:sz w:val="21"/>
          <w:szCs w:val="21"/>
        </w:rPr>
        <w:t>平方毫米，对插座为</w:t>
      </w:r>
      <w:r>
        <w:rPr>
          <w:sz w:val="21"/>
          <w:szCs w:val="21"/>
        </w:rPr>
        <w:t>2.5</w:t>
      </w:r>
      <w:r>
        <w:rPr>
          <w:rFonts w:hint="eastAsia"/>
          <w:sz w:val="21"/>
          <w:szCs w:val="21"/>
        </w:rPr>
        <w:t>平方毫米。</w:t>
      </w:r>
    </w:p>
    <w:p w14:paraId="2A898010">
      <w:pPr>
        <w:pStyle w:val="66"/>
        <w:numPr>
          <w:ilvl w:val="0"/>
          <w:numId w:val="10"/>
        </w:numPr>
        <w:ind w:left="-2" w:leftChars="-1" w:firstLine="371" w:firstLineChars="177"/>
        <w:rPr>
          <w:sz w:val="21"/>
          <w:szCs w:val="21"/>
        </w:rPr>
      </w:pPr>
      <w:r>
        <w:rPr>
          <w:rFonts w:hint="eastAsia"/>
          <w:sz w:val="21"/>
          <w:szCs w:val="21"/>
        </w:rPr>
        <w:t>金属电线管及电线管附件</w:t>
      </w:r>
    </w:p>
    <w:p w14:paraId="3EE8B200">
      <w:pPr>
        <w:pStyle w:val="66"/>
        <w:numPr>
          <w:ilvl w:val="0"/>
          <w:numId w:val="18"/>
        </w:numPr>
        <w:ind w:firstLine="420"/>
        <w:rPr>
          <w:sz w:val="21"/>
          <w:szCs w:val="21"/>
        </w:rPr>
      </w:pPr>
      <w:r>
        <w:rPr>
          <w:rFonts w:hint="eastAsia"/>
          <w:sz w:val="21"/>
          <w:szCs w:val="21"/>
        </w:rPr>
        <w:t>浇灌于混凝土内的电线管，其径向环绕于电线管四周任何点上之混凝土或抺</w:t>
      </w:r>
    </w:p>
    <w:p w14:paraId="4B6F1F0A">
      <w:pPr>
        <w:pStyle w:val="66"/>
        <w:numPr>
          <w:ilvl w:val="0"/>
          <w:numId w:val="18"/>
        </w:numPr>
        <w:ind w:firstLine="420"/>
        <w:rPr>
          <w:sz w:val="21"/>
          <w:szCs w:val="21"/>
        </w:rPr>
      </w:pPr>
      <w:r>
        <w:rPr>
          <w:rFonts w:hint="eastAsia"/>
          <w:sz w:val="21"/>
          <w:szCs w:val="21"/>
        </w:rPr>
        <w:t>面层的厚度不得小于</w:t>
      </w:r>
      <w:r>
        <w:rPr>
          <w:sz w:val="21"/>
          <w:szCs w:val="21"/>
        </w:rPr>
        <w:t>15</w:t>
      </w:r>
      <w:r>
        <w:rPr>
          <w:rFonts w:hint="eastAsia"/>
          <w:sz w:val="21"/>
          <w:szCs w:val="21"/>
        </w:rPr>
        <w:t>毫米。浇灌于混凝土内平行电线管间相距须尽可能不少于</w:t>
      </w:r>
      <w:r>
        <w:rPr>
          <w:sz w:val="21"/>
          <w:szCs w:val="21"/>
        </w:rPr>
        <w:t>25</w:t>
      </w:r>
      <w:r>
        <w:rPr>
          <w:rFonts w:hint="eastAsia"/>
          <w:sz w:val="21"/>
          <w:szCs w:val="21"/>
        </w:rPr>
        <w:t>毫米。</w:t>
      </w:r>
    </w:p>
    <w:p w14:paraId="6428E3D8">
      <w:pPr>
        <w:pStyle w:val="66"/>
        <w:numPr>
          <w:ilvl w:val="0"/>
          <w:numId w:val="18"/>
        </w:numPr>
        <w:ind w:firstLine="420"/>
        <w:rPr>
          <w:sz w:val="21"/>
          <w:szCs w:val="21"/>
        </w:rPr>
      </w:pPr>
      <w:r>
        <w:rPr>
          <w:rFonts w:hint="eastAsia"/>
          <w:sz w:val="21"/>
          <w:szCs w:val="21"/>
        </w:rPr>
        <w:t>于建筑面上明装电线管须按水平和垂直方向整齐排列，并以鞍型夹予以牢固。固定间距不得超过</w:t>
      </w:r>
      <w:r>
        <w:rPr>
          <w:sz w:val="21"/>
          <w:szCs w:val="21"/>
        </w:rPr>
        <w:t>1.2</w:t>
      </w:r>
      <w:r>
        <w:rPr>
          <w:rFonts w:hint="eastAsia"/>
          <w:sz w:val="21"/>
          <w:szCs w:val="21"/>
        </w:rPr>
        <w:t>米。</w:t>
      </w:r>
    </w:p>
    <w:p w14:paraId="178C164B">
      <w:pPr>
        <w:pStyle w:val="66"/>
        <w:numPr>
          <w:ilvl w:val="0"/>
          <w:numId w:val="18"/>
        </w:numPr>
        <w:ind w:firstLine="420"/>
        <w:rPr>
          <w:sz w:val="21"/>
          <w:szCs w:val="21"/>
        </w:rPr>
      </w:pPr>
      <w:r>
        <w:rPr>
          <w:rFonts w:hint="eastAsia"/>
          <w:sz w:val="21"/>
          <w:szCs w:val="21"/>
        </w:rPr>
        <w:t>在多条电线管平行敷设时，须避免在同一地点彼此跨越向不同方向敷设。</w:t>
      </w:r>
    </w:p>
    <w:p w14:paraId="103A0EAB">
      <w:pPr>
        <w:pStyle w:val="66"/>
        <w:numPr>
          <w:ilvl w:val="0"/>
          <w:numId w:val="10"/>
        </w:numPr>
        <w:ind w:left="-2" w:leftChars="-1" w:firstLine="371" w:firstLineChars="177"/>
        <w:rPr>
          <w:sz w:val="21"/>
          <w:szCs w:val="21"/>
        </w:rPr>
      </w:pPr>
      <w:bookmarkStart w:id="70" w:name="_Toc255482847"/>
      <w:r>
        <w:rPr>
          <w:rFonts w:hint="eastAsia"/>
          <w:sz w:val="21"/>
          <w:szCs w:val="21"/>
        </w:rPr>
        <w:t>线路配件及其它电气设备</w:t>
      </w:r>
      <w:bookmarkEnd w:id="70"/>
    </w:p>
    <w:p w14:paraId="197FE7D2">
      <w:pPr>
        <w:pStyle w:val="66"/>
        <w:numPr>
          <w:ilvl w:val="0"/>
          <w:numId w:val="19"/>
        </w:numPr>
        <w:ind w:firstLine="420"/>
        <w:rPr>
          <w:sz w:val="21"/>
          <w:szCs w:val="21"/>
        </w:rPr>
      </w:pPr>
      <w:r>
        <w:rPr>
          <w:rFonts w:hint="eastAsia"/>
          <w:sz w:val="21"/>
          <w:szCs w:val="21"/>
        </w:rPr>
        <w:t>所有配电设备须符合</w:t>
      </w:r>
      <w:r>
        <w:rPr>
          <w:sz w:val="21"/>
          <w:szCs w:val="21"/>
        </w:rPr>
        <w:t>GB50259,BS5733</w:t>
      </w:r>
      <w:r>
        <w:rPr>
          <w:rFonts w:hint="eastAsia"/>
          <w:sz w:val="21"/>
          <w:szCs w:val="21"/>
        </w:rPr>
        <w:t>及</w:t>
      </w:r>
      <w:r>
        <w:rPr>
          <w:sz w:val="21"/>
          <w:szCs w:val="21"/>
        </w:rPr>
        <w:t>BS6220</w:t>
      </w:r>
      <w:r>
        <w:rPr>
          <w:rFonts w:hint="eastAsia"/>
          <w:sz w:val="21"/>
          <w:szCs w:val="21"/>
        </w:rPr>
        <w:t>之规定。</w:t>
      </w:r>
    </w:p>
    <w:p w14:paraId="0311E9CB">
      <w:pPr>
        <w:pStyle w:val="66"/>
        <w:numPr>
          <w:ilvl w:val="0"/>
          <w:numId w:val="19"/>
        </w:numPr>
        <w:ind w:firstLine="420"/>
        <w:rPr>
          <w:sz w:val="21"/>
          <w:szCs w:val="21"/>
        </w:rPr>
      </w:pPr>
      <w:r>
        <w:rPr>
          <w:rFonts w:hint="eastAsia"/>
          <w:sz w:val="21"/>
          <w:szCs w:val="21"/>
        </w:rPr>
        <w:t>若能提供</w:t>
      </w:r>
      <w:r>
        <w:rPr>
          <w:sz w:val="21"/>
          <w:szCs w:val="21"/>
        </w:rPr>
        <w:t>,</w:t>
      </w:r>
      <w:r>
        <w:rPr>
          <w:rFonts w:hint="eastAsia"/>
          <w:sz w:val="21"/>
          <w:szCs w:val="21"/>
        </w:rPr>
        <w:t>所有配电设备需由同一厂商提供，并提供有关配电设备的型号及简介。</w:t>
      </w:r>
    </w:p>
    <w:p w14:paraId="1BBC6465">
      <w:pPr>
        <w:pStyle w:val="66"/>
        <w:numPr>
          <w:ilvl w:val="0"/>
          <w:numId w:val="19"/>
        </w:numPr>
        <w:ind w:firstLine="420"/>
        <w:rPr>
          <w:sz w:val="21"/>
          <w:szCs w:val="21"/>
        </w:rPr>
      </w:pPr>
      <w:r>
        <w:rPr>
          <w:rFonts w:hint="eastAsia"/>
          <w:sz w:val="21"/>
          <w:szCs w:val="21"/>
        </w:rPr>
        <w:t>防水，防火或工业用线路配件须为明装型。</w:t>
      </w:r>
    </w:p>
    <w:p w14:paraId="4987A0B1">
      <w:pPr>
        <w:pStyle w:val="66"/>
        <w:numPr>
          <w:ilvl w:val="0"/>
          <w:numId w:val="19"/>
        </w:numPr>
        <w:ind w:firstLine="420"/>
        <w:rPr>
          <w:sz w:val="21"/>
          <w:szCs w:val="21"/>
        </w:rPr>
      </w:pPr>
      <w:r>
        <w:rPr>
          <w:rFonts w:hint="eastAsia"/>
          <w:sz w:val="21"/>
          <w:szCs w:val="21"/>
        </w:rPr>
        <w:t>所有连接应急回路的配件均须于其面盖板上刻以红色</w:t>
      </w:r>
      <w:r>
        <w:rPr>
          <w:sz w:val="21"/>
          <w:szCs w:val="21"/>
        </w:rPr>
        <w:t>“</w:t>
      </w:r>
      <w:r>
        <w:rPr>
          <w:rFonts w:hint="eastAsia"/>
          <w:sz w:val="21"/>
          <w:szCs w:val="21"/>
        </w:rPr>
        <w:t>应急</w:t>
      </w:r>
      <w:r>
        <w:rPr>
          <w:sz w:val="21"/>
          <w:szCs w:val="21"/>
        </w:rPr>
        <w:t>”</w:t>
      </w:r>
      <w:r>
        <w:rPr>
          <w:rFonts w:hint="eastAsia"/>
          <w:sz w:val="21"/>
          <w:szCs w:val="21"/>
        </w:rPr>
        <w:t>字样。</w:t>
      </w:r>
    </w:p>
    <w:p w14:paraId="73023947">
      <w:pPr>
        <w:pStyle w:val="66"/>
        <w:numPr>
          <w:ilvl w:val="0"/>
          <w:numId w:val="19"/>
        </w:numPr>
        <w:ind w:firstLine="420"/>
        <w:rPr>
          <w:sz w:val="21"/>
          <w:szCs w:val="21"/>
        </w:rPr>
      </w:pPr>
      <w:r>
        <w:rPr>
          <w:rFonts w:hint="eastAsia"/>
          <w:sz w:val="21"/>
          <w:szCs w:val="21"/>
        </w:rPr>
        <w:t>嵌入装置的配电设备须配以铁盒安装，表面装置的配电设备须配以摸似盒安装。</w:t>
      </w:r>
    </w:p>
    <w:p w14:paraId="50904AB6">
      <w:pPr>
        <w:pStyle w:val="66"/>
        <w:numPr>
          <w:ilvl w:val="0"/>
          <w:numId w:val="19"/>
        </w:numPr>
        <w:ind w:firstLine="420"/>
        <w:rPr>
          <w:sz w:val="21"/>
          <w:szCs w:val="21"/>
        </w:rPr>
      </w:pPr>
      <w:r>
        <w:rPr>
          <w:rFonts w:hint="eastAsia"/>
          <w:sz w:val="21"/>
          <w:szCs w:val="21"/>
        </w:rPr>
        <w:t>所有配电设备的安装盒须有接地连接。</w:t>
      </w:r>
    </w:p>
    <w:p w14:paraId="2F9CC206">
      <w:pPr>
        <w:pStyle w:val="66"/>
        <w:numPr>
          <w:ilvl w:val="0"/>
          <w:numId w:val="10"/>
        </w:numPr>
        <w:ind w:left="-2" w:leftChars="-1" w:firstLine="371" w:firstLineChars="177"/>
        <w:rPr>
          <w:sz w:val="21"/>
          <w:szCs w:val="21"/>
        </w:rPr>
      </w:pPr>
      <w:bookmarkStart w:id="71" w:name="_Toc255482849"/>
      <w:r>
        <w:rPr>
          <w:rFonts w:hint="eastAsia"/>
          <w:sz w:val="21"/>
          <w:szCs w:val="21"/>
        </w:rPr>
        <w:t>开关装置</w:t>
      </w:r>
      <w:bookmarkEnd w:id="71"/>
    </w:p>
    <w:p w14:paraId="55954225">
      <w:pPr>
        <w:pStyle w:val="66"/>
        <w:numPr>
          <w:ilvl w:val="0"/>
          <w:numId w:val="20"/>
        </w:numPr>
        <w:ind w:firstLine="420"/>
        <w:rPr>
          <w:sz w:val="21"/>
          <w:szCs w:val="21"/>
        </w:rPr>
      </w:pPr>
      <w:r>
        <w:rPr>
          <w:rFonts w:hint="eastAsia"/>
          <w:sz w:val="21"/>
          <w:szCs w:val="21"/>
        </w:rPr>
        <w:t>照明开关须为</w:t>
      </w:r>
      <w:r>
        <w:rPr>
          <w:sz w:val="21"/>
          <w:szCs w:val="21"/>
        </w:rPr>
        <w:t>10</w:t>
      </w:r>
      <w:r>
        <w:rPr>
          <w:rFonts w:hint="eastAsia"/>
          <w:sz w:val="21"/>
          <w:szCs w:val="21"/>
        </w:rPr>
        <w:t>或</w:t>
      </w:r>
      <w:r>
        <w:rPr>
          <w:sz w:val="21"/>
          <w:szCs w:val="21"/>
        </w:rPr>
        <w:t>16</w:t>
      </w:r>
      <w:r>
        <w:rPr>
          <w:rFonts w:hint="eastAsia"/>
          <w:sz w:val="21"/>
          <w:szCs w:val="21"/>
        </w:rPr>
        <w:t>安单极，微</w:t>
      </w:r>
      <w:r>
        <w:rPr>
          <w:sz w:val="21"/>
          <w:szCs w:val="21"/>
        </w:rPr>
        <w:t>(</w:t>
      </w:r>
      <w:r>
        <w:rPr>
          <w:rFonts w:hint="eastAsia"/>
          <w:sz w:val="21"/>
          <w:szCs w:val="21"/>
        </w:rPr>
        <w:t>间</w:t>
      </w:r>
      <w:r>
        <w:rPr>
          <w:sz w:val="21"/>
          <w:szCs w:val="21"/>
        </w:rPr>
        <w:t>)</w:t>
      </w:r>
      <w:r>
        <w:rPr>
          <w:rFonts w:hint="eastAsia"/>
          <w:sz w:val="21"/>
          <w:szCs w:val="21"/>
        </w:rPr>
        <w:t>隙型开关须符合有关规要求。当照明开关用于萤光灯或感性负载时不应将额定电流降低。</w:t>
      </w:r>
    </w:p>
    <w:p w14:paraId="6C382F94">
      <w:pPr>
        <w:pStyle w:val="66"/>
        <w:numPr>
          <w:ilvl w:val="0"/>
          <w:numId w:val="20"/>
        </w:numPr>
        <w:ind w:firstLine="420"/>
        <w:rPr>
          <w:sz w:val="21"/>
          <w:szCs w:val="21"/>
        </w:rPr>
      </w:pPr>
      <w:r>
        <w:rPr>
          <w:rFonts w:hint="eastAsia"/>
          <w:sz w:val="21"/>
          <w:szCs w:val="21"/>
        </w:rPr>
        <w:t>照明器开关须为绝缘幷关装置系统，并提供一线路或两线路的联动开关。</w:t>
      </w:r>
    </w:p>
    <w:p w14:paraId="2BA51994">
      <w:pPr>
        <w:pStyle w:val="66"/>
        <w:numPr>
          <w:ilvl w:val="0"/>
          <w:numId w:val="20"/>
        </w:numPr>
        <w:ind w:firstLine="420"/>
        <w:rPr>
          <w:sz w:val="21"/>
          <w:szCs w:val="21"/>
        </w:rPr>
      </w:pPr>
      <w:r>
        <w:rPr>
          <w:rFonts w:hint="eastAsia"/>
          <w:sz w:val="21"/>
          <w:szCs w:val="21"/>
        </w:rPr>
        <w:t>所有外围开关装置外壳须为镀锌金属防水并达至</w:t>
      </w:r>
      <w:r>
        <w:rPr>
          <w:sz w:val="21"/>
          <w:szCs w:val="21"/>
        </w:rPr>
        <w:t>IP54</w:t>
      </w:r>
      <w:r>
        <w:rPr>
          <w:rFonts w:hint="eastAsia"/>
          <w:sz w:val="21"/>
          <w:szCs w:val="21"/>
        </w:rPr>
        <w:t>保护指标。</w:t>
      </w:r>
    </w:p>
    <w:p w14:paraId="4213A140">
      <w:pPr>
        <w:pStyle w:val="66"/>
        <w:numPr>
          <w:ilvl w:val="0"/>
          <w:numId w:val="20"/>
        </w:numPr>
        <w:ind w:firstLine="420"/>
        <w:rPr>
          <w:sz w:val="21"/>
          <w:szCs w:val="21"/>
        </w:rPr>
      </w:pPr>
      <w:r>
        <w:rPr>
          <w:rFonts w:hint="eastAsia"/>
          <w:sz w:val="21"/>
          <w:szCs w:val="21"/>
        </w:rPr>
        <w:t>钨丝灯调光器开关装置须符合</w:t>
      </w:r>
      <w:r>
        <w:rPr>
          <w:sz w:val="21"/>
          <w:szCs w:val="21"/>
        </w:rPr>
        <w:t>BS5518</w:t>
      </w:r>
      <w:r>
        <w:rPr>
          <w:rFonts w:hint="eastAsia"/>
          <w:sz w:val="21"/>
          <w:szCs w:val="21"/>
        </w:rPr>
        <w:t>安全、性能及高频干扰之规定。</w:t>
      </w:r>
    </w:p>
    <w:p w14:paraId="5B1E9647">
      <w:pPr>
        <w:pStyle w:val="66"/>
        <w:numPr>
          <w:ilvl w:val="0"/>
          <w:numId w:val="20"/>
        </w:numPr>
        <w:ind w:firstLine="420"/>
        <w:rPr>
          <w:sz w:val="21"/>
          <w:szCs w:val="21"/>
        </w:rPr>
      </w:pPr>
      <w:r>
        <w:rPr>
          <w:rFonts w:hint="eastAsia"/>
          <w:sz w:val="21"/>
          <w:szCs w:val="21"/>
        </w:rPr>
        <w:t>萤光灯管光器开关装置须符合</w:t>
      </w:r>
      <w:r>
        <w:rPr>
          <w:sz w:val="21"/>
          <w:szCs w:val="21"/>
        </w:rPr>
        <w:t>BS800</w:t>
      </w:r>
      <w:r>
        <w:rPr>
          <w:rFonts w:hint="eastAsia"/>
          <w:sz w:val="21"/>
          <w:szCs w:val="21"/>
        </w:rPr>
        <w:t>安全、性能及高频干扰之规定。</w:t>
      </w:r>
    </w:p>
    <w:p w14:paraId="00A80FD0">
      <w:pPr>
        <w:pStyle w:val="66"/>
        <w:numPr>
          <w:ilvl w:val="0"/>
          <w:numId w:val="20"/>
        </w:numPr>
        <w:ind w:firstLine="420"/>
        <w:rPr>
          <w:sz w:val="21"/>
          <w:szCs w:val="21"/>
        </w:rPr>
      </w:pPr>
      <w:r>
        <w:rPr>
          <w:rFonts w:hint="eastAsia"/>
          <w:sz w:val="21"/>
          <w:szCs w:val="21"/>
        </w:rPr>
        <w:t>调光器须为模件化设计幷包括可控硅及有关的控制和电路接线。控制萤光灯管的组件中须装有硬触发电路以免除装置负载电阻。当萤光灯管调光器于断开位置时，灯管的加热回路应同时切断。</w:t>
      </w:r>
    </w:p>
    <w:p w14:paraId="156E197B">
      <w:pPr>
        <w:pStyle w:val="66"/>
        <w:numPr>
          <w:ilvl w:val="0"/>
          <w:numId w:val="20"/>
        </w:numPr>
        <w:ind w:firstLine="420"/>
        <w:rPr>
          <w:sz w:val="21"/>
          <w:szCs w:val="21"/>
        </w:rPr>
      </w:pPr>
      <w:r>
        <w:rPr>
          <w:rFonts w:hint="eastAsia"/>
          <w:sz w:val="21"/>
          <w:szCs w:val="21"/>
        </w:rPr>
        <w:t>调光器应采用自然通风，在需要时可用通风机协助通风。</w:t>
      </w:r>
    </w:p>
    <w:p w14:paraId="438ABEE7">
      <w:pPr>
        <w:pStyle w:val="66"/>
        <w:numPr>
          <w:ilvl w:val="0"/>
          <w:numId w:val="10"/>
        </w:numPr>
        <w:ind w:left="-2" w:leftChars="-1" w:firstLine="371" w:firstLineChars="177"/>
        <w:rPr>
          <w:sz w:val="21"/>
          <w:szCs w:val="21"/>
        </w:rPr>
      </w:pPr>
      <w:bookmarkStart w:id="72" w:name="_Toc255482852"/>
      <w:r>
        <w:rPr>
          <w:rFonts w:hint="eastAsia"/>
          <w:sz w:val="21"/>
          <w:szCs w:val="21"/>
        </w:rPr>
        <w:t>带熔断器的接线组件</w:t>
      </w:r>
      <w:bookmarkEnd w:id="72"/>
    </w:p>
    <w:p w14:paraId="559330D5">
      <w:pPr>
        <w:pStyle w:val="66"/>
        <w:numPr>
          <w:ilvl w:val="0"/>
          <w:numId w:val="21"/>
        </w:numPr>
        <w:ind w:firstLine="420"/>
        <w:rPr>
          <w:sz w:val="21"/>
          <w:szCs w:val="21"/>
        </w:rPr>
      </w:pPr>
      <w:r>
        <w:rPr>
          <w:rFonts w:hint="eastAsia"/>
          <w:sz w:val="21"/>
          <w:szCs w:val="21"/>
        </w:rPr>
        <w:t>带熔断器的接线组件须为符合国标之双极开关型带软出口内装符合国标之熔丝断器。</w:t>
      </w:r>
    </w:p>
    <w:p w14:paraId="232EC708">
      <w:pPr>
        <w:pStyle w:val="66"/>
        <w:numPr>
          <w:ilvl w:val="0"/>
          <w:numId w:val="21"/>
        </w:numPr>
        <w:ind w:firstLine="420"/>
        <w:rPr>
          <w:sz w:val="21"/>
          <w:szCs w:val="21"/>
        </w:rPr>
      </w:pPr>
      <w:r>
        <w:rPr>
          <w:rFonts w:hint="eastAsia"/>
          <w:sz w:val="21"/>
          <w:szCs w:val="21"/>
        </w:rPr>
        <w:t>除另有规定外，在带熔断器的接线组件中装置</w:t>
      </w:r>
      <w:r>
        <w:rPr>
          <w:sz w:val="21"/>
          <w:szCs w:val="21"/>
        </w:rPr>
        <w:t>13</w:t>
      </w:r>
      <w:r>
        <w:rPr>
          <w:rFonts w:hint="eastAsia"/>
          <w:sz w:val="21"/>
          <w:szCs w:val="21"/>
        </w:rPr>
        <w:t>安熔断器供小功率电力回路用。</w:t>
      </w:r>
    </w:p>
    <w:p w14:paraId="2FC9E249">
      <w:pPr>
        <w:pStyle w:val="66"/>
        <w:numPr>
          <w:ilvl w:val="0"/>
          <w:numId w:val="10"/>
        </w:numPr>
        <w:ind w:left="-2" w:leftChars="-1" w:firstLine="371" w:firstLineChars="177"/>
        <w:rPr>
          <w:sz w:val="21"/>
          <w:szCs w:val="21"/>
        </w:rPr>
      </w:pPr>
      <w:bookmarkStart w:id="73" w:name="_Toc255482853"/>
      <w:r>
        <w:rPr>
          <w:rFonts w:hint="eastAsia"/>
          <w:sz w:val="21"/>
          <w:szCs w:val="21"/>
        </w:rPr>
        <w:t>分线盒</w:t>
      </w:r>
      <w:bookmarkEnd w:id="73"/>
    </w:p>
    <w:p w14:paraId="0CBFE2AA">
      <w:pPr>
        <w:pStyle w:val="66"/>
        <w:numPr>
          <w:ilvl w:val="0"/>
          <w:numId w:val="22"/>
        </w:numPr>
        <w:ind w:firstLine="420"/>
        <w:rPr>
          <w:sz w:val="21"/>
          <w:szCs w:val="21"/>
        </w:rPr>
      </w:pPr>
      <w:r>
        <w:rPr>
          <w:rFonts w:hint="eastAsia"/>
          <w:sz w:val="21"/>
          <w:szCs w:val="21"/>
        </w:rPr>
        <w:t>分线盒须为绝缘式，装置于胶物料上并符合</w:t>
      </w:r>
      <w:r>
        <w:rPr>
          <w:sz w:val="21"/>
          <w:szCs w:val="21"/>
        </w:rPr>
        <w:t>BS1362</w:t>
      </w:r>
      <w:r>
        <w:rPr>
          <w:rFonts w:hint="eastAsia"/>
          <w:sz w:val="21"/>
          <w:szCs w:val="21"/>
        </w:rPr>
        <w:t>之规定。</w:t>
      </w:r>
    </w:p>
    <w:p w14:paraId="050794F8">
      <w:pPr>
        <w:pStyle w:val="66"/>
        <w:numPr>
          <w:ilvl w:val="0"/>
          <w:numId w:val="22"/>
        </w:numPr>
        <w:ind w:firstLine="420"/>
        <w:rPr>
          <w:sz w:val="21"/>
          <w:szCs w:val="21"/>
        </w:rPr>
      </w:pPr>
      <w:r>
        <w:rPr>
          <w:sz w:val="21"/>
          <w:szCs w:val="21"/>
        </w:rPr>
        <w:t>20</w:t>
      </w:r>
      <w:r>
        <w:rPr>
          <w:rFonts w:hint="eastAsia"/>
          <w:sz w:val="21"/>
          <w:szCs w:val="21"/>
        </w:rPr>
        <w:t>安培的分线盒须使用不少于</w:t>
      </w:r>
      <w:r>
        <w:rPr>
          <w:sz w:val="21"/>
          <w:szCs w:val="21"/>
        </w:rPr>
        <w:t>2.5mm²</w:t>
      </w:r>
      <w:r>
        <w:rPr>
          <w:rFonts w:hint="eastAsia"/>
          <w:sz w:val="21"/>
          <w:szCs w:val="21"/>
        </w:rPr>
        <w:t>的导线，而</w:t>
      </w:r>
      <w:r>
        <w:rPr>
          <w:sz w:val="21"/>
          <w:szCs w:val="21"/>
        </w:rPr>
        <w:t>30</w:t>
      </w:r>
      <w:r>
        <w:rPr>
          <w:rFonts w:hint="eastAsia"/>
          <w:sz w:val="21"/>
          <w:szCs w:val="21"/>
        </w:rPr>
        <w:t>安培的分线盒须使用不小于</w:t>
      </w:r>
      <w:r>
        <w:rPr>
          <w:sz w:val="21"/>
          <w:szCs w:val="21"/>
        </w:rPr>
        <w:t>4mm²</w:t>
      </w:r>
      <w:r>
        <w:rPr>
          <w:rFonts w:hint="eastAsia"/>
          <w:sz w:val="21"/>
          <w:szCs w:val="21"/>
        </w:rPr>
        <w:t>的导线。</w:t>
      </w:r>
    </w:p>
    <w:p w14:paraId="4AC3C222">
      <w:pPr>
        <w:pStyle w:val="66"/>
        <w:numPr>
          <w:ilvl w:val="0"/>
          <w:numId w:val="22"/>
        </w:numPr>
        <w:ind w:firstLine="420"/>
        <w:rPr>
          <w:sz w:val="21"/>
          <w:szCs w:val="21"/>
        </w:rPr>
      </w:pPr>
      <w:r>
        <w:rPr>
          <w:rFonts w:hint="eastAsia"/>
          <w:sz w:val="21"/>
          <w:szCs w:val="21"/>
        </w:rPr>
        <w:t>若分线盒接合于终端棒其须使用不少于</w:t>
      </w:r>
      <w:r>
        <w:rPr>
          <w:sz w:val="21"/>
          <w:szCs w:val="21"/>
        </w:rPr>
        <w:t>6mm²</w:t>
      </w:r>
      <w:r>
        <w:rPr>
          <w:rFonts w:hint="eastAsia"/>
          <w:sz w:val="21"/>
          <w:szCs w:val="21"/>
        </w:rPr>
        <w:t>的导线。</w:t>
      </w:r>
    </w:p>
    <w:p w14:paraId="2CB65D42">
      <w:pPr>
        <w:spacing w:line="360" w:lineRule="auto"/>
        <w:outlineLvl w:val="1"/>
        <w:rPr>
          <w:b/>
          <w:szCs w:val="21"/>
        </w:rPr>
      </w:pPr>
      <w:bookmarkStart w:id="74" w:name="_Toc206145314"/>
      <w:r>
        <w:rPr>
          <w:rFonts w:hint="eastAsia"/>
          <w:b/>
          <w:szCs w:val="21"/>
        </w:rPr>
        <w:t>3.</w:t>
      </w:r>
      <w:r>
        <w:rPr>
          <w:b/>
          <w:szCs w:val="21"/>
        </w:rPr>
        <w:t xml:space="preserve">7 </w:t>
      </w:r>
      <w:r>
        <w:rPr>
          <w:rFonts w:hint="eastAsia"/>
          <w:b/>
          <w:szCs w:val="21"/>
        </w:rPr>
        <w:t>综合布线及通信系统</w:t>
      </w:r>
      <w:bookmarkEnd w:id="74"/>
    </w:p>
    <w:p w14:paraId="3853425E">
      <w:pPr>
        <w:pStyle w:val="66"/>
        <w:ind w:firstLine="420"/>
        <w:rPr>
          <w:sz w:val="21"/>
          <w:szCs w:val="21"/>
        </w:rPr>
      </w:pPr>
      <w:r>
        <w:rPr>
          <w:rFonts w:hint="eastAsia"/>
          <w:sz w:val="21"/>
          <w:szCs w:val="21"/>
        </w:rPr>
        <w:t>根据装修设计和终端布置要求，对强弱电信息点进行移位、增加，但要求布点处外观隐秘性。弱电系统作为营业厅语音、数据及图像通信等的传输媒质，实现各种计算机设备、各种网络互联设备，以及计算机系统等在物理上和逻辑上的互连。系统将建成一套模块化、标准化的信息传输通道，完成语音、数据、图像设备和交换设备与其他信息管理系统相连，也能使这些设备与外部通信网相连接。此次项目主要完成网线、音频线、视频线等线缆的布放。</w:t>
      </w:r>
    </w:p>
    <w:p w14:paraId="7D485439">
      <w:pPr>
        <w:pStyle w:val="66"/>
        <w:ind w:firstLine="420"/>
        <w:rPr>
          <w:sz w:val="21"/>
          <w:szCs w:val="21"/>
        </w:rPr>
      </w:pPr>
      <w:r>
        <w:rPr>
          <w:rFonts w:hint="eastAsia"/>
          <w:sz w:val="21"/>
          <w:szCs w:val="21"/>
        </w:rPr>
        <w:t>设计原则兼具：开放性、先进性、实用性、经济性、可靠性和模块化。</w:t>
      </w:r>
    </w:p>
    <w:p w14:paraId="45BD2C3D">
      <w:pPr>
        <w:spacing w:line="360" w:lineRule="auto"/>
        <w:jc w:val="left"/>
        <w:outlineLvl w:val="2"/>
        <w:rPr>
          <w:b/>
        </w:rPr>
      </w:pPr>
      <w:bookmarkStart w:id="75" w:name="_Toc506302426"/>
      <w:bookmarkStart w:id="76" w:name="_Toc206145315"/>
      <w:r>
        <w:rPr>
          <w:rFonts w:hint="eastAsia"/>
          <w:b/>
        </w:rPr>
        <w:t>3.</w:t>
      </w:r>
      <w:r>
        <w:rPr>
          <w:b/>
        </w:rPr>
        <w:t>7</w:t>
      </w:r>
      <w:r>
        <w:rPr>
          <w:rFonts w:hint="eastAsia"/>
          <w:b/>
        </w:rPr>
        <w:t>.1一般原则</w:t>
      </w:r>
      <w:bookmarkEnd w:id="75"/>
      <w:bookmarkEnd w:id="76"/>
    </w:p>
    <w:p w14:paraId="3B9952E1">
      <w:pPr>
        <w:numPr>
          <w:ilvl w:val="0"/>
          <w:numId w:val="23"/>
        </w:numPr>
        <w:tabs>
          <w:tab w:val="left" w:pos="142"/>
          <w:tab w:val="left" w:pos="426"/>
          <w:tab w:val="left" w:pos="1134"/>
        </w:tabs>
        <w:spacing w:line="360" w:lineRule="auto"/>
        <w:ind w:left="0" w:firstLine="371" w:firstLineChars="177"/>
        <w:rPr>
          <w:rFonts w:ascii="宋体" w:hAnsi="宋体"/>
        </w:rPr>
      </w:pPr>
      <w:r>
        <w:rPr>
          <w:rFonts w:hint="eastAsia" w:ascii="宋体" w:hAnsi="宋体"/>
        </w:rPr>
        <w:t>充分满足功能上的需求，能支持不同厂商的不同网络产品和不同结构的网络环境。</w:t>
      </w:r>
    </w:p>
    <w:p w14:paraId="012B2003">
      <w:pPr>
        <w:numPr>
          <w:ilvl w:val="0"/>
          <w:numId w:val="23"/>
        </w:numPr>
        <w:tabs>
          <w:tab w:val="left" w:pos="142"/>
          <w:tab w:val="left" w:pos="426"/>
          <w:tab w:val="left" w:pos="1134"/>
        </w:tabs>
        <w:spacing w:line="360" w:lineRule="auto"/>
        <w:ind w:left="0" w:firstLine="371" w:firstLineChars="177"/>
        <w:rPr>
          <w:rFonts w:ascii="宋体" w:hAnsi="宋体"/>
        </w:rPr>
      </w:pPr>
      <w:r>
        <w:rPr>
          <w:rFonts w:hint="eastAsia" w:ascii="宋体" w:hAnsi="宋体"/>
        </w:rPr>
        <w:t>结构和性能上都留适当余量和可升级空间。</w:t>
      </w:r>
    </w:p>
    <w:p w14:paraId="0EDA1C35">
      <w:pPr>
        <w:numPr>
          <w:ilvl w:val="0"/>
          <w:numId w:val="23"/>
        </w:numPr>
        <w:tabs>
          <w:tab w:val="left" w:pos="142"/>
          <w:tab w:val="left" w:pos="426"/>
          <w:tab w:val="left" w:pos="1134"/>
        </w:tabs>
        <w:spacing w:line="360" w:lineRule="auto"/>
        <w:ind w:left="0" w:firstLine="371" w:firstLineChars="177"/>
        <w:rPr>
          <w:rFonts w:ascii="宋体" w:hAnsi="宋体"/>
        </w:rPr>
      </w:pPr>
      <w:r>
        <w:rPr>
          <w:rFonts w:hint="eastAsia" w:ascii="宋体" w:hAnsi="宋体"/>
        </w:rPr>
        <w:t>遵循原有网络设计要求，并提供升级建议。</w:t>
      </w:r>
    </w:p>
    <w:p w14:paraId="1213C3FE">
      <w:pPr>
        <w:numPr>
          <w:ilvl w:val="0"/>
          <w:numId w:val="23"/>
        </w:numPr>
        <w:tabs>
          <w:tab w:val="left" w:pos="142"/>
          <w:tab w:val="left" w:pos="426"/>
          <w:tab w:val="left" w:pos="1134"/>
        </w:tabs>
        <w:spacing w:line="360" w:lineRule="auto"/>
        <w:ind w:left="0" w:firstLine="371" w:firstLineChars="177"/>
        <w:rPr>
          <w:rFonts w:ascii="宋体" w:hAnsi="宋体"/>
        </w:rPr>
      </w:pPr>
      <w:r>
        <w:rPr>
          <w:rFonts w:hint="eastAsia" w:ascii="宋体" w:hAnsi="宋体"/>
        </w:rPr>
        <w:t>设计遵从国际标准、信息产业部、建设部的标准及其它相关工程标准。</w:t>
      </w:r>
    </w:p>
    <w:p w14:paraId="0E5620B7">
      <w:pPr>
        <w:numPr>
          <w:ilvl w:val="0"/>
          <w:numId w:val="23"/>
        </w:numPr>
        <w:tabs>
          <w:tab w:val="left" w:pos="142"/>
          <w:tab w:val="left" w:pos="426"/>
          <w:tab w:val="left" w:pos="1134"/>
        </w:tabs>
        <w:spacing w:line="360" w:lineRule="auto"/>
        <w:ind w:left="0" w:firstLine="371" w:firstLineChars="177"/>
        <w:rPr>
          <w:rFonts w:ascii="宋体" w:hAnsi="宋体"/>
        </w:rPr>
      </w:pPr>
      <w:r>
        <w:rPr>
          <w:rFonts w:hint="eastAsia" w:ascii="宋体" w:hAnsi="宋体"/>
        </w:rPr>
        <w:t>本着结构合理，高效低成本的原则。</w:t>
      </w:r>
    </w:p>
    <w:p w14:paraId="02AD56D7">
      <w:pPr>
        <w:numPr>
          <w:ilvl w:val="0"/>
          <w:numId w:val="23"/>
        </w:numPr>
        <w:tabs>
          <w:tab w:val="left" w:pos="142"/>
          <w:tab w:val="left" w:pos="426"/>
          <w:tab w:val="left" w:pos="1134"/>
        </w:tabs>
        <w:spacing w:line="360" w:lineRule="auto"/>
        <w:ind w:left="0" w:firstLine="371" w:firstLineChars="177"/>
        <w:rPr>
          <w:rFonts w:ascii="宋体" w:hAnsi="宋体"/>
        </w:rPr>
      </w:pPr>
      <w:r>
        <w:rPr>
          <w:rFonts w:hint="eastAsia" w:ascii="宋体" w:hAnsi="宋体"/>
        </w:rPr>
        <w:t>用户使用上和管理上的灵活性。</w:t>
      </w:r>
    </w:p>
    <w:p w14:paraId="06334311">
      <w:pPr>
        <w:spacing w:line="360" w:lineRule="auto"/>
        <w:jc w:val="left"/>
        <w:outlineLvl w:val="2"/>
        <w:rPr>
          <w:b/>
        </w:rPr>
      </w:pPr>
      <w:bookmarkStart w:id="77" w:name="_Toc206145316"/>
      <w:bookmarkStart w:id="78" w:name="_Toc506302427"/>
      <w:r>
        <w:rPr>
          <w:rFonts w:hint="eastAsia"/>
          <w:b/>
        </w:rPr>
        <w:t>3.</w:t>
      </w:r>
      <w:r>
        <w:rPr>
          <w:b/>
        </w:rPr>
        <w:t>7</w:t>
      </w:r>
      <w:r>
        <w:rPr>
          <w:rFonts w:hint="eastAsia"/>
          <w:b/>
        </w:rPr>
        <w:t>.2实施要求</w:t>
      </w:r>
      <w:bookmarkEnd w:id="77"/>
      <w:bookmarkEnd w:id="78"/>
    </w:p>
    <w:p w14:paraId="592E518D">
      <w:pPr>
        <w:numPr>
          <w:ilvl w:val="0"/>
          <w:numId w:val="24"/>
        </w:numPr>
        <w:tabs>
          <w:tab w:val="left" w:pos="142"/>
          <w:tab w:val="left" w:pos="426"/>
          <w:tab w:val="left" w:pos="1134"/>
        </w:tabs>
        <w:spacing w:line="360" w:lineRule="auto"/>
        <w:ind w:left="0" w:firstLine="371" w:firstLineChars="177"/>
        <w:rPr>
          <w:rFonts w:ascii="宋体" w:hAnsi="宋体"/>
        </w:rPr>
      </w:pPr>
      <w:r>
        <w:rPr>
          <w:rFonts w:hint="eastAsia" w:ascii="宋体" w:hAnsi="宋体"/>
        </w:rPr>
        <w:t>采用国际高品质布线系统，以确保布线系统运行的高安全性和高可靠性。</w:t>
      </w:r>
    </w:p>
    <w:p w14:paraId="37B24042">
      <w:pPr>
        <w:numPr>
          <w:ilvl w:val="0"/>
          <w:numId w:val="24"/>
        </w:numPr>
        <w:tabs>
          <w:tab w:val="left" w:pos="142"/>
          <w:tab w:val="left" w:pos="426"/>
          <w:tab w:val="left" w:pos="1134"/>
        </w:tabs>
        <w:spacing w:line="360" w:lineRule="auto"/>
        <w:ind w:left="0" w:firstLine="371" w:firstLineChars="177"/>
        <w:rPr>
          <w:rFonts w:ascii="宋体" w:hAnsi="宋体"/>
        </w:rPr>
      </w:pPr>
      <w:r>
        <w:rPr>
          <w:rFonts w:hint="eastAsia" w:ascii="宋体" w:hAnsi="宋体"/>
        </w:rPr>
        <w:t>线缆端接的要求如下：</w:t>
      </w:r>
    </w:p>
    <w:p w14:paraId="081BD029">
      <w:pPr>
        <w:numPr>
          <w:ilvl w:val="0"/>
          <w:numId w:val="25"/>
        </w:numPr>
        <w:tabs>
          <w:tab w:val="left" w:pos="142"/>
          <w:tab w:val="left" w:pos="426"/>
          <w:tab w:val="left" w:pos="1134"/>
        </w:tabs>
        <w:spacing w:line="360" w:lineRule="auto"/>
        <w:ind w:left="567" w:firstLine="0"/>
        <w:rPr>
          <w:rFonts w:ascii="宋体" w:hAnsi="宋体"/>
        </w:rPr>
      </w:pPr>
      <w:r>
        <w:rPr>
          <w:rFonts w:hint="eastAsia" w:ascii="宋体" w:hAnsi="宋体"/>
        </w:rPr>
        <w:t>缆线在终接前，必须核对缆线标识内容是否正确；</w:t>
      </w:r>
    </w:p>
    <w:p w14:paraId="68A5214D">
      <w:pPr>
        <w:numPr>
          <w:ilvl w:val="0"/>
          <w:numId w:val="25"/>
        </w:numPr>
        <w:tabs>
          <w:tab w:val="left" w:pos="142"/>
          <w:tab w:val="left" w:pos="426"/>
          <w:tab w:val="left" w:pos="1134"/>
        </w:tabs>
        <w:spacing w:line="360" w:lineRule="auto"/>
        <w:ind w:left="567" w:firstLine="0"/>
        <w:rPr>
          <w:rFonts w:ascii="宋体" w:hAnsi="宋体"/>
        </w:rPr>
      </w:pPr>
      <w:r>
        <w:rPr>
          <w:rFonts w:hint="eastAsia" w:ascii="宋体" w:hAnsi="宋体"/>
        </w:rPr>
        <w:t>缆线中间不允许有接头；</w:t>
      </w:r>
    </w:p>
    <w:p w14:paraId="26D724FF">
      <w:pPr>
        <w:numPr>
          <w:ilvl w:val="0"/>
          <w:numId w:val="25"/>
        </w:numPr>
        <w:tabs>
          <w:tab w:val="left" w:pos="142"/>
          <w:tab w:val="left" w:pos="426"/>
          <w:tab w:val="left" w:pos="1134"/>
        </w:tabs>
        <w:spacing w:line="360" w:lineRule="auto"/>
        <w:ind w:left="567" w:firstLine="0"/>
        <w:rPr>
          <w:rFonts w:ascii="宋体" w:hAnsi="宋体"/>
        </w:rPr>
      </w:pPr>
      <w:r>
        <w:rPr>
          <w:rFonts w:hint="eastAsia" w:ascii="宋体" w:hAnsi="宋体"/>
        </w:rPr>
        <w:t>缆线终接处必须牢固、接触良好；</w:t>
      </w:r>
    </w:p>
    <w:p w14:paraId="74656ABE">
      <w:pPr>
        <w:numPr>
          <w:ilvl w:val="0"/>
          <w:numId w:val="25"/>
        </w:numPr>
        <w:tabs>
          <w:tab w:val="left" w:pos="142"/>
          <w:tab w:val="left" w:pos="426"/>
          <w:tab w:val="left" w:pos="1134"/>
        </w:tabs>
        <w:spacing w:line="360" w:lineRule="auto"/>
        <w:ind w:left="567" w:firstLine="0"/>
        <w:rPr>
          <w:rFonts w:ascii="宋体" w:hAnsi="宋体"/>
        </w:rPr>
      </w:pPr>
      <w:r>
        <w:rPr>
          <w:rFonts w:hint="eastAsia" w:ascii="宋体" w:hAnsi="宋体"/>
        </w:rPr>
        <w:t>缆线终接应符合设计和施工操作规程；</w:t>
      </w:r>
    </w:p>
    <w:p w14:paraId="6E4C67FE">
      <w:pPr>
        <w:numPr>
          <w:ilvl w:val="0"/>
          <w:numId w:val="25"/>
        </w:numPr>
        <w:tabs>
          <w:tab w:val="left" w:pos="142"/>
          <w:tab w:val="left" w:pos="426"/>
          <w:tab w:val="left" w:pos="1134"/>
        </w:tabs>
        <w:spacing w:line="360" w:lineRule="auto"/>
        <w:ind w:left="567" w:firstLine="0"/>
        <w:rPr>
          <w:rFonts w:ascii="宋体" w:hAnsi="宋体"/>
        </w:rPr>
      </w:pPr>
      <w:r>
        <w:rPr>
          <w:rFonts w:hint="eastAsia" w:ascii="宋体" w:hAnsi="宋体"/>
        </w:rPr>
        <w:t>对绞电缆与插接件连接应认准线号、线位色标，不得颠倒和错接。</w:t>
      </w:r>
    </w:p>
    <w:p w14:paraId="5F12FD78">
      <w:pPr>
        <w:numPr>
          <w:ilvl w:val="0"/>
          <w:numId w:val="24"/>
        </w:numPr>
        <w:tabs>
          <w:tab w:val="left" w:pos="142"/>
          <w:tab w:val="left" w:pos="426"/>
          <w:tab w:val="left" w:pos="1134"/>
        </w:tabs>
        <w:spacing w:line="360" w:lineRule="auto"/>
        <w:ind w:left="0" w:firstLine="371" w:firstLineChars="177"/>
        <w:rPr>
          <w:rFonts w:ascii="宋体" w:hAnsi="宋体"/>
        </w:rPr>
      </w:pPr>
      <w:r>
        <w:rPr>
          <w:rFonts w:hint="eastAsia" w:ascii="宋体" w:hAnsi="宋体"/>
        </w:rPr>
        <w:t>布线要具有良好的标记系统，如房间名称、房间位置、起始点和功能等标识。所有墙上型信息插座均距地</w:t>
      </w:r>
      <w:r>
        <w:rPr>
          <w:rFonts w:ascii="宋体" w:hAnsi="宋体"/>
        </w:rPr>
        <w:t>300mm</w:t>
      </w:r>
      <w:r>
        <w:rPr>
          <w:rFonts w:hint="eastAsia" w:ascii="宋体" w:hAnsi="宋体"/>
        </w:rPr>
        <w:t>；所有信息插座距强电插座中心距不小于</w:t>
      </w:r>
      <w:r>
        <w:rPr>
          <w:rFonts w:ascii="宋体" w:hAnsi="宋体"/>
        </w:rPr>
        <w:t>300mm</w:t>
      </w:r>
      <w:r>
        <w:rPr>
          <w:rFonts w:hint="eastAsia" w:ascii="宋体" w:hAnsi="宋体"/>
        </w:rPr>
        <w:t>。为便于设备使用，每个信息插座附近应配备</w:t>
      </w:r>
      <w:r>
        <w:rPr>
          <w:rFonts w:ascii="宋体" w:hAnsi="宋体"/>
        </w:rPr>
        <w:t>220V</w:t>
      </w:r>
      <w:r>
        <w:rPr>
          <w:rFonts w:hint="eastAsia" w:ascii="宋体" w:hAnsi="宋体"/>
        </w:rPr>
        <w:t>电源插座一组。</w:t>
      </w:r>
    </w:p>
    <w:p w14:paraId="16F14951">
      <w:pPr>
        <w:numPr>
          <w:ilvl w:val="0"/>
          <w:numId w:val="24"/>
        </w:numPr>
        <w:tabs>
          <w:tab w:val="left" w:pos="142"/>
          <w:tab w:val="left" w:pos="426"/>
          <w:tab w:val="left" w:pos="1134"/>
        </w:tabs>
        <w:spacing w:line="360" w:lineRule="auto"/>
        <w:ind w:left="0" w:firstLine="371" w:firstLineChars="177"/>
        <w:rPr>
          <w:rFonts w:ascii="宋体" w:hAnsi="宋体"/>
        </w:rPr>
      </w:pPr>
      <w:r>
        <w:rPr>
          <w:rFonts w:hint="eastAsia" w:ascii="宋体" w:hAnsi="宋体"/>
        </w:rPr>
        <w:t>为了便于维护，所有布线都要有颜色及标志码（或编号）。并建立文字档案和电子文档。</w:t>
      </w:r>
    </w:p>
    <w:p w14:paraId="0423777B">
      <w:pPr>
        <w:numPr>
          <w:ilvl w:val="0"/>
          <w:numId w:val="24"/>
        </w:numPr>
        <w:tabs>
          <w:tab w:val="left" w:pos="142"/>
          <w:tab w:val="left" w:pos="426"/>
          <w:tab w:val="left" w:pos="1134"/>
        </w:tabs>
        <w:spacing w:line="360" w:lineRule="auto"/>
        <w:ind w:left="0" w:firstLine="371" w:firstLineChars="177"/>
        <w:rPr>
          <w:rFonts w:ascii="宋体" w:hAnsi="宋体"/>
        </w:rPr>
      </w:pPr>
      <w:r>
        <w:rPr>
          <w:rFonts w:hint="eastAsia" w:ascii="宋体" w:hAnsi="宋体"/>
        </w:rPr>
        <w:t>综合布线系统产品（非屏蔽铜缆系统，光纤系统）必须采用端到端的同一品牌（包括模块，跳线，光纤，配线架等）。</w:t>
      </w:r>
    </w:p>
    <w:p w14:paraId="38CCDF2E">
      <w:pPr>
        <w:numPr>
          <w:ilvl w:val="0"/>
          <w:numId w:val="24"/>
        </w:numPr>
        <w:tabs>
          <w:tab w:val="left" w:pos="142"/>
          <w:tab w:val="left" w:pos="426"/>
          <w:tab w:val="left" w:pos="1134"/>
        </w:tabs>
        <w:spacing w:line="360" w:lineRule="auto"/>
        <w:ind w:left="0" w:firstLine="371" w:firstLineChars="177"/>
        <w:rPr>
          <w:rFonts w:ascii="宋体" w:hAnsi="宋体"/>
        </w:rPr>
      </w:pPr>
      <w:r>
        <w:rPr>
          <w:rFonts w:hint="eastAsia" w:ascii="宋体" w:hAnsi="宋体"/>
        </w:rPr>
        <w:t>考虑到综合布线系统隐蔽性强的特点，要求所有产品必须原装正货。</w:t>
      </w:r>
    </w:p>
    <w:p w14:paraId="416BA9CC">
      <w:pPr>
        <w:numPr>
          <w:ilvl w:val="0"/>
          <w:numId w:val="24"/>
        </w:numPr>
        <w:tabs>
          <w:tab w:val="left" w:pos="142"/>
          <w:tab w:val="left" w:pos="426"/>
          <w:tab w:val="left" w:pos="1134"/>
        </w:tabs>
        <w:spacing w:line="360" w:lineRule="auto"/>
        <w:ind w:left="0" w:firstLine="371" w:firstLineChars="177"/>
        <w:rPr>
          <w:rFonts w:ascii="宋体" w:hAnsi="宋体"/>
        </w:rPr>
      </w:pPr>
      <w:r>
        <w:rPr>
          <w:rFonts w:hint="eastAsia" w:ascii="宋体" w:hAnsi="宋体"/>
        </w:rPr>
        <w:t>每批产品到货验收时，必须由厂商直接向招标人提交本批次的原厂证明。在有需要时，厂商代表有义务配合招标人验货。</w:t>
      </w:r>
    </w:p>
    <w:p w14:paraId="1493FE98">
      <w:pPr>
        <w:numPr>
          <w:ilvl w:val="0"/>
          <w:numId w:val="24"/>
        </w:numPr>
        <w:tabs>
          <w:tab w:val="left" w:pos="142"/>
          <w:tab w:val="left" w:pos="426"/>
          <w:tab w:val="left" w:pos="1134"/>
        </w:tabs>
        <w:spacing w:line="360" w:lineRule="auto"/>
        <w:ind w:left="0" w:firstLine="371" w:firstLineChars="177"/>
        <w:rPr>
          <w:rFonts w:ascii="宋体" w:hAnsi="宋体"/>
        </w:rPr>
      </w:pPr>
      <w:r>
        <w:rPr>
          <w:rFonts w:hint="eastAsia" w:ascii="宋体" w:hAnsi="宋体"/>
        </w:rPr>
        <w:t>系统验收时必须提供由原厂商签发的20年品质与系统应用保证书。</w:t>
      </w:r>
    </w:p>
    <w:p w14:paraId="430A1794">
      <w:pPr>
        <w:spacing w:line="360" w:lineRule="auto"/>
        <w:jc w:val="left"/>
        <w:outlineLvl w:val="2"/>
        <w:rPr>
          <w:b/>
        </w:rPr>
      </w:pPr>
      <w:bookmarkStart w:id="79" w:name="_Toc206145317"/>
      <w:bookmarkStart w:id="80" w:name="_Toc506302428"/>
      <w:r>
        <w:rPr>
          <w:rFonts w:hint="eastAsia"/>
          <w:b/>
        </w:rPr>
        <w:t>3.</w:t>
      </w:r>
      <w:r>
        <w:rPr>
          <w:b/>
        </w:rPr>
        <w:t>7</w:t>
      </w:r>
      <w:r>
        <w:rPr>
          <w:rFonts w:hint="eastAsia"/>
          <w:b/>
        </w:rPr>
        <w:t>.3设备要求</w:t>
      </w:r>
      <w:bookmarkEnd w:id="79"/>
      <w:bookmarkEnd w:id="80"/>
    </w:p>
    <w:p w14:paraId="1878C73B">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机柜</w:t>
      </w:r>
    </w:p>
    <w:p w14:paraId="22801D43">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投标产品质量资质：原厂商通过ISO9001质量管理体系和ISO14001环境管理体系。</w:t>
      </w:r>
    </w:p>
    <w:p w14:paraId="216C1EA1">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框架采用九折或以上包边型材（单块钢板一次滚轧成型），应采用优质2mm冷轧薄钢板制作。机柜净安装高度为42U，框架采用整体焊接，结构牢固，静载荷承重不小于1500Kg（须提供第三方承重检测报告），</w:t>
      </w:r>
      <w:r>
        <w:rPr>
          <w:rFonts w:ascii="宋体" w:hAnsi="宋体"/>
          <w:color w:val="000000"/>
          <w:szCs w:val="21"/>
        </w:rPr>
        <w:t>自重不超</w:t>
      </w:r>
      <w:r>
        <w:rPr>
          <w:rFonts w:hint="eastAsia" w:ascii="宋体" w:hAnsi="宋体"/>
          <w:color w:val="000000"/>
          <w:szCs w:val="21"/>
        </w:rPr>
        <w:t>过</w:t>
      </w:r>
      <w:r>
        <w:rPr>
          <w:rFonts w:ascii="宋体" w:hAnsi="宋体"/>
          <w:color w:val="000000"/>
          <w:szCs w:val="21"/>
        </w:rPr>
        <w:t>1</w:t>
      </w:r>
      <w:r>
        <w:rPr>
          <w:rFonts w:hint="eastAsia" w:ascii="宋体" w:hAnsi="宋体"/>
          <w:color w:val="000000"/>
          <w:szCs w:val="21"/>
        </w:rPr>
        <w:t>4</w:t>
      </w:r>
      <w:r>
        <w:rPr>
          <w:rFonts w:ascii="宋体" w:hAnsi="宋体"/>
          <w:color w:val="000000"/>
          <w:szCs w:val="21"/>
        </w:rPr>
        <w:t>0KG</w:t>
      </w:r>
      <w:r>
        <w:rPr>
          <w:rFonts w:hint="eastAsia" w:ascii="宋体" w:hAnsi="宋体"/>
          <w:color w:val="000000"/>
          <w:szCs w:val="21"/>
        </w:rPr>
        <w:t>，装配具有一致性和互换性，紧固件无松动。</w:t>
      </w:r>
    </w:p>
    <w:p w14:paraId="15D3BF70">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机柜</w:t>
      </w:r>
      <w:r>
        <w:rPr>
          <w:rFonts w:ascii="宋体" w:hAnsi="宋体"/>
          <w:color w:val="000000"/>
          <w:szCs w:val="21"/>
        </w:rPr>
        <w:t>框架、门、顶盖、侧板、背板均采用</w:t>
      </w:r>
      <w:r>
        <w:rPr>
          <w:rFonts w:hint="eastAsia" w:ascii="宋体" w:hAnsi="宋体"/>
          <w:color w:val="000000"/>
          <w:szCs w:val="21"/>
        </w:rPr>
        <w:t>冷轧钢板</w:t>
      </w:r>
      <w:r>
        <w:rPr>
          <w:rFonts w:ascii="宋体" w:hAnsi="宋体"/>
          <w:color w:val="000000"/>
          <w:szCs w:val="21"/>
        </w:rPr>
        <w:t>。机柜表面在喷塑前进行酸洗、磷化处理。</w:t>
      </w:r>
    </w:p>
    <w:p w14:paraId="2332CB76">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机柜外观尺寸：网络机柜为600宽×600mm深×2000mm高，服务器机柜为600宽×800mm深×2000mm高，颜色是RAL9005标准黑。机柜整体不允许出现厂家标识。</w:t>
      </w:r>
    </w:p>
    <w:p w14:paraId="70440465">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ascii="宋体" w:hAnsi="宋体"/>
          <w:color w:val="000000"/>
          <w:szCs w:val="21"/>
        </w:rPr>
        <w:t>机柜采用</w:t>
      </w:r>
      <w:r>
        <w:rPr>
          <w:rFonts w:hint="eastAsia" w:ascii="宋体" w:hAnsi="宋体"/>
          <w:color w:val="000000"/>
          <w:szCs w:val="21"/>
        </w:rPr>
        <w:t>冷轧钢板</w:t>
      </w:r>
      <w:r>
        <w:rPr>
          <w:rFonts w:ascii="宋体" w:hAnsi="宋体"/>
          <w:color w:val="000000"/>
          <w:szCs w:val="21"/>
        </w:rPr>
        <w:t>材料，对封闭结构的内表面也要喷涂或进行防锈处理，机柜的防护等极可达IP</w:t>
      </w:r>
      <w:r>
        <w:rPr>
          <w:rFonts w:hint="eastAsia" w:ascii="宋体" w:hAnsi="宋体"/>
          <w:color w:val="000000"/>
          <w:szCs w:val="21"/>
        </w:rPr>
        <w:t>20</w:t>
      </w:r>
      <w:r>
        <w:rPr>
          <w:rFonts w:ascii="宋体" w:hAnsi="宋体"/>
          <w:color w:val="000000"/>
          <w:szCs w:val="21"/>
        </w:rPr>
        <w:t>。</w:t>
      </w:r>
    </w:p>
    <w:p w14:paraId="687BDA49">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机柜内前后装有19</w:t>
      </w:r>
      <w:r>
        <w:rPr>
          <w:rFonts w:ascii="宋体" w:hAnsi="宋体"/>
          <w:color w:val="000000"/>
          <w:szCs w:val="21"/>
        </w:rPr>
        <w:t>”</w:t>
      </w:r>
      <w:r>
        <w:rPr>
          <w:rFonts w:hint="eastAsia" w:ascii="宋体" w:hAnsi="宋体"/>
          <w:color w:val="000000"/>
          <w:szCs w:val="21"/>
        </w:rPr>
        <w:t>安装角轨为2.0mm优质冷轧钢板，必须可以调节安装深度，前后共四根，角轨前后有丝印U制标尺，方便IT设备安装。不需安装脚轮,可方便拆卸的左右侧门和前后门。前后采用单开平板六角蜂窝孔</w:t>
      </w:r>
      <w:r>
        <w:rPr>
          <w:rFonts w:ascii="宋体" w:hAnsi="宋体"/>
          <w:color w:val="000000"/>
          <w:szCs w:val="21"/>
        </w:rPr>
        <w:t>门设计</w:t>
      </w:r>
      <w:r>
        <w:rPr>
          <w:rFonts w:hint="eastAsia" w:ascii="宋体" w:hAnsi="宋体"/>
          <w:color w:val="000000"/>
          <w:szCs w:val="21"/>
        </w:rPr>
        <w:t>，后门采用双开圆弧门平板六角蜂窝孔</w:t>
      </w:r>
      <w:r>
        <w:rPr>
          <w:rFonts w:ascii="宋体" w:hAnsi="宋体"/>
          <w:color w:val="000000"/>
          <w:szCs w:val="21"/>
        </w:rPr>
        <w:t>门设计</w:t>
      </w:r>
      <w:r>
        <w:rPr>
          <w:rFonts w:hint="eastAsia" w:ascii="宋体" w:hAnsi="宋体"/>
          <w:color w:val="000000"/>
          <w:szCs w:val="21"/>
        </w:rPr>
        <w:t>，增加通风率，通风率65%以上（孔的总面积占整个门的面积），保证</w:t>
      </w:r>
      <w:r>
        <w:rPr>
          <w:rFonts w:ascii="宋体" w:hAnsi="宋体"/>
          <w:color w:val="000000"/>
          <w:szCs w:val="21"/>
        </w:rPr>
        <w:t>机柜前后冷热气流的畅通，通风孔之间间隙</w:t>
      </w:r>
      <w:r>
        <w:rPr>
          <w:rFonts w:hint="eastAsia" w:ascii="宋体" w:hAnsi="宋体"/>
          <w:color w:val="000000"/>
          <w:szCs w:val="21"/>
        </w:rPr>
        <w:t>不大于1</w:t>
      </w:r>
      <w:r>
        <w:rPr>
          <w:rFonts w:ascii="宋体" w:hAnsi="宋体"/>
          <w:color w:val="000000"/>
          <w:szCs w:val="21"/>
        </w:rPr>
        <w:t>mm。</w:t>
      </w:r>
      <w:r>
        <w:rPr>
          <w:rFonts w:hint="eastAsia" w:ascii="宋体" w:hAnsi="宋体"/>
          <w:color w:val="000000"/>
          <w:szCs w:val="21"/>
        </w:rPr>
        <w:t>柜门带有门锁,所有柜的门锁要求能用同一钥匙。</w:t>
      </w:r>
    </w:p>
    <w:p w14:paraId="6E7182F9">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机柜内部走线采用走桥架或束线环等走线配件槽，机柜正面安装角规 、两侧安装垂直理桥架。束线环可安装在机柜任意位置，方便机柜内电源线等走线。机柜内左后侧由上而下带有接地铜条，铜条每隔200mm具有锣丝，方便设备接地连接。</w:t>
      </w:r>
    </w:p>
    <w:p w14:paraId="73982A6A">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机柜底部带有安装孔，可方便地固定在地板上，达到固定机柜、底部过线、送冷风、防鼠的要求。机柜可采用高效坚固的并柜连接。</w:t>
      </w:r>
    </w:p>
    <w:p w14:paraId="5033902E">
      <w:pPr>
        <w:pStyle w:val="28"/>
        <w:numPr>
          <w:ilvl w:val="0"/>
          <w:numId w:val="26"/>
        </w:numPr>
        <w:tabs>
          <w:tab w:val="left" w:pos="780"/>
          <w:tab w:val="left" w:pos="851"/>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托盘最大承重≥100公斤，并能开风道通风孔、每台机柜需要提供三块固定隔板。</w:t>
      </w:r>
    </w:p>
    <w:p w14:paraId="0206EE8B">
      <w:pPr>
        <w:pStyle w:val="28"/>
        <w:numPr>
          <w:ilvl w:val="0"/>
          <w:numId w:val="26"/>
        </w:numPr>
        <w:tabs>
          <w:tab w:val="left" w:pos="780"/>
          <w:tab w:val="left" w:pos="851"/>
          <w:tab w:val="left" w:pos="993"/>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机柜应配置柜内PDU，PDU配置技术要求如下：每个机柜提供2个PDU，规格如下：防脱扣插座/12位/电缆线左端单输入/垂直、竖装/无插头/无控制功能/A20-C2可更换式防雷组件/外壳黑色/额定电流：32A  功率：8000W/输入电缆线规格：（3×6）mm2×3米（长度）。安装热插拔式多功能液晶表，可本地实时高清液晶显示电压、电流阀值。功能模块应设计功能按键、复位按键、查看按键等操作按键。产品可根据需求随时扩展温湿度、功率、电能计量等监测功能，配备相应的远程监控接口。</w:t>
      </w:r>
    </w:p>
    <w:p w14:paraId="31B8D7A3">
      <w:pPr>
        <w:pStyle w:val="28"/>
        <w:numPr>
          <w:ilvl w:val="0"/>
          <w:numId w:val="26"/>
        </w:numPr>
        <w:tabs>
          <w:tab w:val="left" w:pos="780"/>
          <w:tab w:val="left" w:pos="851"/>
          <w:tab w:val="left" w:pos="993"/>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电源分配单元的设计应符合《通信设备用电源分配单元(PDU)》（</w:t>
      </w:r>
      <w:r>
        <w:rPr>
          <w:rFonts w:ascii="宋体" w:hAnsi="宋体"/>
          <w:color w:val="000000"/>
          <w:szCs w:val="21"/>
        </w:rPr>
        <w:t>YDT 2063-2009</w:t>
      </w:r>
      <w:r>
        <w:rPr>
          <w:rFonts w:hint="eastAsia" w:ascii="宋体" w:hAnsi="宋体"/>
          <w:color w:val="000000"/>
          <w:szCs w:val="21"/>
        </w:rPr>
        <w:t>）的要求，产品应通过第三方权威检测机构认证。厂家必须同时提供两项认证证书。</w:t>
      </w:r>
    </w:p>
    <w:p w14:paraId="65558E20">
      <w:pPr>
        <w:pStyle w:val="28"/>
        <w:numPr>
          <w:ilvl w:val="0"/>
          <w:numId w:val="26"/>
        </w:numPr>
        <w:tabs>
          <w:tab w:val="left" w:pos="780"/>
          <w:tab w:val="left" w:pos="851"/>
          <w:tab w:val="left" w:pos="993"/>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产品须采用模块组合一体化设计，外壳应使用高强度电泳铝合金型材材料，所有插座模块、功能模块应采用PC/ABS塑质材料，热变型温度高应达到120℃以上，阻燃特性应符合UL94-V0标准。</w:t>
      </w:r>
    </w:p>
    <w:p w14:paraId="55CF210D">
      <w:pPr>
        <w:pStyle w:val="28"/>
        <w:numPr>
          <w:ilvl w:val="0"/>
          <w:numId w:val="26"/>
        </w:numPr>
        <w:tabs>
          <w:tab w:val="left" w:pos="780"/>
          <w:tab w:val="left" w:pos="851"/>
          <w:tab w:val="left" w:pos="993"/>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所有插座的插套组件应采用独具良好弹性、耐磨性、抗磁性、耐蚀性的磷青铜材料，要求精细加工和整体冲压成型，应高可靠接触，单极拔插寿命试验均在5000次以上，插拨力应不少于50N，必须安全耐用无松动和打火现象，应保证输出高可靠的电气导通性和连接性。</w:t>
      </w:r>
    </w:p>
    <w:p w14:paraId="26AB7D36">
      <w:pPr>
        <w:pStyle w:val="28"/>
        <w:numPr>
          <w:ilvl w:val="0"/>
          <w:numId w:val="26"/>
        </w:numPr>
        <w:tabs>
          <w:tab w:val="left" w:pos="780"/>
          <w:tab w:val="left" w:pos="851"/>
          <w:tab w:val="left" w:pos="993"/>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机柜在环境温度20±5℃，相对湿度不大于80%的条件下，任意相同的绝缘端子之间，接线端子与机壳之间的绝缘电阻满足大于1M欧姆。任意互不相同的接线端子之间，接线端子与机壳之间满足在交流50Hz有效值2000V交流电压的情况下，历时1分钟无击穿和飞弧现象。</w:t>
      </w:r>
    </w:p>
    <w:p w14:paraId="65937B39">
      <w:pPr>
        <w:pStyle w:val="28"/>
        <w:numPr>
          <w:ilvl w:val="0"/>
          <w:numId w:val="26"/>
        </w:numPr>
        <w:tabs>
          <w:tab w:val="left" w:pos="780"/>
          <w:tab w:val="left" w:pos="851"/>
          <w:tab w:val="left" w:pos="993"/>
          <w:tab w:val="clear" w:pos="928"/>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其余符合ANSI/EIA RS-310-D、DIN41491、PART1、IEC297-2、DIN41494、PART7、GB/T3047.2- 92标准。</w:t>
      </w:r>
    </w:p>
    <w:p w14:paraId="50D989C9">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弱电配线单元</w:t>
      </w:r>
    </w:p>
    <w:p w14:paraId="58C93993">
      <w:pPr>
        <w:pStyle w:val="28"/>
        <w:numPr>
          <w:ilvl w:val="0"/>
          <w:numId w:val="27"/>
        </w:numPr>
        <w:tabs>
          <w:tab w:val="left" w:pos="851"/>
        </w:tabs>
        <w:spacing w:after="0" w:line="360" w:lineRule="auto"/>
        <w:ind w:firstLineChars="0"/>
        <w:contextualSpacing/>
        <w:rPr>
          <w:rFonts w:ascii="宋体" w:hAnsi="宋体"/>
          <w:color w:val="000000"/>
          <w:szCs w:val="21"/>
        </w:rPr>
      </w:pPr>
      <w:r>
        <w:rPr>
          <w:rFonts w:hint="eastAsia" w:ascii="宋体" w:hAnsi="宋体"/>
          <w:color w:val="000000"/>
          <w:szCs w:val="21"/>
        </w:rPr>
        <w:t>可安装在标准19</w:t>
      </w:r>
      <w:r>
        <w:rPr>
          <w:rFonts w:hint="eastAsia" w:ascii="宋体" w:hAnsi="宋体"/>
          <w:bCs/>
          <w:color w:val="000000"/>
          <w:szCs w:val="21"/>
        </w:rPr>
        <w:t>英寸</w:t>
      </w:r>
      <w:r>
        <w:rPr>
          <w:rFonts w:hint="eastAsia" w:ascii="宋体" w:hAnsi="宋体"/>
          <w:color w:val="000000"/>
          <w:szCs w:val="21"/>
        </w:rPr>
        <w:t>机柜内部的安装方孔条上，占用1U安装位置。</w:t>
      </w:r>
    </w:p>
    <w:p w14:paraId="372F4801">
      <w:pPr>
        <w:pStyle w:val="28"/>
        <w:numPr>
          <w:ilvl w:val="0"/>
          <w:numId w:val="27"/>
        </w:numPr>
        <w:tabs>
          <w:tab w:val="left" w:pos="851"/>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规格：24口或48口19英寸机架式，带彩色标签条；</w:t>
      </w:r>
    </w:p>
    <w:p w14:paraId="5477F1BC">
      <w:pPr>
        <w:pStyle w:val="28"/>
        <w:numPr>
          <w:ilvl w:val="0"/>
          <w:numId w:val="27"/>
        </w:numPr>
        <w:tabs>
          <w:tab w:val="left" w:pos="851"/>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尺寸：配线架采用1U或2U高度配线架，自带</w:t>
      </w:r>
      <w:r>
        <w:rPr>
          <w:rFonts w:ascii="宋体" w:hAnsi="宋体"/>
          <w:color w:val="000000"/>
          <w:szCs w:val="21"/>
        </w:rPr>
        <w:t>24</w:t>
      </w:r>
      <w:r>
        <w:rPr>
          <w:rFonts w:hint="eastAsia" w:ascii="宋体" w:hAnsi="宋体"/>
          <w:color w:val="000000"/>
          <w:szCs w:val="21"/>
        </w:rPr>
        <w:t>或48口五类信息模块。</w:t>
      </w:r>
    </w:p>
    <w:p w14:paraId="5C14BAAD">
      <w:pPr>
        <w:pStyle w:val="28"/>
        <w:numPr>
          <w:ilvl w:val="0"/>
          <w:numId w:val="27"/>
        </w:numPr>
        <w:tabs>
          <w:tab w:val="left" w:pos="851"/>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功能：支持正面安装和维护</w:t>
      </w:r>
    </w:p>
    <w:p w14:paraId="1D902EBE">
      <w:pPr>
        <w:pStyle w:val="28"/>
        <w:numPr>
          <w:ilvl w:val="0"/>
          <w:numId w:val="27"/>
        </w:numPr>
        <w:tabs>
          <w:tab w:val="left" w:pos="851"/>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配线架端口：</w:t>
      </w:r>
      <w:r>
        <w:rPr>
          <w:rFonts w:ascii="宋体" w:hAnsi="宋体"/>
          <w:color w:val="000000"/>
          <w:szCs w:val="21"/>
        </w:rPr>
        <w:t>24</w:t>
      </w:r>
      <w:r>
        <w:rPr>
          <w:rFonts w:hint="eastAsia" w:ascii="宋体" w:hAnsi="宋体"/>
          <w:color w:val="000000"/>
          <w:szCs w:val="21"/>
        </w:rPr>
        <w:t>或48端口</w:t>
      </w:r>
    </w:p>
    <w:p w14:paraId="1588F397">
      <w:pPr>
        <w:pStyle w:val="28"/>
        <w:numPr>
          <w:ilvl w:val="0"/>
          <w:numId w:val="27"/>
        </w:numPr>
        <w:tabs>
          <w:tab w:val="left" w:pos="851"/>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性能：支持TIA/EIA568B和ISO11801规定的五类布线，</w:t>
      </w:r>
    </w:p>
    <w:p w14:paraId="78B372F1">
      <w:pPr>
        <w:pStyle w:val="28"/>
        <w:numPr>
          <w:ilvl w:val="0"/>
          <w:numId w:val="27"/>
        </w:numPr>
        <w:tabs>
          <w:tab w:val="left" w:pos="851"/>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卡接线规：</w:t>
      </w:r>
      <w:r>
        <w:rPr>
          <w:rFonts w:ascii="宋体" w:hAnsi="宋体"/>
          <w:color w:val="000000"/>
          <w:szCs w:val="21"/>
        </w:rPr>
        <w:t>22</w:t>
      </w:r>
      <w:r>
        <w:rPr>
          <w:rFonts w:hint="eastAsia" w:ascii="宋体" w:hAnsi="宋体"/>
          <w:color w:val="000000"/>
          <w:szCs w:val="21"/>
        </w:rPr>
        <w:t>－</w:t>
      </w:r>
      <w:r>
        <w:rPr>
          <w:rFonts w:ascii="宋体" w:hAnsi="宋体"/>
          <w:color w:val="000000"/>
          <w:szCs w:val="21"/>
        </w:rPr>
        <w:t>26AWG</w:t>
      </w:r>
    </w:p>
    <w:p w14:paraId="7BC55599">
      <w:pPr>
        <w:pStyle w:val="28"/>
        <w:numPr>
          <w:ilvl w:val="0"/>
          <w:numId w:val="27"/>
        </w:numPr>
        <w:tabs>
          <w:tab w:val="left" w:pos="851"/>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标签：自带明显数据或语音标签</w:t>
      </w:r>
    </w:p>
    <w:p w14:paraId="52488E9E">
      <w:pPr>
        <w:pStyle w:val="28"/>
        <w:numPr>
          <w:ilvl w:val="0"/>
          <w:numId w:val="27"/>
        </w:numPr>
        <w:tabs>
          <w:tab w:val="left" w:pos="851"/>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打线方式：</w:t>
      </w:r>
      <w:r>
        <w:rPr>
          <w:rFonts w:ascii="宋体" w:hAnsi="宋体"/>
          <w:color w:val="000000"/>
          <w:szCs w:val="21"/>
        </w:rPr>
        <w:t>T568A</w:t>
      </w:r>
      <w:r>
        <w:rPr>
          <w:rFonts w:hint="eastAsia" w:ascii="宋体" w:hAnsi="宋体"/>
          <w:color w:val="000000"/>
          <w:szCs w:val="21"/>
        </w:rPr>
        <w:t>或T568</w:t>
      </w:r>
      <w:r>
        <w:rPr>
          <w:rFonts w:ascii="宋体" w:hAnsi="宋体"/>
          <w:color w:val="000000"/>
          <w:szCs w:val="21"/>
        </w:rPr>
        <w:t>B</w:t>
      </w:r>
      <w:r>
        <w:rPr>
          <w:rFonts w:hint="eastAsia" w:ascii="宋体" w:hAnsi="宋体"/>
          <w:color w:val="000000"/>
          <w:szCs w:val="21"/>
        </w:rPr>
        <w:t xml:space="preserve"> </w:t>
      </w:r>
    </w:p>
    <w:p w14:paraId="72C714F5">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理线架</w:t>
      </w:r>
    </w:p>
    <w:p w14:paraId="6EBCE164">
      <w:pPr>
        <w:pStyle w:val="28"/>
        <w:numPr>
          <w:ilvl w:val="0"/>
          <w:numId w:val="28"/>
        </w:numPr>
        <w:tabs>
          <w:tab w:val="left" w:pos="851"/>
        </w:tabs>
        <w:spacing w:after="0" w:line="360" w:lineRule="auto"/>
        <w:ind w:firstLineChars="0"/>
        <w:contextualSpacing/>
        <w:rPr>
          <w:rFonts w:ascii="宋体" w:hAnsi="宋体"/>
          <w:color w:val="000000"/>
          <w:szCs w:val="21"/>
        </w:rPr>
      </w:pPr>
      <w:r>
        <w:rPr>
          <w:rFonts w:hint="eastAsia" w:ascii="宋体" w:hAnsi="宋体"/>
          <w:color w:val="000000"/>
          <w:szCs w:val="21"/>
        </w:rPr>
        <w:t>规格：1U 高度，19英寸工程塑料结构，防止锈蚀</w:t>
      </w:r>
    </w:p>
    <w:p w14:paraId="1CB63B32">
      <w:pPr>
        <w:pStyle w:val="28"/>
        <w:numPr>
          <w:ilvl w:val="0"/>
          <w:numId w:val="28"/>
        </w:numPr>
        <w:tabs>
          <w:tab w:val="left" w:pos="851"/>
        </w:tabs>
        <w:spacing w:after="0" w:line="360" w:lineRule="auto"/>
        <w:ind w:firstLineChars="0"/>
        <w:contextualSpacing/>
        <w:rPr>
          <w:rFonts w:ascii="宋体" w:hAnsi="宋体"/>
          <w:color w:val="000000"/>
          <w:szCs w:val="21"/>
        </w:rPr>
      </w:pPr>
      <w:r>
        <w:rPr>
          <w:rFonts w:hint="eastAsia" w:ascii="宋体" w:hAnsi="宋体"/>
          <w:color w:val="000000"/>
          <w:szCs w:val="21"/>
        </w:rPr>
        <w:t>标准：ANSI/TIA-568-C，</w:t>
      </w:r>
      <w:r>
        <w:rPr>
          <w:rFonts w:ascii="宋体" w:hAnsi="宋体"/>
          <w:color w:val="000000"/>
          <w:szCs w:val="21"/>
        </w:rPr>
        <w:t>ISO/IEC 11801:2002 Ed2.0</w:t>
      </w:r>
    </w:p>
    <w:p w14:paraId="2BCDBE38">
      <w:pPr>
        <w:pStyle w:val="28"/>
        <w:numPr>
          <w:ilvl w:val="0"/>
          <w:numId w:val="28"/>
        </w:numPr>
        <w:tabs>
          <w:tab w:val="left" w:pos="851"/>
        </w:tabs>
        <w:spacing w:after="0" w:line="360" w:lineRule="auto"/>
        <w:ind w:firstLineChars="0"/>
        <w:contextualSpacing/>
        <w:rPr>
          <w:rFonts w:ascii="宋体" w:hAnsi="宋体"/>
          <w:color w:val="000000"/>
          <w:szCs w:val="21"/>
        </w:rPr>
      </w:pPr>
      <w:r>
        <w:rPr>
          <w:rFonts w:ascii="宋体" w:hAnsi="宋体"/>
          <w:color w:val="000000"/>
          <w:szCs w:val="21"/>
        </w:rPr>
        <w:t>安装：</w:t>
      </w:r>
      <w:r>
        <w:rPr>
          <w:rFonts w:hint="eastAsia" w:asciiTheme="minorHAnsi" w:hAnsiTheme="minorHAnsi" w:eastAsiaTheme="minorEastAsia" w:cstheme="minorBidi"/>
          <w:b/>
          <w:kern w:val="2"/>
          <w:sz w:val="21"/>
          <w:szCs w:val="21"/>
          <w:lang w:val="en-US" w:eastAsia="zh-CN" w:bidi="ar-SA"/>
        </w:rPr>
        <w:t>机架</w:t>
      </w:r>
      <w:r>
        <w:rPr>
          <w:rFonts w:ascii="宋体" w:hAnsi="宋体"/>
          <w:color w:val="000000"/>
          <w:szCs w:val="21"/>
        </w:rPr>
        <w:t>式配置，支持标准19英寸机柜</w:t>
      </w:r>
      <w:r>
        <w:rPr>
          <w:rFonts w:hint="eastAsia" w:ascii="宋体" w:hAnsi="宋体"/>
          <w:color w:val="000000"/>
          <w:szCs w:val="21"/>
        </w:rPr>
        <w:t>。</w:t>
      </w:r>
    </w:p>
    <w:p w14:paraId="0D70986D">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非屏蔽双绞线</w:t>
      </w:r>
    </w:p>
    <w:p w14:paraId="61CEE815">
      <w:pPr>
        <w:pStyle w:val="76"/>
        <w:spacing w:before="0" w:beforeAutospacing="0" w:after="0" w:afterAutospacing="0" w:line="360" w:lineRule="auto"/>
        <w:ind w:firstLine="420" w:firstLineChars="200"/>
        <w:contextualSpacing/>
        <w:rPr>
          <w:rStyle w:val="32"/>
          <w:rFonts w:ascii="宋体" w:hAnsi="宋体"/>
          <w:b w:val="0"/>
          <w:bCs w:val="0"/>
          <w:sz w:val="21"/>
        </w:rPr>
      </w:pPr>
      <w:r>
        <w:rPr>
          <w:rStyle w:val="32"/>
          <w:rFonts w:hint="eastAsia" w:ascii="宋体" w:hAnsi="宋体"/>
          <w:b w:val="0"/>
          <w:bCs w:val="0"/>
          <w:sz w:val="21"/>
        </w:rPr>
        <w:t>水平非屏蔽双绞线布线系统是整个布线系统中的一个部分，它将工作区子系统与管理子系统连接起来。一端端接于信息插座上，另一端端接在机房的管理配线架上。</w:t>
      </w:r>
    </w:p>
    <w:p w14:paraId="2ACA28A9">
      <w:pPr>
        <w:pStyle w:val="76"/>
        <w:spacing w:before="0" w:beforeAutospacing="0" w:after="0" w:afterAutospacing="0" w:line="360" w:lineRule="auto"/>
        <w:ind w:firstLine="420" w:firstLineChars="200"/>
        <w:contextualSpacing/>
        <w:rPr>
          <w:rStyle w:val="32"/>
          <w:rFonts w:ascii="宋体" w:hAnsi="宋体"/>
          <w:b w:val="0"/>
          <w:bCs w:val="0"/>
          <w:sz w:val="21"/>
        </w:rPr>
      </w:pPr>
      <w:r>
        <w:rPr>
          <w:rStyle w:val="32"/>
          <w:rFonts w:hint="eastAsia" w:ascii="宋体" w:hAnsi="宋体"/>
          <w:b w:val="0"/>
          <w:bCs w:val="0"/>
          <w:sz w:val="21"/>
        </w:rPr>
        <w:t>线缆采用符合TIA/EIA-568A/B、ISO/IEC11801标准的五类UTP铜缆指标值的布线产品，铜缆信息点为全五类配置。</w:t>
      </w:r>
    </w:p>
    <w:p w14:paraId="6123029E">
      <w:pPr>
        <w:pStyle w:val="76"/>
        <w:spacing w:before="0" w:beforeAutospacing="0" w:after="0" w:afterAutospacing="0" w:line="360" w:lineRule="auto"/>
        <w:ind w:firstLine="420" w:firstLineChars="200"/>
        <w:contextualSpacing/>
        <w:rPr>
          <w:rStyle w:val="32"/>
          <w:rFonts w:ascii="宋体" w:hAnsi="宋体"/>
          <w:b w:val="0"/>
          <w:bCs w:val="0"/>
          <w:sz w:val="21"/>
        </w:rPr>
      </w:pPr>
      <w:r>
        <w:rPr>
          <w:rStyle w:val="32"/>
          <w:rFonts w:hint="eastAsia" w:ascii="宋体" w:hAnsi="宋体"/>
          <w:b w:val="0"/>
          <w:bCs w:val="0"/>
          <w:sz w:val="21"/>
        </w:rPr>
        <w:t>信息点接口形式全部采用为RJ45，并与现行电话系统RJ11型接口兼容，可随时转换接插电话、计算机或数据终端。所有信息点采用防尘面板安装。</w:t>
      </w:r>
    </w:p>
    <w:p w14:paraId="1D177FD7">
      <w:pPr>
        <w:pStyle w:val="76"/>
        <w:spacing w:before="0" w:beforeAutospacing="0" w:after="0" w:afterAutospacing="0" w:line="360" w:lineRule="auto"/>
        <w:ind w:firstLine="420" w:firstLineChars="200"/>
        <w:contextualSpacing/>
        <w:rPr>
          <w:rStyle w:val="32"/>
          <w:rFonts w:ascii="宋体" w:hAnsi="宋体"/>
          <w:b w:val="0"/>
          <w:bCs w:val="0"/>
          <w:sz w:val="21"/>
        </w:rPr>
      </w:pPr>
      <w:r>
        <w:rPr>
          <w:rStyle w:val="32"/>
          <w:rFonts w:hint="eastAsia" w:ascii="宋体" w:hAnsi="宋体"/>
          <w:b w:val="0"/>
          <w:bCs w:val="0"/>
          <w:sz w:val="21"/>
        </w:rPr>
        <w:t>对于水平配线子系统电缆长度必需小于90m，中间不能有接续。尽量选择最短、最佳的线缆路由，保持其与强电设备的间距。</w:t>
      </w:r>
    </w:p>
    <w:p w14:paraId="7B758728">
      <w:pPr>
        <w:pStyle w:val="76"/>
        <w:spacing w:before="0" w:beforeAutospacing="0" w:after="0" w:afterAutospacing="0" w:line="360" w:lineRule="auto"/>
        <w:ind w:firstLine="422" w:firstLineChars="200"/>
        <w:contextualSpacing/>
        <w:rPr>
          <w:rStyle w:val="32"/>
          <w:rFonts w:ascii="宋体" w:hAnsi="宋体"/>
          <w:b/>
          <w:sz w:val="21"/>
        </w:rPr>
      </w:pPr>
      <w:r>
        <w:rPr>
          <w:rStyle w:val="32"/>
          <w:rFonts w:hint="eastAsia" w:ascii="宋体" w:hAnsi="宋体"/>
          <w:b/>
          <w:sz w:val="21"/>
        </w:rPr>
        <w:t>具体技术要求如下：</w:t>
      </w:r>
    </w:p>
    <w:p w14:paraId="435600B9">
      <w:pPr>
        <w:pStyle w:val="28"/>
        <w:numPr>
          <w:ilvl w:val="0"/>
          <w:numId w:val="29"/>
        </w:numPr>
        <w:tabs>
          <w:tab w:val="left" w:pos="851"/>
          <w:tab w:val="left" w:pos="993"/>
        </w:tabs>
        <w:spacing w:after="0" w:line="360" w:lineRule="auto"/>
        <w:ind w:hanging="354" w:firstLineChars="0"/>
        <w:contextualSpacing/>
        <w:rPr>
          <w:rFonts w:ascii="宋体" w:hAnsi="宋体"/>
          <w:color w:val="000000"/>
          <w:szCs w:val="21"/>
        </w:rPr>
      </w:pPr>
      <w:r>
        <w:rPr>
          <w:rFonts w:hint="eastAsia" w:ascii="宋体" w:hAnsi="宋体"/>
          <w:color w:val="000000"/>
          <w:szCs w:val="21"/>
        </w:rPr>
        <w:t>类型：五类</w:t>
      </w:r>
      <w:r>
        <w:rPr>
          <w:rFonts w:ascii="宋体" w:hAnsi="宋体"/>
          <w:color w:val="000000"/>
          <w:szCs w:val="21"/>
        </w:rPr>
        <w:t xml:space="preserve">UTP </w:t>
      </w:r>
      <w:r>
        <w:rPr>
          <w:rFonts w:hint="eastAsia" w:ascii="宋体" w:hAnsi="宋体"/>
          <w:color w:val="000000"/>
          <w:szCs w:val="21"/>
        </w:rPr>
        <w:t>线缆，自带骨架隔离结构，以保证系统的传输性能；</w:t>
      </w:r>
    </w:p>
    <w:p w14:paraId="3EF6D008">
      <w:pPr>
        <w:pStyle w:val="28"/>
        <w:numPr>
          <w:ilvl w:val="0"/>
          <w:numId w:val="29"/>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芯线规格：</w:t>
      </w:r>
      <w:r>
        <w:rPr>
          <w:rFonts w:ascii="宋体" w:hAnsi="宋体"/>
          <w:color w:val="000000"/>
          <w:szCs w:val="21"/>
        </w:rPr>
        <w:t>23 AWG</w:t>
      </w:r>
      <w:r>
        <w:rPr>
          <w:rFonts w:hint="eastAsia" w:ascii="宋体" w:hAnsi="宋体"/>
          <w:color w:val="000000"/>
          <w:szCs w:val="21"/>
        </w:rPr>
        <w:t>；</w:t>
      </w:r>
    </w:p>
    <w:p w14:paraId="14764AE0">
      <w:pPr>
        <w:pStyle w:val="28"/>
        <w:numPr>
          <w:ilvl w:val="0"/>
          <w:numId w:val="29"/>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芯线对数：</w:t>
      </w:r>
      <w:r>
        <w:rPr>
          <w:rFonts w:ascii="宋体" w:hAnsi="宋体"/>
          <w:color w:val="000000"/>
          <w:szCs w:val="21"/>
        </w:rPr>
        <w:t xml:space="preserve">4 </w:t>
      </w:r>
      <w:r>
        <w:rPr>
          <w:rFonts w:hint="eastAsia" w:ascii="宋体" w:hAnsi="宋体"/>
          <w:color w:val="000000"/>
          <w:szCs w:val="21"/>
        </w:rPr>
        <w:t>对，每芯带有彩色护套；</w:t>
      </w:r>
    </w:p>
    <w:p w14:paraId="2A590205">
      <w:pPr>
        <w:pStyle w:val="28"/>
        <w:numPr>
          <w:ilvl w:val="0"/>
          <w:numId w:val="29"/>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标准：</w:t>
      </w:r>
      <w:r>
        <w:rPr>
          <w:rFonts w:ascii="宋体" w:hAnsi="宋体"/>
          <w:color w:val="000000"/>
          <w:szCs w:val="21"/>
        </w:rPr>
        <w:t xml:space="preserve"> </w:t>
      </w:r>
      <w:r>
        <w:rPr>
          <w:rFonts w:hint="eastAsia" w:ascii="宋体" w:hAnsi="宋体"/>
          <w:color w:val="000000"/>
          <w:szCs w:val="21"/>
        </w:rPr>
        <w:t>TIA/EIA568B-2；</w:t>
      </w:r>
    </w:p>
    <w:p w14:paraId="055B36F6">
      <w:pPr>
        <w:pStyle w:val="28"/>
        <w:numPr>
          <w:ilvl w:val="0"/>
          <w:numId w:val="29"/>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带宽：≥</w:t>
      </w:r>
      <w:r>
        <w:rPr>
          <w:rFonts w:ascii="宋体" w:hAnsi="宋体"/>
          <w:color w:val="000000"/>
          <w:szCs w:val="21"/>
        </w:rPr>
        <w:t xml:space="preserve"> 250MHz</w:t>
      </w:r>
      <w:r>
        <w:rPr>
          <w:rFonts w:hint="eastAsia" w:ascii="宋体" w:hAnsi="宋体"/>
          <w:color w:val="000000"/>
          <w:szCs w:val="21"/>
        </w:rPr>
        <w:t>；</w:t>
      </w:r>
    </w:p>
    <w:p w14:paraId="59364D96">
      <w:pPr>
        <w:pStyle w:val="28"/>
        <w:numPr>
          <w:ilvl w:val="0"/>
          <w:numId w:val="29"/>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特性阻抗：</w:t>
      </w:r>
      <w:r>
        <w:rPr>
          <w:rFonts w:ascii="宋体" w:hAnsi="宋体"/>
          <w:color w:val="000000"/>
          <w:szCs w:val="21"/>
        </w:rPr>
        <w:t>100Ω</w:t>
      </w:r>
      <w:r>
        <w:rPr>
          <w:rFonts w:hint="eastAsia" w:ascii="宋体" w:hAnsi="宋体"/>
          <w:color w:val="000000"/>
          <w:szCs w:val="21"/>
        </w:rPr>
        <w:t>；</w:t>
      </w:r>
    </w:p>
    <w:p w14:paraId="4CDC770B">
      <w:pPr>
        <w:pStyle w:val="28"/>
        <w:numPr>
          <w:ilvl w:val="0"/>
          <w:numId w:val="29"/>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护套：LSOH低烟无卤等级，符合IEC60332、IEC60754标准；</w:t>
      </w:r>
    </w:p>
    <w:p w14:paraId="31C73039">
      <w:pPr>
        <w:pStyle w:val="28"/>
        <w:numPr>
          <w:ilvl w:val="0"/>
          <w:numId w:val="29"/>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认证：信产部五类性能认证，护套燃烧性第三方认证。</w:t>
      </w:r>
    </w:p>
    <w:p w14:paraId="3232D3E7">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信息模块</w:t>
      </w:r>
    </w:p>
    <w:p w14:paraId="0D030A1D">
      <w:pPr>
        <w:pStyle w:val="28"/>
        <w:spacing w:after="0" w:line="360" w:lineRule="auto"/>
        <w:ind w:firstLineChars="200"/>
        <w:contextualSpacing/>
        <w:rPr>
          <w:rFonts w:ascii="宋体" w:hAnsi="宋体"/>
          <w:color w:val="000000"/>
          <w:szCs w:val="21"/>
        </w:rPr>
      </w:pPr>
      <w:r>
        <w:rPr>
          <w:rFonts w:hint="eastAsia" w:ascii="宋体" w:hAnsi="宋体"/>
          <w:color w:val="000000"/>
          <w:szCs w:val="21"/>
        </w:rPr>
        <w:t>模块化信息插座技术要求：</w:t>
      </w:r>
    </w:p>
    <w:p w14:paraId="7931E9C3">
      <w:pPr>
        <w:pStyle w:val="28"/>
        <w:numPr>
          <w:ilvl w:val="0"/>
          <w:numId w:val="30"/>
        </w:numPr>
        <w:tabs>
          <w:tab w:val="left" w:pos="851"/>
          <w:tab w:val="left" w:pos="993"/>
        </w:tabs>
        <w:spacing w:after="0" w:line="360" w:lineRule="auto"/>
        <w:ind w:firstLineChars="0"/>
        <w:contextualSpacing/>
        <w:rPr>
          <w:rFonts w:ascii="宋体" w:hAnsi="宋体"/>
          <w:color w:val="000000"/>
          <w:szCs w:val="21"/>
        </w:rPr>
      </w:pPr>
      <w:r>
        <w:rPr>
          <w:rFonts w:hint="eastAsia" w:ascii="宋体" w:hAnsi="宋体"/>
          <w:color w:val="000000"/>
          <w:szCs w:val="21"/>
        </w:rPr>
        <w:t>规格：</w:t>
      </w:r>
      <w:r>
        <w:rPr>
          <w:rFonts w:ascii="宋体" w:hAnsi="宋体"/>
          <w:color w:val="000000"/>
          <w:szCs w:val="21"/>
        </w:rPr>
        <w:t>RJ45</w:t>
      </w:r>
      <w:r>
        <w:rPr>
          <w:rFonts w:hint="eastAsia" w:ascii="宋体" w:hAnsi="宋体"/>
          <w:color w:val="000000"/>
          <w:szCs w:val="21"/>
        </w:rPr>
        <w:t>模块插座，能够满足高速数据及语音信号的传输，传输带宽超过250MHz。信息模块配有防尘门。</w:t>
      </w:r>
    </w:p>
    <w:p w14:paraId="1AFD647A">
      <w:pPr>
        <w:pStyle w:val="28"/>
        <w:numPr>
          <w:ilvl w:val="0"/>
          <w:numId w:val="30"/>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直流电阻：</w:t>
      </w:r>
      <w:r>
        <w:rPr>
          <w:rFonts w:ascii="宋体" w:hAnsi="宋体"/>
          <w:color w:val="000000"/>
          <w:szCs w:val="21"/>
        </w:rPr>
        <w:t>0.3Ω</w:t>
      </w:r>
    </w:p>
    <w:p w14:paraId="44979A26">
      <w:pPr>
        <w:pStyle w:val="28"/>
        <w:numPr>
          <w:ilvl w:val="0"/>
          <w:numId w:val="30"/>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电流：</w:t>
      </w:r>
      <w:r>
        <w:rPr>
          <w:rFonts w:ascii="宋体" w:hAnsi="宋体"/>
          <w:color w:val="000000"/>
          <w:szCs w:val="21"/>
        </w:rPr>
        <w:t>1.5A</w:t>
      </w:r>
    </w:p>
    <w:p w14:paraId="11E02D24">
      <w:pPr>
        <w:pStyle w:val="28"/>
        <w:numPr>
          <w:ilvl w:val="0"/>
          <w:numId w:val="30"/>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绝缘阻抗：不低于</w:t>
      </w:r>
      <w:r>
        <w:rPr>
          <w:rFonts w:ascii="宋体" w:hAnsi="宋体"/>
          <w:color w:val="000000"/>
          <w:szCs w:val="21"/>
        </w:rPr>
        <w:t>500</w:t>
      </w:r>
      <w:r>
        <w:rPr>
          <w:rFonts w:hint="eastAsia" w:ascii="宋体" w:hAnsi="宋体"/>
          <w:color w:val="000000"/>
          <w:szCs w:val="21"/>
        </w:rPr>
        <w:t>ＭΩ</w:t>
      </w:r>
    </w:p>
    <w:p w14:paraId="7C50DC72">
      <w:pPr>
        <w:pStyle w:val="28"/>
        <w:numPr>
          <w:ilvl w:val="0"/>
          <w:numId w:val="30"/>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拔插寿命：≥</w:t>
      </w:r>
      <w:r>
        <w:rPr>
          <w:rFonts w:ascii="宋体" w:hAnsi="宋体"/>
          <w:color w:val="000000"/>
          <w:szCs w:val="21"/>
        </w:rPr>
        <w:t xml:space="preserve"> 750 </w:t>
      </w:r>
      <w:r>
        <w:rPr>
          <w:rFonts w:hint="eastAsia" w:ascii="宋体" w:hAnsi="宋体"/>
          <w:color w:val="000000"/>
          <w:szCs w:val="21"/>
        </w:rPr>
        <w:t>次</w:t>
      </w:r>
    </w:p>
    <w:p w14:paraId="144F0EC8">
      <w:pPr>
        <w:pStyle w:val="28"/>
        <w:numPr>
          <w:ilvl w:val="0"/>
          <w:numId w:val="30"/>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端接寿命：≥</w:t>
      </w:r>
      <w:r>
        <w:rPr>
          <w:rFonts w:ascii="宋体" w:hAnsi="宋体"/>
          <w:color w:val="000000"/>
          <w:szCs w:val="21"/>
        </w:rPr>
        <w:t xml:space="preserve">150 </w:t>
      </w:r>
      <w:r>
        <w:rPr>
          <w:rFonts w:hint="eastAsia" w:ascii="宋体" w:hAnsi="宋体"/>
          <w:color w:val="000000"/>
          <w:szCs w:val="21"/>
        </w:rPr>
        <w:t>次</w:t>
      </w:r>
    </w:p>
    <w:p w14:paraId="730660E1">
      <w:pPr>
        <w:pStyle w:val="28"/>
        <w:numPr>
          <w:ilvl w:val="0"/>
          <w:numId w:val="30"/>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接点阻抗：≤</w:t>
      </w:r>
      <w:r>
        <w:rPr>
          <w:rFonts w:ascii="宋体" w:hAnsi="宋体"/>
          <w:color w:val="000000"/>
          <w:szCs w:val="21"/>
        </w:rPr>
        <w:t>20mΩ</w:t>
      </w:r>
    </w:p>
    <w:p w14:paraId="309E009D">
      <w:pPr>
        <w:pStyle w:val="28"/>
        <w:numPr>
          <w:ilvl w:val="0"/>
          <w:numId w:val="30"/>
        </w:numPr>
        <w:tabs>
          <w:tab w:val="left" w:pos="851"/>
          <w:tab w:val="left" w:pos="993"/>
        </w:tabs>
        <w:spacing w:after="0" w:line="360" w:lineRule="auto"/>
        <w:ind w:left="0" w:firstLine="420" w:firstLineChars="200"/>
        <w:contextualSpacing/>
        <w:rPr>
          <w:rFonts w:ascii="宋体" w:hAnsi="宋体"/>
          <w:color w:val="000000"/>
          <w:szCs w:val="21"/>
        </w:rPr>
      </w:pPr>
      <w:r>
        <w:rPr>
          <w:rFonts w:hint="eastAsia" w:ascii="宋体" w:hAnsi="宋体"/>
          <w:color w:val="000000"/>
          <w:szCs w:val="21"/>
        </w:rPr>
        <w:t>端接：采用斜角簧片卡线，且模块后面端接点应有去应力保护盖；</w:t>
      </w:r>
    </w:p>
    <w:p w14:paraId="73FBA79B">
      <w:pPr>
        <w:spacing w:line="360" w:lineRule="auto"/>
        <w:ind w:firstLine="420" w:firstLineChars="200"/>
        <w:contextualSpacing/>
        <w:rPr>
          <w:rFonts w:ascii="宋体" w:hAnsi="宋体"/>
          <w:color w:val="000000"/>
          <w:szCs w:val="21"/>
        </w:rPr>
      </w:pPr>
      <w:r>
        <w:rPr>
          <w:rFonts w:hint="eastAsia" w:ascii="宋体" w:hAnsi="宋体"/>
          <w:color w:val="000000"/>
          <w:szCs w:val="21"/>
        </w:rPr>
        <w:t>信息插座满足高速数据及语音信号的传输要求，符合ISO8877标准，信息模块可以选择90度（垂直）或45度（斜角）安装方式，面板应采用方形，并应有明显的语音及数据的标识；所有信息端口以标签加以标识，并清楚地标明其用途，所有使用的标签为机器打印，标签上的编号应同时支持简体汉字、英文字母、数字、标点，标签具有永久的防脱落、防水、防高温性。</w:t>
      </w:r>
    </w:p>
    <w:p w14:paraId="3E1AE469">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机柜跳线</w:t>
      </w:r>
    </w:p>
    <w:p w14:paraId="558F65D3">
      <w:pPr>
        <w:spacing w:line="360" w:lineRule="auto"/>
        <w:ind w:firstLine="420" w:firstLineChars="200"/>
        <w:contextualSpacing/>
        <w:rPr>
          <w:rFonts w:ascii="宋体" w:hAnsi="宋体"/>
          <w:color w:val="000000"/>
          <w:szCs w:val="21"/>
        </w:rPr>
      </w:pPr>
      <w:r>
        <w:rPr>
          <w:rFonts w:hint="eastAsia" w:ascii="宋体" w:hAnsi="宋体"/>
          <w:color w:val="000000"/>
          <w:szCs w:val="21"/>
        </w:rPr>
        <w:t>1）  类别：原厂正品，五类，长度可选</w:t>
      </w:r>
    </w:p>
    <w:p w14:paraId="4AF555A7">
      <w:pPr>
        <w:spacing w:line="360" w:lineRule="auto"/>
        <w:ind w:firstLine="420" w:firstLineChars="200"/>
        <w:contextualSpacing/>
        <w:rPr>
          <w:rFonts w:ascii="宋体" w:hAnsi="宋体"/>
          <w:color w:val="000000"/>
          <w:szCs w:val="21"/>
        </w:rPr>
      </w:pPr>
      <w:r>
        <w:rPr>
          <w:rFonts w:hint="eastAsia" w:ascii="宋体" w:hAnsi="宋体"/>
          <w:color w:val="000000"/>
          <w:szCs w:val="21"/>
        </w:rPr>
        <w:t>2）  规格：多股软芯跳线，自带骨架分隔，带低烟无卤阻燃护套</w:t>
      </w:r>
    </w:p>
    <w:p w14:paraId="610437A0">
      <w:pPr>
        <w:spacing w:line="360" w:lineRule="auto"/>
        <w:ind w:firstLine="420" w:firstLineChars="200"/>
        <w:contextualSpacing/>
        <w:rPr>
          <w:rFonts w:ascii="宋体" w:hAnsi="宋体"/>
          <w:color w:val="000000"/>
          <w:szCs w:val="21"/>
        </w:rPr>
      </w:pPr>
      <w:r>
        <w:rPr>
          <w:rFonts w:hint="eastAsia" w:ascii="宋体" w:hAnsi="宋体"/>
          <w:color w:val="000000"/>
          <w:szCs w:val="21"/>
        </w:rPr>
        <w:t>3）  芯数：8芯</w:t>
      </w:r>
    </w:p>
    <w:p w14:paraId="5160C20C">
      <w:pPr>
        <w:spacing w:line="360" w:lineRule="auto"/>
        <w:ind w:firstLine="420" w:firstLineChars="200"/>
        <w:contextualSpacing/>
        <w:rPr>
          <w:rFonts w:ascii="宋体" w:hAnsi="宋体"/>
          <w:color w:val="000000"/>
          <w:szCs w:val="21"/>
        </w:rPr>
      </w:pPr>
      <w:r>
        <w:rPr>
          <w:rFonts w:hint="eastAsia" w:ascii="宋体" w:hAnsi="宋体"/>
          <w:color w:val="000000"/>
          <w:szCs w:val="21"/>
        </w:rPr>
        <w:t>4）  最少连接次数：750次</w:t>
      </w:r>
    </w:p>
    <w:p w14:paraId="110DD0F7">
      <w:pPr>
        <w:spacing w:line="360" w:lineRule="auto"/>
        <w:ind w:firstLine="420" w:firstLineChars="200"/>
        <w:contextualSpacing/>
        <w:rPr>
          <w:rFonts w:ascii="宋体" w:hAnsi="宋体"/>
          <w:color w:val="000000"/>
          <w:szCs w:val="21"/>
        </w:rPr>
      </w:pPr>
      <w:r>
        <w:rPr>
          <w:rFonts w:hint="eastAsia" w:ascii="宋体" w:hAnsi="宋体"/>
          <w:color w:val="000000"/>
          <w:szCs w:val="21"/>
        </w:rPr>
        <w:t>5）  长度：2米或3米</w:t>
      </w:r>
    </w:p>
    <w:p w14:paraId="2C13E72F">
      <w:pPr>
        <w:spacing w:line="360" w:lineRule="auto"/>
        <w:ind w:firstLine="420" w:firstLineChars="200"/>
        <w:contextualSpacing/>
        <w:rPr>
          <w:rFonts w:ascii="宋体" w:hAnsi="宋体"/>
          <w:color w:val="000000"/>
          <w:szCs w:val="21"/>
        </w:rPr>
      </w:pPr>
      <w:r>
        <w:rPr>
          <w:rFonts w:hint="eastAsia" w:ascii="宋体" w:hAnsi="宋体"/>
          <w:color w:val="000000"/>
          <w:szCs w:val="21"/>
        </w:rPr>
        <w:t>6）  标准：T1A/EIA568B.2-1，带宽≥250MHz并有较好余量</w:t>
      </w:r>
    </w:p>
    <w:p w14:paraId="7EED3BD0">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信息</w:t>
      </w:r>
      <w:r>
        <w:rPr>
          <w:rFonts w:ascii="黑体" w:cs="黑体"/>
          <w:color w:val="000000"/>
          <w:kern w:val="0"/>
          <w:sz w:val="21"/>
          <w:szCs w:val="21"/>
        </w:rPr>
        <w:t>面板</w:t>
      </w:r>
    </w:p>
    <w:p w14:paraId="7D3FD51A">
      <w:pPr>
        <w:spacing w:line="360" w:lineRule="auto"/>
        <w:ind w:firstLine="420" w:firstLineChars="200"/>
        <w:contextualSpacing/>
        <w:rPr>
          <w:rFonts w:ascii="宋体" w:hAnsi="宋体"/>
          <w:color w:val="000000"/>
          <w:szCs w:val="21"/>
        </w:rPr>
      </w:pPr>
      <w:r>
        <w:rPr>
          <w:rFonts w:hint="eastAsia" w:ascii="宋体" w:hAnsi="宋体"/>
          <w:color w:val="000000"/>
          <w:szCs w:val="21"/>
        </w:rPr>
        <w:t xml:space="preserve">1) </w:t>
      </w:r>
      <w:r>
        <w:rPr>
          <w:rFonts w:ascii="宋体" w:hAnsi="宋体"/>
          <w:color w:val="000000"/>
          <w:szCs w:val="21"/>
        </w:rPr>
        <w:t>规格： 86</w:t>
      </w:r>
      <w:r>
        <w:rPr>
          <w:rFonts w:hint="eastAsia" w:ascii="宋体" w:hAnsi="宋体"/>
          <w:color w:val="000000"/>
          <w:szCs w:val="21"/>
        </w:rPr>
        <w:t>型</w:t>
      </w:r>
      <w:r>
        <w:rPr>
          <w:rFonts w:ascii="宋体" w:hAnsi="宋体"/>
          <w:color w:val="000000"/>
          <w:szCs w:val="21"/>
        </w:rPr>
        <w:t>，</w:t>
      </w:r>
      <w:r>
        <w:rPr>
          <w:rFonts w:hint="eastAsia" w:ascii="宋体" w:hAnsi="宋体"/>
          <w:bCs/>
          <w:szCs w:val="21"/>
        </w:rPr>
        <w:t>与</w:t>
      </w:r>
      <w:r>
        <w:rPr>
          <w:rFonts w:ascii="宋体" w:hAnsi="宋体"/>
          <w:bCs/>
          <w:szCs w:val="21"/>
        </w:rPr>
        <w:t xml:space="preserve">RJ45 </w:t>
      </w:r>
      <w:r>
        <w:rPr>
          <w:rFonts w:hint="eastAsia" w:ascii="宋体" w:hAnsi="宋体"/>
          <w:bCs/>
          <w:szCs w:val="21"/>
        </w:rPr>
        <w:t>模块插座配套，要求采用双层面板结构，包括标签、透明标签盖以及固定螺丝，安装螺丝孔不得外露。</w:t>
      </w:r>
    </w:p>
    <w:p w14:paraId="39E23A20">
      <w:pPr>
        <w:spacing w:line="360" w:lineRule="auto"/>
        <w:ind w:firstLine="420" w:firstLineChars="200"/>
        <w:contextualSpacing/>
        <w:rPr>
          <w:rFonts w:ascii="宋体" w:hAnsi="宋体"/>
          <w:color w:val="000000"/>
          <w:szCs w:val="21"/>
        </w:rPr>
      </w:pPr>
      <w:r>
        <w:rPr>
          <w:rFonts w:hint="eastAsia" w:ascii="宋体" w:hAnsi="宋体"/>
          <w:color w:val="000000"/>
          <w:szCs w:val="21"/>
        </w:rPr>
        <w:t>2) 安装方式：模块可垂直或45度安装。</w:t>
      </w:r>
    </w:p>
    <w:p w14:paraId="619AF019">
      <w:pPr>
        <w:spacing w:line="360" w:lineRule="auto"/>
        <w:ind w:firstLine="420" w:firstLineChars="200"/>
        <w:contextualSpacing/>
        <w:rPr>
          <w:rFonts w:ascii="宋体" w:hAnsi="宋体"/>
          <w:color w:val="000000"/>
          <w:szCs w:val="21"/>
        </w:rPr>
      </w:pPr>
      <w:r>
        <w:rPr>
          <w:rFonts w:hint="eastAsia" w:ascii="宋体" w:hAnsi="宋体"/>
          <w:color w:val="000000"/>
          <w:szCs w:val="21"/>
        </w:rPr>
        <w:t>3）单个面板要求具有</w:t>
      </w:r>
      <w:r>
        <w:rPr>
          <w:rFonts w:ascii="宋体" w:hAnsi="宋体"/>
          <w:color w:val="000000"/>
          <w:szCs w:val="21"/>
        </w:rPr>
        <w:t>1</w:t>
      </w: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、4端口类型，以方便在高密度的不同环境下的灵活选择。</w:t>
      </w:r>
    </w:p>
    <w:p w14:paraId="55A06FFF">
      <w:pPr>
        <w:spacing w:line="360" w:lineRule="auto"/>
        <w:ind w:firstLine="420" w:firstLineChars="200"/>
        <w:contextualSpacing/>
        <w:rPr>
          <w:rFonts w:ascii="宋体" w:hAnsi="宋体"/>
          <w:color w:val="000000"/>
          <w:szCs w:val="21"/>
        </w:rPr>
      </w:pPr>
      <w:r>
        <w:rPr>
          <w:rFonts w:hint="eastAsia" w:ascii="宋体" w:hAnsi="宋体"/>
          <w:color w:val="000000"/>
          <w:szCs w:val="21"/>
        </w:rPr>
        <w:t xml:space="preserve">4) </w:t>
      </w:r>
      <w:r>
        <w:rPr>
          <w:rFonts w:ascii="宋体" w:hAnsi="宋体"/>
          <w:color w:val="000000"/>
          <w:szCs w:val="21"/>
        </w:rPr>
        <w:t>标签要求：自带可更换式标签</w:t>
      </w:r>
      <w:r>
        <w:rPr>
          <w:rFonts w:hint="eastAsia" w:ascii="宋体" w:hAnsi="宋体"/>
          <w:color w:val="000000"/>
          <w:szCs w:val="21"/>
        </w:rPr>
        <w:t>。</w:t>
      </w:r>
    </w:p>
    <w:p w14:paraId="73708C15">
      <w:pPr>
        <w:spacing w:line="360" w:lineRule="auto"/>
        <w:ind w:firstLine="420" w:firstLineChars="200"/>
        <w:contextualSpacing/>
        <w:rPr>
          <w:rFonts w:ascii="宋体" w:hAnsi="宋体"/>
          <w:color w:val="000000"/>
          <w:szCs w:val="21"/>
        </w:rPr>
      </w:pPr>
      <w:r>
        <w:rPr>
          <w:rFonts w:hint="eastAsia" w:ascii="宋体" w:hAnsi="宋体"/>
          <w:color w:val="000000"/>
          <w:szCs w:val="21"/>
        </w:rPr>
        <w:t xml:space="preserve">5) </w:t>
      </w:r>
      <w:r>
        <w:rPr>
          <w:rFonts w:ascii="宋体" w:hAnsi="宋体"/>
          <w:color w:val="000000"/>
          <w:szCs w:val="21"/>
        </w:rPr>
        <w:t>其他要求：自带防尘</w:t>
      </w:r>
      <w:r>
        <w:rPr>
          <w:rFonts w:hint="eastAsia" w:ascii="宋体" w:hAnsi="宋体"/>
          <w:color w:val="000000"/>
          <w:szCs w:val="21"/>
        </w:rPr>
        <w:t>该</w:t>
      </w:r>
      <w:r>
        <w:rPr>
          <w:rFonts w:ascii="宋体" w:hAnsi="宋体"/>
          <w:color w:val="000000"/>
          <w:szCs w:val="21"/>
        </w:rPr>
        <w:t>，布线原厂产品</w:t>
      </w:r>
      <w:r>
        <w:rPr>
          <w:rFonts w:hint="eastAsia" w:ascii="宋体" w:hAnsi="宋体"/>
          <w:color w:val="000000"/>
          <w:szCs w:val="21"/>
        </w:rPr>
        <w:t>。</w:t>
      </w:r>
    </w:p>
    <w:p w14:paraId="47131068">
      <w:pPr>
        <w:spacing w:line="360" w:lineRule="auto"/>
        <w:jc w:val="left"/>
        <w:outlineLvl w:val="2"/>
        <w:rPr>
          <w:b/>
          <w:szCs w:val="21"/>
        </w:rPr>
      </w:pPr>
      <w:bookmarkStart w:id="81" w:name="_Toc206145318"/>
      <w:bookmarkStart w:id="82" w:name="_Toc506302429"/>
      <w:r>
        <w:rPr>
          <w:rFonts w:hint="eastAsia"/>
          <w:b/>
          <w:szCs w:val="21"/>
        </w:rPr>
        <w:t>3.</w:t>
      </w:r>
      <w:r>
        <w:rPr>
          <w:b/>
          <w:szCs w:val="21"/>
        </w:rPr>
        <w:t>7</w:t>
      </w:r>
      <w:r>
        <w:rPr>
          <w:rFonts w:hint="eastAsia"/>
          <w:b/>
          <w:szCs w:val="21"/>
        </w:rPr>
        <w:t>.4施工技术要求</w:t>
      </w:r>
      <w:bookmarkEnd w:id="81"/>
      <w:bookmarkEnd w:id="82"/>
    </w:p>
    <w:p w14:paraId="19BB05BF">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桥架铺设</w:t>
      </w:r>
    </w:p>
    <w:p w14:paraId="51450563">
      <w:pPr>
        <w:spacing w:line="360" w:lineRule="auto"/>
        <w:ind w:firstLine="420" w:firstLineChars="200"/>
        <w:contextualSpacing/>
        <w:rPr>
          <w:rFonts w:ascii="宋体"/>
          <w:color w:val="000000"/>
          <w:szCs w:val="21"/>
        </w:rPr>
      </w:pPr>
      <w:r>
        <w:rPr>
          <w:rFonts w:hint="eastAsia" w:ascii="宋体"/>
          <w:color w:val="000000"/>
          <w:szCs w:val="21"/>
        </w:rPr>
        <w:t>根据设计要求，线缆通过上走线桥架到各个功能机柜及区域。</w:t>
      </w:r>
    </w:p>
    <w:p w14:paraId="35235A61">
      <w:pPr>
        <w:numPr>
          <w:ilvl w:val="0"/>
          <w:numId w:val="31"/>
        </w:numPr>
        <w:spacing w:line="360" w:lineRule="auto"/>
        <w:ind w:left="0" w:firstLine="420" w:firstLineChars="200"/>
        <w:contextualSpacing/>
        <w:rPr>
          <w:rFonts w:ascii="宋体" w:hAnsi="宋体"/>
          <w:color w:val="000000"/>
          <w:szCs w:val="21"/>
        </w:rPr>
      </w:pPr>
      <w:r>
        <w:rPr>
          <w:rFonts w:hint="eastAsia" w:ascii="宋体" w:hAnsi="宋体"/>
          <w:color w:val="000000"/>
          <w:szCs w:val="21"/>
        </w:rPr>
        <w:t>信息线缆沿天花上的镀锌金属桥架再沿墙走镀锌管到各个信息插座。</w:t>
      </w:r>
    </w:p>
    <w:p w14:paraId="078AAB06">
      <w:pPr>
        <w:numPr>
          <w:ilvl w:val="0"/>
          <w:numId w:val="31"/>
        </w:numPr>
        <w:spacing w:line="360" w:lineRule="auto"/>
        <w:ind w:left="0" w:firstLine="420" w:firstLineChars="200"/>
        <w:contextualSpacing/>
        <w:rPr>
          <w:rFonts w:ascii="宋体" w:hAnsi="宋体"/>
          <w:color w:val="000000"/>
          <w:szCs w:val="21"/>
        </w:rPr>
      </w:pPr>
      <w:r>
        <w:rPr>
          <w:rFonts w:hint="eastAsia" w:ascii="宋体" w:hAnsi="宋体"/>
          <w:color w:val="000000"/>
          <w:szCs w:val="21"/>
        </w:rPr>
        <w:t>从接线盒、线槽等处引到布线底盒的线路加采用镀锌DN25管或者金属软管保护。</w:t>
      </w:r>
    </w:p>
    <w:p w14:paraId="3E95FDE8">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线缆铺设</w:t>
      </w:r>
    </w:p>
    <w:p w14:paraId="540B9300">
      <w:pPr>
        <w:numPr>
          <w:ilvl w:val="0"/>
          <w:numId w:val="32"/>
        </w:numPr>
        <w:spacing w:line="360" w:lineRule="auto"/>
        <w:ind w:left="0" w:firstLine="420" w:firstLineChars="200"/>
        <w:contextualSpacing/>
        <w:rPr>
          <w:rFonts w:ascii="宋体" w:hAnsi="宋体"/>
          <w:color w:val="000000"/>
          <w:szCs w:val="21"/>
        </w:rPr>
      </w:pPr>
      <w:r>
        <w:rPr>
          <w:rFonts w:ascii="宋体" w:hAnsi="宋体"/>
          <w:color w:val="000000"/>
          <w:szCs w:val="21"/>
        </w:rPr>
        <w:t>各缆线间的最小距</w:t>
      </w:r>
      <w:r>
        <w:rPr>
          <w:rFonts w:hint="eastAsia" w:ascii="宋体" w:hAnsi="宋体"/>
          <w:color w:val="000000"/>
          <w:szCs w:val="21"/>
        </w:rPr>
        <w:t>离</w:t>
      </w:r>
      <w:r>
        <w:rPr>
          <w:rFonts w:ascii="宋体" w:hAnsi="宋体"/>
          <w:color w:val="000000"/>
          <w:szCs w:val="21"/>
        </w:rPr>
        <w:t>应符合设计要求</w:t>
      </w:r>
      <w:r>
        <w:rPr>
          <w:rFonts w:hint="eastAsia" w:ascii="宋体" w:hAnsi="宋体"/>
          <w:color w:val="000000"/>
          <w:szCs w:val="21"/>
        </w:rPr>
        <w:t>，从最远信息点向电信间进行布线，在每根线的两端根据设计图纸尺寸量实用线的长度，一般增加6米左右（水平电缆长度不超过90米）。</w:t>
      </w:r>
    </w:p>
    <w:p w14:paraId="7CD083DB">
      <w:pPr>
        <w:numPr>
          <w:ilvl w:val="0"/>
          <w:numId w:val="32"/>
        </w:numPr>
        <w:spacing w:line="360" w:lineRule="auto"/>
        <w:ind w:left="0" w:firstLine="420" w:firstLineChars="200"/>
        <w:contextualSpacing/>
        <w:rPr>
          <w:rFonts w:ascii="宋体" w:hAnsi="宋体"/>
          <w:color w:val="000000"/>
          <w:szCs w:val="21"/>
        </w:rPr>
      </w:pPr>
      <w:r>
        <w:rPr>
          <w:rFonts w:ascii="宋体" w:hAnsi="宋体"/>
          <w:color w:val="000000"/>
          <w:szCs w:val="21"/>
        </w:rPr>
        <w:t>缆线的布放应平直、不得产生扭绞，打圈等现象，不应受到外力的挤压和损伤</w:t>
      </w:r>
      <w:r>
        <w:rPr>
          <w:rFonts w:hint="eastAsia" w:ascii="宋体" w:hAnsi="宋体"/>
          <w:color w:val="000000"/>
          <w:szCs w:val="21"/>
        </w:rPr>
        <w:t>。</w:t>
      </w:r>
    </w:p>
    <w:p w14:paraId="3C5B84A6">
      <w:pPr>
        <w:numPr>
          <w:ilvl w:val="0"/>
          <w:numId w:val="32"/>
        </w:numPr>
        <w:spacing w:line="360" w:lineRule="auto"/>
        <w:ind w:left="0" w:firstLine="420" w:firstLineChars="200"/>
        <w:contextualSpacing/>
        <w:rPr>
          <w:rFonts w:ascii="宋体" w:hAnsi="宋体"/>
          <w:color w:val="000000"/>
          <w:szCs w:val="21"/>
        </w:rPr>
      </w:pPr>
      <w:r>
        <w:rPr>
          <w:rFonts w:ascii="宋体" w:hAnsi="宋体"/>
          <w:color w:val="000000"/>
          <w:szCs w:val="21"/>
        </w:rPr>
        <w:t>缆线在布放前两端应贴有标签，以表明起始和终端位置，标签书写应清晰，端正和正确</w:t>
      </w:r>
      <w:r>
        <w:rPr>
          <w:rFonts w:hint="eastAsia" w:ascii="宋体" w:hAnsi="宋体"/>
          <w:color w:val="000000"/>
          <w:szCs w:val="21"/>
        </w:rPr>
        <w:t>。</w:t>
      </w:r>
    </w:p>
    <w:p w14:paraId="4CB98644">
      <w:pPr>
        <w:numPr>
          <w:ilvl w:val="0"/>
          <w:numId w:val="32"/>
        </w:numPr>
        <w:spacing w:line="360" w:lineRule="auto"/>
        <w:ind w:left="0" w:firstLine="420" w:firstLineChars="200"/>
        <w:contextualSpacing/>
        <w:rPr>
          <w:rFonts w:ascii="宋体" w:hAnsi="宋体"/>
          <w:color w:val="000000"/>
          <w:szCs w:val="21"/>
        </w:rPr>
      </w:pPr>
      <w:r>
        <w:rPr>
          <w:rFonts w:ascii="宋体" w:hAnsi="宋体"/>
          <w:color w:val="000000"/>
          <w:szCs w:val="21"/>
        </w:rPr>
        <w:t>缆线布放，在牵引过程中，吊挂缆线的支点相隔间距不应大于1.5m</w:t>
      </w:r>
      <w:r>
        <w:rPr>
          <w:rFonts w:hint="eastAsia" w:ascii="宋体" w:hAnsi="宋体"/>
          <w:color w:val="000000"/>
          <w:szCs w:val="21"/>
        </w:rPr>
        <w:t>。</w:t>
      </w:r>
    </w:p>
    <w:p w14:paraId="4D73F34B">
      <w:pPr>
        <w:numPr>
          <w:ilvl w:val="0"/>
          <w:numId w:val="32"/>
        </w:numPr>
        <w:spacing w:line="360" w:lineRule="auto"/>
        <w:ind w:left="0" w:firstLine="420" w:firstLineChars="200"/>
        <w:contextualSpacing/>
        <w:rPr>
          <w:rFonts w:ascii="宋体" w:hAnsi="宋体"/>
          <w:color w:val="000000"/>
        </w:rPr>
      </w:pPr>
      <w:r>
        <w:rPr>
          <w:rFonts w:ascii="宋体" w:hAnsi="宋体"/>
          <w:color w:val="000000"/>
        </w:rPr>
        <w:t>布放缆线的牵引力，应小于缆线允许张力的80%，对光缆瞬间最大牵引力不应超过光缆允许的张力。在以牵引方式敷设光缆时，主要牵引力应加在光缆的加强芯上</w:t>
      </w:r>
      <w:r>
        <w:rPr>
          <w:rFonts w:hint="eastAsia" w:ascii="宋体" w:hAnsi="宋体"/>
          <w:color w:val="000000"/>
        </w:rPr>
        <w:t>。</w:t>
      </w:r>
    </w:p>
    <w:p w14:paraId="6D585559">
      <w:pPr>
        <w:numPr>
          <w:ilvl w:val="0"/>
          <w:numId w:val="32"/>
        </w:numPr>
        <w:spacing w:line="360" w:lineRule="auto"/>
        <w:ind w:left="0" w:firstLine="420" w:firstLineChars="200"/>
        <w:contextualSpacing/>
        <w:rPr>
          <w:rFonts w:ascii="宋体" w:hAnsi="宋体"/>
          <w:color w:val="000000"/>
        </w:rPr>
      </w:pPr>
      <w:r>
        <w:rPr>
          <w:rFonts w:hint="eastAsia" w:ascii="宋体" w:hAnsi="宋体"/>
          <w:color w:val="000000"/>
        </w:rPr>
        <w:t>电</w:t>
      </w:r>
      <w:r>
        <w:rPr>
          <w:rFonts w:ascii="宋体" w:hAnsi="宋体"/>
          <w:color w:val="000000"/>
        </w:rPr>
        <w:t>缆</w:t>
      </w:r>
      <w:r>
        <w:rPr>
          <w:rFonts w:hint="eastAsia" w:ascii="宋体" w:hAnsi="宋体"/>
          <w:color w:val="000000"/>
        </w:rPr>
        <w:t>在</w:t>
      </w:r>
      <w:r>
        <w:rPr>
          <w:rFonts w:hint="eastAsia" w:ascii="宋体"/>
          <w:color w:val="000000"/>
        </w:rPr>
        <w:t>开放式桥架内</w:t>
      </w:r>
      <w:r>
        <w:rPr>
          <w:rFonts w:ascii="宋体" w:hAnsi="宋体"/>
          <w:color w:val="000000"/>
        </w:rPr>
        <w:t>敷设时，在缆线的距离首端、尾端、转弯中心点处300~500mm处设置固定点</w:t>
      </w:r>
      <w:r>
        <w:rPr>
          <w:rFonts w:hint="eastAsia" w:ascii="宋体" w:hAnsi="宋体"/>
          <w:color w:val="000000"/>
        </w:rPr>
        <w:t>。</w:t>
      </w:r>
    </w:p>
    <w:p w14:paraId="4A57EB07">
      <w:pPr>
        <w:numPr>
          <w:ilvl w:val="0"/>
          <w:numId w:val="32"/>
        </w:numPr>
        <w:spacing w:line="360" w:lineRule="auto"/>
        <w:ind w:left="0" w:firstLine="420" w:firstLineChars="200"/>
        <w:contextualSpacing/>
        <w:rPr>
          <w:rFonts w:ascii="宋体" w:hAnsi="宋体"/>
          <w:color w:val="000000"/>
        </w:rPr>
      </w:pPr>
      <w:r>
        <w:rPr>
          <w:rFonts w:ascii="宋体" w:hAnsi="宋体"/>
          <w:color w:val="000000"/>
        </w:rPr>
        <w:t>桥架内缆线应顺直,尽量不交叉、缆线不应溢出线槽、在缆线进出线槽部位，转弯处应绑扎固定。垂直线槽布放缆线应每间隔1.5m处固定在缆线支架上，以防线缆下坠</w:t>
      </w:r>
      <w:r>
        <w:rPr>
          <w:rFonts w:hint="eastAsia" w:ascii="宋体" w:hAnsi="宋体"/>
          <w:color w:val="000000"/>
        </w:rPr>
        <w:t>。</w:t>
      </w:r>
    </w:p>
    <w:p w14:paraId="3C919CFE">
      <w:pPr>
        <w:numPr>
          <w:ilvl w:val="0"/>
          <w:numId w:val="32"/>
        </w:numPr>
        <w:spacing w:line="360" w:lineRule="auto"/>
        <w:ind w:left="0" w:firstLine="420" w:firstLineChars="200"/>
        <w:contextualSpacing/>
        <w:rPr>
          <w:rFonts w:ascii="宋体" w:hAnsi="宋体"/>
          <w:color w:val="000000"/>
        </w:rPr>
      </w:pPr>
      <w:r>
        <w:rPr>
          <w:rFonts w:ascii="宋体" w:hAnsi="宋体"/>
          <w:color w:val="000000"/>
        </w:rPr>
        <w:t>在水平、垂直桥架和垂直线槽中敷设缆线时，应对缆线进行绑扎。</w:t>
      </w:r>
      <w:r>
        <w:rPr>
          <w:rFonts w:hint="eastAsia" w:ascii="宋体" w:hAnsi="宋体"/>
          <w:color w:val="000000"/>
        </w:rPr>
        <w:t>4</w:t>
      </w:r>
      <w:r>
        <w:rPr>
          <w:rFonts w:ascii="宋体" w:hAnsi="宋体"/>
          <w:color w:val="000000"/>
        </w:rPr>
        <w:t>对对绞缆以24根为束，25对或以上主干对绞电缆、光缆及其他信用电缆应根据缆线的类型、缆径、缆线芯数为束绑扎。绑扎间距不宜大于1.5m，扣间距应均匀、松紧适应</w:t>
      </w:r>
      <w:r>
        <w:rPr>
          <w:rFonts w:hint="eastAsia" w:ascii="宋体" w:hAnsi="宋体"/>
          <w:color w:val="000000"/>
        </w:rPr>
        <w:t>。</w:t>
      </w:r>
    </w:p>
    <w:p w14:paraId="7132B136">
      <w:pPr>
        <w:numPr>
          <w:ilvl w:val="0"/>
          <w:numId w:val="32"/>
        </w:numPr>
        <w:spacing w:line="360" w:lineRule="auto"/>
        <w:ind w:left="0" w:firstLine="420" w:firstLineChars="200"/>
        <w:contextualSpacing/>
        <w:rPr>
          <w:rFonts w:ascii="宋体" w:hAnsi="宋体"/>
          <w:color w:val="000000"/>
        </w:rPr>
      </w:pPr>
      <w:r>
        <w:rPr>
          <w:rFonts w:ascii="宋体" w:hAnsi="宋体"/>
          <w:color w:val="000000"/>
        </w:rPr>
        <w:t>在竖井内采用明配桥架、金属线槽等方式敷设缆线，并应符合以上有关条款要求。</w:t>
      </w:r>
    </w:p>
    <w:p w14:paraId="588F44D3">
      <w:pPr>
        <w:numPr>
          <w:ilvl w:val="0"/>
          <w:numId w:val="32"/>
        </w:numPr>
        <w:spacing w:line="360" w:lineRule="auto"/>
        <w:ind w:left="0" w:firstLine="420" w:firstLineChars="200"/>
        <w:contextualSpacing/>
        <w:rPr>
          <w:rFonts w:ascii="宋体" w:hAnsi="宋体"/>
          <w:color w:val="000000"/>
        </w:rPr>
      </w:pPr>
      <w:r>
        <w:rPr>
          <w:rFonts w:hint="eastAsia" w:ascii="宋体" w:hAnsi="宋体"/>
          <w:color w:val="000000"/>
        </w:rPr>
        <w:t>导线穿入钢管后，在导线出口处，应装护线套保护导线；在不进入盒（箱）内的垂直管口，穿导线后，应将管口作密封处理。</w:t>
      </w:r>
    </w:p>
    <w:p w14:paraId="06841D0C">
      <w:pPr>
        <w:numPr>
          <w:ilvl w:val="0"/>
          <w:numId w:val="32"/>
        </w:numPr>
        <w:spacing w:line="360" w:lineRule="auto"/>
        <w:ind w:left="0" w:firstLine="420" w:firstLineChars="200"/>
        <w:contextualSpacing/>
        <w:rPr>
          <w:rFonts w:ascii="宋体" w:hAnsi="宋体"/>
          <w:color w:val="000000"/>
        </w:rPr>
      </w:pPr>
      <w:r>
        <w:rPr>
          <w:rFonts w:hint="eastAsia" w:ascii="宋体" w:hAnsi="宋体"/>
          <w:color w:val="000000"/>
        </w:rPr>
        <w:t>端接：将工作间模块和信息间的打线架两端根据客观情况端接。工作间端接时：将双绞线按白橙、橙、白绿、蓝、白蓝、绿、白棕、棕顺序依次排列，或按白绿、绿、白橙、蓝、白蓝、橙、白棕、棕顺序依次排列，用压线钳压紧。信息间端接时：将以绞的颜色按模块的规定接好，用压线钳压线；安装模块：模块确保离地板最小30厘米；安装信息面板：在模块上装信息面板，用螺丝固定。</w:t>
      </w:r>
    </w:p>
    <w:p w14:paraId="553EB010">
      <w:pPr>
        <w:pStyle w:val="5"/>
        <w:keepLines/>
        <w:numPr>
          <w:ilvl w:val="3"/>
          <w:numId w:val="0"/>
        </w:numPr>
        <w:spacing w:before="0" w:after="0" w:line="360" w:lineRule="auto"/>
        <w:ind w:firstLine="422" w:firstLineChars="200"/>
        <w:contextualSpacing/>
        <w:rPr>
          <w:rFonts w:hint="eastAsia" w:asciiTheme="minorHAnsi" w:hAnsiTheme="minorHAnsi" w:eastAsiaTheme="minorEastAsia" w:cstheme="minorBidi"/>
          <w:b/>
          <w:bCs w:val="0"/>
          <w:kern w:val="2"/>
          <w:sz w:val="21"/>
          <w:szCs w:val="21"/>
          <w:lang w:val="en-US" w:eastAsia="zh-CN" w:bidi="ar-SA"/>
        </w:rPr>
      </w:pPr>
      <w:r>
        <w:rPr>
          <w:rFonts w:hint="eastAsia" w:asciiTheme="minorHAnsi" w:hAnsiTheme="minorHAnsi" w:eastAsiaTheme="minorEastAsia" w:cstheme="minorBidi"/>
          <w:b/>
          <w:bCs w:val="0"/>
          <w:kern w:val="2"/>
          <w:sz w:val="21"/>
          <w:szCs w:val="21"/>
          <w:lang w:val="en-US" w:eastAsia="zh-CN" w:bidi="ar-SA"/>
        </w:rPr>
        <w:t>机柜安装</w:t>
      </w:r>
    </w:p>
    <w:p w14:paraId="7E447982">
      <w:pPr>
        <w:numPr>
          <w:ilvl w:val="0"/>
          <w:numId w:val="33"/>
        </w:numPr>
        <w:spacing w:line="360" w:lineRule="auto"/>
        <w:ind w:left="0" w:firstLine="420" w:firstLineChars="200"/>
        <w:contextualSpacing/>
        <w:rPr>
          <w:rFonts w:ascii="宋体" w:hAnsi="宋体"/>
          <w:color w:val="000000"/>
        </w:rPr>
      </w:pPr>
      <w:r>
        <w:rPr>
          <w:rFonts w:ascii="宋体" w:hAnsi="宋体"/>
          <w:color w:val="000000"/>
        </w:rPr>
        <w:t>机柜安装位置应符合设计要求，机柜应离墙</w:t>
      </w:r>
      <w:r>
        <w:rPr>
          <w:rFonts w:hint="eastAsia" w:ascii="宋体" w:hAnsi="宋体"/>
          <w:color w:val="000000"/>
        </w:rPr>
        <w:t>大于1</w:t>
      </w:r>
      <w:r>
        <w:rPr>
          <w:rFonts w:ascii="宋体" w:hAnsi="宋体"/>
          <w:color w:val="000000"/>
        </w:rPr>
        <w:t>m，便于安装和施工；</w:t>
      </w:r>
    </w:p>
    <w:p w14:paraId="51D55D7F">
      <w:pPr>
        <w:numPr>
          <w:ilvl w:val="0"/>
          <w:numId w:val="33"/>
        </w:numPr>
        <w:spacing w:line="360" w:lineRule="auto"/>
        <w:ind w:left="0" w:firstLine="420" w:firstLineChars="200"/>
        <w:contextualSpacing/>
        <w:rPr>
          <w:rFonts w:ascii="宋体" w:hAnsi="宋体"/>
          <w:color w:val="000000"/>
        </w:rPr>
      </w:pPr>
      <w:r>
        <w:rPr>
          <w:rFonts w:ascii="宋体" w:hAnsi="宋体"/>
          <w:color w:val="000000"/>
        </w:rPr>
        <w:t>底座安装应牢固，应按设计图的防震要求进行施工；</w:t>
      </w:r>
    </w:p>
    <w:p w14:paraId="536A0C7C">
      <w:pPr>
        <w:numPr>
          <w:ilvl w:val="0"/>
          <w:numId w:val="33"/>
        </w:numPr>
        <w:spacing w:line="360" w:lineRule="auto"/>
        <w:ind w:left="0" w:firstLine="420" w:firstLineChars="200"/>
        <w:contextualSpacing/>
        <w:rPr>
          <w:rFonts w:ascii="宋体" w:hAnsi="宋体"/>
          <w:color w:val="000000"/>
        </w:rPr>
      </w:pPr>
      <w:r>
        <w:rPr>
          <w:rFonts w:ascii="宋体" w:hAnsi="宋体"/>
          <w:color w:val="000000"/>
        </w:rPr>
        <w:t>机柜安放应竖直，柜面水平，垂直偏差不大</w:t>
      </w:r>
      <w:r>
        <w:rPr>
          <w:rFonts w:hint="eastAsia" w:ascii="宋体" w:hAnsi="宋体"/>
          <w:color w:val="000000"/>
        </w:rPr>
        <w:t>1</w:t>
      </w:r>
      <w:r>
        <w:rPr>
          <w:rFonts w:ascii="宋体" w:hAnsi="宋体"/>
          <w:color w:val="000000"/>
        </w:rPr>
        <w:t>‰，水平偏差不大于3mm，机柜之间缝隙不大于</w:t>
      </w:r>
      <w:r>
        <w:rPr>
          <w:rFonts w:hint="eastAsia" w:ascii="宋体" w:hAnsi="宋体"/>
          <w:color w:val="000000"/>
        </w:rPr>
        <w:t>1</w:t>
      </w:r>
      <w:r>
        <w:rPr>
          <w:rFonts w:ascii="宋体" w:hAnsi="宋体"/>
          <w:color w:val="000000"/>
        </w:rPr>
        <w:t>mm；</w:t>
      </w:r>
    </w:p>
    <w:p w14:paraId="74FBF56A">
      <w:pPr>
        <w:numPr>
          <w:ilvl w:val="0"/>
          <w:numId w:val="33"/>
        </w:numPr>
        <w:spacing w:line="360" w:lineRule="auto"/>
        <w:ind w:left="0" w:firstLine="420" w:firstLineChars="200"/>
        <w:contextualSpacing/>
        <w:rPr>
          <w:rFonts w:ascii="宋体" w:hAnsi="宋体"/>
          <w:color w:val="000000"/>
        </w:rPr>
      </w:pPr>
      <w:r>
        <w:rPr>
          <w:rFonts w:ascii="宋体" w:hAnsi="宋体"/>
          <w:color w:val="000000"/>
        </w:rPr>
        <w:t>机</w:t>
      </w:r>
      <w:r>
        <w:rPr>
          <w:rFonts w:hint="eastAsia" w:ascii="宋体" w:hAnsi="宋体"/>
          <w:color w:val="000000"/>
        </w:rPr>
        <w:t>柜内</w:t>
      </w:r>
      <w:r>
        <w:rPr>
          <w:rFonts w:ascii="宋体" w:hAnsi="宋体"/>
          <w:color w:val="000000"/>
        </w:rPr>
        <w:t>表面应完整，无损伤，螺丝坚固，每平方米表面凹凸度应小于</w:t>
      </w:r>
      <w:r>
        <w:rPr>
          <w:rFonts w:hint="eastAsia" w:ascii="宋体" w:hAnsi="宋体"/>
          <w:color w:val="000000"/>
        </w:rPr>
        <w:t>1</w:t>
      </w:r>
      <w:r>
        <w:rPr>
          <w:rFonts w:ascii="宋体" w:hAnsi="宋体"/>
          <w:color w:val="000000"/>
        </w:rPr>
        <w:t>mm；</w:t>
      </w:r>
    </w:p>
    <w:p w14:paraId="24260F7E">
      <w:pPr>
        <w:numPr>
          <w:ilvl w:val="0"/>
          <w:numId w:val="33"/>
        </w:numPr>
        <w:spacing w:line="360" w:lineRule="auto"/>
        <w:ind w:left="0" w:firstLine="420" w:firstLineChars="200"/>
        <w:contextualSpacing/>
        <w:rPr>
          <w:rFonts w:ascii="宋体" w:hAnsi="宋体"/>
          <w:color w:val="000000"/>
        </w:rPr>
      </w:pPr>
      <w:r>
        <w:rPr>
          <w:rFonts w:ascii="宋体" w:hAnsi="宋体"/>
          <w:color w:val="000000"/>
        </w:rPr>
        <w:t>机</w:t>
      </w:r>
      <w:r>
        <w:rPr>
          <w:rFonts w:hint="eastAsia" w:ascii="宋体" w:hAnsi="宋体"/>
          <w:color w:val="000000"/>
        </w:rPr>
        <w:t>柜</w:t>
      </w:r>
      <w:r>
        <w:rPr>
          <w:rFonts w:ascii="宋体" w:hAnsi="宋体"/>
          <w:color w:val="000000"/>
        </w:rPr>
        <w:t>内接插件和设备接触可靠；</w:t>
      </w:r>
    </w:p>
    <w:p w14:paraId="3896074D">
      <w:pPr>
        <w:numPr>
          <w:ilvl w:val="0"/>
          <w:numId w:val="33"/>
        </w:numPr>
        <w:spacing w:line="360" w:lineRule="auto"/>
        <w:ind w:left="0" w:firstLine="420" w:firstLineChars="200"/>
        <w:contextualSpacing/>
        <w:rPr>
          <w:rFonts w:ascii="宋体" w:hAnsi="宋体"/>
          <w:color w:val="000000"/>
        </w:rPr>
      </w:pPr>
      <w:r>
        <w:rPr>
          <w:rFonts w:ascii="宋体" w:hAnsi="宋体"/>
          <w:color w:val="000000"/>
        </w:rPr>
        <w:t>机</w:t>
      </w:r>
      <w:r>
        <w:rPr>
          <w:rFonts w:hint="eastAsia" w:ascii="宋体" w:hAnsi="宋体"/>
          <w:color w:val="000000"/>
        </w:rPr>
        <w:t>柜内</w:t>
      </w:r>
      <w:r>
        <w:rPr>
          <w:rFonts w:ascii="宋体" w:hAnsi="宋体"/>
          <w:color w:val="000000"/>
        </w:rPr>
        <w:t>接线应符合设计要求，接线端子各种标志应齐全，保持良好；</w:t>
      </w:r>
    </w:p>
    <w:p w14:paraId="28750C19">
      <w:pPr>
        <w:numPr>
          <w:ilvl w:val="0"/>
          <w:numId w:val="33"/>
        </w:numPr>
        <w:spacing w:line="360" w:lineRule="auto"/>
        <w:ind w:left="0" w:firstLine="420" w:firstLineChars="200"/>
        <w:contextualSpacing/>
        <w:rPr>
          <w:rFonts w:ascii="宋体" w:hAnsi="宋体"/>
          <w:color w:val="000000"/>
        </w:rPr>
      </w:pPr>
      <w:r>
        <w:rPr>
          <w:rFonts w:hint="eastAsia" w:ascii="宋体" w:hAnsi="宋体"/>
          <w:color w:val="000000"/>
        </w:rPr>
        <w:t>机柜内</w:t>
      </w:r>
      <w:r>
        <w:rPr>
          <w:rFonts w:ascii="宋体" w:hAnsi="宋体"/>
          <w:color w:val="000000"/>
        </w:rPr>
        <w:t>配线设备，接地体，保护接地，导线截面，颜色应符合设计要求</w:t>
      </w:r>
      <w:r>
        <w:rPr>
          <w:rFonts w:hint="eastAsia" w:ascii="宋体" w:hAnsi="宋体"/>
          <w:color w:val="000000"/>
        </w:rPr>
        <w:t>；</w:t>
      </w:r>
    </w:p>
    <w:p w14:paraId="132D4700">
      <w:pPr>
        <w:numPr>
          <w:ilvl w:val="0"/>
          <w:numId w:val="33"/>
        </w:numPr>
        <w:spacing w:line="360" w:lineRule="auto"/>
        <w:ind w:left="0" w:firstLine="420" w:firstLineChars="200"/>
        <w:contextualSpacing/>
        <w:rPr>
          <w:rFonts w:ascii="宋体" w:hAnsi="宋体"/>
          <w:color w:val="000000"/>
        </w:rPr>
      </w:pPr>
      <w:r>
        <w:rPr>
          <w:rFonts w:ascii="宋体" w:hAnsi="宋体"/>
          <w:color w:val="000000"/>
        </w:rPr>
        <w:t>所有机柜应设接地端子，并良好连接接入大楼接地端排。</w:t>
      </w:r>
    </w:p>
    <w:p w14:paraId="3E1E54DC">
      <w:pPr>
        <w:numPr>
          <w:ilvl w:val="0"/>
          <w:numId w:val="33"/>
        </w:numPr>
        <w:spacing w:line="360" w:lineRule="auto"/>
        <w:ind w:left="0" w:firstLine="420" w:firstLineChars="200"/>
        <w:contextualSpacing/>
        <w:rPr>
          <w:rFonts w:ascii="宋体" w:hAnsi="宋体"/>
          <w:color w:val="000000"/>
        </w:rPr>
      </w:pPr>
      <w:r>
        <w:rPr>
          <w:rFonts w:hint="eastAsia" w:ascii="宋体" w:hAnsi="宋体"/>
          <w:color w:val="000000"/>
        </w:rPr>
        <w:t>主要材料：辅材和工具：双绞线、模块、面板；辅材：PVC管、线槽；工具：打线钳、压线钳。</w:t>
      </w:r>
    </w:p>
    <w:p w14:paraId="35AFC3BB">
      <w:pPr>
        <w:numPr>
          <w:ilvl w:val="0"/>
          <w:numId w:val="33"/>
        </w:numPr>
        <w:spacing w:line="360" w:lineRule="auto"/>
        <w:ind w:left="0" w:firstLine="420" w:firstLineChars="200"/>
        <w:contextualSpacing/>
        <w:rPr>
          <w:rFonts w:ascii="宋体" w:hAnsi="宋体"/>
          <w:color w:val="000000"/>
        </w:rPr>
      </w:pPr>
      <w:r>
        <w:rPr>
          <w:rFonts w:hint="eastAsia" w:ascii="宋体" w:hAnsi="宋体"/>
          <w:color w:val="000000"/>
        </w:rPr>
        <w:t>注意事项：线槽管道的尺寸视线的数量根据施工图纸决定；线在绕开障碍物时，不得两次弯曲90度，线的最大承受拉力≤110N。</w:t>
      </w:r>
    </w:p>
    <w:p w14:paraId="70668108">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测试</w:t>
      </w:r>
    </w:p>
    <w:p w14:paraId="22427773">
      <w:pPr>
        <w:numPr>
          <w:ilvl w:val="0"/>
          <w:numId w:val="34"/>
        </w:numPr>
        <w:spacing w:line="360" w:lineRule="auto"/>
        <w:ind w:left="0" w:firstLine="420" w:firstLineChars="200"/>
        <w:contextualSpacing/>
        <w:rPr>
          <w:rFonts w:ascii="宋体" w:hAnsi="宋体"/>
          <w:color w:val="000000"/>
          <w:szCs w:val="21"/>
        </w:rPr>
      </w:pPr>
      <w:r>
        <w:rPr>
          <w:rFonts w:ascii="宋体" w:hAnsi="宋体"/>
          <w:color w:val="000000"/>
          <w:szCs w:val="21"/>
        </w:rPr>
        <w:t xml:space="preserve">机柜、机架安装完毕后，垂直偏差度应不大于3mm。机柜、机架安装位置应符合设计要求。 </w:t>
      </w:r>
    </w:p>
    <w:p w14:paraId="6FFD0F1E">
      <w:pPr>
        <w:numPr>
          <w:ilvl w:val="0"/>
          <w:numId w:val="34"/>
        </w:numPr>
        <w:spacing w:line="360" w:lineRule="auto"/>
        <w:ind w:left="0" w:firstLine="420" w:firstLineChars="200"/>
        <w:contextualSpacing/>
        <w:rPr>
          <w:rFonts w:ascii="宋体" w:hAnsi="宋体"/>
          <w:color w:val="000000"/>
          <w:szCs w:val="21"/>
        </w:rPr>
      </w:pPr>
      <w:r>
        <w:rPr>
          <w:rFonts w:ascii="宋体" w:hAnsi="宋体"/>
          <w:color w:val="000000"/>
          <w:szCs w:val="21"/>
        </w:rPr>
        <w:t xml:space="preserve">机柜、机架上的各种零件不得脱落或碰坏，漆面如有脱落应予以补漆，各种标志应完整、清晰。 </w:t>
      </w:r>
    </w:p>
    <w:p w14:paraId="0E429BB4">
      <w:pPr>
        <w:numPr>
          <w:ilvl w:val="0"/>
          <w:numId w:val="34"/>
        </w:numPr>
        <w:spacing w:line="360" w:lineRule="auto"/>
        <w:ind w:left="0" w:firstLine="420" w:firstLineChars="200"/>
        <w:contextualSpacing/>
        <w:rPr>
          <w:rFonts w:ascii="宋体" w:hAnsi="宋体"/>
          <w:color w:val="000000"/>
          <w:szCs w:val="21"/>
        </w:rPr>
      </w:pPr>
      <w:r>
        <w:rPr>
          <w:rFonts w:ascii="宋体" w:hAnsi="宋体"/>
          <w:color w:val="000000"/>
          <w:szCs w:val="21"/>
        </w:rPr>
        <w:t>各类配线部件</w:t>
      </w:r>
      <w:r>
        <w:rPr>
          <w:rFonts w:hint="eastAsia" w:ascii="宋体" w:hAnsi="宋体"/>
          <w:color w:val="000000"/>
          <w:szCs w:val="21"/>
        </w:rPr>
        <w:t>检查。</w:t>
      </w:r>
    </w:p>
    <w:p w14:paraId="34294B3A">
      <w:pPr>
        <w:numPr>
          <w:ilvl w:val="0"/>
          <w:numId w:val="34"/>
        </w:numPr>
        <w:spacing w:line="360" w:lineRule="auto"/>
        <w:ind w:left="0" w:firstLine="420" w:firstLineChars="200"/>
        <w:contextualSpacing/>
        <w:rPr>
          <w:rFonts w:ascii="宋体" w:hAnsi="宋体"/>
          <w:color w:val="000000"/>
          <w:szCs w:val="21"/>
        </w:rPr>
      </w:pPr>
      <w:r>
        <w:rPr>
          <w:rFonts w:hint="eastAsia" w:ascii="宋体" w:hAnsi="宋体"/>
          <w:color w:val="000000"/>
          <w:szCs w:val="21"/>
        </w:rPr>
        <w:t>用网络测试仪，测试线路是否安装完好，将测线报告整理，归档。</w:t>
      </w:r>
    </w:p>
    <w:p w14:paraId="7CAD7CE5">
      <w:pPr>
        <w:numPr>
          <w:ilvl w:val="0"/>
          <w:numId w:val="34"/>
        </w:numPr>
        <w:spacing w:line="360" w:lineRule="auto"/>
        <w:ind w:left="0" w:firstLine="420" w:firstLineChars="200"/>
        <w:contextualSpacing/>
        <w:rPr>
          <w:rFonts w:ascii="宋体" w:hAnsi="宋体"/>
          <w:color w:val="000000"/>
          <w:szCs w:val="21"/>
        </w:rPr>
      </w:pPr>
      <w:r>
        <w:rPr>
          <w:rFonts w:hint="eastAsia" w:ascii="宋体" w:hAnsi="宋体"/>
          <w:color w:val="000000"/>
          <w:szCs w:val="21"/>
        </w:rPr>
        <w:t>网络测试仪操作规程：</w:t>
      </w:r>
    </w:p>
    <w:p w14:paraId="3DE64383">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根据测量的种类是通道还是链路，选择相对的适配器；</w:t>
      </w:r>
    </w:p>
    <w:p w14:paraId="125C1F12">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测量前将仪器校准；</w:t>
      </w:r>
    </w:p>
    <w:p w14:paraId="6F36A0F4">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测量时，将主机和智能远端的旋钮打开；</w:t>
      </w:r>
    </w:p>
    <w:p w14:paraId="7574774C">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输入测量时间、地点、测试姓名；</w:t>
      </w:r>
    </w:p>
    <w:p w14:paraId="399B6808">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开始测试，储存结果；</w:t>
      </w:r>
    </w:p>
    <w:p w14:paraId="148CDE16">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将测试结果转换成电子文档；</w:t>
      </w:r>
    </w:p>
    <w:p w14:paraId="1C11B438">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将主机和智能远端关机；</w:t>
      </w:r>
    </w:p>
    <w:p w14:paraId="0482D658">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将仪器收好，检查是否有遗漏配件。</w:t>
      </w:r>
    </w:p>
    <w:p w14:paraId="0C00E4B8">
      <w:pPr>
        <w:numPr>
          <w:ilvl w:val="0"/>
          <w:numId w:val="35"/>
        </w:numPr>
        <w:spacing w:line="360" w:lineRule="auto"/>
        <w:ind w:left="0" w:firstLine="420" w:firstLineChars="200"/>
        <w:contextualSpacing/>
        <w:rPr>
          <w:rFonts w:ascii="宋体" w:hAnsi="宋体"/>
          <w:color w:val="000000"/>
          <w:szCs w:val="21"/>
        </w:rPr>
      </w:pPr>
      <w:r>
        <w:rPr>
          <w:rFonts w:hint="eastAsia" w:ascii="宋体" w:hAnsi="宋体"/>
          <w:color w:val="000000"/>
          <w:szCs w:val="21"/>
        </w:rPr>
        <w:t>注意事项：插接时一定要将插头和插口对齐，将线路接通；注意轻拔轻插，一定要将头弹起按下再拔出；注意仪器和线路远离电力线和强电场。</w:t>
      </w:r>
    </w:p>
    <w:p w14:paraId="369FFDF2">
      <w:pPr>
        <w:pStyle w:val="5"/>
        <w:keepLines/>
        <w:numPr>
          <w:ilvl w:val="3"/>
          <w:numId w:val="0"/>
        </w:numPr>
        <w:spacing w:before="0" w:after="0" w:line="360" w:lineRule="auto"/>
        <w:ind w:firstLine="422" w:firstLineChars="200"/>
        <w:contextualSpacing/>
        <w:rPr>
          <w:rFonts w:ascii="黑体" w:cs="黑体"/>
          <w:color w:val="000000"/>
          <w:kern w:val="0"/>
          <w:sz w:val="21"/>
          <w:szCs w:val="21"/>
        </w:rPr>
      </w:pPr>
      <w:r>
        <w:rPr>
          <w:rFonts w:hint="eastAsia" w:ascii="黑体" w:cs="黑体"/>
          <w:color w:val="000000"/>
          <w:kern w:val="0"/>
          <w:sz w:val="21"/>
          <w:szCs w:val="21"/>
        </w:rPr>
        <w:t>布线系统施工</w:t>
      </w:r>
    </w:p>
    <w:p w14:paraId="74769886">
      <w:pPr>
        <w:spacing w:line="360" w:lineRule="auto"/>
        <w:ind w:firstLine="420" w:firstLineChars="200"/>
        <w:contextualSpacing/>
        <w:rPr>
          <w:rFonts w:ascii="宋体"/>
          <w:color w:val="000000"/>
          <w:szCs w:val="21"/>
        </w:rPr>
      </w:pPr>
      <w:r>
        <w:rPr>
          <w:rFonts w:hint="eastAsia" w:ascii="宋体"/>
          <w:color w:val="000000"/>
          <w:szCs w:val="21"/>
        </w:rPr>
        <w:t>水平区子系统完成由接线间到工作区信息出口线路连接的功能。通常有走廊敷设线槽再室内分管，吊天花线槽，及地板下埋管三种走线方式。</w:t>
      </w:r>
    </w:p>
    <w:p w14:paraId="2180F72B">
      <w:pPr>
        <w:spacing w:line="360" w:lineRule="auto"/>
        <w:ind w:firstLine="420" w:firstLineChars="200"/>
        <w:contextualSpacing/>
        <w:rPr>
          <w:rFonts w:ascii="宋体"/>
          <w:color w:val="000000"/>
          <w:szCs w:val="21"/>
        </w:rPr>
      </w:pPr>
      <w:r>
        <w:rPr>
          <w:rFonts w:hint="eastAsia" w:ascii="宋体"/>
          <w:color w:val="000000"/>
          <w:szCs w:val="21"/>
        </w:rPr>
        <w:t>线缆走桥架到各个功能机柜上。信息点的线缆沿走廊天花上的镀锌金属线槽再沿墙走镀锌管到各个信息插座。线槽可以根据实际走线情况选用不同的规格。为保证线缆的转弯半径，线槽需配相应规格的分支配件，以提供线路路由的弯转自如。</w:t>
      </w:r>
    </w:p>
    <w:p w14:paraId="7EEC2DA7">
      <w:pPr>
        <w:spacing w:line="360" w:lineRule="auto"/>
        <w:ind w:firstLine="420" w:firstLineChars="200"/>
        <w:contextualSpacing/>
        <w:rPr>
          <w:rFonts w:ascii="宋体"/>
          <w:color w:val="000000"/>
          <w:szCs w:val="21"/>
        </w:rPr>
      </w:pPr>
      <w:r>
        <w:rPr>
          <w:rFonts w:hint="eastAsia" w:ascii="宋体"/>
          <w:color w:val="000000"/>
          <w:szCs w:val="21"/>
        </w:rPr>
        <w:t>垂直干线的布缆通常有二种选择：电缆孔方法和电缆井方法，可根据建筑物实际情况进行合理选择。</w:t>
      </w:r>
    </w:p>
    <w:p w14:paraId="45F5B357">
      <w:pPr>
        <w:spacing w:line="360" w:lineRule="auto"/>
        <w:ind w:firstLine="420" w:firstLineChars="200"/>
        <w:contextualSpacing/>
        <w:rPr>
          <w:rFonts w:ascii="宋体"/>
          <w:color w:val="000000"/>
          <w:szCs w:val="21"/>
        </w:rPr>
      </w:pPr>
      <w:r>
        <w:rPr>
          <w:rFonts w:hint="eastAsia" w:ascii="宋体"/>
          <w:color w:val="000000"/>
          <w:szCs w:val="21"/>
        </w:rPr>
        <w:t>在综合布线系统里，我们设计将金属电缆槽架固定于竖井中，电缆槽架内安装电缆爬升梯，用于捆绑主干线缆。该电缆槽架对主干线缆不仅有机械支持作用，而且有很好的屏蔽保护作用。电缆槽架可根据线缆数量而改变粗细，为方便系统的扩展，以及容纳其它弱电系统线缆，本方案垂直竖井走线槽采用镀锌线槽。</w:t>
      </w:r>
    </w:p>
    <w:p w14:paraId="5E315EC4">
      <w:pPr>
        <w:spacing w:line="360" w:lineRule="auto"/>
        <w:ind w:firstLine="420" w:firstLineChars="200"/>
        <w:contextualSpacing/>
        <w:rPr>
          <w:rFonts w:ascii="宋体"/>
          <w:color w:val="000000"/>
          <w:szCs w:val="21"/>
        </w:rPr>
      </w:pPr>
      <w:r>
        <w:rPr>
          <w:rFonts w:hint="eastAsia" w:ascii="宋体"/>
          <w:color w:val="000000"/>
          <w:szCs w:val="21"/>
        </w:rPr>
        <w:t>上述的布缆方法是较适合用户的实际环境的。它有很好的机械保护性及屏蔽性，确保双绞线的通信不受外界干扰。同时为确保线路的安全，应使线槽体有良好的接地端，金属线槽、铁管及配线箱均需整体连接，然后接地。</w:t>
      </w:r>
    </w:p>
    <w:p w14:paraId="1D431A06">
      <w:pPr>
        <w:spacing w:line="360" w:lineRule="auto"/>
        <w:contextualSpacing/>
        <w:jc w:val="center"/>
        <w:rPr>
          <w:rFonts w:ascii="宋体"/>
          <w:color w:val="000000"/>
          <w:szCs w:val="21"/>
        </w:rPr>
      </w:pPr>
      <w:r>
        <w:rPr>
          <w:rFonts w:ascii="宋体"/>
          <w:color w:val="000000"/>
          <w:szCs w:val="21"/>
        </w:rPr>
        <w:t>双绞线与电力线及高功率设备最小净距(最小净值单位MM)</w:t>
      </w:r>
    </w:p>
    <w:tbl>
      <w:tblPr>
        <w:tblStyle w:val="29"/>
        <w:tblW w:w="75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486"/>
        <w:gridCol w:w="1592"/>
        <w:gridCol w:w="1486"/>
      </w:tblGrid>
      <w:tr w14:paraId="1C33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946" w:type="dxa"/>
            <w:tcBorders>
              <w:tl2br w:val="single" w:color="auto" w:sz="4" w:space="0"/>
            </w:tcBorders>
          </w:tcPr>
          <w:p w14:paraId="0502ECB7">
            <w:pPr>
              <w:pStyle w:val="11"/>
              <w:spacing w:line="360" w:lineRule="auto"/>
              <w:ind w:right="420" w:firstLine="422"/>
              <w:contextualSpacing/>
              <w:jc w:val="center"/>
              <w:rPr>
                <w:rFonts w:ascii="宋体" w:hAnsi="宋体"/>
                <w:b/>
                <w:color w:val="000000"/>
                <w:sz w:val="21"/>
                <w:szCs w:val="21"/>
              </w:rPr>
            </w:pPr>
            <w:r>
              <w:rPr>
                <w:rFonts w:ascii="宋体" w:hAnsi="宋体"/>
                <w:b/>
                <w:color w:val="000000"/>
                <w:sz w:val="21"/>
                <w:szCs w:val="21"/>
              </w:rPr>
              <w:t>范围</w:t>
            </w:r>
          </w:p>
          <w:p w14:paraId="4EC488C0">
            <w:pPr>
              <w:pStyle w:val="11"/>
              <w:spacing w:line="360" w:lineRule="auto"/>
              <w:ind w:firstLine="422"/>
              <w:contextualSpacing/>
              <w:rPr>
                <w:rFonts w:ascii="宋体" w:hAnsi="宋体"/>
                <w:b/>
                <w:color w:val="000000"/>
                <w:sz w:val="21"/>
                <w:szCs w:val="21"/>
              </w:rPr>
            </w:pPr>
            <w:r>
              <w:rPr>
                <w:rFonts w:ascii="宋体" w:hAnsi="宋体"/>
                <w:b/>
                <w:color w:val="000000"/>
                <w:sz w:val="21"/>
                <w:szCs w:val="21"/>
              </w:rPr>
              <w:t>条件</w:t>
            </w:r>
          </w:p>
        </w:tc>
        <w:tc>
          <w:tcPr>
            <w:tcW w:w="1486" w:type="dxa"/>
            <w:vAlign w:val="center"/>
          </w:tcPr>
          <w:p w14:paraId="60049331">
            <w:pPr>
              <w:pStyle w:val="11"/>
              <w:spacing w:line="360" w:lineRule="auto"/>
              <w:ind w:firstLine="0" w:firstLineChars="0"/>
              <w:contextualSpacing/>
              <w:rPr>
                <w:rFonts w:ascii="宋体" w:hAnsi="宋体"/>
                <w:b/>
                <w:color w:val="000000"/>
                <w:sz w:val="21"/>
                <w:szCs w:val="21"/>
              </w:rPr>
            </w:pPr>
            <w:r>
              <w:rPr>
                <w:rFonts w:ascii="宋体" w:hAnsi="宋体"/>
                <w:b/>
                <w:color w:val="000000"/>
                <w:sz w:val="21"/>
                <w:szCs w:val="21"/>
              </w:rPr>
              <w:t>&lt;2KVA(&lt;380V)</w:t>
            </w:r>
          </w:p>
        </w:tc>
        <w:tc>
          <w:tcPr>
            <w:tcW w:w="1592" w:type="dxa"/>
            <w:vAlign w:val="center"/>
          </w:tcPr>
          <w:p w14:paraId="7EC07BE6">
            <w:pPr>
              <w:pStyle w:val="11"/>
              <w:spacing w:line="360" w:lineRule="auto"/>
              <w:ind w:firstLine="0" w:firstLineChars="0"/>
              <w:contextualSpacing/>
              <w:rPr>
                <w:rFonts w:ascii="宋体" w:hAnsi="宋体"/>
                <w:b/>
                <w:color w:val="000000"/>
                <w:sz w:val="21"/>
                <w:szCs w:val="21"/>
              </w:rPr>
            </w:pPr>
            <w:r>
              <w:rPr>
                <w:rFonts w:ascii="宋体" w:hAnsi="宋体"/>
                <w:b/>
                <w:color w:val="000000"/>
                <w:sz w:val="21"/>
                <w:szCs w:val="21"/>
              </w:rPr>
              <w:t>2-5KVA(&lt;380V)</w:t>
            </w:r>
          </w:p>
        </w:tc>
        <w:tc>
          <w:tcPr>
            <w:tcW w:w="1486" w:type="dxa"/>
            <w:vAlign w:val="center"/>
          </w:tcPr>
          <w:p w14:paraId="6A6A9B21">
            <w:pPr>
              <w:pStyle w:val="11"/>
              <w:spacing w:line="360" w:lineRule="auto"/>
              <w:ind w:firstLine="0" w:firstLineChars="0"/>
              <w:contextualSpacing/>
              <w:rPr>
                <w:rFonts w:ascii="宋体" w:hAnsi="宋体"/>
                <w:b/>
                <w:color w:val="000000"/>
                <w:sz w:val="21"/>
                <w:szCs w:val="21"/>
              </w:rPr>
            </w:pPr>
            <w:r>
              <w:rPr>
                <w:rFonts w:ascii="宋体" w:hAnsi="宋体"/>
                <w:b/>
                <w:color w:val="000000"/>
                <w:sz w:val="21"/>
                <w:szCs w:val="21"/>
              </w:rPr>
              <w:t>&gt;5KVA(&lt;380V)</w:t>
            </w:r>
          </w:p>
        </w:tc>
      </w:tr>
      <w:tr w14:paraId="2853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6" w:type="dxa"/>
          </w:tcPr>
          <w:p w14:paraId="7FF9EE15">
            <w:pPr>
              <w:pStyle w:val="11"/>
              <w:spacing w:line="360" w:lineRule="auto"/>
              <w:ind w:firstLine="0" w:firstLineChars="0"/>
              <w:contextualSpacing/>
              <w:rPr>
                <w:rFonts w:ascii="宋体" w:hAnsi="宋体"/>
                <w:color w:val="000000"/>
                <w:sz w:val="21"/>
                <w:szCs w:val="21"/>
              </w:rPr>
            </w:pPr>
            <w:r>
              <w:rPr>
                <w:rFonts w:ascii="宋体" w:hAnsi="宋体"/>
                <w:color w:val="000000"/>
                <w:sz w:val="21"/>
                <w:szCs w:val="21"/>
              </w:rPr>
              <w:t>双绞线与电力线平行</w:t>
            </w:r>
          </w:p>
        </w:tc>
        <w:tc>
          <w:tcPr>
            <w:tcW w:w="1486" w:type="dxa"/>
          </w:tcPr>
          <w:p w14:paraId="779F1BAD">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127</w:t>
            </w:r>
          </w:p>
        </w:tc>
        <w:tc>
          <w:tcPr>
            <w:tcW w:w="1592" w:type="dxa"/>
          </w:tcPr>
          <w:p w14:paraId="6BCCE63B">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305</w:t>
            </w:r>
          </w:p>
        </w:tc>
        <w:tc>
          <w:tcPr>
            <w:tcW w:w="1486" w:type="dxa"/>
          </w:tcPr>
          <w:p w14:paraId="7B7B09B0">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610</w:t>
            </w:r>
          </w:p>
        </w:tc>
      </w:tr>
      <w:tr w14:paraId="0E49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6" w:type="dxa"/>
          </w:tcPr>
          <w:p w14:paraId="71AAC1D3">
            <w:pPr>
              <w:pStyle w:val="11"/>
              <w:spacing w:line="360" w:lineRule="auto"/>
              <w:ind w:firstLine="0" w:firstLineChars="0"/>
              <w:contextualSpacing/>
              <w:rPr>
                <w:rFonts w:ascii="宋体" w:hAnsi="宋体"/>
                <w:color w:val="000000"/>
                <w:sz w:val="21"/>
                <w:szCs w:val="21"/>
              </w:rPr>
            </w:pPr>
            <w:r>
              <w:rPr>
                <w:rFonts w:ascii="宋体" w:hAnsi="宋体"/>
                <w:color w:val="000000"/>
                <w:sz w:val="21"/>
                <w:szCs w:val="21"/>
              </w:rPr>
              <w:t>有一方在接地的槽道或钢管中</w:t>
            </w:r>
          </w:p>
        </w:tc>
        <w:tc>
          <w:tcPr>
            <w:tcW w:w="1486" w:type="dxa"/>
          </w:tcPr>
          <w:p w14:paraId="245D05F7">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64</w:t>
            </w:r>
          </w:p>
        </w:tc>
        <w:tc>
          <w:tcPr>
            <w:tcW w:w="1592" w:type="dxa"/>
          </w:tcPr>
          <w:p w14:paraId="5B7AC6D5">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152</w:t>
            </w:r>
          </w:p>
        </w:tc>
        <w:tc>
          <w:tcPr>
            <w:tcW w:w="1486" w:type="dxa"/>
          </w:tcPr>
          <w:p w14:paraId="1D55E0B0">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305</w:t>
            </w:r>
          </w:p>
        </w:tc>
      </w:tr>
      <w:tr w14:paraId="42F2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6" w:type="dxa"/>
          </w:tcPr>
          <w:p w14:paraId="5D837494">
            <w:pPr>
              <w:pStyle w:val="11"/>
              <w:spacing w:line="360" w:lineRule="auto"/>
              <w:ind w:firstLine="0" w:firstLineChars="0"/>
              <w:contextualSpacing/>
              <w:rPr>
                <w:rFonts w:ascii="宋体" w:hAnsi="宋体"/>
                <w:color w:val="000000"/>
                <w:sz w:val="21"/>
                <w:szCs w:val="21"/>
              </w:rPr>
            </w:pPr>
            <w:r>
              <w:rPr>
                <w:rFonts w:ascii="宋体" w:hAnsi="宋体"/>
                <w:color w:val="000000"/>
                <w:sz w:val="21"/>
                <w:szCs w:val="21"/>
              </w:rPr>
              <w:t>双方均在接地的槽道或钢管中</w:t>
            </w:r>
          </w:p>
        </w:tc>
        <w:tc>
          <w:tcPr>
            <w:tcW w:w="1486" w:type="dxa"/>
          </w:tcPr>
          <w:p w14:paraId="26BF7EFD">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注</w:t>
            </w:r>
          </w:p>
        </w:tc>
        <w:tc>
          <w:tcPr>
            <w:tcW w:w="1592" w:type="dxa"/>
          </w:tcPr>
          <w:p w14:paraId="453960DF">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76</w:t>
            </w:r>
          </w:p>
        </w:tc>
        <w:tc>
          <w:tcPr>
            <w:tcW w:w="1486" w:type="dxa"/>
          </w:tcPr>
          <w:p w14:paraId="45106441">
            <w:pPr>
              <w:pStyle w:val="11"/>
              <w:spacing w:line="360" w:lineRule="auto"/>
              <w:ind w:firstLine="420"/>
              <w:contextualSpacing/>
              <w:jc w:val="center"/>
              <w:rPr>
                <w:rFonts w:ascii="宋体" w:hAnsi="宋体"/>
                <w:color w:val="000000"/>
                <w:sz w:val="21"/>
                <w:szCs w:val="21"/>
              </w:rPr>
            </w:pPr>
            <w:r>
              <w:rPr>
                <w:rFonts w:ascii="宋体" w:hAnsi="宋体"/>
                <w:color w:val="000000"/>
                <w:sz w:val="21"/>
                <w:szCs w:val="21"/>
              </w:rPr>
              <w:t>152</w:t>
            </w:r>
          </w:p>
        </w:tc>
      </w:tr>
    </w:tbl>
    <w:p w14:paraId="1D6B8DFE">
      <w:pPr>
        <w:spacing w:line="360" w:lineRule="auto"/>
        <w:outlineLvl w:val="2"/>
        <w:rPr>
          <w:b/>
          <w:szCs w:val="21"/>
        </w:rPr>
      </w:pPr>
      <w:bookmarkStart w:id="83" w:name="_Toc206145319"/>
      <w:bookmarkStart w:id="84" w:name="_Toc503643693"/>
      <w:bookmarkStart w:id="85" w:name="_Toc503643670"/>
      <w:r>
        <w:rPr>
          <w:rFonts w:hint="eastAsia"/>
          <w:b/>
          <w:szCs w:val="21"/>
        </w:rPr>
        <w:t>3.</w:t>
      </w:r>
      <w:r>
        <w:rPr>
          <w:b/>
          <w:szCs w:val="21"/>
        </w:rPr>
        <w:t>7.5</w:t>
      </w:r>
      <w:r>
        <w:rPr>
          <w:rFonts w:hint="eastAsia"/>
          <w:b/>
          <w:szCs w:val="21"/>
        </w:rPr>
        <w:t>门禁系统</w:t>
      </w:r>
      <w:bookmarkEnd w:id="83"/>
      <w:bookmarkEnd w:id="84"/>
    </w:p>
    <w:p w14:paraId="3F203ECF">
      <w:pPr>
        <w:tabs>
          <w:tab w:val="left" w:pos="851"/>
        </w:tabs>
        <w:spacing w:line="360" w:lineRule="auto"/>
        <w:ind w:firstLine="420" w:firstLineChars="200"/>
        <w:jc w:val="left"/>
        <w:rPr>
          <w:szCs w:val="21"/>
          <w:lang w:bidi="en-US"/>
        </w:rPr>
      </w:pPr>
      <w:r>
        <w:rPr>
          <w:rFonts w:hint="eastAsia"/>
          <w:szCs w:val="21"/>
          <w:lang w:bidi="en-US"/>
        </w:rPr>
        <w:t>在重要的房间，采用门禁卡识别的方式。</w:t>
      </w:r>
    </w:p>
    <w:p w14:paraId="325DF677">
      <w:pPr>
        <w:tabs>
          <w:tab w:val="left" w:pos="851"/>
        </w:tabs>
        <w:spacing w:line="360" w:lineRule="auto"/>
        <w:ind w:firstLine="420" w:firstLineChars="200"/>
        <w:jc w:val="left"/>
        <w:rPr>
          <w:szCs w:val="21"/>
          <w:lang w:bidi="en-US"/>
        </w:rPr>
      </w:pPr>
      <w:r>
        <w:rPr>
          <w:rFonts w:hint="eastAsia"/>
          <w:szCs w:val="21"/>
          <w:lang w:bidi="en-US"/>
        </w:rPr>
        <w:t>控制管理终端设在监控中心，既可实时识别与显示出入人员的资料，又可对其出入时间和资料进行存储、统计、分析和回放。又可以增加考勤功能。</w:t>
      </w:r>
    </w:p>
    <w:p w14:paraId="591A5D6E">
      <w:pPr>
        <w:tabs>
          <w:tab w:val="left" w:pos="851"/>
        </w:tabs>
        <w:spacing w:line="360" w:lineRule="auto"/>
        <w:ind w:firstLine="420" w:firstLineChars="200"/>
        <w:jc w:val="left"/>
        <w:rPr>
          <w:szCs w:val="21"/>
          <w:lang w:bidi="en-US"/>
        </w:rPr>
      </w:pPr>
      <w:r>
        <w:rPr>
          <w:rFonts w:hint="eastAsia"/>
          <w:szCs w:val="21"/>
          <w:lang w:bidi="en-US"/>
        </w:rPr>
        <w:t>对不合法确认N次或对门禁破坏行动，可以设定在远端和（或）现场报警。</w:t>
      </w:r>
    </w:p>
    <w:p w14:paraId="29A85381">
      <w:pPr>
        <w:tabs>
          <w:tab w:val="left" w:pos="851"/>
        </w:tabs>
        <w:spacing w:line="360" w:lineRule="auto"/>
        <w:ind w:firstLine="420" w:firstLineChars="200"/>
        <w:jc w:val="left"/>
        <w:rPr>
          <w:szCs w:val="21"/>
          <w:lang w:bidi="en-US"/>
        </w:rPr>
      </w:pPr>
      <w:r>
        <w:rPr>
          <w:rFonts w:hint="eastAsia"/>
          <w:szCs w:val="21"/>
          <w:lang w:bidi="en-US"/>
        </w:rPr>
        <w:t>正常情况下，由门禁卡控制出入门禁，又要考虑发生突发性紧急情况下，迅速出门逃生和救险的手段。例如，由值班员远程控制开门，或由烟感、温感报警起动消防设施的同时，解除全部门禁。</w:t>
      </w:r>
    </w:p>
    <w:p w14:paraId="622D33E8">
      <w:pPr>
        <w:tabs>
          <w:tab w:val="left" w:pos="851"/>
        </w:tabs>
        <w:spacing w:line="360" w:lineRule="auto"/>
        <w:ind w:firstLine="420" w:firstLineChars="200"/>
        <w:jc w:val="left"/>
        <w:rPr>
          <w:szCs w:val="21"/>
          <w:lang w:bidi="en-US"/>
        </w:rPr>
      </w:pPr>
      <w:r>
        <w:rPr>
          <w:rFonts w:hint="eastAsia"/>
          <w:szCs w:val="21"/>
          <w:lang w:bidi="en-US"/>
        </w:rPr>
        <w:t>门禁系统要求接入大楼门禁系统统一管理，</w:t>
      </w:r>
      <w:r>
        <w:rPr>
          <w:szCs w:val="21"/>
          <w:lang w:bidi="en-US"/>
        </w:rPr>
        <w:t>本工程负责接入与</w:t>
      </w:r>
      <w:r>
        <w:rPr>
          <w:rFonts w:hint="eastAsia"/>
          <w:szCs w:val="21"/>
          <w:lang w:bidi="en-US"/>
        </w:rPr>
        <w:t>联调</w:t>
      </w:r>
      <w:r>
        <w:rPr>
          <w:szCs w:val="21"/>
          <w:lang w:bidi="en-US"/>
        </w:rPr>
        <w:t>工作</w:t>
      </w:r>
      <w:r>
        <w:rPr>
          <w:rFonts w:hint="eastAsia"/>
          <w:szCs w:val="21"/>
          <w:lang w:bidi="en-US"/>
        </w:rPr>
        <w:t>。</w:t>
      </w:r>
    </w:p>
    <w:p w14:paraId="338646C5">
      <w:pPr>
        <w:tabs>
          <w:tab w:val="left" w:pos="851"/>
        </w:tabs>
        <w:spacing w:line="360" w:lineRule="auto"/>
        <w:jc w:val="left"/>
        <w:outlineLvl w:val="3"/>
        <w:rPr>
          <w:b/>
          <w:szCs w:val="21"/>
        </w:rPr>
      </w:pPr>
      <w:r>
        <w:rPr>
          <w:b/>
          <w:szCs w:val="21"/>
        </w:rPr>
        <w:t>门禁控制器</w:t>
      </w:r>
    </w:p>
    <w:p w14:paraId="1490A595">
      <w:pPr>
        <w:tabs>
          <w:tab w:val="left" w:pos="851"/>
        </w:tabs>
        <w:spacing w:line="360" w:lineRule="auto"/>
        <w:ind w:firstLine="420" w:firstLineChars="200"/>
        <w:jc w:val="left"/>
        <w:rPr>
          <w:szCs w:val="21"/>
          <w:lang w:bidi="en-US"/>
        </w:rPr>
      </w:pPr>
      <w:r>
        <w:rPr>
          <w:rFonts w:hint="eastAsia"/>
          <w:szCs w:val="21"/>
          <w:lang w:bidi="en-US"/>
        </w:rPr>
        <w:t>应配置输入/输出（I/O）接口和读卡器接口；可连接</w:t>
      </w:r>
      <w:r>
        <w:rPr>
          <w:szCs w:val="21"/>
          <w:lang w:bidi="en-US"/>
        </w:rPr>
        <w:t>3</w:t>
      </w:r>
      <w:r>
        <w:rPr>
          <w:rFonts w:hint="eastAsia"/>
          <w:szCs w:val="21"/>
          <w:lang w:bidi="en-US"/>
        </w:rPr>
        <w:t>个读卡器、不少于</w:t>
      </w:r>
      <w:r>
        <w:rPr>
          <w:szCs w:val="21"/>
          <w:lang w:bidi="en-US"/>
        </w:rPr>
        <w:t>3</w:t>
      </w:r>
      <w:r>
        <w:rPr>
          <w:rFonts w:hint="eastAsia"/>
          <w:szCs w:val="21"/>
          <w:lang w:bidi="en-US"/>
        </w:rPr>
        <w:t>个开关量输出，并可定义当输入被激活时的相对应动作。</w:t>
      </w:r>
    </w:p>
    <w:p w14:paraId="0615A921">
      <w:pPr>
        <w:tabs>
          <w:tab w:val="left" w:pos="851"/>
        </w:tabs>
        <w:spacing w:line="360" w:lineRule="auto"/>
        <w:ind w:firstLine="420" w:firstLineChars="200"/>
        <w:jc w:val="left"/>
        <w:rPr>
          <w:szCs w:val="21"/>
          <w:lang w:bidi="en-US"/>
        </w:rPr>
      </w:pPr>
      <w:r>
        <w:rPr>
          <w:szCs w:val="21"/>
          <w:lang w:bidi="en-US"/>
        </w:rPr>
        <w:t>可</w:t>
      </w:r>
      <w:r>
        <w:rPr>
          <w:rFonts w:hint="eastAsia"/>
          <w:szCs w:val="21"/>
          <w:lang w:bidi="en-US"/>
        </w:rPr>
        <w:t>选4/</w:t>
      </w:r>
      <w:r>
        <w:rPr>
          <w:szCs w:val="21"/>
          <w:lang w:bidi="en-US"/>
        </w:rPr>
        <w:t>8个门接口，可连接1－16个Wiegand 34bit接口的读卡器，支持双向刷卡开门。</w:t>
      </w:r>
    </w:p>
    <w:p w14:paraId="6E203B8B">
      <w:pPr>
        <w:tabs>
          <w:tab w:val="left" w:pos="851"/>
        </w:tabs>
        <w:spacing w:line="360" w:lineRule="auto"/>
        <w:ind w:firstLine="420" w:firstLineChars="200"/>
        <w:jc w:val="left"/>
        <w:rPr>
          <w:szCs w:val="21"/>
          <w:lang w:bidi="en-US"/>
        </w:rPr>
      </w:pPr>
      <w:r>
        <w:rPr>
          <w:rFonts w:hint="eastAsia"/>
          <w:szCs w:val="21"/>
          <w:lang w:bidi="en-US"/>
        </w:rPr>
        <w:t>支持</w:t>
      </w:r>
      <w:r>
        <w:rPr>
          <w:szCs w:val="21"/>
          <w:lang w:bidi="en-US"/>
        </w:rPr>
        <w:t>可脱机工作</w:t>
      </w:r>
      <w:r>
        <w:rPr>
          <w:rFonts w:hint="eastAsia"/>
          <w:szCs w:val="21"/>
          <w:lang w:bidi="en-US"/>
        </w:rPr>
        <w:t>。</w:t>
      </w:r>
    </w:p>
    <w:p w14:paraId="073DC9E2">
      <w:pPr>
        <w:tabs>
          <w:tab w:val="left" w:pos="851"/>
        </w:tabs>
        <w:spacing w:line="360" w:lineRule="auto"/>
        <w:ind w:firstLine="420" w:firstLineChars="200"/>
        <w:jc w:val="left"/>
        <w:rPr>
          <w:szCs w:val="21"/>
          <w:lang w:bidi="en-US"/>
        </w:rPr>
      </w:pPr>
      <w:r>
        <w:rPr>
          <w:rFonts w:hint="eastAsia"/>
          <w:szCs w:val="21"/>
          <w:lang w:bidi="en-US"/>
        </w:rPr>
        <w:t>支持离线存储功能。</w:t>
      </w:r>
    </w:p>
    <w:p w14:paraId="3FBA2EA4">
      <w:pPr>
        <w:tabs>
          <w:tab w:val="left" w:pos="851"/>
        </w:tabs>
        <w:spacing w:line="360" w:lineRule="auto"/>
        <w:ind w:firstLine="420" w:firstLineChars="200"/>
        <w:jc w:val="left"/>
        <w:rPr>
          <w:szCs w:val="21"/>
          <w:lang w:bidi="en-US"/>
        </w:rPr>
      </w:pPr>
      <w:r>
        <w:rPr>
          <w:rFonts w:hint="eastAsia"/>
          <w:szCs w:val="21"/>
          <w:lang w:bidi="en-US"/>
        </w:rPr>
        <w:t>提供控制器安装箱及电源模块。</w:t>
      </w:r>
    </w:p>
    <w:p w14:paraId="549A9863">
      <w:pPr>
        <w:spacing w:line="360" w:lineRule="auto"/>
        <w:outlineLvl w:val="2"/>
        <w:rPr>
          <w:b/>
          <w:szCs w:val="21"/>
        </w:rPr>
      </w:pPr>
      <w:bookmarkStart w:id="86" w:name="_Toc206145320"/>
      <w:bookmarkStart w:id="87" w:name="_Toc503643695"/>
      <w:r>
        <w:rPr>
          <w:b/>
          <w:szCs w:val="21"/>
        </w:rPr>
        <w:t>3.7.6</w:t>
      </w:r>
      <w:r>
        <w:rPr>
          <w:rFonts w:hint="eastAsia"/>
          <w:b/>
          <w:szCs w:val="21"/>
        </w:rPr>
        <w:t>视频</w:t>
      </w:r>
      <w:r>
        <w:rPr>
          <w:b/>
          <w:szCs w:val="21"/>
        </w:rPr>
        <w:t>监控系统</w:t>
      </w:r>
      <w:bookmarkEnd w:id="86"/>
      <w:bookmarkEnd w:id="87"/>
    </w:p>
    <w:p w14:paraId="3C524D56">
      <w:pPr>
        <w:tabs>
          <w:tab w:val="left" w:pos="851"/>
        </w:tabs>
        <w:spacing w:line="360" w:lineRule="auto"/>
        <w:ind w:firstLine="420" w:firstLineChars="200"/>
        <w:jc w:val="left"/>
        <w:rPr>
          <w:szCs w:val="21"/>
          <w:lang w:bidi="en-US"/>
        </w:rPr>
      </w:pPr>
      <w:r>
        <w:rPr>
          <w:rFonts w:hint="eastAsia"/>
          <w:szCs w:val="21"/>
          <w:lang w:bidi="en-US"/>
        </w:rPr>
        <w:t>视频监控系统末端设备属于利旧的甲供设备，本工程中标单位需负责布线工作，并配合安装、调试。</w:t>
      </w:r>
    </w:p>
    <w:p w14:paraId="2023BCFD">
      <w:pPr>
        <w:spacing w:line="360" w:lineRule="auto"/>
        <w:outlineLvl w:val="1"/>
        <w:rPr>
          <w:b/>
          <w:szCs w:val="21"/>
        </w:rPr>
      </w:pPr>
      <w:bookmarkStart w:id="88" w:name="_Toc206145321"/>
      <w:r>
        <w:rPr>
          <w:rFonts w:hint="eastAsia"/>
          <w:b/>
          <w:szCs w:val="21"/>
        </w:rPr>
        <w:t>3.</w:t>
      </w:r>
      <w:r>
        <w:rPr>
          <w:b/>
          <w:szCs w:val="21"/>
        </w:rPr>
        <w:t>8</w:t>
      </w:r>
      <w:r>
        <w:rPr>
          <w:rFonts w:hint="eastAsia"/>
          <w:b/>
          <w:szCs w:val="21"/>
        </w:rPr>
        <w:t>空调及排风系统</w:t>
      </w:r>
      <w:bookmarkEnd w:id="85"/>
      <w:bookmarkEnd w:id="88"/>
    </w:p>
    <w:p w14:paraId="58348607">
      <w:pPr>
        <w:tabs>
          <w:tab w:val="left" w:pos="851"/>
        </w:tabs>
        <w:spacing w:line="360" w:lineRule="auto"/>
        <w:ind w:firstLine="420" w:firstLineChars="200"/>
        <w:jc w:val="left"/>
        <w:rPr>
          <w:szCs w:val="21"/>
          <w:lang w:val="zh-CN"/>
        </w:rPr>
      </w:pPr>
      <w:r>
        <w:rPr>
          <w:rFonts w:hint="eastAsia"/>
          <w:szCs w:val="21"/>
          <w:lang w:val="zh-CN"/>
        </w:rPr>
        <w:t>本项目空调及排风系统包括以下建设内容：</w:t>
      </w:r>
    </w:p>
    <w:p w14:paraId="287A439C">
      <w:pPr>
        <w:tabs>
          <w:tab w:val="left" w:pos="851"/>
        </w:tabs>
        <w:spacing w:line="360" w:lineRule="auto"/>
        <w:ind w:firstLine="420" w:firstLineChars="200"/>
        <w:jc w:val="left"/>
        <w:rPr>
          <w:szCs w:val="21"/>
          <w:lang w:val="zh-CN"/>
        </w:rPr>
      </w:pPr>
      <w:r>
        <w:rPr>
          <w:rFonts w:hint="eastAsia"/>
          <w:szCs w:val="21"/>
          <w:lang w:val="zh-CN" w:bidi="en-US"/>
        </w:rPr>
        <w:t>包括营业厅的室内舒适性空调（含室外机、含冷媒铜管、冷凝水管等）的供应、仓储、安装及调试工作；</w:t>
      </w:r>
    </w:p>
    <w:p w14:paraId="266D0359">
      <w:pPr>
        <w:spacing w:line="360" w:lineRule="auto"/>
        <w:outlineLvl w:val="1"/>
        <w:rPr>
          <w:b/>
          <w:szCs w:val="21"/>
        </w:rPr>
      </w:pPr>
      <w:bookmarkStart w:id="89" w:name="_Toc206145322"/>
      <w:r>
        <w:rPr>
          <w:rFonts w:hint="eastAsia"/>
          <w:b/>
          <w:szCs w:val="21"/>
        </w:rPr>
        <w:t>3.</w:t>
      </w:r>
      <w:r>
        <w:rPr>
          <w:b/>
          <w:szCs w:val="21"/>
        </w:rPr>
        <w:t>9</w:t>
      </w:r>
      <w:r>
        <w:rPr>
          <w:rFonts w:hint="eastAsia"/>
          <w:b/>
          <w:szCs w:val="21"/>
        </w:rPr>
        <w:t>专用设施技术要求</w:t>
      </w:r>
      <w:bookmarkEnd w:id="89"/>
    </w:p>
    <w:p w14:paraId="651EC81B">
      <w:pPr>
        <w:tabs>
          <w:tab w:val="left" w:pos="851"/>
        </w:tabs>
        <w:spacing w:line="360" w:lineRule="auto"/>
        <w:ind w:firstLine="420" w:firstLineChars="200"/>
        <w:jc w:val="left"/>
        <w:rPr>
          <w:szCs w:val="21"/>
          <w:lang w:val="zh-CN"/>
        </w:rPr>
      </w:pPr>
      <w:r>
        <w:rPr>
          <w:rFonts w:hint="eastAsia"/>
          <w:szCs w:val="21"/>
        </w:rPr>
        <w:t>负责</w:t>
      </w:r>
      <w:r>
        <w:rPr>
          <w:rFonts w:hint="eastAsia"/>
          <w:szCs w:val="21"/>
          <w:lang w:val="zh-CN"/>
        </w:rPr>
        <w:t>本建设范围所有营业厅专用设施的定制或现场制作、供货、仓储及安装，设施的外观效果不低于本工程参考效果图的要求，环保性能需满足国家及本工程的相关要求。</w:t>
      </w:r>
    </w:p>
    <w:p w14:paraId="6A358DA3">
      <w:pPr>
        <w:spacing w:line="360" w:lineRule="auto"/>
        <w:outlineLvl w:val="0"/>
        <w:rPr>
          <w:b/>
          <w:szCs w:val="21"/>
        </w:rPr>
      </w:pPr>
      <w:bookmarkStart w:id="90" w:name="_Toc10231"/>
      <w:bookmarkStart w:id="91" w:name="_Toc206145323"/>
      <w:r>
        <w:rPr>
          <w:rFonts w:hint="eastAsia"/>
          <w:b/>
          <w:szCs w:val="21"/>
        </w:rPr>
        <w:t>4技术服务内容及要求</w:t>
      </w:r>
      <w:bookmarkEnd w:id="90"/>
      <w:bookmarkEnd w:id="91"/>
    </w:p>
    <w:p w14:paraId="14F173E2">
      <w:pPr>
        <w:spacing w:line="360" w:lineRule="auto"/>
        <w:outlineLvl w:val="1"/>
        <w:rPr>
          <w:b/>
          <w:szCs w:val="21"/>
        </w:rPr>
      </w:pPr>
      <w:bookmarkStart w:id="92" w:name="_Toc206145324"/>
      <w:bookmarkStart w:id="93" w:name="_Toc14649"/>
      <w:r>
        <w:rPr>
          <w:b/>
          <w:szCs w:val="21"/>
        </w:rPr>
        <w:t>4</w:t>
      </w:r>
      <w:r>
        <w:rPr>
          <w:rFonts w:hint="eastAsia"/>
          <w:b/>
          <w:szCs w:val="21"/>
        </w:rPr>
        <w:t>.1 技术服务内容</w:t>
      </w:r>
      <w:bookmarkEnd w:id="92"/>
      <w:bookmarkEnd w:id="93"/>
    </w:p>
    <w:p w14:paraId="50FDA43F">
      <w:pPr>
        <w:tabs>
          <w:tab w:val="left" w:pos="851"/>
        </w:tabs>
        <w:spacing w:line="360" w:lineRule="auto"/>
        <w:ind w:firstLine="420" w:firstLineChars="200"/>
        <w:jc w:val="left"/>
        <w:rPr>
          <w:szCs w:val="21"/>
          <w:lang w:bidi="en-US"/>
        </w:rPr>
      </w:pPr>
      <w:r>
        <w:rPr>
          <w:rFonts w:hint="eastAsia"/>
          <w:szCs w:val="21"/>
          <w:lang w:bidi="en-US"/>
        </w:rPr>
        <w:t>要求投标人至少为本工程提供以下技术服务：</w:t>
      </w:r>
    </w:p>
    <w:p w14:paraId="1101F972">
      <w:pPr>
        <w:numPr>
          <w:ilvl w:val="0"/>
          <w:numId w:val="36"/>
        </w:numPr>
        <w:tabs>
          <w:tab w:val="left" w:pos="840"/>
        </w:tabs>
        <w:spacing w:line="360" w:lineRule="auto"/>
        <w:ind w:left="0" w:firstLine="420" w:firstLineChars="200"/>
        <w:jc w:val="left"/>
        <w:rPr>
          <w:szCs w:val="21"/>
          <w:lang w:val="zh-CN"/>
        </w:rPr>
      </w:pPr>
      <w:r>
        <w:rPr>
          <w:rFonts w:hint="eastAsia"/>
          <w:szCs w:val="21"/>
          <w:lang w:val="zh-CN"/>
        </w:rPr>
        <w:t>设备和材料的供货及安装调试、验收测试以及施工配合；</w:t>
      </w:r>
    </w:p>
    <w:p w14:paraId="6FAF9360">
      <w:pPr>
        <w:numPr>
          <w:ilvl w:val="0"/>
          <w:numId w:val="36"/>
        </w:numPr>
        <w:tabs>
          <w:tab w:val="left" w:pos="840"/>
        </w:tabs>
        <w:spacing w:line="360" w:lineRule="auto"/>
        <w:ind w:left="0" w:firstLine="420" w:firstLineChars="200"/>
        <w:jc w:val="left"/>
        <w:rPr>
          <w:szCs w:val="21"/>
          <w:lang w:val="zh-CN"/>
        </w:rPr>
      </w:pPr>
      <w:r>
        <w:rPr>
          <w:rFonts w:hint="eastAsia"/>
          <w:szCs w:val="21"/>
          <w:lang w:val="zh-CN"/>
        </w:rPr>
        <w:t>安装验收会；</w:t>
      </w:r>
    </w:p>
    <w:p w14:paraId="5E1721DA">
      <w:pPr>
        <w:numPr>
          <w:ilvl w:val="0"/>
          <w:numId w:val="36"/>
        </w:numPr>
        <w:tabs>
          <w:tab w:val="left" w:pos="840"/>
        </w:tabs>
        <w:spacing w:line="360" w:lineRule="auto"/>
        <w:ind w:left="0" w:firstLine="420" w:firstLineChars="200"/>
        <w:jc w:val="left"/>
        <w:rPr>
          <w:szCs w:val="21"/>
          <w:lang w:val="zh-CN"/>
        </w:rPr>
      </w:pPr>
      <w:r>
        <w:rPr>
          <w:rFonts w:hint="eastAsia"/>
          <w:szCs w:val="21"/>
          <w:lang w:val="zh-CN"/>
        </w:rPr>
        <w:t>培训；</w:t>
      </w:r>
    </w:p>
    <w:p w14:paraId="2D7B6F14">
      <w:pPr>
        <w:numPr>
          <w:ilvl w:val="0"/>
          <w:numId w:val="36"/>
        </w:numPr>
        <w:tabs>
          <w:tab w:val="left" w:pos="840"/>
        </w:tabs>
        <w:spacing w:line="360" w:lineRule="auto"/>
        <w:ind w:left="0" w:firstLine="420" w:firstLineChars="200"/>
        <w:jc w:val="left"/>
        <w:rPr>
          <w:szCs w:val="21"/>
          <w:lang w:val="zh-CN"/>
        </w:rPr>
      </w:pPr>
      <w:r>
        <w:rPr>
          <w:rFonts w:hint="eastAsia"/>
          <w:szCs w:val="21"/>
          <w:lang w:val="zh-CN"/>
        </w:rPr>
        <w:t>保修、维护及技术支持等。</w:t>
      </w:r>
    </w:p>
    <w:p w14:paraId="13FA8D27">
      <w:pPr>
        <w:tabs>
          <w:tab w:val="left" w:pos="851"/>
        </w:tabs>
        <w:spacing w:line="360" w:lineRule="auto"/>
        <w:ind w:firstLine="420" w:firstLineChars="200"/>
        <w:jc w:val="left"/>
        <w:rPr>
          <w:szCs w:val="21"/>
          <w:lang w:bidi="en-US"/>
        </w:rPr>
      </w:pPr>
      <w:r>
        <w:rPr>
          <w:rFonts w:hint="eastAsia"/>
          <w:szCs w:val="21"/>
          <w:lang w:bidi="en-US"/>
        </w:rPr>
        <w:t>所有投标人提供的包括验收和培训等投标人责任范围内技术服务的相关费用均应已包括在合同价格中，不应再额外收取费用。</w:t>
      </w:r>
    </w:p>
    <w:p w14:paraId="51DA23D3">
      <w:pPr>
        <w:spacing w:line="360" w:lineRule="auto"/>
        <w:outlineLvl w:val="2"/>
        <w:rPr>
          <w:b/>
          <w:szCs w:val="21"/>
          <w:lang w:val="zh-CN"/>
        </w:rPr>
      </w:pPr>
      <w:bookmarkStart w:id="94" w:name="_Toc206145325"/>
      <w:bookmarkStart w:id="95" w:name="_Toc7728"/>
      <w:r>
        <w:rPr>
          <w:b/>
          <w:szCs w:val="21"/>
          <w:lang w:val="zh-CN"/>
        </w:rPr>
        <w:t>4</w:t>
      </w:r>
      <w:r>
        <w:rPr>
          <w:rFonts w:hint="eastAsia"/>
          <w:b/>
          <w:szCs w:val="21"/>
          <w:lang w:val="zh-CN"/>
        </w:rPr>
        <w:t>.1.1 现场技术服务</w:t>
      </w:r>
      <w:bookmarkEnd w:id="94"/>
      <w:bookmarkEnd w:id="95"/>
    </w:p>
    <w:p w14:paraId="2330DA1B">
      <w:pPr>
        <w:tabs>
          <w:tab w:val="left" w:pos="851"/>
        </w:tabs>
        <w:spacing w:line="360" w:lineRule="auto"/>
        <w:ind w:firstLine="420" w:firstLineChars="200"/>
        <w:jc w:val="left"/>
        <w:rPr>
          <w:szCs w:val="21"/>
          <w:lang w:bidi="en-US"/>
        </w:rPr>
      </w:pPr>
      <w:r>
        <w:rPr>
          <w:rFonts w:hint="eastAsia"/>
          <w:szCs w:val="21"/>
          <w:lang w:bidi="en-US"/>
        </w:rPr>
        <w:t>投标人配备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2D98ADE7">
      <w:pPr>
        <w:tabs>
          <w:tab w:val="left" w:pos="851"/>
        </w:tabs>
        <w:spacing w:line="360" w:lineRule="auto"/>
        <w:jc w:val="center"/>
        <w:rPr>
          <w:szCs w:val="21"/>
          <w:lang w:bidi="en-US"/>
        </w:rPr>
      </w:pPr>
      <w:r>
        <w:rPr>
          <w:rFonts w:hint="eastAsia"/>
          <w:szCs w:val="21"/>
          <w:lang w:bidi="en-US"/>
        </w:rPr>
        <w:t>现场服务计划表（格式）</w:t>
      </w:r>
    </w:p>
    <w:tbl>
      <w:tblPr>
        <w:tblStyle w:val="29"/>
        <w:tblW w:w="901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31"/>
        <w:gridCol w:w="1932"/>
        <w:gridCol w:w="1675"/>
        <w:gridCol w:w="1545"/>
        <w:gridCol w:w="1545"/>
        <w:gridCol w:w="1287"/>
      </w:tblGrid>
      <w:tr w14:paraId="64E0DC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1031" w:type="dxa"/>
            <w:vMerge w:val="restart"/>
            <w:tcBorders>
              <w:top w:val="single" w:color="auto" w:sz="6" w:space="0"/>
              <w:left w:val="single" w:color="auto" w:sz="6" w:space="0"/>
              <w:bottom w:val="single" w:color="auto" w:sz="6" w:space="0"/>
              <w:right w:val="single" w:color="auto" w:sz="6" w:space="0"/>
            </w:tcBorders>
            <w:vAlign w:val="center"/>
          </w:tcPr>
          <w:p w14:paraId="6A6A5C8A">
            <w:pPr>
              <w:tabs>
                <w:tab w:val="left" w:pos="851"/>
              </w:tabs>
              <w:spacing w:line="360" w:lineRule="auto"/>
              <w:jc w:val="left"/>
              <w:rPr>
                <w:szCs w:val="21"/>
                <w:lang w:bidi="en-US"/>
              </w:rPr>
            </w:pPr>
            <w:r>
              <w:rPr>
                <w:rFonts w:hint="eastAsia"/>
                <w:szCs w:val="21"/>
                <w:lang w:bidi="en-US"/>
              </w:rPr>
              <w:t>序号</w:t>
            </w:r>
          </w:p>
        </w:tc>
        <w:tc>
          <w:tcPr>
            <w:tcW w:w="1932" w:type="dxa"/>
            <w:vMerge w:val="restart"/>
            <w:tcBorders>
              <w:top w:val="single" w:color="auto" w:sz="6" w:space="0"/>
              <w:left w:val="nil"/>
              <w:bottom w:val="single" w:color="auto" w:sz="6" w:space="0"/>
              <w:right w:val="single" w:color="auto" w:sz="6" w:space="0"/>
            </w:tcBorders>
            <w:vAlign w:val="center"/>
          </w:tcPr>
          <w:p w14:paraId="3647379E">
            <w:pPr>
              <w:tabs>
                <w:tab w:val="left" w:pos="851"/>
              </w:tabs>
              <w:spacing w:line="360" w:lineRule="auto"/>
              <w:jc w:val="left"/>
              <w:rPr>
                <w:szCs w:val="21"/>
                <w:lang w:bidi="en-US"/>
              </w:rPr>
            </w:pPr>
            <w:r>
              <w:rPr>
                <w:rFonts w:hint="eastAsia"/>
                <w:szCs w:val="21"/>
                <w:lang w:bidi="en-US"/>
              </w:rPr>
              <w:t>技术服务内容</w:t>
            </w:r>
          </w:p>
        </w:tc>
        <w:tc>
          <w:tcPr>
            <w:tcW w:w="1675" w:type="dxa"/>
            <w:vMerge w:val="restart"/>
            <w:tcBorders>
              <w:top w:val="single" w:color="auto" w:sz="6" w:space="0"/>
              <w:left w:val="nil"/>
              <w:bottom w:val="single" w:color="auto" w:sz="6" w:space="0"/>
              <w:right w:val="single" w:color="auto" w:sz="6" w:space="0"/>
            </w:tcBorders>
            <w:vAlign w:val="center"/>
          </w:tcPr>
          <w:p w14:paraId="0C4147C0">
            <w:pPr>
              <w:tabs>
                <w:tab w:val="left" w:pos="851"/>
              </w:tabs>
              <w:spacing w:line="360" w:lineRule="auto"/>
              <w:jc w:val="left"/>
              <w:rPr>
                <w:szCs w:val="21"/>
                <w:lang w:bidi="en-US"/>
              </w:rPr>
            </w:pPr>
            <w:r>
              <w:rPr>
                <w:rFonts w:hint="eastAsia"/>
                <w:szCs w:val="21"/>
                <w:lang w:bidi="en-US"/>
              </w:rPr>
              <w:t>计划人月数</w:t>
            </w:r>
          </w:p>
        </w:tc>
        <w:tc>
          <w:tcPr>
            <w:tcW w:w="3090" w:type="dxa"/>
            <w:gridSpan w:val="2"/>
            <w:tcBorders>
              <w:top w:val="single" w:color="auto" w:sz="6" w:space="0"/>
              <w:left w:val="nil"/>
              <w:bottom w:val="single" w:color="auto" w:sz="6" w:space="0"/>
              <w:right w:val="nil"/>
            </w:tcBorders>
            <w:vAlign w:val="center"/>
          </w:tcPr>
          <w:p w14:paraId="53494921">
            <w:pPr>
              <w:tabs>
                <w:tab w:val="left" w:pos="851"/>
              </w:tabs>
              <w:spacing w:line="360" w:lineRule="auto"/>
              <w:jc w:val="left"/>
              <w:rPr>
                <w:szCs w:val="21"/>
                <w:lang w:bidi="en-US"/>
              </w:rPr>
            </w:pPr>
            <w:r>
              <w:rPr>
                <w:rFonts w:hint="eastAsia"/>
                <w:szCs w:val="21"/>
                <w:lang w:bidi="en-US"/>
              </w:rPr>
              <w:t>派出人员构成</w:t>
            </w:r>
          </w:p>
        </w:tc>
        <w:tc>
          <w:tcPr>
            <w:tcW w:w="1287" w:type="dxa"/>
            <w:vMerge w:val="restart"/>
            <w:tcBorders>
              <w:top w:val="single" w:color="auto" w:sz="6" w:space="0"/>
              <w:left w:val="single" w:color="auto" w:sz="6" w:space="0"/>
              <w:bottom w:val="single" w:color="auto" w:sz="6" w:space="0"/>
              <w:right w:val="single" w:color="auto" w:sz="6" w:space="0"/>
            </w:tcBorders>
            <w:vAlign w:val="center"/>
          </w:tcPr>
          <w:p w14:paraId="5C6AB2A1">
            <w:pPr>
              <w:tabs>
                <w:tab w:val="left" w:pos="851"/>
              </w:tabs>
              <w:spacing w:line="360" w:lineRule="auto"/>
              <w:jc w:val="left"/>
              <w:rPr>
                <w:szCs w:val="21"/>
                <w:lang w:bidi="en-US"/>
              </w:rPr>
            </w:pPr>
            <w:r>
              <w:rPr>
                <w:rFonts w:hint="eastAsia"/>
                <w:szCs w:val="21"/>
                <w:lang w:bidi="en-US"/>
              </w:rPr>
              <w:t>备注</w:t>
            </w:r>
          </w:p>
        </w:tc>
      </w:tr>
      <w:tr w14:paraId="356B7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1031" w:type="dxa"/>
            <w:vMerge w:val="continue"/>
            <w:tcBorders>
              <w:top w:val="single" w:color="auto" w:sz="6" w:space="0"/>
              <w:left w:val="single" w:color="auto" w:sz="6" w:space="0"/>
              <w:bottom w:val="single" w:color="auto" w:sz="6" w:space="0"/>
              <w:right w:val="single" w:color="auto" w:sz="6" w:space="0"/>
            </w:tcBorders>
            <w:vAlign w:val="center"/>
          </w:tcPr>
          <w:p w14:paraId="256A1AC6">
            <w:pPr>
              <w:tabs>
                <w:tab w:val="left" w:pos="851"/>
              </w:tabs>
              <w:spacing w:line="360" w:lineRule="auto"/>
              <w:jc w:val="left"/>
              <w:rPr>
                <w:szCs w:val="21"/>
                <w:lang w:bidi="en-US"/>
              </w:rPr>
            </w:pPr>
          </w:p>
        </w:tc>
        <w:tc>
          <w:tcPr>
            <w:tcW w:w="1932" w:type="dxa"/>
            <w:vMerge w:val="continue"/>
            <w:tcBorders>
              <w:top w:val="single" w:color="auto" w:sz="6" w:space="0"/>
              <w:left w:val="nil"/>
              <w:bottom w:val="single" w:color="auto" w:sz="6" w:space="0"/>
              <w:right w:val="single" w:color="auto" w:sz="6" w:space="0"/>
            </w:tcBorders>
            <w:vAlign w:val="center"/>
          </w:tcPr>
          <w:p w14:paraId="13CCB4DF">
            <w:pPr>
              <w:tabs>
                <w:tab w:val="left" w:pos="851"/>
              </w:tabs>
              <w:spacing w:line="360" w:lineRule="auto"/>
              <w:jc w:val="left"/>
              <w:rPr>
                <w:szCs w:val="21"/>
                <w:lang w:bidi="en-US"/>
              </w:rPr>
            </w:pPr>
          </w:p>
        </w:tc>
        <w:tc>
          <w:tcPr>
            <w:tcW w:w="1675" w:type="dxa"/>
            <w:vMerge w:val="continue"/>
            <w:tcBorders>
              <w:top w:val="single" w:color="auto" w:sz="6" w:space="0"/>
              <w:left w:val="nil"/>
              <w:bottom w:val="single" w:color="auto" w:sz="6" w:space="0"/>
              <w:right w:val="single" w:color="auto" w:sz="6" w:space="0"/>
            </w:tcBorders>
            <w:vAlign w:val="center"/>
          </w:tcPr>
          <w:p w14:paraId="7CF3B1AD">
            <w:pPr>
              <w:tabs>
                <w:tab w:val="left" w:pos="851"/>
              </w:tabs>
              <w:spacing w:line="360" w:lineRule="auto"/>
              <w:jc w:val="left"/>
              <w:rPr>
                <w:szCs w:val="21"/>
                <w:lang w:bidi="en-US"/>
              </w:rPr>
            </w:pPr>
          </w:p>
        </w:tc>
        <w:tc>
          <w:tcPr>
            <w:tcW w:w="1545" w:type="dxa"/>
            <w:tcBorders>
              <w:top w:val="nil"/>
              <w:left w:val="nil"/>
              <w:bottom w:val="single" w:color="000000" w:sz="6" w:space="0"/>
              <w:right w:val="single" w:color="000000" w:sz="6" w:space="0"/>
            </w:tcBorders>
            <w:vAlign w:val="center"/>
          </w:tcPr>
          <w:p w14:paraId="5B83302E">
            <w:pPr>
              <w:tabs>
                <w:tab w:val="left" w:pos="851"/>
              </w:tabs>
              <w:spacing w:line="360" w:lineRule="auto"/>
              <w:jc w:val="left"/>
              <w:rPr>
                <w:szCs w:val="21"/>
                <w:lang w:bidi="en-US"/>
              </w:rPr>
            </w:pPr>
            <w:r>
              <w:rPr>
                <w:rFonts w:hint="eastAsia"/>
                <w:szCs w:val="21"/>
                <w:lang w:bidi="en-US"/>
              </w:rPr>
              <w:t>职称</w:t>
            </w:r>
          </w:p>
        </w:tc>
        <w:tc>
          <w:tcPr>
            <w:tcW w:w="1545" w:type="dxa"/>
            <w:tcBorders>
              <w:top w:val="nil"/>
              <w:left w:val="single" w:color="000000" w:sz="6" w:space="0"/>
              <w:bottom w:val="single" w:color="000000" w:sz="6" w:space="0"/>
              <w:right w:val="nil"/>
            </w:tcBorders>
            <w:vAlign w:val="center"/>
          </w:tcPr>
          <w:p w14:paraId="19748C31">
            <w:pPr>
              <w:tabs>
                <w:tab w:val="left" w:pos="851"/>
              </w:tabs>
              <w:spacing w:line="360" w:lineRule="auto"/>
              <w:jc w:val="left"/>
              <w:rPr>
                <w:szCs w:val="21"/>
                <w:lang w:bidi="en-US"/>
              </w:rPr>
            </w:pPr>
            <w:r>
              <w:rPr>
                <w:rFonts w:hint="eastAsia"/>
                <w:szCs w:val="21"/>
                <w:lang w:bidi="en-US"/>
              </w:rPr>
              <w:t>人数</w:t>
            </w:r>
          </w:p>
        </w:tc>
        <w:tc>
          <w:tcPr>
            <w:tcW w:w="1287" w:type="dxa"/>
            <w:vMerge w:val="continue"/>
            <w:tcBorders>
              <w:top w:val="single" w:color="auto" w:sz="6" w:space="0"/>
              <w:left w:val="single" w:color="auto" w:sz="6" w:space="0"/>
              <w:bottom w:val="single" w:color="auto" w:sz="6" w:space="0"/>
              <w:right w:val="single" w:color="auto" w:sz="6" w:space="0"/>
            </w:tcBorders>
            <w:vAlign w:val="center"/>
          </w:tcPr>
          <w:p w14:paraId="7105F8B1">
            <w:pPr>
              <w:tabs>
                <w:tab w:val="left" w:pos="851"/>
              </w:tabs>
              <w:spacing w:line="360" w:lineRule="auto"/>
              <w:jc w:val="left"/>
              <w:rPr>
                <w:szCs w:val="21"/>
                <w:lang w:bidi="en-US"/>
              </w:rPr>
            </w:pPr>
          </w:p>
        </w:tc>
      </w:tr>
      <w:tr w14:paraId="48E5A6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31" w:type="dxa"/>
            <w:tcBorders>
              <w:top w:val="nil"/>
              <w:left w:val="single" w:color="000000" w:sz="6" w:space="0"/>
              <w:bottom w:val="single" w:color="000000" w:sz="6" w:space="0"/>
              <w:right w:val="single" w:color="000000" w:sz="6" w:space="0"/>
            </w:tcBorders>
            <w:vAlign w:val="center"/>
          </w:tcPr>
          <w:p w14:paraId="396D6F2E">
            <w:pPr>
              <w:tabs>
                <w:tab w:val="left" w:pos="851"/>
              </w:tabs>
              <w:spacing w:line="360" w:lineRule="auto"/>
              <w:jc w:val="left"/>
              <w:rPr>
                <w:szCs w:val="21"/>
                <w:lang w:bidi="en-US"/>
              </w:rPr>
            </w:pPr>
          </w:p>
        </w:tc>
        <w:tc>
          <w:tcPr>
            <w:tcW w:w="1932" w:type="dxa"/>
            <w:tcBorders>
              <w:top w:val="nil"/>
              <w:left w:val="single" w:color="000000" w:sz="6" w:space="0"/>
              <w:bottom w:val="single" w:color="000000" w:sz="6" w:space="0"/>
              <w:right w:val="single" w:color="000000" w:sz="6" w:space="0"/>
            </w:tcBorders>
            <w:vAlign w:val="center"/>
          </w:tcPr>
          <w:p w14:paraId="571DD6CA">
            <w:pPr>
              <w:tabs>
                <w:tab w:val="left" w:pos="851"/>
              </w:tabs>
              <w:spacing w:line="360" w:lineRule="auto"/>
              <w:jc w:val="left"/>
              <w:rPr>
                <w:szCs w:val="21"/>
                <w:lang w:bidi="en-US"/>
              </w:rPr>
            </w:pPr>
          </w:p>
        </w:tc>
        <w:tc>
          <w:tcPr>
            <w:tcW w:w="1675" w:type="dxa"/>
            <w:tcBorders>
              <w:top w:val="nil"/>
              <w:left w:val="single" w:color="000000" w:sz="6" w:space="0"/>
              <w:bottom w:val="single" w:color="000000" w:sz="6" w:space="0"/>
              <w:right w:val="single" w:color="000000" w:sz="6" w:space="0"/>
            </w:tcBorders>
            <w:vAlign w:val="center"/>
          </w:tcPr>
          <w:p w14:paraId="1623742F">
            <w:pPr>
              <w:tabs>
                <w:tab w:val="left" w:pos="851"/>
              </w:tabs>
              <w:spacing w:line="360" w:lineRule="auto"/>
              <w:jc w:val="left"/>
              <w:rPr>
                <w:szCs w:val="21"/>
                <w:lang w:bidi="en-US"/>
              </w:rPr>
            </w:pPr>
          </w:p>
        </w:tc>
        <w:tc>
          <w:tcPr>
            <w:tcW w:w="1545" w:type="dxa"/>
            <w:tcBorders>
              <w:top w:val="single" w:color="000000" w:sz="6" w:space="0"/>
              <w:left w:val="single" w:color="000000" w:sz="6" w:space="0"/>
              <w:bottom w:val="single" w:color="000000" w:sz="6" w:space="0"/>
              <w:right w:val="single" w:color="000000" w:sz="6" w:space="0"/>
            </w:tcBorders>
            <w:vAlign w:val="center"/>
          </w:tcPr>
          <w:p w14:paraId="6F0CEBE1">
            <w:pPr>
              <w:tabs>
                <w:tab w:val="left" w:pos="851"/>
              </w:tabs>
              <w:spacing w:line="360" w:lineRule="auto"/>
              <w:jc w:val="left"/>
              <w:rPr>
                <w:szCs w:val="21"/>
                <w:lang w:bidi="en-US"/>
              </w:rPr>
            </w:pPr>
          </w:p>
        </w:tc>
        <w:tc>
          <w:tcPr>
            <w:tcW w:w="1545" w:type="dxa"/>
            <w:tcBorders>
              <w:top w:val="single" w:color="000000" w:sz="6" w:space="0"/>
              <w:left w:val="single" w:color="000000" w:sz="6" w:space="0"/>
              <w:bottom w:val="single" w:color="000000" w:sz="6" w:space="0"/>
              <w:right w:val="single" w:color="000000" w:sz="6" w:space="0"/>
            </w:tcBorders>
            <w:vAlign w:val="center"/>
          </w:tcPr>
          <w:p w14:paraId="2F2D3829">
            <w:pPr>
              <w:tabs>
                <w:tab w:val="left" w:pos="851"/>
              </w:tabs>
              <w:spacing w:line="360" w:lineRule="auto"/>
              <w:jc w:val="left"/>
              <w:rPr>
                <w:szCs w:val="21"/>
                <w:lang w:bidi="en-US"/>
              </w:rPr>
            </w:pPr>
          </w:p>
        </w:tc>
        <w:tc>
          <w:tcPr>
            <w:tcW w:w="1287" w:type="dxa"/>
            <w:tcBorders>
              <w:top w:val="nil"/>
              <w:left w:val="single" w:color="000000" w:sz="6" w:space="0"/>
              <w:bottom w:val="single" w:color="000000" w:sz="6" w:space="0"/>
              <w:right w:val="single" w:color="000000" w:sz="6" w:space="0"/>
            </w:tcBorders>
            <w:vAlign w:val="center"/>
          </w:tcPr>
          <w:p w14:paraId="7EBECBEB">
            <w:pPr>
              <w:tabs>
                <w:tab w:val="left" w:pos="851"/>
              </w:tabs>
              <w:spacing w:line="360" w:lineRule="auto"/>
              <w:jc w:val="left"/>
              <w:rPr>
                <w:szCs w:val="21"/>
                <w:lang w:bidi="en-US"/>
              </w:rPr>
            </w:pPr>
          </w:p>
        </w:tc>
      </w:tr>
      <w:tr w14:paraId="1B5B4F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31" w:type="dxa"/>
            <w:tcBorders>
              <w:top w:val="nil"/>
              <w:left w:val="single" w:color="000000" w:sz="6" w:space="0"/>
              <w:bottom w:val="single" w:color="000000" w:sz="6" w:space="0"/>
              <w:right w:val="single" w:color="000000" w:sz="6" w:space="0"/>
            </w:tcBorders>
            <w:vAlign w:val="center"/>
          </w:tcPr>
          <w:p w14:paraId="3AC61BB2">
            <w:pPr>
              <w:tabs>
                <w:tab w:val="left" w:pos="851"/>
              </w:tabs>
              <w:spacing w:line="360" w:lineRule="auto"/>
              <w:jc w:val="left"/>
              <w:rPr>
                <w:szCs w:val="21"/>
                <w:lang w:bidi="en-US"/>
              </w:rPr>
            </w:pPr>
          </w:p>
        </w:tc>
        <w:tc>
          <w:tcPr>
            <w:tcW w:w="1932" w:type="dxa"/>
            <w:tcBorders>
              <w:top w:val="nil"/>
              <w:left w:val="single" w:color="000000" w:sz="6" w:space="0"/>
              <w:bottom w:val="single" w:color="000000" w:sz="6" w:space="0"/>
              <w:right w:val="single" w:color="000000" w:sz="6" w:space="0"/>
            </w:tcBorders>
            <w:vAlign w:val="center"/>
          </w:tcPr>
          <w:p w14:paraId="50586951">
            <w:pPr>
              <w:tabs>
                <w:tab w:val="left" w:pos="851"/>
              </w:tabs>
              <w:spacing w:line="360" w:lineRule="auto"/>
              <w:jc w:val="left"/>
              <w:rPr>
                <w:szCs w:val="21"/>
                <w:lang w:bidi="en-US"/>
              </w:rPr>
            </w:pPr>
          </w:p>
        </w:tc>
        <w:tc>
          <w:tcPr>
            <w:tcW w:w="1675" w:type="dxa"/>
            <w:tcBorders>
              <w:top w:val="nil"/>
              <w:left w:val="single" w:color="000000" w:sz="6" w:space="0"/>
              <w:bottom w:val="single" w:color="000000" w:sz="6" w:space="0"/>
              <w:right w:val="single" w:color="000000" w:sz="6" w:space="0"/>
            </w:tcBorders>
            <w:vAlign w:val="center"/>
          </w:tcPr>
          <w:p w14:paraId="1BC57363">
            <w:pPr>
              <w:tabs>
                <w:tab w:val="left" w:pos="851"/>
              </w:tabs>
              <w:spacing w:line="360" w:lineRule="auto"/>
              <w:jc w:val="left"/>
              <w:rPr>
                <w:szCs w:val="21"/>
                <w:lang w:bidi="en-US"/>
              </w:rPr>
            </w:pPr>
          </w:p>
        </w:tc>
        <w:tc>
          <w:tcPr>
            <w:tcW w:w="1545" w:type="dxa"/>
            <w:tcBorders>
              <w:top w:val="single" w:color="000000" w:sz="6" w:space="0"/>
              <w:left w:val="single" w:color="000000" w:sz="6" w:space="0"/>
              <w:bottom w:val="single" w:color="000000" w:sz="6" w:space="0"/>
              <w:right w:val="single" w:color="000000" w:sz="6" w:space="0"/>
            </w:tcBorders>
            <w:vAlign w:val="center"/>
          </w:tcPr>
          <w:p w14:paraId="7477BABA">
            <w:pPr>
              <w:tabs>
                <w:tab w:val="left" w:pos="851"/>
              </w:tabs>
              <w:spacing w:line="360" w:lineRule="auto"/>
              <w:jc w:val="left"/>
              <w:rPr>
                <w:szCs w:val="21"/>
                <w:lang w:bidi="en-US"/>
              </w:rPr>
            </w:pPr>
          </w:p>
        </w:tc>
        <w:tc>
          <w:tcPr>
            <w:tcW w:w="1545" w:type="dxa"/>
            <w:tcBorders>
              <w:top w:val="single" w:color="000000" w:sz="6" w:space="0"/>
              <w:left w:val="single" w:color="000000" w:sz="6" w:space="0"/>
              <w:bottom w:val="single" w:color="000000" w:sz="6" w:space="0"/>
              <w:right w:val="single" w:color="000000" w:sz="6" w:space="0"/>
            </w:tcBorders>
            <w:vAlign w:val="center"/>
          </w:tcPr>
          <w:p w14:paraId="1A963CED">
            <w:pPr>
              <w:tabs>
                <w:tab w:val="left" w:pos="851"/>
              </w:tabs>
              <w:spacing w:line="360" w:lineRule="auto"/>
              <w:jc w:val="left"/>
              <w:rPr>
                <w:szCs w:val="21"/>
                <w:lang w:bidi="en-US"/>
              </w:rPr>
            </w:pPr>
          </w:p>
        </w:tc>
        <w:tc>
          <w:tcPr>
            <w:tcW w:w="1287" w:type="dxa"/>
            <w:tcBorders>
              <w:top w:val="nil"/>
              <w:left w:val="single" w:color="000000" w:sz="6" w:space="0"/>
              <w:bottom w:val="single" w:color="000000" w:sz="6" w:space="0"/>
              <w:right w:val="single" w:color="000000" w:sz="6" w:space="0"/>
            </w:tcBorders>
            <w:vAlign w:val="center"/>
          </w:tcPr>
          <w:p w14:paraId="4B321628">
            <w:pPr>
              <w:tabs>
                <w:tab w:val="left" w:pos="851"/>
              </w:tabs>
              <w:spacing w:line="360" w:lineRule="auto"/>
              <w:jc w:val="left"/>
              <w:rPr>
                <w:szCs w:val="21"/>
                <w:lang w:bidi="en-US"/>
              </w:rPr>
            </w:pPr>
          </w:p>
        </w:tc>
      </w:tr>
    </w:tbl>
    <w:p w14:paraId="6EDD9E1A">
      <w:pPr>
        <w:tabs>
          <w:tab w:val="left" w:pos="851"/>
        </w:tabs>
        <w:spacing w:line="360" w:lineRule="auto"/>
        <w:ind w:firstLine="420" w:firstLineChars="200"/>
        <w:jc w:val="left"/>
        <w:rPr>
          <w:szCs w:val="21"/>
          <w:lang w:bidi="en-US"/>
        </w:rPr>
      </w:pPr>
      <w:r>
        <w:rPr>
          <w:rFonts w:hint="eastAsia"/>
          <w:szCs w:val="21"/>
          <w:lang w:bidi="en-US"/>
        </w:rPr>
        <w:t>投标人现场服务人员应具有下列资格：</w:t>
      </w:r>
    </w:p>
    <w:p w14:paraId="33747937">
      <w:pPr>
        <w:numPr>
          <w:ilvl w:val="0"/>
          <w:numId w:val="37"/>
        </w:numPr>
        <w:spacing w:line="360" w:lineRule="auto"/>
        <w:ind w:left="743" w:leftChars="200" w:hanging="323" w:hangingChars="154"/>
        <w:jc w:val="left"/>
        <w:rPr>
          <w:szCs w:val="21"/>
          <w:lang w:bidi="en-US"/>
        </w:rPr>
      </w:pPr>
      <w:r>
        <w:rPr>
          <w:rFonts w:hint="eastAsia"/>
          <w:szCs w:val="21"/>
          <w:lang w:bidi="en-US"/>
        </w:rPr>
        <w:t>遵守法纪，遵守现场的各项规章和制度；</w:t>
      </w:r>
    </w:p>
    <w:p w14:paraId="44637563">
      <w:pPr>
        <w:numPr>
          <w:ilvl w:val="0"/>
          <w:numId w:val="37"/>
        </w:numPr>
        <w:spacing w:line="360" w:lineRule="auto"/>
        <w:ind w:left="743" w:leftChars="200" w:hanging="323" w:hangingChars="154"/>
        <w:jc w:val="left"/>
        <w:rPr>
          <w:szCs w:val="21"/>
          <w:lang w:bidi="en-US"/>
        </w:rPr>
      </w:pPr>
      <w:r>
        <w:rPr>
          <w:rFonts w:hint="eastAsia"/>
          <w:szCs w:val="21"/>
          <w:lang w:bidi="en-US"/>
        </w:rPr>
        <w:t>有较强的责任感和事业心，按时到位；</w:t>
      </w:r>
    </w:p>
    <w:p w14:paraId="1E92C4C6">
      <w:pPr>
        <w:numPr>
          <w:ilvl w:val="0"/>
          <w:numId w:val="37"/>
        </w:numPr>
        <w:spacing w:line="360" w:lineRule="auto"/>
        <w:ind w:left="743" w:leftChars="200" w:hanging="323" w:hangingChars="154"/>
        <w:jc w:val="left"/>
        <w:rPr>
          <w:szCs w:val="21"/>
          <w:lang w:bidi="en-US"/>
        </w:rPr>
      </w:pPr>
      <w:r>
        <w:rPr>
          <w:rFonts w:hint="eastAsia"/>
          <w:szCs w:val="21"/>
          <w:lang w:bidi="en-US"/>
        </w:rPr>
        <w:t>身体健康，适应现场工作的条件；</w:t>
      </w:r>
    </w:p>
    <w:p w14:paraId="30112773">
      <w:pPr>
        <w:numPr>
          <w:ilvl w:val="0"/>
          <w:numId w:val="37"/>
        </w:numPr>
        <w:spacing w:line="360" w:lineRule="auto"/>
        <w:ind w:left="743" w:leftChars="200" w:hanging="323" w:hangingChars="154"/>
        <w:jc w:val="left"/>
        <w:rPr>
          <w:szCs w:val="21"/>
          <w:lang w:bidi="en-US"/>
        </w:rPr>
      </w:pPr>
      <w:r>
        <w:rPr>
          <w:rFonts w:hint="eastAsia"/>
          <w:szCs w:val="21"/>
          <w:lang w:bidi="en-US"/>
        </w:rPr>
        <w:t>了解合同设备的设计，熟悉其结构，有相同或相近工程的现场工作经验，能够正确地进行现场指导；</w:t>
      </w:r>
    </w:p>
    <w:p w14:paraId="6AD18006">
      <w:pPr>
        <w:numPr>
          <w:ilvl w:val="0"/>
          <w:numId w:val="37"/>
        </w:numPr>
        <w:spacing w:line="360" w:lineRule="auto"/>
        <w:ind w:left="743" w:leftChars="200" w:hanging="323" w:hangingChars="154"/>
        <w:jc w:val="left"/>
        <w:rPr>
          <w:szCs w:val="21"/>
          <w:lang w:bidi="en-US"/>
        </w:rPr>
      </w:pPr>
      <w:r>
        <w:rPr>
          <w:rFonts w:hint="eastAsia"/>
          <w:szCs w:val="21"/>
          <w:lang w:bidi="en-US"/>
        </w:rPr>
        <w:t>从事电源改造施工的人员，必须具有国家认可的电工证；</w:t>
      </w:r>
    </w:p>
    <w:p w14:paraId="4FB65B73">
      <w:pPr>
        <w:numPr>
          <w:ilvl w:val="0"/>
          <w:numId w:val="37"/>
        </w:numPr>
        <w:spacing w:line="360" w:lineRule="auto"/>
        <w:ind w:left="743" w:leftChars="200" w:hanging="323" w:hangingChars="154"/>
        <w:jc w:val="left"/>
        <w:rPr>
          <w:szCs w:val="21"/>
          <w:lang w:bidi="en-US"/>
        </w:rPr>
      </w:pPr>
      <w:r>
        <w:rPr>
          <w:rFonts w:hint="eastAsia"/>
          <w:szCs w:val="21"/>
          <w:lang w:bidi="en-US"/>
        </w:rPr>
        <w:t>从事高处作业施工的人员，必需具有国家特种作业操作证；</w:t>
      </w:r>
    </w:p>
    <w:p w14:paraId="115C6B32">
      <w:pPr>
        <w:numPr>
          <w:ilvl w:val="0"/>
          <w:numId w:val="37"/>
        </w:numPr>
        <w:spacing w:line="360" w:lineRule="auto"/>
        <w:ind w:left="743" w:leftChars="200" w:hanging="323" w:hangingChars="154"/>
        <w:jc w:val="left"/>
        <w:rPr>
          <w:szCs w:val="21"/>
          <w:lang w:bidi="en-US"/>
        </w:rPr>
      </w:pPr>
      <w:r>
        <w:rPr>
          <w:rFonts w:hint="eastAsia"/>
          <w:szCs w:val="21"/>
          <w:lang w:bidi="en-US"/>
        </w:rPr>
        <w:t>投标人须更换招标人认为不合格的投标人现场服务人员。</w:t>
      </w:r>
    </w:p>
    <w:p w14:paraId="1E5EF25C">
      <w:pPr>
        <w:tabs>
          <w:tab w:val="left" w:pos="851"/>
        </w:tabs>
        <w:spacing w:line="360" w:lineRule="auto"/>
        <w:ind w:firstLine="420" w:firstLineChars="200"/>
        <w:jc w:val="left"/>
        <w:rPr>
          <w:szCs w:val="21"/>
          <w:lang w:bidi="en-US"/>
        </w:rPr>
      </w:pPr>
      <w:r>
        <w:rPr>
          <w:rFonts w:hint="eastAsia"/>
          <w:szCs w:val="21"/>
          <w:lang w:bidi="en-US"/>
        </w:rPr>
        <w:t>投标人现场服务人员的职责应至少包括以下内容：</w:t>
      </w:r>
    </w:p>
    <w:p w14:paraId="33F71D7E">
      <w:pPr>
        <w:numPr>
          <w:ilvl w:val="0"/>
          <w:numId w:val="37"/>
        </w:numPr>
        <w:spacing w:line="360" w:lineRule="auto"/>
        <w:ind w:left="743" w:leftChars="200" w:hanging="323" w:hangingChars="154"/>
        <w:jc w:val="left"/>
        <w:rPr>
          <w:szCs w:val="21"/>
          <w:lang w:bidi="en-US"/>
        </w:rPr>
      </w:pPr>
      <w:r>
        <w:rPr>
          <w:rFonts w:hint="eastAsia"/>
          <w:szCs w:val="21"/>
          <w:lang w:bidi="en-US"/>
        </w:rPr>
        <w:t>投标人现场服务人员的任务主要包括设备催交、货物的开箱检验、设备质量问题的处理、指导安装和调试、参加试运和性能验收试验；</w:t>
      </w:r>
    </w:p>
    <w:p w14:paraId="176F6B26">
      <w:pPr>
        <w:numPr>
          <w:ilvl w:val="0"/>
          <w:numId w:val="37"/>
        </w:numPr>
        <w:spacing w:line="360" w:lineRule="auto"/>
        <w:ind w:left="743" w:leftChars="200" w:hanging="323" w:hangingChars="154"/>
        <w:jc w:val="left"/>
        <w:rPr>
          <w:szCs w:val="21"/>
          <w:lang w:bidi="en-US"/>
        </w:rPr>
      </w:pPr>
      <w:r>
        <w:rPr>
          <w:rFonts w:hint="eastAsia"/>
          <w:szCs w:val="21"/>
          <w:lang w:bidi="en-US"/>
        </w:rPr>
        <w:t>在安装和调试前，投标人技术服务人员应向招标人进行技术交底，讲解和示范将要进行的程序和方法。对重要工序（见下表），投标人技术人员要对施工情况进行确认和签证，否则不允许进行下一道工序。经投标人确认和签证的工序如因投标人技术服务人员指导错误而发生问题，投标人负全部责任；</w:t>
      </w:r>
    </w:p>
    <w:p w14:paraId="40E8113C">
      <w:pPr>
        <w:tabs>
          <w:tab w:val="left" w:pos="851"/>
        </w:tabs>
        <w:spacing w:line="360" w:lineRule="auto"/>
        <w:ind w:firstLine="420" w:firstLineChars="200"/>
        <w:jc w:val="left"/>
        <w:rPr>
          <w:szCs w:val="21"/>
          <w:lang w:bidi="en-US"/>
        </w:rPr>
      </w:pPr>
      <w:r>
        <w:rPr>
          <w:rFonts w:hint="eastAsia"/>
          <w:szCs w:val="21"/>
          <w:lang w:bidi="en-US"/>
        </w:rPr>
        <w:t>投标人提供的安装、调试监督的工序表（投标人填写）</w:t>
      </w:r>
    </w:p>
    <w:tbl>
      <w:tblPr>
        <w:tblStyle w:val="29"/>
        <w:tblW w:w="8703" w:type="dxa"/>
        <w:tblInd w:w="3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34"/>
        <w:gridCol w:w="2835"/>
        <w:gridCol w:w="3189"/>
        <w:gridCol w:w="1545"/>
      </w:tblGrid>
      <w:tr w14:paraId="1E2C51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vAlign w:val="center"/>
          </w:tcPr>
          <w:p w14:paraId="1577D95A">
            <w:pPr>
              <w:tabs>
                <w:tab w:val="left" w:pos="851"/>
              </w:tabs>
              <w:spacing w:line="360" w:lineRule="auto"/>
              <w:jc w:val="left"/>
              <w:rPr>
                <w:szCs w:val="21"/>
                <w:lang w:bidi="en-US"/>
              </w:rPr>
            </w:pPr>
            <w:r>
              <w:rPr>
                <w:rFonts w:hint="eastAsia"/>
                <w:szCs w:val="21"/>
                <w:lang w:bidi="en-US"/>
              </w:rPr>
              <w:t>序号</w:t>
            </w:r>
          </w:p>
        </w:tc>
        <w:tc>
          <w:tcPr>
            <w:tcW w:w="2835" w:type="dxa"/>
            <w:tcBorders>
              <w:top w:val="single" w:color="000000" w:sz="6" w:space="0"/>
              <w:left w:val="single" w:color="000000" w:sz="6" w:space="0"/>
              <w:bottom w:val="single" w:color="000000" w:sz="6" w:space="0"/>
              <w:right w:val="single" w:color="000000" w:sz="6" w:space="0"/>
            </w:tcBorders>
            <w:vAlign w:val="center"/>
          </w:tcPr>
          <w:p w14:paraId="39AEC427">
            <w:pPr>
              <w:tabs>
                <w:tab w:val="left" w:pos="851"/>
              </w:tabs>
              <w:spacing w:line="360" w:lineRule="auto"/>
              <w:jc w:val="left"/>
              <w:rPr>
                <w:szCs w:val="21"/>
                <w:lang w:bidi="en-US"/>
              </w:rPr>
            </w:pPr>
            <w:r>
              <w:rPr>
                <w:rFonts w:hint="eastAsia"/>
                <w:szCs w:val="21"/>
                <w:lang w:bidi="en-US"/>
              </w:rPr>
              <w:t>工序名称</w:t>
            </w:r>
          </w:p>
        </w:tc>
        <w:tc>
          <w:tcPr>
            <w:tcW w:w="3189" w:type="dxa"/>
            <w:tcBorders>
              <w:top w:val="single" w:color="000000" w:sz="6" w:space="0"/>
              <w:left w:val="single" w:color="000000" w:sz="6" w:space="0"/>
              <w:bottom w:val="single" w:color="000000" w:sz="6" w:space="0"/>
              <w:right w:val="single" w:color="000000" w:sz="6" w:space="0"/>
            </w:tcBorders>
            <w:vAlign w:val="center"/>
          </w:tcPr>
          <w:p w14:paraId="47450410">
            <w:pPr>
              <w:tabs>
                <w:tab w:val="left" w:pos="851"/>
              </w:tabs>
              <w:spacing w:line="360" w:lineRule="auto"/>
              <w:jc w:val="left"/>
              <w:rPr>
                <w:szCs w:val="21"/>
                <w:lang w:bidi="en-US"/>
              </w:rPr>
            </w:pPr>
            <w:r>
              <w:rPr>
                <w:rFonts w:hint="eastAsia"/>
                <w:szCs w:val="21"/>
                <w:lang w:bidi="en-US"/>
              </w:rPr>
              <w:t>工序主要内容</w:t>
            </w:r>
          </w:p>
        </w:tc>
        <w:tc>
          <w:tcPr>
            <w:tcW w:w="1545" w:type="dxa"/>
            <w:tcBorders>
              <w:top w:val="single" w:color="000000" w:sz="6" w:space="0"/>
              <w:left w:val="single" w:color="000000" w:sz="6" w:space="0"/>
              <w:bottom w:val="single" w:color="000000" w:sz="6" w:space="0"/>
              <w:right w:val="single" w:color="000000" w:sz="6" w:space="0"/>
            </w:tcBorders>
            <w:vAlign w:val="center"/>
          </w:tcPr>
          <w:p w14:paraId="515BBBA2">
            <w:pPr>
              <w:tabs>
                <w:tab w:val="left" w:pos="851"/>
              </w:tabs>
              <w:spacing w:line="360" w:lineRule="auto"/>
              <w:jc w:val="left"/>
              <w:rPr>
                <w:szCs w:val="21"/>
                <w:lang w:bidi="en-US"/>
              </w:rPr>
            </w:pPr>
            <w:r>
              <w:rPr>
                <w:rFonts w:hint="eastAsia"/>
                <w:szCs w:val="21"/>
                <w:lang w:bidi="en-US"/>
              </w:rPr>
              <w:t>备注</w:t>
            </w:r>
          </w:p>
        </w:tc>
      </w:tr>
      <w:tr w14:paraId="20E478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134" w:type="dxa"/>
            <w:tcBorders>
              <w:top w:val="single" w:color="000000" w:sz="6" w:space="0"/>
              <w:left w:val="single" w:color="000000" w:sz="6" w:space="0"/>
              <w:bottom w:val="single" w:color="000000" w:sz="6" w:space="0"/>
              <w:right w:val="single" w:color="000000" w:sz="6" w:space="0"/>
            </w:tcBorders>
            <w:vAlign w:val="center"/>
          </w:tcPr>
          <w:p w14:paraId="46CD88CA">
            <w:pPr>
              <w:tabs>
                <w:tab w:val="left" w:pos="851"/>
              </w:tabs>
              <w:spacing w:line="360" w:lineRule="auto"/>
              <w:jc w:val="left"/>
              <w:rPr>
                <w:szCs w:val="21"/>
                <w:lang w:bidi="en-US"/>
              </w:rPr>
            </w:pPr>
          </w:p>
        </w:tc>
        <w:tc>
          <w:tcPr>
            <w:tcW w:w="2835" w:type="dxa"/>
            <w:tcBorders>
              <w:top w:val="single" w:color="000000" w:sz="6" w:space="0"/>
              <w:left w:val="single" w:color="000000" w:sz="6" w:space="0"/>
              <w:bottom w:val="single" w:color="000000" w:sz="6" w:space="0"/>
              <w:right w:val="single" w:color="000000" w:sz="6" w:space="0"/>
            </w:tcBorders>
            <w:vAlign w:val="center"/>
          </w:tcPr>
          <w:p w14:paraId="73B70DCA">
            <w:pPr>
              <w:tabs>
                <w:tab w:val="left" w:pos="851"/>
              </w:tabs>
              <w:spacing w:line="360" w:lineRule="auto"/>
              <w:jc w:val="left"/>
              <w:rPr>
                <w:szCs w:val="21"/>
                <w:lang w:bidi="en-US"/>
              </w:rPr>
            </w:pPr>
          </w:p>
        </w:tc>
        <w:tc>
          <w:tcPr>
            <w:tcW w:w="3189" w:type="dxa"/>
            <w:tcBorders>
              <w:top w:val="single" w:color="000000" w:sz="6" w:space="0"/>
              <w:left w:val="single" w:color="000000" w:sz="6" w:space="0"/>
              <w:bottom w:val="single" w:color="000000" w:sz="6" w:space="0"/>
              <w:right w:val="single" w:color="000000" w:sz="6" w:space="0"/>
            </w:tcBorders>
            <w:vAlign w:val="center"/>
          </w:tcPr>
          <w:p w14:paraId="6EEA2BB9">
            <w:pPr>
              <w:tabs>
                <w:tab w:val="left" w:pos="851"/>
              </w:tabs>
              <w:spacing w:line="360" w:lineRule="auto"/>
              <w:jc w:val="left"/>
              <w:rPr>
                <w:szCs w:val="21"/>
                <w:lang w:bidi="en-US"/>
              </w:rPr>
            </w:pPr>
          </w:p>
        </w:tc>
        <w:tc>
          <w:tcPr>
            <w:tcW w:w="1545" w:type="dxa"/>
            <w:tcBorders>
              <w:top w:val="single" w:color="000000" w:sz="6" w:space="0"/>
              <w:left w:val="single" w:color="000000" w:sz="6" w:space="0"/>
              <w:bottom w:val="single" w:color="000000" w:sz="6" w:space="0"/>
              <w:right w:val="single" w:color="000000" w:sz="6" w:space="0"/>
            </w:tcBorders>
            <w:vAlign w:val="center"/>
          </w:tcPr>
          <w:p w14:paraId="0349D90B">
            <w:pPr>
              <w:tabs>
                <w:tab w:val="left" w:pos="851"/>
              </w:tabs>
              <w:spacing w:line="360" w:lineRule="auto"/>
              <w:jc w:val="left"/>
              <w:rPr>
                <w:szCs w:val="21"/>
                <w:lang w:bidi="en-US"/>
              </w:rPr>
            </w:pPr>
          </w:p>
        </w:tc>
      </w:tr>
      <w:tr w14:paraId="6DF2B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134" w:type="dxa"/>
            <w:tcBorders>
              <w:top w:val="single" w:color="000000" w:sz="6" w:space="0"/>
              <w:left w:val="single" w:color="000000" w:sz="6" w:space="0"/>
              <w:bottom w:val="single" w:color="000000" w:sz="6" w:space="0"/>
              <w:right w:val="single" w:color="000000" w:sz="6" w:space="0"/>
            </w:tcBorders>
            <w:vAlign w:val="center"/>
          </w:tcPr>
          <w:p w14:paraId="5FFF1FC6">
            <w:pPr>
              <w:tabs>
                <w:tab w:val="left" w:pos="851"/>
              </w:tabs>
              <w:spacing w:line="360" w:lineRule="auto"/>
              <w:jc w:val="left"/>
              <w:rPr>
                <w:szCs w:val="21"/>
                <w:lang w:bidi="en-US"/>
              </w:rPr>
            </w:pPr>
          </w:p>
        </w:tc>
        <w:tc>
          <w:tcPr>
            <w:tcW w:w="2835" w:type="dxa"/>
            <w:tcBorders>
              <w:top w:val="single" w:color="000000" w:sz="6" w:space="0"/>
              <w:left w:val="single" w:color="000000" w:sz="6" w:space="0"/>
              <w:bottom w:val="single" w:color="000000" w:sz="6" w:space="0"/>
              <w:right w:val="single" w:color="000000" w:sz="6" w:space="0"/>
            </w:tcBorders>
            <w:vAlign w:val="center"/>
          </w:tcPr>
          <w:p w14:paraId="67C724A4">
            <w:pPr>
              <w:tabs>
                <w:tab w:val="left" w:pos="851"/>
              </w:tabs>
              <w:spacing w:line="360" w:lineRule="auto"/>
              <w:jc w:val="left"/>
              <w:rPr>
                <w:szCs w:val="21"/>
                <w:lang w:bidi="en-US"/>
              </w:rPr>
            </w:pPr>
          </w:p>
        </w:tc>
        <w:tc>
          <w:tcPr>
            <w:tcW w:w="3189" w:type="dxa"/>
            <w:tcBorders>
              <w:top w:val="single" w:color="000000" w:sz="6" w:space="0"/>
              <w:left w:val="single" w:color="000000" w:sz="6" w:space="0"/>
              <w:bottom w:val="single" w:color="000000" w:sz="6" w:space="0"/>
              <w:right w:val="single" w:color="000000" w:sz="6" w:space="0"/>
            </w:tcBorders>
            <w:vAlign w:val="center"/>
          </w:tcPr>
          <w:p w14:paraId="5B473A4D">
            <w:pPr>
              <w:tabs>
                <w:tab w:val="left" w:pos="851"/>
              </w:tabs>
              <w:spacing w:line="360" w:lineRule="auto"/>
              <w:jc w:val="left"/>
              <w:rPr>
                <w:szCs w:val="21"/>
                <w:lang w:bidi="en-US"/>
              </w:rPr>
            </w:pPr>
          </w:p>
        </w:tc>
        <w:tc>
          <w:tcPr>
            <w:tcW w:w="1545" w:type="dxa"/>
            <w:tcBorders>
              <w:top w:val="single" w:color="000000" w:sz="6" w:space="0"/>
              <w:left w:val="single" w:color="000000" w:sz="6" w:space="0"/>
              <w:bottom w:val="single" w:color="000000" w:sz="6" w:space="0"/>
              <w:right w:val="single" w:color="000000" w:sz="6" w:space="0"/>
            </w:tcBorders>
            <w:vAlign w:val="center"/>
          </w:tcPr>
          <w:p w14:paraId="7DF0E9FE">
            <w:pPr>
              <w:tabs>
                <w:tab w:val="left" w:pos="851"/>
              </w:tabs>
              <w:spacing w:line="360" w:lineRule="auto"/>
              <w:jc w:val="left"/>
              <w:rPr>
                <w:szCs w:val="21"/>
                <w:lang w:bidi="en-US"/>
              </w:rPr>
            </w:pPr>
          </w:p>
        </w:tc>
      </w:tr>
      <w:tr w14:paraId="16F5D2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134" w:type="dxa"/>
            <w:tcBorders>
              <w:top w:val="single" w:color="000000" w:sz="6" w:space="0"/>
              <w:left w:val="single" w:color="000000" w:sz="6" w:space="0"/>
              <w:bottom w:val="single" w:color="000000" w:sz="6" w:space="0"/>
              <w:right w:val="single" w:color="000000" w:sz="6" w:space="0"/>
            </w:tcBorders>
            <w:vAlign w:val="center"/>
          </w:tcPr>
          <w:p w14:paraId="657D888C">
            <w:pPr>
              <w:tabs>
                <w:tab w:val="left" w:pos="851"/>
              </w:tabs>
              <w:spacing w:line="360" w:lineRule="auto"/>
              <w:jc w:val="left"/>
              <w:rPr>
                <w:szCs w:val="21"/>
                <w:lang w:bidi="en-US"/>
              </w:rPr>
            </w:pPr>
          </w:p>
        </w:tc>
        <w:tc>
          <w:tcPr>
            <w:tcW w:w="2835" w:type="dxa"/>
            <w:tcBorders>
              <w:top w:val="single" w:color="000000" w:sz="6" w:space="0"/>
              <w:left w:val="single" w:color="000000" w:sz="6" w:space="0"/>
              <w:bottom w:val="single" w:color="000000" w:sz="6" w:space="0"/>
              <w:right w:val="single" w:color="000000" w:sz="6" w:space="0"/>
            </w:tcBorders>
            <w:vAlign w:val="center"/>
          </w:tcPr>
          <w:p w14:paraId="1F4CEBBB">
            <w:pPr>
              <w:tabs>
                <w:tab w:val="left" w:pos="851"/>
              </w:tabs>
              <w:spacing w:line="360" w:lineRule="auto"/>
              <w:jc w:val="left"/>
              <w:rPr>
                <w:szCs w:val="21"/>
                <w:lang w:bidi="en-US"/>
              </w:rPr>
            </w:pPr>
          </w:p>
        </w:tc>
        <w:tc>
          <w:tcPr>
            <w:tcW w:w="3189" w:type="dxa"/>
            <w:tcBorders>
              <w:top w:val="single" w:color="000000" w:sz="6" w:space="0"/>
              <w:left w:val="single" w:color="000000" w:sz="6" w:space="0"/>
              <w:bottom w:val="single" w:color="000000" w:sz="6" w:space="0"/>
              <w:right w:val="single" w:color="000000" w:sz="6" w:space="0"/>
            </w:tcBorders>
            <w:vAlign w:val="center"/>
          </w:tcPr>
          <w:p w14:paraId="0BB5ACE4">
            <w:pPr>
              <w:tabs>
                <w:tab w:val="left" w:pos="851"/>
              </w:tabs>
              <w:spacing w:line="360" w:lineRule="auto"/>
              <w:jc w:val="left"/>
              <w:rPr>
                <w:szCs w:val="21"/>
                <w:lang w:bidi="en-US"/>
              </w:rPr>
            </w:pPr>
          </w:p>
        </w:tc>
        <w:tc>
          <w:tcPr>
            <w:tcW w:w="1545" w:type="dxa"/>
            <w:tcBorders>
              <w:top w:val="single" w:color="000000" w:sz="6" w:space="0"/>
              <w:left w:val="single" w:color="000000" w:sz="6" w:space="0"/>
              <w:bottom w:val="single" w:color="000000" w:sz="6" w:space="0"/>
              <w:right w:val="single" w:color="000000" w:sz="6" w:space="0"/>
            </w:tcBorders>
            <w:vAlign w:val="center"/>
          </w:tcPr>
          <w:p w14:paraId="338BF4DA">
            <w:pPr>
              <w:tabs>
                <w:tab w:val="left" w:pos="851"/>
              </w:tabs>
              <w:spacing w:line="360" w:lineRule="auto"/>
              <w:jc w:val="left"/>
              <w:rPr>
                <w:szCs w:val="21"/>
                <w:lang w:bidi="en-US"/>
              </w:rPr>
            </w:pPr>
          </w:p>
        </w:tc>
      </w:tr>
    </w:tbl>
    <w:p w14:paraId="1721E07D">
      <w:pPr>
        <w:numPr>
          <w:ilvl w:val="0"/>
          <w:numId w:val="37"/>
        </w:numPr>
        <w:spacing w:line="360" w:lineRule="auto"/>
        <w:ind w:left="743" w:leftChars="200" w:hanging="323" w:hangingChars="154"/>
        <w:jc w:val="left"/>
        <w:rPr>
          <w:szCs w:val="21"/>
          <w:lang w:bidi="en-US"/>
        </w:rPr>
      </w:pPr>
      <w:r>
        <w:rPr>
          <w:rFonts w:hint="eastAsia"/>
          <w:szCs w:val="21"/>
          <w:lang w:bidi="en-US"/>
        </w:rPr>
        <w:t>投标人现场服务人员应有权全权处理现场出现的一切技术和商务问题。如现场发生质量问题，投标人现场人员要在招标人规定的时间内处理解决；</w:t>
      </w:r>
    </w:p>
    <w:p w14:paraId="561E305F">
      <w:pPr>
        <w:numPr>
          <w:ilvl w:val="0"/>
          <w:numId w:val="37"/>
        </w:numPr>
        <w:spacing w:line="360" w:lineRule="auto"/>
        <w:ind w:left="743" w:leftChars="200" w:hanging="323" w:hangingChars="154"/>
        <w:jc w:val="left"/>
        <w:rPr>
          <w:szCs w:val="21"/>
          <w:lang w:bidi="en-US"/>
        </w:rPr>
      </w:pPr>
      <w:r>
        <w:rPr>
          <w:rFonts w:hint="eastAsia"/>
          <w:szCs w:val="21"/>
          <w:lang w:bidi="en-US"/>
        </w:rPr>
        <w:t>投标人对其现场服务人员的一切行为负全部责任；</w:t>
      </w:r>
    </w:p>
    <w:p w14:paraId="14C557FF">
      <w:pPr>
        <w:numPr>
          <w:ilvl w:val="0"/>
          <w:numId w:val="37"/>
        </w:numPr>
        <w:spacing w:line="360" w:lineRule="auto"/>
        <w:ind w:left="743" w:leftChars="200" w:hanging="323" w:hangingChars="154"/>
        <w:jc w:val="left"/>
        <w:rPr>
          <w:szCs w:val="21"/>
          <w:lang w:bidi="en-US"/>
        </w:rPr>
      </w:pPr>
      <w:r>
        <w:rPr>
          <w:rFonts w:hint="eastAsia"/>
          <w:szCs w:val="21"/>
          <w:lang w:bidi="en-US"/>
        </w:rPr>
        <w:t>投标人现场服务人员的正常来去和更换应事先与招标人协商；</w:t>
      </w:r>
    </w:p>
    <w:p w14:paraId="0B3CD313">
      <w:pPr>
        <w:numPr>
          <w:ilvl w:val="0"/>
          <w:numId w:val="37"/>
        </w:numPr>
        <w:spacing w:line="360" w:lineRule="auto"/>
        <w:ind w:left="743" w:leftChars="200" w:hanging="323" w:hangingChars="154"/>
        <w:jc w:val="left"/>
        <w:rPr>
          <w:szCs w:val="21"/>
          <w:lang w:bidi="en-US"/>
        </w:rPr>
      </w:pPr>
      <w:r>
        <w:rPr>
          <w:rFonts w:hint="eastAsia"/>
          <w:szCs w:val="21"/>
          <w:lang w:bidi="en-US"/>
        </w:rPr>
        <w:t>招标人的义务：招标人要配合投标人现场服务人员的工作，并在生活、交通和通讯上提供投标人方便。</w:t>
      </w:r>
    </w:p>
    <w:p w14:paraId="47C215C0">
      <w:pPr>
        <w:spacing w:line="360" w:lineRule="auto"/>
        <w:outlineLvl w:val="2"/>
        <w:rPr>
          <w:b/>
          <w:szCs w:val="21"/>
          <w:lang w:val="zh-CN"/>
        </w:rPr>
      </w:pPr>
      <w:bookmarkStart w:id="96" w:name="_Toc9105"/>
      <w:bookmarkStart w:id="97" w:name="_Toc206145326"/>
      <w:r>
        <w:rPr>
          <w:b/>
          <w:szCs w:val="21"/>
          <w:lang w:val="zh-CN"/>
        </w:rPr>
        <w:t>4</w:t>
      </w:r>
      <w:r>
        <w:rPr>
          <w:rFonts w:hint="eastAsia"/>
          <w:b/>
          <w:szCs w:val="21"/>
          <w:lang w:val="zh-CN"/>
        </w:rPr>
        <w:t>.1.</w:t>
      </w:r>
      <w:r>
        <w:rPr>
          <w:b/>
          <w:szCs w:val="21"/>
          <w:lang w:val="zh-CN"/>
        </w:rPr>
        <w:t>2</w:t>
      </w:r>
      <w:r>
        <w:rPr>
          <w:rFonts w:hint="eastAsia"/>
          <w:b/>
          <w:szCs w:val="21"/>
          <w:lang w:val="zh-CN"/>
        </w:rPr>
        <w:t xml:space="preserve"> 培训</w:t>
      </w:r>
      <w:bookmarkEnd w:id="96"/>
      <w:bookmarkEnd w:id="97"/>
    </w:p>
    <w:p w14:paraId="63B40A3D">
      <w:pPr>
        <w:tabs>
          <w:tab w:val="left" w:pos="851"/>
        </w:tabs>
        <w:spacing w:line="360" w:lineRule="auto"/>
        <w:ind w:firstLine="420" w:firstLineChars="200"/>
        <w:jc w:val="left"/>
        <w:rPr>
          <w:szCs w:val="21"/>
          <w:lang w:bidi="en-US"/>
        </w:rPr>
      </w:pPr>
      <w:r>
        <w:rPr>
          <w:rFonts w:hint="eastAsia"/>
          <w:szCs w:val="21"/>
          <w:lang w:bidi="en-US"/>
        </w:rPr>
        <w:t>为保证项目合同设备能正常安装和运行，项目成果能更好地被招标人理解、利用，项目建成投产后的运营难度最小、运营成本最低，中标人有责任提供相应的技术培训，对相关人员、单位进行培训。</w:t>
      </w:r>
    </w:p>
    <w:p w14:paraId="2088E2CF">
      <w:pPr>
        <w:numPr>
          <w:ilvl w:val="0"/>
          <w:numId w:val="37"/>
        </w:numPr>
        <w:spacing w:line="360" w:lineRule="auto"/>
        <w:ind w:left="0" w:firstLine="420" w:firstLineChars="200"/>
        <w:jc w:val="left"/>
        <w:rPr>
          <w:szCs w:val="21"/>
          <w:lang w:bidi="en-US"/>
        </w:rPr>
      </w:pPr>
      <w:r>
        <w:rPr>
          <w:rFonts w:hint="eastAsia"/>
          <w:szCs w:val="21"/>
          <w:lang w:bidi="en-US"/>
        </w:rPr>
        <w:t>培训对象主要为招标人相关技术人员、业务人员等，分专业分批次进行；</w:t>
      </w:r>
    </w:p>
    <w:p w14:paraId="46CCCD75">
      <w:pPr>
        <w:numPr>
          <w:ilvl w:val="0"/>
          <w:numId w:val="37"/>
        </w:numPr>
        <w:spacing w:line="360" w:lineRule="auto"/>
        <w:ind w:left="0" w:firstLine="420" w:firstLineChars="200"/>
        <w:jc w:val="left"/>
        <w:rPr>
          <w:szCs w:val="21"/>
          <w:lang w:bidi="en-US"/>
        </w:rPr>
      </w:pPr>
      <w:r>
        <w:rPr>
          <w:rFonts w:hint="eastAsia"/>
          <w:szCs w:val="21"/>
          <w:lang w:bidi="en-US"/>
        </w:rPr>
        <w:t>培训地点：为投标人提供的主要设备、材料原生产厂或施工现场；</w:t>
      </w:r>
    </w:p>
    <w:p w14:paraId="779BC256">
      <w:pPr>
        <w:numPr>
          <w:ilvl w:val="0"/>
          <w:numId w:val="37"/>
        </w:numPr>
        <w:spacing w:line="360" w:lineRule="auto"/>
        <w:ind w:left="0" w:firstLine="420" w:firstLineChars="200"/>
        <w:jc w:val="left"/>
        <w:rPr>
          <w:szCs w:val="21"/>
          <w:lang w:bidi="en-US"/>
        </w:rPr>
      </w:pPr>
      <w:r>
        <w:rPr>
          <w:rFonts w:hint="eastAsia"/>
          <w:szCs w:val="21"/>
          <w:lang w:bidi="en-US"/>
        </w:rPr>
        <w:t>中标人提供的培训内容应包括但不限于以下内容：</w:t>
      </w:r>
    </w:p>
    <w:p w14:paraId="706F237F">
      <w:pPr>
        <w:numPr>
          <w:ilvl w:val="0"/>
          <w:numId w:val="38"/>
        </w:numPr>
        <w:spacing w:line="360" w:lineRule="auto"/>
        <w:ind w:left="0" w:firstLine="420" w:firstLineChars="200"/>
        <w:jc w:val="left"/>
        <w:rPr>
          <w:szCs w:val="21"/>
          <w:lang w:bidi="en-US"/>
        </w:rPr>
      </w:pPr>
      <w:r>
        <w:rPr>
          <w:rFonts w:hint="eastAsia"/>
          <w:szCs w:val="21"/>
          <w:lang w:bidi="en-US"/>
        </w:rPr>
        <w:t>与工程实施进度相一致的的项目阶段性成果；</w:t>
      </w:r>
    </w:p>
    <w:p w14:paraId="3B9A4AC1">
      <w:pPr>
        <w:numPr>
          <w:ilvl w:val="0"/>
          <w:numId w:val="38"/>
        </w:numPr>
        <w:spacing w:line="360" w:lineRule="auto"/>
        <w:ind w:left="0" w:firstLine="420" w:firstLineChars="200"/>
        <w:jc w:val="left"/>
        <w:rPr>
          <w:szCs w:val="21"/>
          <w:lang w:bidi="en-US"/>
        </w:rPr>
      </w:pPr>
      <w:r>
        <w:rPr>
          <w:rFonts w:hint="eastAsia"/>
          <w:szCs w:val="21"/>
          <w:lang w:bidi="en-US"/>
        </w:rPr>
        <w:t>项目培训内容不限于营业厅</w:t>
      </w:r>
      <w:r>
        <w:rPr>
          <w:szCs w:val="21"/>
          <w:lang w:bidi="en-US"/>
        </w:rPr>
        <w:t>讲解、</w:t>
      </w:r>
      <w:r>
        <w:rPr>
          <w:rFonts w:hint="eastAsia"/>
          <w:szCs w:val="21"/>
          <w:lang w:bidi="en-US"/>
        </w:rPr>
        <w:t>设备材料产品或系统的基本知识、工作原理、性能技术指标、系统参数配置、管理维护方法等。</w:t>
      </w:r>
    </w:p>
    <w:p w14:paraId="4822DAB8">
      <w:pPr>
        <w:numPr>
          <w:ilvl w:val="0"/>
          <w:numId w:val="37"/>
        </w:numPr>
        <w:spacing w:line="360" w:lineRule="auto"/>
        <w:ind w:left="0" w:firstLine="420" w:firstLineChars="200"/>
        <w:jc w:val="left"/>
        <w:rPr>
          <w:szCs w:val="21"/>
          <w:highlight w:val="none"/>
          <w:lang w:bidi="en-US"/>
        </w:rPr>
      </w:pPr>
      <w:r>
        <w:rPr>
          <w:szCs w:val="21"/>
          <w:lang w:bidi="en-US"/>
        </w:rPr>
        <w:t>培训的时间、</w:t>
      </w:r>
      <w:r>
        <w:rPr>
          <w:szCs w:val="21"/>
          <w:highlight w:val="none"/>
          <w:lang w:bidi="en-US"/>
        </w:rPr>
        <w:t>人数暂</w:t>
      </w:r>
      <w:r>
        <w:rPr>
          <w:rFonts w:hint="eastAsia"/>
          <w:szCs w:val="21"/>
          <w:highlight w:val="none"/>
          <w:lang w:bidi="en-US"/>
        </w:rPr>
        <w:t>按5人1天2次组织；</w:t>
      </w:r>
    </w:p>
    <w:p w14:paraId="02CF5217">
      <w:pPr>
        <w:numPr>
          <w:ilvl w:val="0"/>
          <w:numId w:val="37"/>
        </w:numPr>
        <w:spacing w:line="360" w:lineRule="auto"/>
        <w:ind w:left="0" w:firstLine="420" w:firstLineChars="200"/>
        <w:jc w:val="left"/>
        <w:rPr>
          <w:szCs w:val="21"/>
          <w:highlight w:val="none"/>
          <w:lang w:bidi="en-US"/>
        </w:rPr>
      </w:pPr>
      <w:r>
        <w:rPr>
          <w:rFonts w:hint="eastAsia"/>
          <w:szCs w:val="21"/>
          <w:highlight w:val="none"/>
          <w:lang w:bidi="en-US"/>
        </w:rPr>
        <w:t>具体培训时间、人数、次数和培训内容以合同谈判时确定为准。</w:t>
      </w:r>
    </w:p>
    <w:p w14:paraId="38F77CAA">
      <w:pPr>
        <w:numPr>
          <w:ilvl w:val="0"/>
          <w:numId w:val="37"/>
        </w:numPr>
        <w:spacing w:line="360" w:lineRule="auto"/>
        <w:jc w:val="left"/>
        <w:rPr>
          <w:szCs w:val="21"/>
          <w:highlight w:val="none"/>
          <w:lang w:bidi="en-US"/>
        </w:rPr>
      </w:pPr>
      <w:r>
        <w:rPr>
          <w:rFonts w:hint="eastAsia"/>
          <w:szCs w:val="21"/>
          <w:highlight w:val="none"/>
          <w:lang w:bidi="en-US"/>
        </w:rPr>
        <w:t>培训费由中标人承担，相关费用应包含在投标方的投标报价总价中。</w:t>
      </w:r>
    </w:p>
    <w:p w14:paraId="693424AF">
      <w:pPr>
        <w:spacing w:line="360" w:lineRule="auto"/>
        <w:outlineLvl w:val="1"/>
        <w:rPr>
          <w:b/>
          <w:szCs w:val="21"/>
          <w:highlight w:val="none"/>
        </w:rPr>
      </w:pPr>
      <w:bookmarkStart w:id="98" w:name="_Toc206145327"/>
      <w:bookmarkStart w:id="99" w:name="_Toc5948"/>
      <w:r>
        <w:rPr>
          <w:b/>
          <w:szCs w:val="21"/>
          <w:highlight w:val="none"/>
        </w:rPr>
        <w:t>4</w:t>
      </w:r>
      <w:r>
        <w:rPr>
          <w:rFonts w:hint="eastAsia"/>
          <w:b/>
          <w:szCs w:val="21"/>
          <w:highlight w:val="none"/>
        </w:rPr>
        <w:t>.2 售后服务</w:t>
      </w:r>
      <w:bookmarkEnd w:id="98"/>
      <w:bookmarkEnd w:id="99"/>
    </w:p>
    <w:p w14:paraId="7E827E70">
      <w:pPr>
        <w:tabs>
          <w:tab w:val="left" w:pos="851"/>
        </w:tabs>
        <w:spacing w:line="360" w:lineRule="auto"/>
        <w:ind w:firstLine="420" w:firstLineChars="200"/>
        <w:jc w:val="left"/>
        <w:rPr>
          <w:szCs w:val="21"/>
          <w:lang w:bidi="en-US"/>
        </w:rPr>
      </w:pPr>
      <w:r>
        <w:rPr>
          <w:rFonts w:hint="eastAsia"/>
          <w:szCs w:val="21"/>
          <w:highlight w:val="none"/>
          <w:lang w:bidi="en-US"/>
        </w:rPr>
        <w:t>要求中标人对“2025年广州花都供电局花东基本型营业厅改造”提供2年的总体质保。中标人提供的设备需满足2年的质保，质保期要求从系统投入</w:t>
      </w:r>
      <w:r>
        <w:rPr>
          <w:rFonts w:hint="eastAsia"/>
          <w:szCs w:val="21"/>
          <w:lang w:bidi="en-US"/>
        </w:rPr>
        <w:t>运行后，经工程竣工验收合格签证当日开始计算。</w:t>
      </w:r>
    </w:p>
    <w:p w14:paraId="2735BCC0">
      <w:pPr>
        <w:tabs>
          <w:tab w:val="left" w:pos="851"/>
        </w:tabs>
        <w:spacing w:line="360" w:lineRule="auto"/>
        <w:ind w:firstLine="420" w:firstLineChars="200"/>
        <w:jc w:val="left"/>
        <w:rPr>
          <w:szCs w:val="21"/>
          <w:lang w:bidi="en-US"/>
        </w:rPr>
      </w:pPr>
      <w:r>
        <w:rPr>
          <w:rFonts w:hint="eastAsia"/>
          <w:szCs w:val="21"/>
          <w:lang w:bidi="en-US"/>
        </w:rPr>
        <w:t>质保期承诺：在质保期内发现供货范围内的任何设备存在缺陷、设备出现故障或达不到标书所标明的技术指标时，中标人在接到通知后必须迅速赶到现场处理，招标人根据情况分析实属产品质量问题时，有权要求中标人为其免费更换设备，即中标人免费负责设备检修、零部件的更换和整机的更换。</w:t>
      </w:r>
    </w:p>
    <w:p w14:paraId="210CBD68">
      <w:pPr>
        <w:tabs>
          <w:tab w:val="left" w:pos="851"/>
        </w:tabs>
        <w:spacing w:line="360" w:lineRule="auto"/>
        <w:ind w:firstLine="420" w:firstLineChars="200"/>
        <w:jc w:val="left"/>
        <w:rPr>
          <w:szCs w:val="21"/>
          <w:lang w:bidi="en-US"/>
        </w:rPr>
      </w:pPr>
      <w:r>
        <w:rPr>
          <w:rFonts w:hint="eastAsia"/>
          <w:szCs w:val="21"/>
          <w:lang w:bidi="en-US"/>
        </w:rPr>
        <w:t>在质保期内和质保期外如遇到设备发生大的故障，中标人接到招标人的通知后，应派专业技术人员</w:t>
      </w:r>
      <w:r>
        <w:rPr>
          <w:szCs w:val="21"/>
          <w:lang w:bidi="en-US"/>
        </w:rPr>
        <w:t>2</w:t>
      </w:r>
      <w:r>
        <w:rPr>
          <w:rFonts w:hint="eastAsia"/>
          <w:szCs w:val="21"/>
          <w:lang w:bidi="en-US"/>
        </w:rPr>
        <w:t>小时内响应，24小时内到达现场，协助招标人处理故障，并提交事故处理报告。</w:t>
      </w:r>
    </w:p>
    <w:p w14:paraId="3816C3B4">
      <w:pPr>
        <w:tabs>
          <w:tab w:val="left" w:pos="851"/>
        </w:tabs>
        <w:spacing w:line="360" w:lineRule="auto"/>
        <w:ind w:firstLine="420" w:firstLineChars="200"/>
        <w:jc w:val="left"/>
        <w:rPr>
          <w:szCs w:val="21"/>
          <w:lang w:bidi="en-US"/>
        </w:rPr>
      </w:pPr>
      <w:r>
        <w:rPr>
          <w:rFonts w:hint="eastAsia"/>
          <w:szCs w:val="21"/>
          <w:lang w:bidi="en-US"/>
        </w:rPr>
        <w:t>中标人应详细应答在保修期内以及保修期外的服务约定，包括服务内容、响应时间、服务方式等。</w:t>
      </w:r>
    </w:p>
    <w:p w14:paraId="5D534254">
      <w:pPr>
        <w:pStyle w:val="39"/>
        <w:numPr>
          <w:ilvl w:val="0"/>
          <w:numId w:val="39"/>
        </w:numPr>
        <w:tabs>
          <w:tab w:val="left" w:pos="851"/>
        </w:tabs>
        <w:spacing w:line="360" w:lineRule="auto"/>
        <w:ind w:firstLineChars="0"/>
        <w:contextualSpacing/>
        <w:rPr>
          <w:b/>
          <w:szCs w:val="21"/>
          <w:lang w:bidi="en-US"/>
        </w:rPr>
      </w:pPr>
      <w:r>
        <w:rPr>
          <w:rFonts w:hint="eastAsia"/>
          <w:b/>
          <w:szCs w:val="21"/>
          <w:lang w:bidi="en-US"/>
        </w:rPr>
        <w:t>服务内容</w:t>
      </w:r>
    </w:p>
    <w:p w14:paraId="478058D7">
      <w:pPr>
        <w:tabs>
          <w:tab w:val="left" w:pos="851"/>
        </w:tabs>
        <w:spacing w:line="360" w:lineRule="auto"/>
        <w:ind w:firstLine="420" w:firstLineChars="200"/>
        <w:jc w:val="left"/>
        <w:rPr>
          <w:szCs w:val="21"/>
          <w:lang w:val="zh-CN"/>
        </w:rPr>
      </w:pPr>
      <w:r>
        <w:rPr>
          <w:rFonts w:hint="eastAsia"/>
          <w:szCs w:val="21"/>
          <w:lang w:val="zh-CN"/>
        </w:rPr>
        <w:t>服务内容包括：</w:t>
      </w:r>
    </w:p>
    <w:p w14:paraId="3693C109">
      <w:pPr>
        <w:tabs>
          <w:tab w:val="left" w:pos="851"/>
        </w:tabs>
        <w:spacing w:line="360" w:lineRule="auto"/>
        <w:ind w:firstLine="420" w:firstLineChars="200"/>
        <w:jc w:val="left"/>
        <w:rPr>
          <w:szCs w:val="21"/>
          <w:lang w:val="zh-CN"/>
        </w:rPr>
      </w:pPr>
      <w:r>
        <w:rPr>
          <w:rFonts w:hint="eastAsia"/>
          <w:szCs w:val="21"/>
          <w:lang w:val="zh-CN"/>
        </w:rPr>
        <w:t>硬件产品出现故障后需进行更换或修复，同时在修复期间提供相应的备件供业主方使用，以保证系统的不间断运行；</w:t>
      </w:r>
    </w:p>
    <w:p w14:paraId="4F886C36">
      <w:pPr>
        <w:tabs>
          <w:tab w:val="left" w:pos="851"/>
        </w:tabs>
        <w:spacing w:line="360" w:lineRule="auto"/>
        <w:ind w:left="840" w:hanging="420"/>
        <w:contextualSpacing/>
        <w:rPr>
          <w:b/>
          <w:szCs w:val="21"/>
          <w:lang w:bidi="en-US"/>
        </w:rPr>
      </w:pPr>
      <w:r>
        <w:rPr>
          <w:rFonts w:hint="eastAsia"/>
          <w:b/>
          <w:szCs w:val="21"/>
          <w:lang w:bidi="en-US"/>
        </w:rPr>
        <w:t>（二）服务方式</w:t>
      </w:r>
    </w:p>
    <w:p w14:paraId="54EF255C">
      <w:pPr>
        <w:tabs>
          <w:tab w:val="left" w:pos="851"/>
        </w:tabs>
        <w:spacing w:line="360" w:lineRule="auto"/>
        <w:ind w:firstLine="420" w:firstLineChars="200"/>
        <w:jc w:val="left"/>
        <w:rPr>
          <w:szCs w:val="21"/>
          <w:lang w:val="zh-CN"/>
        </w:rPr>
      </w:pPr>
      <w:r>
        <w:rPr>
          <w:rFonts w:hint="eastAsia"/>
          <w:szCs w:val="21"/>
          <w:lang w:val="zh-CN"/>
        </w:rPr>
        <w:t>要求提供多种服务方式，包括：</w:t>
      </w:r>
    </w:p>
    <w:p w14:paraId="501149B0">
      <w:pPr>
        <w:numPr>
          <w:ilvl w:val="0"/>
          <w:numId w:val="40"/>
        </w:numPr>
        <w:tabs>
          <w:tab w:val="left" w:pos="851"/>
        </w:tabs>
        <w:spacing w:line="360" w:lineRule="auto"/>
        <w:ind w:left="0" w:firstLine="420" w:firstLineChars="200"/>
        <w:jc w:val="left"/>
        <w:rPr>
          <w:szCs w:val="21"/>
          <w:lang w:val="zh-CN"/>
        </w:rPr>
      </w:pPr>
      <w:r>
        <w:rPr>
          <w:rFonts w:hint="eastAsia"/>
          <w:szCs w:val="21"/>
          <w:lang w:val="zh-CN"/>
        </w:rPr>
        <w:t>热线电话：提供</w:t>
      </w:r>
      <w:r>
        <w:rPr>
          <w:szCs w:val="21"/>
          <w:lang w:val="zh-CN"/>
        </w:rPr>
        <w:t>7</w:t>
      </w:r>
      <w:r>
        <w:rPr>
          <w:rFonts w:hint="eastAsia"/>
          <w:szCs w:val="21"/>
          <w:lang w:val="zh-CN"/>
        </w:rPr>
        <w:t>×</w:t>
      </w:r>
      <w:r>
        <w:rPr>
          <w:szCs w:val="21"/>
          <w:lang w:val="zh-CN"/>
        </w:rPr>
        <w:t>24</w:t>
      </w:r>
      <w:r>
        <w:rPr>
          <w:rFonts w:hint="eastAsia"/>
          <w:szCs w:val="21"/>
          <w:lang w:val="zh-CN"/>
        </w:rPr>
        <w:t>小时热线电话支持，随时解答设备使用过程中出现的问题；</w:t>
      </w:r>
    </w:p>
    <w:p w14:paraId="557F4194">
      <w:pPr>
        <w:numPr>
          <w:ilvl w:val="0"/>
          <w:numId w:val="40"/>
        </w:numPr>
        <w:tabs>
          <w:tab w:val="left" w:pos="851"/>
        </w:tabs>
        <w:spacing w:line="360" w:lineRule="auto"/>
        <w:ind w:left="0" w:firstLine="420" w:firstLineChars="200"/>
        <w:jc w:val="left"/>
        <w:rPr>
          <w:szCs w:val="21"/>
          <w:lang w:val="zh-CN"/>
        </w:rPr>
      </w:pPr>
      <w:r>
        <w:rPr>
          <w:szCs w:val="21"/>
          <w:lang w:val="zh-CN"/>
        </w:rPr>
        <w:t>WEB</w:t>
      </w:r>
      <w:r>
        <w:rPr>
          <w:rFonts w:hint="eastAsia"/>
          <w:szCs w:val="21"/>
          <w:lang w:val="zh-CN"/>
        </w:rPr>
        <w:t>方式：提供电子邮件、文档下载等远程技术支持方式；</w:t>
      </w:r>
    </w:p>
    <w:p w14:paraId="44C49F1A">
      <w:pPr>
        <w:numPr>
          <w:ilvl w:val="0"/>
          <w:numId w:val="40"/>
        </w:numPr>
        <w:tabs>
          <w:tab w:val="left" w:pos="851"/>
        </w:tabs>
        <w:spacing w:line="360" w:lineRule="auto"/>
        <w:ind w:left="0" w:firstLine="420" w:firstLineChars="200"/>
        <w:jc w:val="left"/>
        <w:rPr>
          <w:szCs w:val="21"/>
          <w:lang w:val="zh-CN"/>
        </w:rPr>
      </w:pPr>
      <w:r>
        <w:rPr>
          <w:rFonts w:hint="eastAsia"/>
          <w:szCs w:val="21"/>
          <w:lang w:val="zh-CN"/>
        </w:rPr>
        <w:t>现场服务：提供现场服务。</w:t>
      </w:r>
    </w:p>
    <w:p w14:paraId="05D93B97">
      <w:pPr>
        <w:spacing w:line="360" w:lineRule="auto"/>
        <w:outlineLvl w:val="1"/>
        <w:rPr>
          <w:b/>
          <w:szCs w:val="21"/>
        </w:rPr>
      </w:pPr>
      <w:bookmarkStart w:id="100" w:name="_Toc206145328"/>
      <w:bookmarkStart w:id="101" w:name="_Toc5622"/>
      <w:r>
        <w:rPr>
          <w:b/>
          <w:szCs w:val="21"/>
        </w:rPr>
        <w:t>4</w:t>
      </w:r>
      <w:r>
        <w:rPr>
          <w:rFonts w:hint="eastAsia"/>
          <w:b/>
          <w:szCs w:val="21"/>
        </w:rPr>
        <w:t>.</w:t>
      </w:r>
      <w:r>
        <w:rPr>
          <w:b/>
          <w:szCs w:val="21"/>
        </w:rPr>
        <w:t>3</w:t>
      </w:r>
      <w:r>
        <w:rPr>
          <w:rFonts w:hint="eastAsia"/>
          <w:b/>
          <w:szCs w:val="21"/>
        </w:rPr>
        <w:t xml:space="preserve"> 项目管理要求</w:t>
      </w:r>
      <w:bookmarkEnd w:id="100"/>
      <w:bookmarkEnd w:id="101"/>
    </w:p>
    <w:p w14:paraId="49FBE17B">
      <w:pPr>
        <w:spacing w:line="360" w:lineRule="auto"/>
        <w:outlineLvl w:val="2"/>
        <w:rPr>
          <w:b/>
          <w:szCs w:val="21"/>
          <w:lang w:val="zh-CN"/>
        </w:rPr>
      </w:pPr>
      <w:bookmarkStart w:id="102" w:name="_Toc206145329"/>
      <w:bookmarkStart w:id="103" w:name="_Toc5904"/>
      <w:r>
        <w:rPr>
          <w:b/>
          <w:szCs w:val="21"/>
          <w:lang w:val="zh-CN"/>
        </w:rPr>
        <w:t>4</w:t>
      </w:r>
      <w:r>
        <w:rPr>
          <w:rFonts w:hint="eastAsia"/>
          <w:b/>
          <w:szCs w:val="21"/>
          <w:lang w:val="zh-CN"/>
        </w:rPr>
        <w:t>.</w:t>
      </w:r>
      <w:r>
        <w:rPr>
          <w:b/>
          <w:szCs w:val="21"/>
          <w:lang w:val="zh-CN"/>
        </w:rPr>
        <w:t>3</w:t>
      </w:r>
      <w:r>
        <w:rPr>
          <w:rFonts w:hint="eastAsia"/>
          <w:b/>
          <w:szCs w:val="21"/>
          <w:lang w:val="zh-CN"/>
        </w:rPr>
        <w:t>.1 进度要求</w:t>
      </w:r>
      <w:bookmarkEnd w:id="102"/>
      <w:bookmarkEnd w:id="103"/>
    </w:p>
    <w:p w14:paraId="7E3F6784">
      <w:pPr>
        <w:tabs>
          <w:tab w:val="left" w:pos="0"/>
          <w:tab w:val="left" w:pos="851"/>
          <w:tab w:val="left" w:pos="900"/>
        </w:tabs>
        <w:spacing w:line="360" w:lineRule="auto"/>
        <w:ind w:left="420"/>
        <w:jc w:val="left"/>
        <w:rPr>
          <w:szCs w:val="21"/>
          <w:lang w:val="zh-CN" w:bidi="en-US"/>
        </w:rPr>
      </w:pPr>
      <w:r>
        <w:rPr>
          <w:rFonts w:hint="eastAsia"/>
          <w:szCs w:val="21"/>
          <w:lang w:val="zh-CN" w:bidi="en-US"/>
        </w:rPr>
        <w:t>设备材料的安装督导、调试等时间，必须满足本项目整体进度要求，不得拖延工程的总体进度。</w:t>
      </w:r>
    </w:p>
    <w:p w14:paraId="5AA4B5FF">
      <w:pPr>
        <w:spacing w:line="360" w:lineRule="auto"/>
        <w:outlineLvl w:val="2"/>
        <w:rPr>
          <w:b/>
          <w:szCs w:val="21"/>
          <w:lang w:val="zh-CN"/>
        </w:rPr>
      </w:pPr>
      <w:bookmarkStart w:id="104" w:name="_Toc206145330"/>
      <w:bookmarkStart w:id="105" w:name="_Toc28542"/>
      <w:r>
        <w:rPr>
          <w:b/>
          <w:szCs w:val="21"/>
          <w:lang w:val="zh-CN"/>
        </w:rPr>
        <w:t>4</w:t>
      </w:r>
      <w:r>
        <w:rPr>
          <w:rFonts w:hint="eastAsia"/>
          <w:b/>
          <w:szCs w:val="21"/>
          <w:lang w:val="zh-CN"/>
        </w:rPr>
        <w:t>.</w:t>
      </w:r>
      <w:r>
        <w:rPr>
          <w:b/>
          <w:szCs w:val="21"/>
          <w:lang w:val="zh-CN"/>
        </w:rPr>
        <w:t>3</w:t>
      </w:r>
      <w:r>
        <w:rPr>
          <w:rFonts w:hint="eastAsia"/>
          <w:b/>
          <w:szCs w:val="21"/>
          <w:lang w:val="zh-CN"/>
        </w:rPr>
        <w:t>.2 质量要求</w:t>
      </w:r>
      <w:bookmarkEnd w:id="104"/>
      <w:bookmarkEnd w:id="105"/>
    </w:p>
    <w:p w14:paraId="51438271">
      <w:pPr>
        <w:numPr>
          <w:ilvl w:val="0"/>
          <w:numId w:val="41"/>
        </w:numPr>
        <w:tabs>
          <w:tab w:val="left" w:pos="851"/>
        </w:tabs>
        <w:spacing w:line="360" w:lineRule="auto"/>
        <w:ind w:left="0" w:firstLine="420" w:firstLineChars="200"/>
        <w:jc w:val="left"/>
        <w:rPr>
          <w:szCs w:val="21"/>
          <w:lang w:val="zh-CN" w:bidi="en-US"/>
        </w:rPr>
      </w:pPr>
      <w:r>
        <w:rPr>
          <w:rFonts w:hint="eastAsia"/>
          <w:szCs w:val="21"/>
          <w:lang w:val="zh-CN" w:bidi="en-US"/>
        </w:rPr>
        <w:t>质量要求符合国家和电力行业相关验收规范，要求达到工程合同要求质量标准；</w:t>
      </w:r>
    </w:p>
    <w:p w14:paraId="300249C4">
      <w:pPr>
        <w:numPr>
          <w:ilvl w:val="0"/>
          <w:numId w:val="41"/>
        </w:numPr>
        <w:tabs>
          <w:tab w:val="left" w:pos="851"/>
        </w:tabs>
        <w:spacing w:line="360" w:lineRule="auto"/>
        <w:ind w:left="0" w:firstLine="420" w:firstLineChars="200"/>
        <w:jc w:val="left"/>
        <w:rPr>
          <w:szCs w:val="21"/>
          <w:lang w:val="zh-CN" w:bidi="en-US"/>
        </w:rPr>
      </w:pPr>
      <w:r>
        <w:rPr>
          <w:rFonts w:hint="eastAsia"/>
          <w:szCs w:val="21"/>
          <w:lang w:val="zh-CN" w:bidi="en-US"/>
        </w:rPr>
        <w:t>装修所用的材料必须注明生产厂家和提供产品说明书。所有安装主材料（包括所选材料的颜色）在施工前应事先得到招标人及监理单位的认可；</w:t>
      </w:r>
    </w:p>
    <w:p w14:paraId="68205132">
      <w:pPr>
        <w:numPr>
          <w:ilvl w:val="0"/>
          <w:numId w:val="41"/>
        </w:numPr>
        <w:tabs>
          <w:tab w:val="left" w:pos="851"/>
        </w:tabs>
        <w:spacing w:line="360" w:lineRule="auto"/>
        <w:ind w:left="0" w:firstLine="420" w:firstLineChars="200"/>
        <w:jc w:val="left"/>
        <w:rPr>
          <w:szCs w:val="21"/>
          <w:lang w:val="zh-CN" w:bidi="en-US"/>
        </w:rPr>
      </w:pPr>
      <w:r>
        <w:rPr>
          <w:rFonts w:hint="eastAsia"/>
          <w:szCs w:val="21"/>
          <w:lang w:val="zh-CN" w:bidi="en-US"/>
        </w:rPr>
        <w:t>中标人应在履行合同的全过程</w:t>
      </w:r>
      <w:r>
        <w:rPr>
          <w:szCs w:val="21"/>
          <w:lang w:val="zh-CN" w:bidi="en-US"/>
        </w:rPr>
        <w:t>(</w:t>
      </w:r>
      <w:r>
        <w:rPr>
          <w:rFonts w:hint="eastAsia"/>
          <w:szCs w:val="21"/>
          <w:lang w:val="zh-CN" w:bidi="en-US"/>
        </w:rPr>
        <w:t>从开始供货到最终验收</w:t>
      </w:r>
      <w:r>
        <w:rPr>
          <w:szCs w:val="21"/>
          <w:lang w:val="zh-CN" w:bidi="en-US"/>
        </w:rPr>
        <w:t>)</w:t>
      </w:r>
      <w:r>
        <w:rPr>
          <w:rFonts w:hint="eastAsia"/>
          <w:szCs w:val="21"/>
          <w:lang w:val="zh-CN" w:bidi="en-US"/>
        </w:rPr>
        <w:t>，对所有供货和服务的质量保证负责，即要保证所有这些供货和服务的质量符合合同中有关技术、交付、验收和价格所规定的要求；</w:t>
      </w:r>
    </w:p>
    <w:p w14:paraId="6B96038B">
      <w:pPr>
        <w:numPr>
          <w:ilvl w:val="0"/>
          <w:numId w:val="41"/>
        </w:numPr>
        <w:tabs>
          <w:tab w:val="left" w:pos="851"/>
        </w:tabs>
        <w:spacing w:line="360" w:lineRule="auto"/>
        <w:ind w:left="0" w:firstLine="420" w:firstLineChars="200"/>
        <w:jc w:val="left"/>
        <w:rPr>
          <w:szCs w:val="21"/>
          <w:lang w:val="zh-CN" w:bidi="en-US"/>
        </w:rPr>
      </w:pPr>
      <w:r>
        <w:rPr>
          <w:rFonts w:hint="eastAsia"/>
          <w:szCs w:val="21"/>
          <w:lang w:val="zh-CN" w:bidi="en-US"/>
        </w:rPr>
        <w:t>中标人的质量保证体系应满足</w:t>
      </w:r>
      <w:r>
        <w:rPr>
          <w:szCs w:val="21"/>
          <w:lang w:val="zh-CN" w:bidi="en-US"/>
        </w:rPr>
        <w:t>IS</w:t>
      </w:r>
      <w:r>
        <w:rPr>
          <w:rFonts w:hint="eastAsia"/>
          <w:szCs w:val="21"/>
          <w:lang w:val="zh-CN" w:bidi="en-US"/>
        </w:rPr>
        <w:t>O</w:t>
      </w:r>
      <w:r>
        <w:rPr>
          <w:szCs w:val="21"/>
          <w:lang w:val="zh-CN" w:bidi="en-US"/>
        </w:rPr>
        <w:t>9001</w:t>
      </w:r>
      <w:r>
        <w:rPr>
          <w:rFonts w:hint="eastAsia"/>
          <w:szCs w:val="21"/>
          <w:lang w:val="zh-CN" w:bidi="en-US"/>
        </w:rPr>
        <w:t>和</w:t>
      </w:r>
      <w:r>
        <w:rPr>
          <w:szCs w:val="21"/>
          <w:lang w:val="zh-CN" w:bidi="en-US"/>
        </w:rPr>
        <w:t>IS</w:t>
      </w:r>
      <w:r>
        <w:rPr>
          <w:rFonts w:hint="eastAsia"/>
          <w:szCs w:val="21"/>
          <w:lang w:val="zh-CN" w:bidi="en-US"/>
        </w:rPr>
        <w:t>O</w:t>
      </w:r>
      <w:r>
        <w:rPr>
          <w:szCs w:val="21"/>
          <w:lang w:val="zh-CN" w:bidi="en-US"/>
        </w:rPr>
        <w:t>9002</w:t>
      </w:r>
      <w:r>
        <w:rPr>
          <w:rFonts w:hint="eastAsia"/>
          <w:szCs w:val="21"/>
          <w:lang w:val="zh-CN" w:bidi="en-US"/>
        </w:rPr>
        <w:t>系列标准或国标、行标的要求；</w:t>
      </w:r>
    </w:p>
    <w:p w14:paraId="659F7E26">
      <w:pPr>
        <w:numPr>
          <w:ilvl w:val="0"/>
          <w:numId w:val="41"/>
        </w:numPr>
        <w:tabs>
          <w:tab w:val="left" w:pos="851"/>
        </w:tabs>
        <w:spacing w:line="360" w:lineRule="auto"/>
        <w:ind w:left="0" w:firstLine="420" w:firstLineChars="200"/>
        <w:jc w:val="left"/>
        <w:rPr>
          <w:szCs w:val="21"/>
          <w:lang w:val="zh-CN" w:bidi="en-US"/>
        </w:rPr>
      </w:pPr>
      <w:r>
        <w:rPr>
          <w:rFonts w:hint="eastAsia"/>
          <w:szCs w:val="21"/>
          <w:lang w:val="zh-CN" w:bidi="en-US"/>
        </w:rPr>
        <w:t>针对本合同质量保证计划应在签定合同前由中标人和招标人共同认可，该质量保证计划经认可后将作为合同文件的一部分，以后未经招标人同意不得修改；</w:t>
      </w:r>
    </w:p>
    <w:p w14:paraId="2BC36D83">
      <w:pPr>
        <w:numPr>
          <w:ilvl w:val="0"/>
          <w:numId w:val="41"/>
        </w:numPr>
        <w:tabs>
          <w:tab w:val="left" w:pos="851"/>
        </w:tabs>
        <w:spacing w:line="360" w:lineRule="auto"/>
        <w:ind w:left="0" w:firstLine="420" w:firstLineChars="200"/>
        <w:jc w:val="left"/>
        <w:rPr>
          <w:szCs w:val="21"/>
          <w:lang w:val="zh-CN" w:bidi="en-US"/>
        </w:rPr>
      </w:pPr>
      <w:r>
        <w:rPr>
          <w:rFonts w:hint="eastAsia"/>
          <w:szCs w:val="21"/>
          <w:lang w:val="zh-CN" w:bidi="en-US"/>
        </w:rPr>
        <w:t>任何货物如在现场经检查和试验证明未达到保证值，或由于中标人的过错在保证期内货物的部份材料未达到保证值，招标人有权向中标人索赔，如发现任何主要材料有严重缺陷(如破损、断裂、腐蚀、锈蚀等)，则货物应予退货。自验收之日起3年内应不发生由于制造质量问题的损坏，否则中标人应负责免费更换。</w:t>
      </w:r>
    </w:p>
    <w:p w14:paraId="0D9BEBCC">
      <w:pPr>
        <w:spacing w:line="360" w:lineRule="auto"/>
        <w:outlineLvl w:val="0"/>
        <w:rPr>
          <w:b/>
          <w:szCs w:val="21"/>
        </w:rPr>
      </w:pPr>
      <w:bookmarkStart w:id="106" w:name="_Toc206145331"/>
      <w:bookmarkStart w:id="107" w:name="_Toc15153"/>
      <w:r>
        <w:rPr>
          <w:rFonts w:hint="eastAsia"/>
          <w:b/>
          <w:szCs w:val="21"/>
        </w:rPr>
        <w:t>5质量保证措施</w:t>
      </w:r>
      <w:bookmarkEnd w:id="106"/>
      <w:bookmarkEnd w:id="107"/>
    </w:p>
    <w:p w14:paraId="295EC8E9">
      <w:pPr>
        <w:spacing w:line="360" w:lineRule="auto"/>
        <w:outlineLvl w:val="1"/>
        <w:rPr>
          <w:b/>
          <w:szCs w:val="21"/>
        </w:rPr>
      </w:pPr>
      <w:bookmarkStart w:id="108" w:name="_Toc24727"/>
      <w:bookmarkStart w:id="109" w:name="_Toc206145332"/>
      <w:r>
        <w:rPr>
          <w:b/>
          <w:szCs w:val="21"/>
        </w:rPr>
        <w:t>5</w:t>
      </w:r>
      <w:r>
        <w:rPr>
          <w:rFonts w:hint="eastAsia"/>
          <w:b/>
          <w:szCs w:val="21"/>
        </w:rPr>
        <w:t>.1 组织保证</w:t>
      </w:r>
      <w:bookmarkEnd w:id="108"/>
      <w:bookmarkEnd w:id="109"/>
    </w:p>
    <w:p w14:paraId="18554472">
      <w:pPr>
        <w:tabs>
          <w:tab w:val="left" w:pos="851"/>
        </w:tabs>
        <w:spacing w:line="360" w:lineRule="auto"/>
        <w:ind w:firstLine="420" w:firstLineChars="200"/>
        <w:jc w:val="left"/>
        <w:rPr>
          <w:szCs w:val="21"/>
          <w:lang w:val="zh-CN" w:bidi="en-US"/>
        </w:rPr>
      </w:pPr>
      <w:r>
        <w:rPr>
          <w:rFonts w:hint="eastAsia"/>
          <w:szCs w:val="21"/>
          <w:lang w:val="zh-CN" w:bidi="en-US"/>
        </w:rPr>
        <w:t>投标人应标时，必须向招标人提供拟派参加本项目的人员名单以及参加人员的资料，参加本项目的人员必须两个以上展示工程实施经验。提供人员参加本项目的人员分主要参加人员和次要参加人员，投标人必须向招标人保证工程人员组织的稳定性，其中主要参加人员必须全程参与，在本项目工程结束前，参加本项目的人员变动必须取得招标人同意。</w:t>
      </w:r>
    </w:p>
    <w:p w14:paraId="62D0F89B">
      <w:pPr>
        <w:spacing w:line="360" w:lineRule="auto"/>
        <w:outlineLvl w:val="1"/>
        <w:rPr>
          <w:b/>
          <w:szCs w:val="21"/>
        </w:rPr>
      </w:pPr>
      <w:bookmarkStart w:id="110" w:name="_Toc206145333"/>
      <w:bookmarkStart w:id="111" w:name="_Toc152"/>
      <w:r>
        <w:rPr>
          <w:b/>
          <w:szCs w:val="21"/>
        </w:rPr>
        <w:t>5</w:t>
      </w:r>
      <w:r>
        <w:rPr>
          <w:rFonts w:hint="eastAsia"/>
          <w:b/>
          <w:szCs w:val="21"/>
        </w:rPr>
        <w:t>.2 质量保证</w:t>
      </w:r>
      <w:bookmarkEnd w:id="110"/>
      <w:bookmarkEnd w:id="111"/>
    </w:p>
    <w:p w14:paraId="2E8C3D7A">
      <w:pPr>
        <w:tabs>
          <w:tab w:val="left" w:pos="851"/>
        </w:tabs>
        <w:spacing w:line="360" w:lineRule="auto"/>
        <w:ind w:firstLine="420" w:firstLineChars="200"/>
        <w:jc w:val="left"/>
        <w:rPr>
          <w:szCs w:val="21"/>
          <w:lang w:val="zh-CN" w:bidi="en-US"/>
        </w:rPr>
      </w:pPr>
      <w:r>
        <w:rPr>
          <w:rFonts w:hint="eastAsia"/>
          <w:szCs w:val="21"/>
          <w:lang w:val="zh-CN" w:bidi="en-US"/>
        </w:rPr>
        <w:t>投标人应保证所提供的设备和材料的范围、内容、质量以及现场施工要求均能满足本招标文件要求。相关内容应遵循并满足相关国际标准、国家标准和行业标准，项目内所有的过程与产品符合国家相关质量标准，对不符合要求的，须无条件返工或更换。</w:t>
      </w:r>
    </w:p>
    <w:p w14:paraId="6CABB54E">
      <w:pPr>
        <w:tabs>
          <w:tab w:val="left" w:pos="851"/>
        </w:tabs>
        <w:spacing w:line="360" w:lineRule="auto"/>
        <w:ind w:firstLine="420" w:firstLineChars="200"/>
        <w:jc w:val="left"/>
        <w:rPr>
          <w:szCs w:val="21"/>
          <w:lang w:val="zh-CN" w:bidi="en-US"/>
        </w:rPr>
      </w:pPr>
      <w:r>
        <w:rPr>
          <w:rFonts w:hint="eastAsia"/>
          <w:szCs w:val="21"/>
          <w:lang w:val="zh-CN" w:bidi="en-US"/>
        </w:rPr>
        <w:t>投标人应承诺在实施过程中不影响机房现有系统的运行，招标人将对此项内容进行考核评估，根据结果对投标人进行惩罚，具体将在合同列明。</w:t>
      </w:r>
    </w:p>
    <w:p w14:paraId="57FD132C">
      <w:pPr>
        <w:spacing w:line="360" w:lineRule="auto"/>
        <w:outlineLvl w:val="1"/>
        <w:rPr>
          <w:b/>
          <w:szCs w:val="21"/>
        </w:rPr>
      </w:pPr>
      <w:bookmarkStart w:id="112" w:name="_Toc206145334"/>
      <w:bookmarkStart w:id="113" w:name="_Toc13032"/>
      <w:r>
        <w:rPr>
          <w:b/>
          <w:szCs w:val="21"/>
        </w:rPr>
        <w:t>5</w:t>
      </w:r>
      <w:r>
        <w:rPr>
          <w:rFonts w:hint="eastAsia"/>
          <w:b/>
          <w:szCs w:val="21"/>
        </w:rPr>
        <w:t>.3 项目管理</w:t>
      </w:r>
      <w:bookmarkEnd w:id="112"/>
      <w:bookmarkEnd w:id="113"/>
    </w:p>
    <w:p w14:paraId="1E551886">
      <w:pPr>
        <w:tabs>
          <w:tab w:val="left" w:pos="851"/>
        </w:tabs>
        <w:spacing w:line="360" w:lineRule="auto"/>
        <w:ind w:firstLine="420" w:firstLineChars="200"/>
        <w:jc w:val="left"/>
        <w:rPr>
          <w:szCs w:val="21"/>
          <w:lang w:bidi="en-US"/>
        </w:rPr>
      </w:pPr>
      <w:r>
        <w:rPr>
          <w:rFonts w:hint="eastAsia"/>
          <w:szCs w:val="21"/>
          <w:lang w:bidi="en-US"/>
        </w:rPr>
        <w:t>投标人应详细说明项目管理的方案。本项目的项目经理可以代表中标人全权负责本项目的商务和技术。每一子项目实施必须由项目经理现场管理。当招标人检查该子项目实施阶段验收时，项目经理必须到现场配合。项目经理应能代表中标人签收招标人出具的相关项目管理文件。在项目经理工作不得力的情况下（如权力不够、技术不熟、管理不当等），招标人有权要求中标人更换项目经理。由此造成的项目进度的延误，由中标人承担责任。</w:t>
      </w:r>
    </w:p>
    <w:p w14:paraId="20CBB958">
      <w:pPr>
        <w:tabs>
          <w:tab w:val="left" w:pos="851"/>
        </w:tabs>
        <w:spacing w:line="360" w:lineRule="auto"/>
        <w:ind w:firstLine="420" w:firstLineChars="200"/>
        <w:jc w:val="left"/>
        <w:rPr>
          <w:szCs w:val="21"/>
          <w:lang w:bidi="en-US"/>
        </w:rPr>
      </w:pPr>
      <w:r>
        <w:rPr>
          <w:rFonts w:hint="eastAsia"/>
          <w:szCs w:val="21"/>
          <w:lang w:bidi="en-US"/>
        </w:rPr>
        <w:t>项目执行的跟踪和监控：项目实施过程必须有完善的跟踪和监控机制，以保证项目的正常运行，包括项目状态周报制度、每周的项目例会制度、项目审核、阶段总结等。中标人须提供项目执行跟踪和监控的具体措施。</w:t>
      </w:r>
    </w:p>
    <w:p w14:paraId="22CE4B71">
      <w:pPr>
        <w:tabs>
          <w:tab w:val="left" w:pos="851"/>
        </w:tabs>
        <w:spacing w:line="360" w:lineRule="auto"/>
        <w:ind w:firstLine="420" w:firstLineChars="200"/>
        <w:jc w:val="left"/>
        <w:rPr>
          <w:szCs w:val="21"/>
          <w:lang w:bidi="en-US"/>
        </w:rPr>
      </w:pPr>
      <w:r>
        <w:rPr>
          <w:rFonts w:hint="eastAsia"/>
          <w:szCs w:val="21"/>
          <w:lang w:bidi="en-US"/>
        </w:rPr>
        <w:t>为加快项目进程，须精心安排工作计划，多项工作可根据实际情况同步进行。</w:t>
      </w:r>
    </w:p>
    <w:p w14:paraId="5E4C8EDD">
      <w:pPr>
        <w:spacing w:line="360" w:lineRule="auto"/>
        <w:outlineLvl w:val="0"/>
        <w:rPr>
          <w:szCs w:val="21"/>
        </w:rPr>
      </w:pPr>
      <w:bookmarkStart w:id="114" w:name="_Toc206145335"/>
      <w:bookmarkStart w:id="115" w:name="_Toc23597"/>
      <w:r>
        <w:rPr>
          <w:rFonts w:hint="eastAsia"/>
          <w:b/>
          <w:szCs w:val="21"/>
        </w:rPr>
        <w:t>6技术文档要求</w:t>
      </w:r>
      <w:bookmarkEnd w:id="114"/>
      <w:bookmarkEnd w:id="115"/>
    </w:p>
    <w:p w14:paraId="023AD7D4">
      <w:pPr>
        <w:spacing w:line="360" w:lineRule="auto"/>
        <w:outlineLvl w:val="1"/>
        <w:rPr>
          <w:b/>
          <w:szCs w:val="21"/>
        </w:rPr>
      </w:pPr>
      <w:bookmarkStart w:id="116" w:name="_Toc31281"/>
      <w:bookmarkStart w:id="117" w:name="_Toc206145336"/>
      <w:r>
        <w:rPr>
          <w:b/>
          <w:szCs w:val="21"/>
        </w:rPr>
        <w:t>6</w:t>
      </w:r>
      <w:r>
        <w:rPr>
          <w:rFonts w:hint="eastAsia"/>
          <w:b/>
          <w:szCs w:val="21"/>
        </w:rPr>
        <w:t>.1 一般要求</w:t>
      </w:r>
      <w:bookmarkEnd w:id="116"/>
      <w:bookmarkEnd w:id="117"/>
    </w:p>
    <w:p w14:paraId="6CD1B1BC">
      <w:pPr>
        <w:numPr>
          <w:ilvl w:val="0"/>
          <w:numId w:val="42"/>
        </w:numPr>
        <w:tabs>
          <w:tab w:val="left" w:pos="851"/>
        </w:tabs>
        <w:spacing w:line="360" w:lineRule="auto"/>
        <w:ind w:left="0" w:firstLine="420" w:firstLineChars="200"/>
        <w:jc w:val="left"/>
        <w:rPr>
          <w:szCs w:val="21"/>
          <w:lang w:bidi="en-US"/>
        </w:rPr>
      </w:pPr>
      <w:r>
        <w:rPr>
          <w:rFonts w:hint="eastAsia"/>
          <w:szCs w:val="21"/>
          <w:lang w:bidi="en-US"/>
        </w:rPr>
        <w:t>投标人提供的资料应使用国家法定单位制即国际单位制，语言为中文；</w:t>
      </w:r>
    </w:p>
    <w:p w14:paraId="5306B8D6">
      <w:pPr>
        <w:numPr>
          <w:ilvl w:val="0"/>
          <w:numId w:val="42"/>
        </w:numPr>
        <w:tabs>
          <w:tab w:val="left" w:pos="851"/>
        </w:tabs>
        <w:spacing w:line="360" w:lineRule="auto"/>
        <w:ind w:left="0" w:firstLine="420" w:firstLineChars="200"/>
        <w:jc w:val="left"/>
        <w:rPr>
          <w:szCs w:val="21"/>
          <w:lang w:bidi="en-US"/>
        </w:rPr>
      </w:pPr>
      <w:r>
        <w:rPr>
          <w:rFonts w:hint="eastAsia"/>
          <w:szCs w:val="21"/>
          <w:lang w:bidi="en-US"/>
        </w:rPr>
        <w:t>资料的组织结构清晰、逻辑性强。资料内容要正确、准确、一致、清晰完整，满足工程要求；</w:t>
      </w:r>
    </w:p>
    <w:p w14:paraId="6C55FD29">
      <w:pPr>
        <w:numPr>
          <w:ilvl w:val="0"/>
          <w:numId w:val="42"/>
        </w:numPr>
        <w:tabs>
          <w:tab w:val="left" w:pos="851"/>
        </w:tabs>
        <w:spacing w:line="360" w:lineRule="auto"/>
        <w:ind w:left="0" w:firstLine="420" w:firstLineChars="200"/>
        <w:jc w:val="left"/>
        <w:rPr>
          <w:szCs w:val="21"/>
          <w:lang w:bidi="en-US"/>
        </w:rPr>
      </w:pPr>
      <w:r>
        <w:rPr>
          <w:rFonts w:hint="eastAsia"/>
          <w:szCs w:val="21"/>
          <w:lang w:bidi="en-US"/>
        </w:rPr>
        <w:t>投标人资料的提交应及时充分，满足工程进度要求；</w:t>
      </w:r>
    </w:p>
    <w:p w14:paraId="134AE755">
      <w:pPr>
        <w:numPr>
          <w:ilvl w:val="0"/>
          <w:numId w:val="42"/>
        </w:numPr>
        <w:tabs>
          <w:tab w:val="left" w:pos="851"/>
        </w:tabs>
        <w:spacing w:line="360" w:lineRule="auto"/>
        <w:ind w:left="0" w:firstLine="420" w:firstLineChars="200"/>
        <w:jc w:val="left"/>
        <w:rPr>
          <w:szCs w:val="21"/>
          <w:lang w:bidi="en-US"/>
        </w:rPr>
      </w:pPr>
      <w:r>
        <w:rPr>
          <w:rFonts w:hint="eastAsia"/>
          <w:szCs w:val="21"/>
          <w:lang w:bidi="en-US"/>
        </w:rPr>
        <w:t>投标人提供的技术资料一般可分为投标阶段，设备监造检验，施工调试试运行、性能验收试验和运行维护，投标人须满足以上方面的具体要求；</w:t>
      </w:r>
    </w:p>
    <w:p w14:paraId="7FE091A8">
      <w:pPr>
        <w:numPr>
          <w:ilvl w:val="0"/>
          <w:numId w:val="42"/>
        </w:numPr>
        <w:tabs>
          <w:tab w:val="left" w:pos="851"/>
        </w:tabs>
        <w:spacing w:line="360" w:lineRule="auto"/>
        <w:ind w:left="0" w:firstLine="420" w:firstLineChars="200"/>
        <w:jc w:val="left"/>
        <w:rPr>
          <w:szCs w:val="21"/>
          <w:lang w:bidi="en-US"/>
        </w:rPr>
      </w:pPr>
      <w:r>
        <w:rPr>
          <w:rFonts w:hint="eastAsia"/>
          <w:szCs w:val="21"/>
          <w:lang w:bidi="en-US"/>
        </w:rPr>
        <w:t>投标人应在项目验收投运前提交相关设备和系统的运行管理规定；</w:t>
      </w:r>
    </w:p>
    <w:p w14:paraId="22F1BB18">
      <w:pPr>
        <w:numPr>
          <w:ilvl w:val="0"/>
          <w:numId w:val="42"/>
        </w:numPr>
        <w:tabs>
          <w:tab w:val="left" w:pos="851"/>
        </w:tabs>
        <w:spacing w:line="360" w:lineRule="auto"/>
        <w:ind w:left="0" w:firstLine="420" w:firstLineChars="200"/>
        <w:jc w:val="left"/>
        <w:rPr>
          <w:szCs w:val="21"/>
          <w:lang w:bidi="en-US"/>
        </w:rPr>
      </w:pPr>
      <w:r>
        <w:rPr>
          <w:rFonts w:hint="eastAsia"/>
          <w:szCs w:val="21"/>
          <w:lang w:bidi="en-US"/>
        </w:rPr>
        <w:t>对于其它没有列入合同技术资料清单，却是工程所必需的文件和资料，一经发现，投标人也应及时免费提供；</w:t>
      </w:r>
    </w:p>
    <w:p w14:paraId="1D357ADF">
      <w:pPr>
        <w:numPr>
          <w:ilvl w:val="0"/>
          <w:numId w:val="42"/>
        </w:numPr>
        <w:tabs>
          <w:tab w:val="left" w:pos="851"/>
        </w:tabs>
        <w:spacing w:line="360" w:lineRule="auto"/>
        <w:ind w:left="0" w:firstLine="420" w:firstLineChars="200"/>
        <w:jc w:val="left"/>
        <w:rPr>
          <w:szCs w:val="21"/>
          <w:lang w:bidi="en-US"/>
        </w:rPr>
      </w:pPr>
      <w:r>
        <w:rPr>
          <w:rFonts w:hint="eastAsia"/>
          <w:szCs w:val="21"/>
          <w:lang w:bidi="en-US"/>
        </w:rPr>
        <w:t>招标人要及时提供与合同设备设计制造有关的资料；</w:t>
      </w:r>
    </w:p>
    <w:p w14:paraId="390D9121">
      <w:pPr>
        <w:spacing w:line="360" w:lineRule="auto"/>
        <w:outlineLvl w:val="1"/>
        <w:rPr>
          <w:b/>
          <w:szCs w:val="21"/>
        </w:rPr>
      </w:pPr>
      <w:bookmarkStart w:id="118" w:name="_Toc206145337"/>
      <w:bookmarkStart w:id="119" w:name="_Toc858"/>
      <w:r>
        <w:rPr>
          <w:b/>
          <w:szCs w:val="21"/>
        </w:rPr>
        <w:t>6</w:t>
      </w:r>
      <w:r>
        <w:rPr>
          <w:rFonts w:hint="eastAsia"/>
          <w:b/>
          <w:szCs w:val="21"/>
        </w:rPr>
        <w:t>.2 资料提交的基本要求</w:t>
      </w:r>
      <w:bookmarkEnd w:id="118"/>
      <w:bookmarkEnd w:id="119"/>
    </w:p>
    <w:p w14:paraId="0A9A7022">
      <w:pPr>
        <w:tabs>
          <w:tab w:val="left" w:pos="851"/>
        </w:tabs>
        <w:spacing w:line="360" w:lineRule="auto"/>
        <w:ind w:firstLine="420" w:firstLineChars="200"/>
        <w:jc w:val="left"/>
        <w:rPr>
          <w:szCs w:val="21"/>
          <w:lang w:bidi="en-US"/>
        </w:rPr>
      </w:pPr>
      <w:r>
        <w:rPr>
          <w:rFonts w:hint="eastAsia"/>
          <w:szCs w:val="21"/>
          <w:lang w:bidi="en-US"/>
        </w:rPr>
        <w:t>投标人应保证完整地按交付进度提供满足质保、加工、制造、组装、安装施工要求的服务于本项目全部的各类工程数据、资料、图纸和文件（其中至少应包括说明书、设备和材料清册、备品备件清册、专用工具清册、图纸清册、各类测试报告、各类调试报告、各类测试和调试大纲、各类质检报告、工作内容和进度报告、材料证书、设备证书、各类允许安装公差表和其它报表、运行/维护/安装手册、现场贮存和保养要求、传真件、文函、电子文件备份、与分包商和/或成套合作者之间的接口协调报告等）。</w:t>
      </w:r>
    </w:p>
    <w:p w14:paraId="76E00D77">
      <w:pPr>
        <w:tabs>
          <w:tab w:val="left" w:pos="851"/>
        </w:tabs>
        <w:spacing w:line="360" w:lineRule="auto"/>
        <w:ind w:firstLine="420" w:firstLineChars="200"/>
        <w:jc w:val="left"/>
        <w:rPr>
          <w:szCs w:val="21"/>
          <w:lang w:bidi="en-US"/>
        </w:rPr>
      </w:pPr>
      <w:r>
        <w:rPr>
          <w:rFonts w:hint="eastAsia"/>
          <w:szCs w:val="21"/>
          <w:lang w:bidi="en-US"/>
        </w:rPr>
        <w:t>（一）投标人在投标阶段应提供的资料</w:t>
      </w:r>
    </w:p>
    <w:p w14:paraId="0D76A10D">
      <w:pPr>
        <w:tabs>
          <w:tab w:val="left" w:pos="851"/>
        </w:tabs>
        <w:spacing w:line="360" w:lineRule="auto"/>
        <w:ind w:firstLine="420" w:firstLineChars="200"/>
        <w:jc w:val="left"/>
        <w:rPr>
          <w:szCs w:val="21"/>
          <w:lang w:bidi="en-US"/>
        </w:rPr>
      </w:pPr>
      <w:r>
        <w:rPr>
          <w:rFonts w:hint="eastAsia"/>
          <w:szCs w:val="21"/>
          <w:lang w:bidi="en-US"/>
        </w:rPr>
        <w:t>根据具体设备招标人可提出清单，投标人补充和细化所列技术资料须满足工程要求：</w:t>
      </w:r>
    </w:p>
    <w:p w14:paraId="7B729B0C">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采购、交货、安装和调试总的时间进度表。</w:t>
      </w:r>
    </w:p>
    <w:p w14:paraId="68912215">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质量保证措施的文件和计划。</w:t>
      </w:r>
    </w:p>
    <w:p w14:paraId="44B2C713">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各类设备关键材料特性说明书。</w:t>
      </w:r>
    </w:p>
    <w:p w14:paraId="3AC9FB2A">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专用工具表</w:t>
      </w:r>
    </w:p>
    <w:p w14:paraId="099FB666">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备品备件清单</w:t>
      </w:r>
    </w:p>
    <w:p w14:paraId="00B650CE">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工厂制造、检验计划</w:t>
      </w:r>
    </w:p>
    <w:p w14:paraId="083F559D">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设备包装示意图和大件运输方案</w:t>
      </w:r>
    </w:p>
    <w:p w14:paraId="0114B79F">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近年来类似工况成功使用业绩表</w:t>
      </w:r>
    </w:p>
    <w:p w14:paraId="5BDC2000">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分供货厂商一览表</w:t>
      </w:r>
    </w:p>
    <w:p w14:paraId="68814424">
      <w:pPr>
        <w:tabs>
          <w:tab w:val="left" w:pos="851"/>
        </w:tabs>
        <w:spacing w:line="360" w:lineRule="auto"/>
        <w:ind w:firstLine="420" w:firstLineChars="200"/>
        <w:jc w:val="left"/>
        <w:rPr>
          <w:szCs w:val="21"/>
          <w:lang w:bidi="en-US"/>
        </w:rPr>
      </w:pPr>
      <w:r>
        <w:rPr>
          <w:rFonts w:hint="eastAsia"/>
          <w:szCs w:val="21"/>
          <w:lang w:bidi="en-US"/>
        </w:rPr>
        <w:t>（二）施工、调试、试运、机组性能试验和运行维护所需的技术资料(投标人提出具体清单，招标人确认)包括但不限于：</w:t>
      </w:r>
    </w:p>
    <w:p w14:paraId="3C8EC386">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提供设备安装、调试和试运说明书，以及组装、拆卸时所需用的技术资料。</w:t>
      </w:r>
    </w:p>
    <w:p w14:paraId="3A2FD479">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安装、运行、维护、检修所需的详尽图纸和技术文件，包括设备总图、部件总图、分图和必要的零件图等。</w:t>
      </w:r>
    </w:p>
    <w:p w14:paraId="0C85C5E1">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设备的安装、运行、维护、检修说明书，包括设备结构特点、安装程序和工艺要求、起动调试要领。运行操作规定和控制数据、定期校验和维护说明等。</w:t>
      </w:r>
    </w:p>
    <w:p w14:paraId="403B7259">
      <w:pPr>
        <w:numPr>
          <w:ilvl w:val="0"/>
          <w:numId w:val="43"/>
        </w:numPr>
        <w:tabs>
          <w:tab w:val="left" w:pos="851"/>
        </w:tabs>
        <w:spacing w:line="360" w:lineRule="auto"/>
        <w:ind w:left="0" w:firstLine="420" w:firstLineChars="200"/>
        <w:jc w:val="left"/>
        <w:rPr>
          <w:szCs w:val="21"/>
          <w:lang w:bidi="en-US"/>
        </w:rPr>
      </w:pPr>
      <w:r>
        <w:rPr>
          <w:rFonts w:hint="eastAsia"/>
          <w:szCs w:val="21"/>
          <w:lang w:bidi="en-US"/>
        </w:rPr>
        <w:t>投标人应提供备品、配件总清单。</w:t>
      </w:r>
    </w:p>
    <w:p w14:paraId="0A077A08">
      <w:pPr>
        <w:tabs>
          <w:tab w:val="left" w:pos="851"/>
        </w:tabs>
        <w:spacing w:line="360" w:lineRule="auto"/>
        <w:ind w:firstLine="420" w:firstLineChars="200"/>
        <w:jc w:val="left"/>
        <w:rPr>
          <w:szCs w:val="21"/>
          <w:lang w:bidi="en-US"/>
        </w:rPr>
      </w:pPr>
      <w:r>
        <w:rPr>
          <w:rFonts w:hint="eastAsia"/>
          <w:szCs w:val="21"/>
          <w:lang w:bidi="en-US"/>
        </w:rPr>
        <w:t>（四）投标人所提供的资料如有修改，应在新版中明确标示并相应提供文字说明。</w:t>
      </w:r>
    </w:p>
    <w:p w14:paraId="03DCFC1F">
      <w:pPr>
        <w:tabs>
          <w:tab w:val="left" w:pos="851"/>
        </w:tabs>
        <w:spacing w:line="360" w:lineRule="auto"/>
        <w:ind w:firstLine="420" w:firstLineChars="200"/>
        <w:jc w:val="left"/>
        <w:rPr>
          <w:szCs w:val="21"/>
          <w:lang w:bidi="en-US"/>
        </w:rPr>
      </w:pPr>
      <w:r>
        <w:rPr>
          <w:rFonts w:hint="eastAsia"/>
          <w:szCs w:val="21"/>
          <w:lang w:bidi="en-US"/>
        </w:rPr>
        <w:t>（五）投标人应及时提供适用于本工程实际情况的、为本工程专用的技术资料，所有资料上应标明“2025年广州花都供电局花东基本型营业厅改造项目”字样。</w:t>
      </w:r>
    </w:p>
    <w:p w14:paraId="10473D77">
      <w:pPr>
        <w:tabs>
          <w:tab w:val="left" w:pos="851"/>
        </w:tabs>
        <w:spacing w:line="360" w:lineRule="auto"/>
        <w:ind w:firstLine="420" w:firstLineChars="200"/>
        <w:jc w:val="left"/>
        <w:rPr>
          <w:szCs w:val="21"/>
          <w:lang w:bidi="en-US"/>
        </w:rPr>
      </w:pPr>
      <w:r>
        <w:rPr>
          <w:rFonts w:hint="eastAsia"/>
          <w:szCs w:val="21"/>
          <w:lang w:bidi="en-US"/>
        </w:rPr>
        <w:t>（六）投标人提供的技术资料至少应包括本附件中所要求的内容。如招标人在工程设计中需要本附件以外的有关资料，投标人应及时无偿地提供。</w:t>
      </w:r>
    </w:p>
    <w:p w14:paraId="662B99E0">
      <w:pPr>
        <w:tabs>
          <w:tab w:val="left" w:pos="851"/>
        </w:tabs>
        <w:spacing w:line="360" w:lineRule="auto"/>
        <w:ind w:firstLine="420" w:firstLineChars="200"/>
        <w:jc w:val="left"/>
        <w:rPr>
          <w:szCs w:val="21"/>
          <w:lang w:bidi="en-US"/>
        </w:rPr>
      </w:pPr>
      <w:r>
        <w:rPr>
          <w:rFonts w:hint="eastAsia"/>
          <w:szCs w:val="21"/>
          <w:lang w:bidi="en-US"/>
        </w:rPr>
        <w:t>（七）相关文档资料的提交应按上述要求进行，将标方将对此项内容进行考核评估，根据结果对投标人进行惩罚，具体将在合同列明。</w:t>
      </w:r>
    </w:p>
    <w:p w14:paraId="1A895D09">
      <w:pPr>
        <w:spacing w:line="360" w:lineRule="auto"/>
        <w:outlineLvl w:val="0"/>
        <w:rPr>
          <w:b/>
          <w:szCs w:val="21"/>
        </w:rPr>
      </w:pPr>
      <w:bookmarkStart w:id="120" w:name="_Toc206145338"/>
      <w:bookmarkStart w:id="121" w:name="_Toc12295"/>
      <w:r>
        <w:rPr>
          <w:b/>
          <w:szCs w:val="21"/>
        </w:rPr>
        <w:t>7</w:t>
      </w:r>
      <w:r>
        <w:rPr>
          <w:rFonts w:hint="eastAsia"/>
          <w:b/>
          <w:szCs w:val="21"/>
        </w:rPr>
        <w:t>测试和验收</w:t>
      </w:r>
      <w:bookmarkEnd w:id="120"/>
      <w:bookmarkEnd w:id="121"/>
    </w:p>
    <w:p w14:paraId="664B507D">
      <w:pPr>
        <w:spacing w:line="360" w:lineRule="auto"/>
        <w:outlineLvl w:val="1"/>
        <w:rPr>
          <w:b/>
          <w:szCs w:val="21"/>
        </w:rPr>
      </w:pPr>
      <w:bookmarkStart w:id="122" w:name="_Toc13987"/>
      <w:bookmarkStart w:id="123" w:name="_Toc206145339"/>
      <w:r>
        <w:rPr>
          <w:b/>
          <w:szCs w:val="21"/>
        </w:rPr>
        <w:t>7</w:t>
      </w:r>
      <w:r>
        <w:rPr>
          <w:rFonts w:hint="eastAsia"/>
          <w:b/>
          <w:szCs w:val="21"/>
        </w:rPr>
        <w:t>.1 总体要求</w:t>
      </w:r>
      <w:bookmarkEnd w:id="122"/>
      <w:bookmarkEnd w:id="123"/>
    </w:p>
    <w:p w14:paraId="15E8D4BD">
      <w:pPr>
        <w:numPr>
          <w:ilvl w:val="0"/>
          <w:numId w:val="44"/>
        </w:numPr>
        <w:tabs>
          <w:tab w:val="left" w:pos="851"/>
        </w:tabs>
        <w:spacing w:line="360" w:lineRule="auto"/>
        <w:ind w:left="0" w:firstLine="420" w:firstLineChars="200"/>
        <w:jc w:val="left"/>
        <w:rPr>
          <w:szCs w:val="21"/>
          <w:lang w:bidi="en-US"/>
        </w:rPr>
      </w:pPr>
      <w:r>
        <w:rPr>
          <w:rFonts w:hint="eastAsia"/>
          <w:szCs w:val="21"/>
          <w:lang w:bidi="en-US"/>
        </w:rPr>
        <w:t>测试验收以国家以及南方电网公司的技术规范、验收规范为依据；</w:t>
      </w:r>
    </w:p>
    <w:p w14:paraId="16470B5E">
      <w:pPr>
        <w:numPr>
          <w:ilvl w:val="0"/>
          <w:numId w:val="44"/>
        </w:numPr>
        <w:tabs>
          <w:tab w:val="left" w:pos="851"/>
        </w:tabs>
        <w:spacing w:line="360" w:lineRule="auto"/>
        <w:ind w:left="0" w:firstLine="420" w:firstLineChars="200"/>
        <w:jc w:val="left"/>
        <w:rPr>
          <w:szCs w:val="21"/>
          <w:lang w:bidi="en-US"/>
        </w:rPr>
      </w:pPr>
      <w:r>
        <w:rPr>
          <w:rFonts w:hint="eastAsia"/>
          <w:szCs w:val="21"/>
          <w:lang w:bidi="en-US"/>
        </w:rPr>
        <w:t>中标人必需对其所供设备进行工厂试验，并向招标人提供工厂试验报告，招标人有权对中标人提供的关键设备或材料进行工厂验收，厂验相关费用由中标人负责；具体时间、地点待中标后由招标人和中标人协商为准；</w:t>
      </w:r>
    </w:p>
    <w:p w14:paraId="36E630F7">
      <w:pPr>
        <w:numPr>
          <w:ilvl w:val="0"/>
          <w:numId w:val="44"/>
        </w:numPr>
        <w:tabs>
          <w:tab w:val="left" w:pos="851"/>
        </w:tabs>
        <w:spacing w:line="360" w:lineRule="auto"/>
        <w:ind w:left="0" w:firstLine="420" w:firstLineChars="200"/>
        <w:jc w:val="left"/>
        <w:rPr>
          <w:szCs w:val="21"/>
          <w:lang w:bidi="en-US"/>
        </w:rPr>
      </w:pPr>
      <w:r>
        <w:rPr>
          <w:rFonts w:hint="eastAsia"/>
          <w:szCs w:val="21"/>
          <w:lang w:bidi="en-US"/>
        </w:rPr>
        <w:t>设备到货后，在安装现场，必须对其所供设备的性能和指标进行再次现场检验，并结合实际应用，对设备进行整体测试，测试工作所需设备、测试仪表及相关费用由中标人负责；</w:t>
      </w:r>
    </w:p>
    <w:p w14:paraId="13501322">
      <w:pPr>
        <w:numPr>
          <w:ilvl w:val="0"/>
          <w:numId w:val="44"/>
        </w:numPr>
        <w:tabs>
          <w:tab w:val="left" w:pos="851"/>
        </w:tabs>
        <w:spacing w:line="360" w:lineRule="auto"/>
        <w:ind w:left="0" w:firstLine="420" w:firstLineChars="200"/>
        <w:jc w:val="left"/>
        <w:rPr>
          <w:szCs w:val="21"/>
          <w:lang w:bidi="en-US"/>
        </w:rPr>
      </w:pPr>
      <w:r>
        <w:rPr>
          <w:rFonts w:hint="eastAsia"/>
          <w:szCs w:val="21"/>
          <w:lang w:bidi="en-US"/>
        </w:rPr>
        <w:t>工程验收方式：观感验收＋测试验收，分为初验和终验两阶段；</w:t>
      </w:r>
    </w:p>
    <w:p w14:paraId="78E5FF07">
      <w:pPr>
        <w:numPr>
          <w:ilvl w:val="0"/>
          <w:numId w:val="44"/>
        </w:numPr>
        <w:tabs>
          <w:tab w:val="left" w:pos="851"/>
        </w:tabs>
        <w:spacing w:line="360" w:lineRule="auto"/>
        <w:ind w:left="0" w:firstLine="420" w:firstLineChars="200"/>
        <w:jc w:val="left"/>
        <w:rPr>
          <w:szCs w:val="21"/>
          <w:lang w:bidi="en-US"/>
        </w:rPr>
      </w:pPr>
      <w:r>
        <w:rPr>
          <w:rFonts w:hint="eastAsia"/>
          <w:szCs w:val="21"/>
          <w:lang w:bidi="en-US"/>
        </w:rPr>
        <w:t>验收测试大纲根据项目招标技术文件、投标技术应答书、合同技术协议书等技术文件的内容编写，由招投标双方共同制定；</w:t>
      </w:r>
    </w:p>
    <w:p w14:paraId="3E56AC95">
      <w:pPr>
        <w:numPr>
          <w:ilvl w:val="0"/>
          <w:numId w:val="44"/>
        </w:numPr>
        <w:tabs>
          <w:tab w:val="left" w:pos="851"/>
        </w:tabs>
        <w:spacing w:line="360" w:lineRule="auto"/>
        <w:ind w:left="0" w:firstLine="420" w:firstLineChars="200"/>
        <w:jc w:val="left"/>
        <w:rPr>
          <w:szCs w:val="21"/>
          <w:lang w:bidi="en-US"/>
        </w:rPr>
      </w:pPr>
      <w:r>
        <w:rPr>
          <w:rFonts w:hint="eastAsia"/>
          <w:szCs w:val="21"/>
          <w:lang w:bidi="en-US"/>
        </w:rPr>
        <w:t>中标人应在验收测试前</w:t>
      </w:r>
      <w:r>
        <w:rPr>
          <w:szCs w:val="21"/>
          <w:lang w:bidi="en-US"/>
        </w:rPr>
        <w:t>2</w:t>
      </w:r>
      <w:r>
        <w:rPr>
          <w:rFonts w:hint="eastAsia"/>
          <w:szCs w:val="21"/>
          <w:lang w:bidi="en-US"/>
        </w:rPr>
        <w:t>周提供详细的验收测试大纲，大纲应提供验收的细则，细则指定的测试项目以及达到的性能指标不得小于本技术规范书要求。招标人有权提出一些合理的特殊测试，并保留对大纲的修改权力。大纲经双方确认生效以后，招标人人员对验收的认可签字并不解除投标人对合同的保证负责；</w:t>
      </w:r>
    </w:p>
    <w:p w14:paraId="59025F76">
      <w:pPr>
        <w:numPr>
          <w:ilvl w:val="0"/>
          <w:numId w:val="44"/>
        </w:numPr>
        <w:tabs>
          <w:tab w:val="left" w:pos="851"/>
        </w:tabs>
        <w:spacing w:line="360" w:lineRule="auto"/>
        <w:ind w:left="0" w:firstLine="420" w:firstLineChars="200"/>
        <w:jc w:val="left"/>
        <w:rPr>
          <w:szCs w:val="21"/>
          <w:lang w:bidi="en-US"/>
        </w:rPr>
      </w:pPr>
      <w:r>
        <w:rPr>
          <w:rFonts w:hint="eastAsia"/>
          <w:szCs w:val="21"/>
          <w:lang w:bidi="en-US"/>
        </w:rPr>
        <w:t>中标人将负责测试，招标人的工程师将协助进行验收测试，测试过程中产生的设备、材料等费用均由中标人负责；</w:t>
      </w:r>
    </w:p>
    <w:p w14:paraId="067964B5">
      <w:pPr>
        <w:numPr>
          <w:ilvl w:val="0"/>
          <w:numId w:val="44"/>
        </w:numPr>
        <w:tabs>
          <w:tab w:val="left" w:pos="851"/>
        </w:tabs>
        <w:spacing w:line="360" w:lineRule="auto"/>
        <w:ind w:left="0" w:firstLine="420" w:firstLineChars="200"/>
        <w:jc w:val="left"/>
        <w:rPr>
          <w:szCs w:val="21"/>
          <w:lang w:bidi="en-US"/>
        </w:rPr>
      </w:pPr>
      <w:r>
        <w:rPr>
          <w:rFonts w:hint="eastAsia"/>
          <w:szCs w:val="21"/>
          <w:lang w:bidi="en-US"/>
        </w:rPr>
        <w:t>在现场安装、投运及验收过程中，中标人应对损坏的设备负责。</w:t>
      </w:r>
    </w:p>
    <w:p w14:paraId="74F7C834">
      <w:pPr>
        <w:spacing w:line="360" w:lineRule="auto"/>
        <w:outlineLvl w:val="1"/>
        <w:rPr>
          <w:b/>
          <w:szCs w:val="21"/>
        </w:rPr>
      </w:pPr>
      <w:bookmarkStart w:id="124" w:name="_Toc15721"/>
      <w:bookmarkStart w:id="125" w:name="_Toc206145340"/>
      <w:r>
        <w:rPr>
          <w:b/>
          <w:szCs w:val="21"/>
        </w:rPr>
        <w:t>7</w:t>
      </w:r>
      <w:r>
        <w:rPr>
          <w:rFonts w:hint="eastAsia"/>
          <w:b/>
          <w:szCs w:val="21"/>
        </w:rPr>
        <w:t>.2 材料和设备验收</w:t>
      </w:r>
      <w:bookmarkEnd w:id="124"/>
      <w:bookmarkEnd w:id="125"/>
    </w:p>
    <w:p w14:paraId="58AB1632">
      <w:pPr>
        <w:tabs>
          <w:tab w:val="left" w:pos="851"/>
        </w:tabs>
        <w:spacing w:line="360" w:lineRule="auto"/>
        <w:ind w:firstLine="420" w:firstLineChars="200"/>
        <w:jc w:val="left"/>
        <w:rPr>
          <w:szCs w:val="21"/>
          <w:lang w:bidi="en-US"/>
        </w:rPr>
      </w:pPr>
      <w:r>
        <w:rPr>
          <w:rFonts w:hint="eastAsia"/>
          <w:szCs w:val="21"/>
          <w:lang w:bidi="en-US"/>
        </w:rPr>
        <w:t>材料和设备验收发生在工程各阶段，主要针对工程中进场使用的材料和设备进行验收和确认。</w:t>
      </w:r>
    </w:p>
    <w:p w14:paraId="33577E8C">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验收程序</w:t>
      </w:r>
    </w:p>
    <w:p w14:paraId="65A747BB">
      <w:pPr>
        <w:tabs>
          <w:tab w:val="left" w:pos="851"/>
        </w:tabs>
        <w:spacing w:line="360" w:lineRule="auto"/>
        <w:ind w:firstLine="420" w:firstLineChars="200"/>
        <w:jc w:val="left"/>
        <w:rPr>
          <w:szCs w:val="21"/>
          <w:lang w:bidi="en-US"/>
        </w:rPr>
      </w:pPr>
      <w:r>
        <w:rPr>
          <w:rFonts w:hint="eastAsia"/>
          <w:szCs w:val="21"/>
          <w:lang w:bidi="en-US"/>
        </w:rPr>
        <w:t>投标人现场施工项目设备材料主管在设备材料进场前一天内书面通知工程现场招标人驻场代表。设备材料到场时，设备材料主管会同工程现场监理和招标人驻场代表检查设备材料，检查书面确认后设备材料方能进场使用。</w:t>
      </w:r>
    </w:p>
    <w:p w14:paraId="76F4429E">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验收标准</w:t>
      </w:r>
    </w:p>
    <w:p w14:paraId="607DC29C">
      <w:pPr>
        <w:tabs>
          <w:tab w:val="left" w:pos="851"/>
        </w:tabs>
        <w:spacing w:line="360" w:lineRule="auto"/>
        <w:ind w:firstLine="420" w:firstLineChars="200"/>
        <w:jc w:val="left"/>
        <w:rPr>
          <w:szCs w:val="21"/>
          <w:lang w:bidi="en-US"/>
        </w:rPr>
      </w:pPr>
      <w:r>
        <w:rPr>
          <w:rFonts w:hint="eastAsia"/>
          <w:szCs w:val="21"/>
          <w:lang w:bidi="en-US"/>
        </w:rPr>
        <w:t>验收时主要依据工程合同，以及质量验收规范和计量检测规定进行。</w:t>
      </w:r>
    </w:p>
    <w:p w14:paraId="36835D62">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验收内容</w:t>
      </w:r>
    </w:p>
    <w:p w14:paraId="0B106CEF">
      <w:pPr>
        <w:tabs>
          <w:tab w:val="left" w:pos="851"/>
        </w:tabs>
        <w:spacing w:line="360" w:lineRule="auto"/>
        <w:ind w:firstLine="420" w:firstLineChars="200"/>
        <w:jc w:val="left"/>
        <w:rPr>
          <w:szCs w:val="21"/>
          <w:lang w:bidi="en-US"/>
        </w:rPr>
      </w:pPr>
      <w:r>
        <w:rPr>
          <w:rFonts w:hint="eastAsia"/>
          <w:szCs w:val="21"/>
          <w:lang w:bidi="en-US"/>
        </w:rPr>
        <w:t>材料和设备验收时主要检查核对如下内容：规格/型号是否与合同一致；设备或材料的数量；设备或材料的“三证”是否齐全，如果必要，设备通电试运转，材料进行抽检。</w:t>
      </w:r>
    </w:p>
    <w:p w14:paraId="6998C5A3">
      <w:pPr>
        <w:spacing w:line="360" w:lineRule="auto"/>
        <w:outlineLvl w:val="1"/>
        <w:rPr>
          <w:b/>
          <w:szCs w:val="21"/>
        </w:rPr>
      </w:pPr>
      <w:bookmarkStart w:id="126" w:name="_Toc206145341"/>
      <w:bookmarkStart w:id="127" w:name="_Toc10682"/>
      <w:r>
        <w:rPr>
          <w:b/>
          <w:szCs w:val="21"/>
        </w:rPr>
        <w:t>7</w:t>
      </w:r>
      <w:r>
        <w:rPr>
          <w:rFonts w:hint="eastAsia"/>
          <w:b/>
          <w:szCs w:val="21"/>
        </w:rPr>
        <w:t>.3 隐蔽工程验收</w:t>
      </w:r>
      <w:bookmarkEnd w:id="126"/>
      <w:bookmarkEnd w:id="127"/>
    </w:p>
    <w:p w14:paraId="75BA5209">
      <w:pPr>
        <w:tabs>
          <w:tab w:val="left" w:pos="851"/>
        </w:tabs>
        <w:spacing w:line="360" w:lineRule="auto"/>
        <w:ind w:firstLine="420" w:firstLineChars="200"/>
        <w:jc w:val="left"/>
        <w:rPr>
          <w:szCs w:val="21"/>
          <w:lang w:bidi="en-US"/>
        </w:rPr>
      </w:pPr>
      <w:r>
        <w:rPr>
          <w:rFonts w:hint="eastAsia"/>
          <w:szCs w:val="21"/>
          <w:lang w:bidi="en-US"/>
        </w:rPr>
        <w:t>凡被后续施工所覆盖的施工内容，如预埋管线等均属隐蔽工程。隐蔽工程验收是指在工程施工过程中，对将被下一工序所封闭的分部、分项工程进行检查验收。比如在机房装修中，敷设天花或地板之前，对天花上部或地板下面的设备材料进行验收确认。</w:t>
      </w:r>
    </w:p>
    <w:p w14:paraId="13DBEEA6">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验收程序</w:t>
      </w:r>
    </w:p>
    <w:p w14:paraId="550D86C1">
      <w:pPr>
        <w:tabs>
          <w:tab w:val="left" w:pos="851"/>
        </w:tabs>
        <w:spacing w:line="360" w:lineRule="auto"/>
        <w:ind w:firstLine="420" w:firstLineChars="200"/>
        <w:jc w:val="left"/>
        <w:rPr>
          <w:szCs w:val="21"/>
          <w:lang w:bidi="en-US"/>
        </w:rPr>
      </w:pPr>
      <w:r>
        <w:rPr>
          <w:rFonts w:hint="eastAsia"/>
          <w:szCs w:val="21"/>
          <w:lang w:bidi="en-US"/>
        </w:rPr>
        <w:t>投标人现场施工项目现场主管在敷设天花或地板前一天内书面通知工程现场招标人驻场代表。由招标人驻工地代表和工程监理检查验收确认后方能进行下一道工序。</w:t>
      </w:r>
    </w:p>
    <w:p w14:paraId="3ACB760B">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验收标准</w:t>
      </w:r>
    </w:p>
    <w:p w14:paraId="65BBC912">
      <w:pPr>
        <w:tabs>
          <w:tab w:val="left" w:pos="851"/>
        </w:tabs>
        <w:spacing w:line="360" w:lineRule="auto"/>
        <w:ind w:firstLine="420" w:firstLineChars="200"/>
        <w:jc w:val="left"/>
        <w:rPr>
          <w:szCs w:val="21"/>
          <w:lang w:bidi="en-US"/>
        </w:rPr>
      </w:pPr>
      <w:r>
        <w:rPr>
          <w:rFonts w:hint="eastAsia"/>
          <w:szCs w:val="21"/>
          <w:lang w:bidi="en-US"/>
        </w:rPr>
        <w:t>验收时主要依据国家相关法律法规，建设主管部门管理条例和办法，施工质量验收统一标准，专业工程施工质量验收规范，批准的设计文件、施工图纸及说明书，施工承包合同等相关文件进行。</w:t>
      </w:r>
    </w:p>
    <w:p w14:paraId="76696C42">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验收内容</w:t>
      </w:r>
    </w:p>
    <w:p w14:paraId="5BD3EA99">
      <w:pPr>
        <w:tabs>
          <w:tab w:val="left" w:pos="851"/>
        </w:tabs>
        <w:spacing w:line="360" w:lineRule="auto"/>
        <w:ind w:firstLine="420" w:firstLineChars="200"/>
        <w:jc w:val="left"/>
        <w:rPr>
          <w:szCs w:val="21"/>
          <w:lang w:bidi="en-US"/>
        </w:rPr>
      </w:pPr>
      <w:r>
        <w:rPr>
          <w:rFonts w:hint="eastAsia"/>
          <w:szCs w:val="21"/>
          <w:lang w:bidi="en-US"/>
        </w:rPr>
        <w:t>隐蔽工程验收主要时确认工程中隐蔽工程量，并检查工程施工质量。</w:t>
      </w:r>
    </w:p>
    <w:p w14:paraId="3F8367D9">
      <w:pPr>
        <w:spacing w:line="360" w:lineRule="auto"/>
        <w:outlineLvl w:val="1"/>
        <w:rPr>
          <w:b/>
          <w:szCs w:val="21"/>
        </w:rPr>
      </w:pPr>
      <w:bookmarkStart w:id="128" w:name="_Toc12682"/>
      <w:bookmarkStart w:id="129" w:name="_Toc206145342"/>
      <w:r>
        <w:rPr>
          <w:b/>
          <w:szCs w:val="21"/>
        </w:rPr>
        <w:t>7</w:t>
      </w:r>
      <w:r>
        <w:rPr>
          <w:rFonts w:hint="eastAsia"/>
          <w:b/>
          <w:szCs w:val="21"/>
        </w:rPr>
        <w:t>.4 工程自验收</w:t>
      </w:r>
      <w:bookmarkEnd w:id="128"/>
      <w:bookmarkEnd w:id="129"/>
    </w:p>
    <w:p w14:paraId="3A124587">
      <w:pPr>
        <w:tabs>
          <w:tab w:val="left" w:pos="851"/>
        </w:tabs>
        <w:spacing w:line="360" w:lineRule="auto"/>
        <w:ind w:firstLine="420" w:firstLineChars="200"/>
        <w:jc w:val="left"/>
        <w:rPr>
          <w:szCs w:val="21"/>
          <w:lang w:bidi="en-US"/>
        </w:rPr>
      </w:pPr>
      <w:r>
        <w:rPr>
          <w:rFonts w:hint="eastAsia"/>
          <w:szCs w:val="21"/>
          <w:lang w:bidi="en-US"/>
        </w:rPr>
        <w:t>为了保证工程施工质量，为招标人提交满意的工程，投标人需制定严格的工程自验收程序。自验收贯穿工程的整个工程中，主要表现在工程结束和交接验收之前。</w:t>
      </w:r>
    </w:p>
    <w:p w14:paraId="29A12797">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验收程序</w:t>
      </w:r>
    </w:p>
    <w:p w14:paraId="5D4CAFC5">
      <w:pPr>
        <w:tabs>
          <w:tab w:val="left" w:pos="851"/>
        </w:tabs>
        <w:spacing w:line="360" w:lineRule="auto"/>
        <w:ind w:firstLine="420" w:firstLineChars="200"/>
        <w:jc w:val="left"/>
        <w:rPr>
          <w:szCs w:val="21"/>
          <w:lang w:bidi="en-US"/>
        </w:rPr>
      </w:pPr>
      <w:r>
        <w:rPr>
          <w:rFonts w:hint="eastAsia"/>
          <w:szCs w:val="21"/>
          <w:lang w:bidi="en-US"/>
        </w:rPr>
        <w:t>投标人现场项目经理部组织公司的技术部门和质管部门到现场详细的检查。</w:t>
      </w:r>
    </w:p>
    <w:p w14:paraId="5290218D">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验收内容</w:t>
      </w:r>
    </w:p>
    <w:p w14:paraId="772B0C95">
      <w:pPr>
        <w:tabs>
          <w:tab w:val="left" w:pos="851"/>
        </w:tabs>
        <w:spacing w:line="360" w:lineRule="auto"/>
        <w:ind w:firstLine="420" w:firstLineChars="200"/>
        <w:jc w:val="left"/>
        <w:rPr>
          <w:szCs w:val="21"/>
          <w:lang w:bidi="en-US"/>
        </w:rPr>
      </w:pPr>
      <w:r>
        <w:rPr>
          <w:rFonts w:hint="eastAsia"/>
          <w:szCs w:val="21"/>
          <w:lang w:bidi="en-US"/>
        </w:rPr>
        <w:t>自验收主要检查施工质量，对于不合乎要求之处，限期整改。</w:t>
      </w:r>
    </w:p>
    <w:p w14:paraId="7580B3BA">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验收标准</w:t>
      </w:r>
    </w:p>
    <w:p w14:paraId="55AD8A15">
      <w:pPr>
        <w:tabs>
          <w:tab w:val="left" w:pos="851"/>
        </w:tabs>
        <w:spacing w:line="360" w:lineRule="auto"/>
        <w:ind w:firstLine="420" w:firstLineChars="200"/>
        <w:jc w:val="left"/>
        <w:rPr>
          <w:szCs w:val="21"/>
          <w:lang w:bidi="en-US"/>
        </w:rPr>
      </w:pPr>
      <w:r>
        <w:rPr>
          <w:rFonts w:hint="eastAsia"/>
          <w:szCs w:val="21"/>
          <w:lang w:bidi="en-US"/>
        </w:rPr>
        <w:t>验收时主要依据国家相关法律法规，建设主管部门管理条例和办法，施工质量验收统一标准，专业工程施工质量验收规范，批准的设计文件、施工图纸及说明书，施工承包合同等相关文件进行。</w:t>
      </w:r>
    </w:p>
    <w:p w14:paraId="36E80B18">
      <w:pPr>
        <w:spacing w:line="360" w:lineRule="auto"/>
        <w:outlineLvl w:val="1"/>
        <w:rPr>
          <w:b/>
          <w:szCs w:val="21"/>
        </w:rPr>
      </w:pPr>
      <w:bookmarkStart w:id="130" w:name="_Toc1982"/>
      <w:bookmarkStart w:id="131" w:name="_Toc206145343"/>
      <w:r>
        <w:rPr>
          <w:b/>
          <w:szCs w:val="21"/>
        </w:rPr>
        <w:t>7</w:t>
      </w:r>
      <w:r>
        <w:rPr>
          <w:rFonts w:hint="eastAsia"/>
          <w:b/>
          <w:szCs w:val="21"/>
        </w:rPr>
        <w:t>.5 工程竣工验收说明</w:t>
      </w:r>
      <w:bookmarkEnd w:id="130"/>
      <w:bookmarkEnd w:id="131"/>
    </w:p>
    <w:p w14:paraId="28E9593D">
      <w:pPr>
        <w:tabs>
          <w:tab w:val="left" w:pos="851"/>
        </w:tabs>
        <w:spacing w:line="360" w:lineRule="auto"/>
        <w:ind w:firstLine="420" w:firstLineChars="200"/>
        <w:jc w:val="left"/>
        <w:rPr>
          <w:szCs w:val="21"/>
          <w:lang w:bidi="en-US"/>
        </w:rPr>
      </w:pPr>
      <w:r>
        <w:rPr>
          <w:rFonts w:hint="eastAsia"/>
          <w:szCs w:val="21"/>
          <w:lang w:bidi="en-US"/>
        </w:rPr>
        <w:t>工程竣工验收主要发生在工程结束，自验收发现的问题全部整改通过。系统的各项指标和性能满足用户要求，达到国家相应的规范。确认工程全部符合竣工验收标准，具备交付使用条件，即可开始正式验收工作。</w:t>
      </w:r>
    </w:p>
    <w:p w14:paraId="41101CA5">
      <w:pPr>
        <w:spacing w:line="360" w:lineRule="auto"/>
        <w:outlineLvl w:val="1"/>
        <w:rPr>
          <w:b/>
          <w:szCs w:val="21"/>
        </w:rPr>
      </w:pPr>
      <w:bookmarkStart w:id="132" w:name="_Toc103"/>
      <w:bookmarkStart w:id="133" w:name="_Toc206145344"/>
      <w:r>
        <w:rPr>
          <w:b/>
          <w:szCs w:val="21"/>
        </w:rPr>
        <w:t>7</w:t>
      </w:r>
      <w:r>
        <w:rPr>
          <w:rFonts w:hint="eastAsia"/>
          <w:b/>
          <w:szCs w:val="21"/>
        </w:rPr>
        <w:t>.6 验收程序</w:t>
      </w:r>
      <w:bookmarkEnd w:id="132"/>
      <w:bookmarkEnd w:id="133"/>
    </w:p>
    <w:p w14:paraId="438B33C1">
      <w:pPr>
        <w:numPr>
          <w:ilvl w:val="0"/>
          <w:numId w:val="46"/>
        </w:numPr>
        <w:tabs>
          <w:tab w:val="left" w:pos="851"/>
          <w:tab w:val="left" w:pos="945"/>
        </w:tabs>
        <w:spacing w:line="360" w:lineRule="auto"/>
        <w:ind w:left="0" w:firstLine="420" w:firstLineChars="200"/>
        <w:jc w:val="left"/>
        <w:rPr>
          <w:szCs w:val="21"/>
          <w:lang w:bidi="en-US"/>
        </w:rPr>
      </w:pPr>
      <w:r>
        <w:rPr>
          <w:rFonts w:hint="eastAsia"/>
          <w:szCs w:val="21"/>
          <w:lang w:bidi="en-US"/>
        </w:rPr>
        <w:t>投标人在正式验收之日3天前，向监理单位和招标人发送《竣工验收报告》；</w:t>
      </w:r>
    </w:p>
    <w:p w14:paraId="7E5BD969">
      <w:pPr>
        <w:numPr>
          <w:ilvl w:val="0"/>
          <w:numId w:val="46"/>
        </w:numPr>
        <w:tabs>
          <w:tab w:val="left" w:pos="851"/>
          <w:tab w:val="left" w:pos="945"/>
        </w:tabs>
        <w:spacing w:line="360" w:lineRule="auto"/>
        <w:ind w:left="0" w:firstLine="420" w:firstLineChars="200"/>
        <w:jc w:val="left"/>
        <w:rPr>
          <w:szCs w:val="21"/>
          <w:lang w:bidi="en-US"/>
        </w:rPr>
      </w:pPr>
      <w:r>
        <w:rPr>
          <w:rFonts w:hint="eastAsia"/>
          <w:szCs w:val="21"/>
          <w:lang w:bidi="en-US"/>
        </w:rPr>
        <w:t>组织验收：工程竣工验收工作由招标人组织监理单位和其它相关单位一起进行检查验收；</w:t>
      </w:r>
    </w:p>
    <w:p w14:paraId="50531F29">
      <w:pPr>
        <w:numPr>
          <w:ilvl w:val="0"/>
          <w:numId w:val="46"/>
        </w:numPr>
        <w:tabs>
          <w:tab w:val="left" w:pos="851"/>
          <w:tab w:val="left" w:pos="945"/>
        </w:tabs>
        <w:spacing w:line="360" w:lineRule="auto"/>
        <w:ind w:left="0" w:firstLine="420" w:firstLineChars="200"/>
        <w:jc w:val="left"/>
        <w:rPr>
          <w:szCs w:val="21"/>
          <w:lang w:bidi="en-US"/>
        </w:rPr>
      </w:pPr>
      <w:r>
        <w:rPr>
          <w:rFonts w:hint="eastAsia"/>
          <w:szCs w:val="21"/>
          <w:lang w:bidi="en-US"/>
        </w:rPr>
        <w:t>签发《竣工验收证明书》并办理工程移交。在招标人验收完毕并确认工程符合竣工标准和合同条款规定要求以后，即向投标人签发《竣工验收证明书》；</w:t>
      </w:r>
    </w:p>
    <w:p w14:paraId="09000575">
      <w:pPr>
        <w:numPr>
          <w:ilvl w:val="0"/>
          <w:numId w:val="46"/>
        </w:numPr>
        <w:tabs>
          <w:tab w:val="left" w:pos="851"/>
          <w:tab w:val="left" w:pos="945"/>
        </w:tabs>
        <w:spacing w:line="360" w:lineRule="auto"/>
        <w:ind w:left="0" w:firstLine="420" w:firstLineChars="200"/>
        <w:jc w:val="left"/>
        <w:rPr>
          <w:szCs w:val="21"/>
          <w:lang w:bidi="en-US"/>
        </w:rPr>
      </w:pPr>
      <w:r>
        <w:rPr>
          <w:rFonts w:hint="eastAsia"/>
          <w:szCs w:val="21"/>
          <w:lang w:bidi="en-US"/>
        </w:rPr>
        <w:t>办理工程档案资料移交；</w:t>
      </w:r>
    </w:p>
    <w:p w14:paraId="63FE3F7A">
      <w:pPr>
        <w:numPr>
          <w:ilvl w:val="0"/>
          <w:numId w:val="46"/>
        </w:numPr>
        <w:tabs>
          <w:tab w:val="left" w:pos="851"/>
          <w:tab w:val="left" w:pos="945"/>
        </w:tabs>
        <w:spacing w:line="360" w:lineRule="auto"/>
        <w:ind w:left="0" w:firstLine="420" w:firstLineChars="200"/>
        <w:jc w:val="left"/>
        <w:rPr>
          <w:szCs w:val="21"/>
          <w:lang w:bidi="en-US"/>
        </w:rPr>
      </w:pPr>
      <w:r>
        <w:rPr>
          <w:rFonts w:hint="eastAsia"/>
          <w:szCs w:val="21"/>
          <w:lang w:bidi="en-US"/>
        </w:rPr>
        <w:t>办理工程移交手续。</w:t>
      </w:r>
    </w:p>
    <w:p w14:paraId="418CFCA6">
      <w:pPr>
        <w:spacing w:line="360" w:lineRule="auto"/>
        <w:outlineLvl w:val="1"/>
        <w:rPr>
          <w:b/>
          <w:szCs w:val="21"/>
        </w:rPr>
      </w:pPr>
      <w:bookmarkStart w:id="134" w:name="_Toc206145345"/>
      <w:bookmarkStart w:id="135" w:name="_Toc6155"/>
      <w:r>
        <w:rPr>
          <w:b/>
          <w:szCs w:val="21"/>
        </w:rPr>
        <w:t>7</w:t>
      </w:r>
      <w:r>
        <w:rPr>
          <w:rFonts w:hint="eastAsia"/>
          <w:b/>
          <w:szCs w:val="21"/>
        </w:rPr>
        <w:t>.7 验收流程及内容</w:t>
      </w:r>
      <w:bookmarkEnd w:id="134"/>
      <w:bookmarkEnd w:id="135"/>
    </w:p>
    <w:p w14:paraId="6D67413E">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线槽、桥架、管线验收</w:t>
      </w:r>
    </w:p>
    <w:p w14:paraId="6F7FF5B5">
      <w:pPr>
        <w:tabs>
          <w:tab w:val="left" w:pos="851"/>
        </w:tabs>
        <w:spacing w:line="360" w:lineRule="auto"/>
        <w:ind w:firstLine="420" w:firstLineChars="200"/>
        <w:jc w:val="left"/>
        <w:rPr>
          <w:szCs w:val="21"/>
          <w:lang w:bidi="en-US"/>
        </w:rPr>
      </w:pPr>
      <w:r>
        <w:rPr>
          <w:rFonts w:hint="eastAsia"/>
          <w:szCs w:val="21"/>
          <w:lang w:bidi="en-US"/>
        </w:rPr>
        <w:t>安装与调试的工作界面，由招标人、投标人等共同参加。桥架、线槽、线管及线缆安装、敷设和测试完成后进行的阶段验收，桥架、线槽、管线验收是桥架、线槽、管线施工和设备安装与调试的工作界面，由招标人、施工单位、系统总包等共同参加。桥架、线槽、管线验收报告应包括桥架、管线施工图、施工的实际走向、长度与规格、安装质量、以及预埋及吊顶敷设、直埋电缆、接地极等隐蔽工程、线缆测试数据等。</w:t>
      </w:r>
    </w:p>
    <w:p w14:paraId="217AFBDF">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设备验收</w:t>
      </w:r>
    </w:p>
    <w:p w14:paraId="1B12D6B6">
      <w:pPr>
        <w:tabs>
          <w:tab w:val="left" w:pos="851"/>
        </w:tabs>
        <w:spacing w:line="360" w:lineRule="auto"/>
        <w:ind w:firstLine="420" w:firstLineChars="200"/>
        <w:jc w:val="left"/>
        <w:rPr>
          <w:szCs w:val="21"/>
          <w:lang w:bidi="en-US"/>
        </w:rPr>
      </w:pPr>
      <w:r>
        <w:rPr>
          <w:rFonts w:hint="eastAsia"/>
          <w:szCs w:val="21"/>
          <w:lang w:bidi="en-US"/>
        </w:rPr>
        <w:t>系统设备验收是指安装前的检验测试及设备安装到位后，如布线产品测试是否能满足要求等，投标人负责提供本工程范围内所使用的所有设备、材料、装置的原产地证明和相应的等级标准证明，并承诺向招标人提供各系统有关制造商提供的质保证明。</w:t>
      </w:r>
    </w:p>
    <w:p w14:paraId="4AC7A000">
      <w:pPr>
        <w:tabs>
          <w:tab w:val="left" w:pos="851"/>
        </w:tabs>
        <w:spacing w:line="360" w:lineRule="auto"/>
        <w:ind w:firstLine="420" w:firstLineChars="200"/>
        <w:jc w:val="left"/>
        <w:rPr>
          <w:szCs w:val="21"/>
          <w:lang w:bidi="en-US"/>
        </w:rPr>
      </w:pPr>
      <w:r>
        <w:rPr>
          <w:rFonts w:hint="eastAsia"/>
          <w:szCs w:val="21"/>
          <w:lang w:bidi="en-US"/>
        </w:rPr>
        <w:t>设备验收是进行系统调试的必要条件，同时也可以对没备安全质量、性能指标、产地证明、实际数量等及时核对清点，单体设备验收可由监理组织招标人、安装单位、设备供应商等共同参加。验收报告应包括：供货合同、随机资料、进口设备产地证明、报关单、设备安装施工下面图和工艺图，安装设备名称、型号规格、数量、测试数据等。</w:t>
      </w:r>
    </w:p>
    <w:p w14:paraId="38F6C3E2">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子系统功能验收</w:t>
      </w:r>
    </w:p>
    <w:p w14:paraId="54EA1950">
      <w:pPr>
        <w:tabs>
          <w:tab w:val="left" w:pos="851"/>
        </w:tabs>
        <w:spacing w:line="360" w:lineRule="auto"/>
        <w:ind w:firstLine="420" w:firstLineChars="200"/>
        <w:jc w:val="left"/>
        <w:rPr>
          <w:szCs w:val="21"/>
          <w:lang w:bidi="en-US"/>
        </w:rPr>
      </w:pPr>
      <w:r>
        <w:rPr>
          <w:rFonts w:hint="eastAsia"/>
          <w:szCs w:val="21"/>
          <w:lang w:bidi="en-US"/>
        </w:rPr>
        <w:t>子系统功能验收是指对调试合格的子系统及实施功能性验收，以便和系统及早投入试运行，验收报告应包括：系统功能说明（技术方案）、工程承包合同、系统调试（验收）大纲、系统调试（验收）记录、系统操作手册（说明书）等。子系统可以进入试运行的必要条件。</w:t>
      </w:r>
    </w:p>
    <w:p w14:paraId="325B5D92">
      <w:pPr>
        <w:tabs>
          <w:tab w:val="left" w:pos="851"/>
        </w:tabs>
        <w:spacing w:line="360" w:lineRule="auto"/>
        <w:ind w:firstLine="420" w:firstLineChars="200"/>
        <w:jc w:val="left"/>
        <w:rPr>
          <w:szCs w:val="21"/>
          <w:lang w:bidi="en-US"/>
        </w:rPr>
      </w:pPr>
      <w:r>
        <w:rPr>
          <w:rFonts w:hint="eastAsia"/>
          <w:szCs w:val="21"/>
          <w:lang w:bidi="en-US"/>
        </w:rPr>
        <w:t>各个子系统的验收规范详见以下内容。</w:t>
      </w:r>
    </w:p>
    <w:p w14:paraId="14F5A94D">
      <w:pPr>
        <w:tabs>
          <w:tab w:val="left" w:pos="851"/>
        </w:tabs>
        <w:spacing w:line="360" w:lineRule="auto"/>
        <w:ind w:firstLine="420" w:firstLineChars="200"/>
        <w:jc w:val="left"/>
        <w:rPr>
          <w:szCs w:val="21"/>
          <w:lang w:bidi="en-US"/>
        </w:rPr>
      </w:pPr>
      <w:r>
        <w:rPr>
          <w:rFonts w:hint="eastAsia"/>
          <w:szCs w:val="21"/>
          <w:lang w:bidi="en-US"/>
        </w:rPr>
        <w:t>以上三个阶段验收若发现质量问题，应填写不符合项质量报告单，并立即整改，纠正不符合项，经复检合格后，参与验收者在验收报告上签章归档，以备资料整编交工。</w:t>
      </w:r>
    </w:p>
    <w:p w14:paraId="0BF49FCB">
      <w:pPr>
        <w:numPr>
          <w:ilvl w:val="0"/>
          <w:numId w:val="45"/>
        </w:numPr>
        <w:tabs>
          <w:tab w:val="left" w:pos="851"/>
        </w:tabs>
        <w:spacing w:line="360" w:lineRule="auto"/>
        <w:ind w:left="0" w:firstLine="422" w:firstLineChars="200"/>
        <w:jc w:val="left"/>
        <w:rPr>
          <w:b/>
          <w:szCs w:val="21"/>
          <w:lang w:bidi="en-US"/>
        </w:rPr>
      </w:pPr>
      <w:r>
        <w:rPr>
          <w:rFonts w:hint="eastAsia"/>
          <w:b/>
          <w:szCs w:val="21"/>
          <w:lang w:bidi="en-US"/>
        </w:rPr>
        <w:t>竣工验收</w:t>
      </w:r>
    </w:p>
    <w:p w14:paraId="653632FC">
      <w:pPr>
        <w:tabs>
          <w:tab w:val="left" w:pos="851"/>
        </w:tabs>
        <w:spacing w:line="360" w:lineRule="auto"/>
        <w:ind w:firstLine="420" w:firstLineChars="200"/>
        <w:jc w:val="left"/>
        <w:rPr>
          <w:szCs w:val="21"/>
          <w:lang w:bidi="en-US"/>
        </w:rPr>
      </w:pPr>
      <w:r>
        <w:rPr>
          <w:rFonts w:hint="eastAsia"/>
          <w:szCs w:val="21"/>
          <w:lang w:bidi="en-US"/>
        </w:rPr>
        <w:t>投标人按工程合同规定的施工范围和质量标准，就工程各子系统的施工质量、单系统功能调试和多系统联动调试完成预检自检并合格，经过一定时间稳定试运行后，可向项目监理部申请组织工程竣工预验收，提出详细的竣工验收方案供招标人（含业主）、监理和设计等单位进行审批。</w:t>
      </w:r>
    </w:p>
    <w:p w14:paraId="65843917">
      <w:pPr>
        <w:tabs>
          <w:tab w:val="left" w:pos="851"/>
        </w:tabs>
        <w:spacing w:line="360" w:lineRule="auto"/>
        <w:ind w:firstLine="420" w:firstLineChars="200"/>
        <w:jc w:val="left"/>
        <w:rPr>
          <w:szCs w:val="21"/>
          <w:lang w:bidi="en-US"/>
        </w:rPr>
      </w:pPr>
      <w:r>
        <w:rPr>
          <w:rFonts w:hint="eastAsia"/>
          <w:szCs w:val="21"/>
          <w:lang w:bidi="en-US"/>
        </w:rPr>
        <w:t>项目监理部收到投标人的竣工预验收申请报告后，就验收的准备情况和验收条件进行检查，对工程质量进行预验收。具备如下条件时，可申请工程竣工验收：</w:t>
      </w:r>
    </w:p>
    <w:p w14:paraId="7C5536A9">
      <w:pPr>
        <w:numPr>
          <w:ilvl w:val="1"/>
          <w:numId w:val="47"/>
        </w:numPr>
        <w:tabs>
          <w:tab w:val="left" w:pos="851"/>
        </w:tabs>
        <w:spacing w:line="360" w:lineRule="auto"/>
        <w:ind w:left="0" w:firstLine="420" w:firstLineChars="200"/>
        <w:jc w:val="left"/>
        <w:rPr>
          <w:szCs w:val="21"/>
          <w:lang w:bidi="en-US"/>
        </w:rPr>
      </w:pPr>
      <w:r>
        <w:rPr>
          <w:rFonts w:hint="eastAsia"/>
          <w:szCs w:val="21"/>
          <w:lang w:bidi="en-US"/>
        </w:rPr>
        <w:t>完成工程设计和工程合同约定的各项建设内容；</w:t>
      </w:r>
    </w:p>
    <w:p w14:paraId="4A2CAEA8">
      <w:pPr>
        <w:numPr>
          <w:ilvl w:val="1"/>
          <w:numId w:val="47"/>
        </w:numPr>
        <w:tabs>
          <w:tab w:val="left" w:pos="851"/>
        </w:tabs>
        <w:spacing w:line="360" w:lineRule="auto"/>
        <w:ind w:left="0" w:firstLine="420" w:firstLineChars="200"/>
        <w:jc w:val="left"/>
        <w:rPr>
          <w:szCs w:val="21"/>
          <w:lang w:bidi="en-US"/>
        </w:rPr>
      </w:pPr>
      <w:r>
        <w:rPr>
          <w:rFonts w:hint="eastAsia"/>
          <w:szCs w:val="21"/>
          <w:lang w:bidi="en-US"/>
        </w:rPr>
        <w:t>有完成的技术档案和施工管理资料；</w:t>
      </w:r>
    </w:p>
    <w:p w14:paraId="4EFDA74D">
      <w:pPr>
        <w:numPr>
          <w:ilvl w:val="1"/>
          <w:numId w:val="47"/>
        </w:numPr>
        <w:tabs>
          <w:tab w:val="left" w:pos="851"/>
        </w:tabs>
        <w:spacing w:line="360" w:lineRule="auto"/>
        <w:ind w:left="0" w:firstLine="420" w:firstLineChars="200"/>
        <w:jc w:val="left"/>
        <w:rPr>
          <w:szCs w:val="21"/>
          <w:lang w:bidi="en-US"/>
        </w:rPr>
      </w:pPr>
      <w:r>
        <w:rPr>
          <w:rFonts w:hint="eastAsia"/>
          <w:szCs w:val="21"/>
          <w:lang w:bidi="en-US"/>
        </w:rPr>
        <w:t>工程使用的主要设备、材料和构配件的进场试验报告；</w:t>
      </w:r>
    </w:p>
    <w:p w14:paraId="4AEA2DDA">
      <w:pPr>
        <w:numPr>
          <w:ilvl w:val="1"/>
          <w:numId w:val="47"/>
        </w:numPr>
        <w:tabs>
          <w:tab w:val="left" w:pos="851"/>
        </w:tabs>
        <w:spacing w:line="360" w:lineRule="auto"/>
        <w:ind w:left="0" w:firstLine="420" w:firstLineChars="200"/>
        <w:jc w:val="left"/>
        <w:rPr>
          <w:szCs w:val="21"/>
          <w:lang w:bidi="en-US"/>
        </w:rPr>
      </w:pPr>
      <w:r>
        <w:rPr>
          <w:rFonts w:hint="eastAsia"/>
          <w:szCs w:val="21"/>
          <w:lang w:bidi="en-US"/>
        </w:rPr>
        <w:t>工程勘察、设计、投标人和监理单位分别签署的工程质量合格文件；</w:t>
      </w:r>
    </w:p>
    <w:p w14:paraId="341DA5C4">
      <w:pPr>
        <w:numPr>
          <w:ilvl w:val="1"/>
          <w:numId w:val="47"/>
        </w:numPr>
        <w:tabs>
          <w:tab w:val="left" w:pos="851"/>
        </w:tabs>
        <w:spacing w:line="360" w:lineRule="auto"/>
        <w:ind w:left="0" w:firstLine="420" w:firstLineChars="200"/>
        <w:jc w:val="left"/>
        <w:rPr>
          <w:szCs w:val="21"/>
          <w:lang w:bidi="en-US"/>
        </w:rPr>
      </w:pPr>
      <w:r>
        <w:rPr>
          <w:rFonts w:hint="eastAsia"/>
          <w:szCs w:val="21"/>
          <w:lang w:bidi="en-US"/>
        </w:rPr>
        <w:t>投标人签署的工程质量保修书。</w:t>
      </w:r>
    </w:p>
    <w:p w14:paraId="768913E7">
      <w:pPr>
        <w:tabs>
          <w:tab w:val="left" w:pos="851"/>
        </w:tabs>
        <w:spacing w:line="360" w:lineRule="auto"/>
        <w:ind w:firstLine="420" w:firstLineChars="200"/>
        <w:jc w:val="left"/>
        <w:rPr>
          <w:szCs w:val="21"/>
          <w:lang w:bidi="en-US"/>
        </w:rPr>
      </w:pPr>
      <w:r>
        <w:rPr>
          <w:rFonts w:hint="eastAsia"/>
          <w:szCs w:val="21"/>
          <w:lang w:bidi="en-US"/>
        </w:rPr>
        <w:t>招标人收到工程竣工验收报告后，负责组织勘察、设计、投标人、监理等单位负责人和其他方面专家组成竣工验收小组，制定验收方案和完成验收各项具体工作。正式验收的主要工作有：</w:t>
      </w:r>
    </w:p>
    <w:p w14:paraId="61C038E5">
      <w:pPr>
        <w:numPr>
          <w:ilvl w:val="0"/>
          <w:numId w:val="48"/>
        </w:numPr>
        <w:tabs>
          <w:tab w:val="left" w:pos="851"/>
        </w:tabs>
        <w:spacing w:line="360" w:lineRule="auto"/>
        <w:ind w:left="0" w:firstLine="420" w:firstLineChars="200"/>
        <w:jc w:val="left"/>
        <w:rPr>
          <w:szCs w:val="21"/>
          <w:lang w:bidi="en-US"/>
        </w:rPr>
      </w:pPr>
      <w:r>
        <w:rPr>
          <w:rFonts w:hint="eastAsia"/>
          <w:szCs w:val="21"/>
          <w:lang w:bidi="en-US"/>
        </w:rPr>
        <w:t>招标人(含业主)、勘察、设计、投标人、监理单位就各自工程合同履约情况及工程施工各环节满足设计要求、质量符合法律、法规和强制性标准的情况进行汇报；</w:t>
      </w:r>
    </w:p>
    <w:p w14:paraId="0EDBE3E3">
      <w:pPr>
        <w:numPr>
          <w:ilvl w:val="0"/>
          <w:numId w:val="48"/>
        </w:numPr>
        <w:tabs>
          <w:tab w:val="left" w:pos="851"/>
        </w:tabs>
        <w:spacing w:line="360" w:lineRule="auto"/>
        <w:ind w:left="0" w:firstLine="420" w:firstLineChars="200"/>
        <w:jc w:val="left"/>
        <w:rPr>
          <w:szCs w:val="21"/>
          <w:lang w:bidi="en-US"/>
        </w:rPr>
      </w:pPr>
      <w:r>
        <w:rPr>
          <w:rFonts w:hint="eastAsia"/>
          <w:szCs w:val="21"/>
          <w:lang w:bidi="en-US"/>
        </w:rPr>
        <w:t>审核勘察、设计、投标人、监理等各单位提交的工程档案资料及竣工验收资料；</w:t>
      </w:r>
    </w:p>
    <w:p w14:paraId="41C21481">
      <w:pPr>
        <w:numPr>
          <w:ilvl w:val="0"/>
          <w:numId w:val="48"/>
        </w:numPr>
        <w:tabs>
          <w:tab w:val="left" w:pos="851"/>
        </w:tabs>
        <w:spacing w:line="360" w:lineRule="auto"/>
        <w:ind w:left="0" w:firstLine="420" w:firstLineChars="200"/>
        <w:jc w:val="left"/>
        <w:rPr>
          <w:szCs w:val="21"/>
          <w:lang w:bidi="en-US"/>
        </w:rPr>
      </w:pPr>
      <w:r>
        <w:rPr>
          <w:rFonts w:hint="eastAsia"/>
          <w:szCs w:val="21"/>
          <w:lang w:bidi="en-US"/>
        </w:rPr>
        <w:t>评审项目质量，对主要工程部位的施工质量进行抽查，复检和鉴定，对系统设计的先进性、合理性、经济性进行鉴定和评审；</w:t>
      </w:r>
    </w:p>
    <w:p w14:paraId="3ED2ADA7">
      <w:pPr>
        <w:numPr>
          <w:ilvl w:val="0"/>
          <w:numId w:val="48"/>
        </w:numPr>
        <w:tabs>
          <w:tab w:val="left" w:pos="851"/>
        </w:tabs>
        <w:spacing w:line="360" w:lineRule="auto"/>
        <w:ind w:left="0" w:firstLine="420" w:firstLineChars="200"/>
        <w:jc w:val="left"/>
        <w:rPr>
          <w:szCs w:val="21"/>
          <w:lang w:bidi="en-US"/>
        </w:rPr>
      </w:pPr>
      <w:r>
        <w:rPr>
          <w:rFonts w:hint="eastAsia"/>
          <w:szCs w:val="21"/>
          <w:lang w:bidi="en-US"/>
        </w:rPr>
        <w:t>核定收尾工程项目，对遗留问题提出处理意见；</w:t>
      </w:r>
    </w:p>
    <w:p w14:paraId="30AC9BE8">
      <w:pPr>
        <w:numPr>
          <w:ilvl w:val="0"/>
          <w:numId w:val="48"/>
        </w:numPr>
        <w:tabs>
          <w:tab w:val="left" w:pos="851"/>
        </w:tabs>
        <w:spacing w:line="360" w:lineRule="auto"/>
        <w:ind w:left="0" w:firstLine="420" w:firstLineChars="200"/>
        <w:jc w:val="left"/>
        <w:rPr>
          <w:szCs w:val="21"/>
          <w:lang w:bidi="en-US"/>
        </w:rPr>
      </w:pPr>
      <w:r>
        <w:rPr>
          <w:rFonts w:hint="eastAsia"/>
          <w:szCs w:val="21"/>
          <w:lang w:bidi="en-US"/>
        </w:rPr>
        <w:t>对工程施工质量管理工作、工程实体质量及质保资料情况进行全面评价，形成经验收组人员共同签名确认的竣工验收意见；</w:t>
      </w:r>
    </w:p>
    <w:p w14:paraId="590713BB">
      <w:pPr>
        <w:numPr>
          <w:ilvl w:val="0"/>
          <w:numId w:val="48"/>
        </w:numPr>
        <w:tabs>
          <w:tab w:val="left" w:pos="851"/>
        </w:tabs>
        <w:spacing w:line="360" w:lineRule="auto"/>
        <w:ind w:left="0" w:firstLine="420" w:firstLineChars="200"/>
        <w:jc w:val="left"/>
        <w:rPr>
          <w:szCs w:val="21"/>
          <w:lang w:bidi="en-US"/>
        </w:rPr>
      </w:pPr>
      <w:r>
        <w:rPr>
          <w:rFonts w:hint="eastAsia"/>
          <w:szCs w:val="21"/>
          <w:lang w:bidi="en-US"/>
        </w:rPr>
        <w:t>竣工验收合格后，招标人负责出具竣工验收报告。</w:t>
      </w:r>
    </w:p>
    <w:p w14:paraId="2064998F">
      <w:pPr>
        <w:tabs>
          <w:tab w:val="left" w:pos="851"/>
        </w:tabs>
        <w:spacing w:line="360" w:lineRule="auto"/>
        <w:ind w:firstLine="420" w:firstLineChars="200"/>
        <w:jc w:val="left"/>
        <w:rPr>
          <w:szCs w:val="21"/>
          <w:lang w:bidi="en-US"/>
        </w:rPr>
      </w:pPr>
      <w:r>
        <w:rPr>
          <w:rFonts w:hint="eastAsia"/>
          <w:szCs w:val="21"/>
          <w:lang w:bidi="en-US"/>
        </w:rPr>
        <w:t>在子系统功能验收，系统集成验收、专家测试验收之前，施工单位质管部门应首先自行组织自检，检查技术资料和工程质量。竣工验收时如发现问题，应停止验收，待投标人处理完后，再进行全面验收，并做好验收记录。</w:t>
      </w:r>
    </w:p>
    <w:p w14:paraId="320C11E3">
      <w:pPr>
        <w:spacing w:line="360" w:lineRule="auto"/>
        <w:outlineLvl w:val="0"/>
        <w:rPr>
          <w:b/>
          <w:szCs w:val="21"/>
        </w:rPr>
      </w:pPr>
      <w:bookmarkStart w:id="136" w:name="_Toc206145346"/>
      <w:r>
        <w:rPr>
          <w:rFonts w:hint="eastAsia"/>
          <w:b/>
          <w:szCs w:val="21"/>
        </w:rPr>
        <w:t>8 环保控制措施</w:t>
      </w:r>
      <w:bookmarkEnd w:id="136"/>
    </w:p>
    <w:p w14:paraId="3EDF3692">
      <w:pPr>
        <w:spacing w:line="360" w:lineRule="auto"/>
        <w:outlineLvl w:val="1"/>
        <w:rPr>
          <w:b/>
          <w:szCs w:val="21"/>
        </w:rPr>
      </w:pPr>
      <w:bookmarkStart w:id="137" w:name="_Toc206145347"/>
      <w:r>
        <w:rPr>
          <w:rFonts w:hint="eastAsia"/>
          <w:b/>
          <w:szCs w:val="21"/>
        </w:rPr>
        <w:t>8.1建筑装修材料要求</w:t>
      </w:r>
      <w:bookmarkEnd w:id="137"/>
    </w:p>
    <w:p w14:paraId="261AFD7D">
      <w:pPr>
        <w:spacing w:line="360" w:lineRule="auto"/>
        <w:ind w:firstLine="420" w:firstLineChars="200"/>
        <w:rPr>
          <w:rFonts w:ascii="Arial" w:hAnsi="Arial"/>
          <w:szCs w:val="20"/>
        </w:rPr>
      </w:pPr>
      <w:r>
        <w:rPr>
          <w:rFonts w:hint="eastAsia"/>
        </w:rPr>
        <w:t>本工程应满足国家及中国南方电网有限责任公司施工验收规范。本工程施工所采用的建筑材料及室内装修材料必须至少满足以下国家规范要求：</w:t>
      </w:r>
    </w:p>
    <w:p w14:paraId="43698FF4">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建筑材料放射性核素限量GB B6566-2001</w:t>
      </w:r>
    </w:p>
    <w:p w14:paraId="030AFEF8">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《室内装饰装修材料》人造板及其制品甲醛释放限量 GB 18580-2001</w:t>
      </w:r>
    </w:p>
    <w:p w14:paraId="63973FE3">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《室内装饰装修材料》溶剂型木器涂料中有害物质限量 GB 18581-2001</w:t>
      </w:r>
    </w:p>
    <w:p w14:paraId="07409A45">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《室内装饰装修材料》内墙涂料中有害物限量 GB 18582-2001</w:t>
      </w:r>
    </w:p>
    <w:p w14:paraId="41AA274D">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《室内装饰装修材料》粘胶剂中有害物质限量 GB 18583-2001</w:t>
      </w:r>
    </w:p>
    <w:p w14:paraId="61A1D6CE">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《室内装饰装修材料》木家具中有害物质限量 GB 18584-2001</w:t>
      </w:r>
    </w:p>
    <w:p w14:paraId="295CE356">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《室内装饰装修材料》墙纸中有害物限量 GB 18585-2001</w:t>
      </w:r>
    </w:p>
    <w:p w14:paraId="576C28DA">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《室内装饰装修材料》聚氯乙稀中有害物限量 GB 18586-2001</w:t>
      </w:r>
    </w:p>
    <w:p w14:paraId="7413A98A">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《室内装饰装修材料》地毯、地毯垫及地毯粘胶剂中有害物限量 GB 18587-2001</w:t>
      </w:r>
    </w:p>
    <w:p w14:paraId="3B9AC04B">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《室内装饰装修材料》混凝土外加剂释放氨的限量中有害物限量 GB 18588-2001</w:t>
      </w:r>
    </w:p>
    <w:p w14:paraId="0770EF39">
      <w:pPr>
        <w:pStyle w:val="12"/>
        <w:numPr>
          <w:ilvl w:val="0"/>
          <w:numId w:val="49"/>
        </w:numPr>
        <w:spacing w:line="360" w:lineRule="auto"/>
        <w:contextualSpacing/>
        <w:rPr>
          <w:rFonts w:ascii="Arial" w:hAnsi="Arial"/>
          <w:szCs w:val="20"/>
        </w:rPr>
      </w:pPr>
      <w:r>
        <w:rPr>
          <w:rFonts w:hint="eastAsia" w:ascii="Arial" w:hAnsi="Arial"/>
          <w:szCs w:val="20"/>
        </w:rPr>
        <w:t>《混凝土外加剂中释放氨限量》GB l8588</w:t>
      </w:r>
    </w:p>
    <w:p w14:paraId="74556EF2">
      <w:pPr>
        <w:pStyle w:val="12"/>
        <w:numPr>
          <w:ilvl w:val="0"/>
          <w:numId w:val="49"/>
        </w:numPr>
        <w:spacing w:line="360" w:lineRule="auto"/>
        <w:ind w:leftChars="0" w:firstLineChars="0"/>
        <w:contextualSpacing/>
        <w:rPr>
          <w:rFonts w:ascii="Arial" w:hAnsi="Arial"/>
          <w:szCs w:val="20"/>
        </w:rPr>
      </w:pPr>
      <w:r>
        <w:rPr>
          <w:rFonts w:hint="eastAsia" w:ascii="Arial" w:hAnsi="Arial"/>
          <w:szCs w:val="20"/>
        </w:rPr>
        <w:t>《民用建筑工程室内环境污染控制规范》 GB 50325-2001</w:t>
      </w:r>
    </w:p>
    <w:p w14:paraId="0F5DF83F">
      <w:pPr>
        <w:spacing w:line="360" w:lineRule="auto"/>
        <w:outlineLvl w:val="1"/>
        <w:rPr>
          <w:b/>
          <w:szCs w:val="21"/>
        </w:rPr>
      </w:pPr>
      <w:bookmarkStart w:id="138" w:name="_Toc206145348"/>
      <w:r>
        <w:rPr>
          <w:rFonts w:hint="eastAsia"/>
          <w:b/>
          <w:szCs w:val="21"/>
        </w:rPr>
        <w:t>8.2材料送检要求</w:t>
      </w:r>
      <w:bookmarkEnd w:id="138"/>
    </w:p>
    <w:p w14:paraId="24C43B79">
      <w:pPr>
        <w:spacing w:line="360" w:lineRule="auto"/>
        <w:ind w:firstLine="420" w:firstLineChars="200"/>
      </w:pPr>
      <w:r>
        <w:rPr>
          <w:rFonts w:hint="eastAsia"/>
        </w:rPr>
        <w:t>本工程中标人应按照国家相关规范要求进行材料验收。材料进场后，招标人</w:t>
      </w:r>
      <w:r>
        <w:t>有权要求</w:t>
      </w:r>
      <w:r>
        <w:rPr>
          <w:rFonts w:hint="eastAsia"/>
        </w:rPr>
        <w:t>中标人将主要的建筑装修材料</w:t>
      </w:r>
      <w:r>
        <w:t>送</w:t>
      </w:r>
      <w:r>
        <w:rPr>
          <w:rFonts w:hint="eastAsia"/>
        </w:rPr>
        <w:t>到</w:t>
      </w:r>
      <w:r>
        <w:t>专业的质量检测</w:t>
      </w:r>
      <w:r>
        <w:rPr>
          <w:rFonts w:hint="eastAsia"/>
        </w:rPr>
        <w:t>机构（广州市建设工程质量检测监管信息联网检测机构）检验。</w:t>
      </w:r>
      <w:r>
        <w:t>送检</w:t>
      </w:r>
      <w:r>
        <w:rPr>
          <w:rFonts w:hint="eastAsia"/>
        </w:rPr>
        <w:t>材料检测</w:t>
      </w:r>
      <w:r>
        <w:t>合格后，应由检测中心出具检测报告，</w:t>
      </w:r>
      <w:r>
        <w:rPr>
          <w:rFonts w:hint="eastAsia"/>
        </w:rPr>
        <w:t>检测</w:t>
      </w:r>
      <w:r>
        <w:t>不合格品，应重新采购合格材料，再次</w:t>
      </w:r>
      <w:r>
        <w:rPr>
          <w:rFonts w:hint="eastAsia"/>
        </w:rPr>
        <w:t>送</w:t>
      </w:r>
      <w:r>
        <w:t>检合格后</w:t>
      </w:r>
      <w:r>
        <w:rPr>
          <w:rFonts w:hint="eastAsia"/>
        </w:rPr>
        <w:t>方</w:t>
      </w:r>
      <w:r>
        <w:t>可用于本</w:t>
      </w:r>
      <w:r>
        <w:rPr>
          <w:rFonts w:hint="eastAsia"/>
        </w:rPr>
        <w:t>项目</w:t>
      </w:r>
      <w:r>
        <w:t>。</w:t>
      </w:r>
      <w:r>
        <w:rPr>
          <w:rFonts w:hint="eastAsia"/>
        </w:rPr>
        <w:t>所需检测费用由中标人负责。</w:t>
      </w:r>
    </w:p>
    <w:p w14:paraId="0A7F7DDA">
      <w:pPr>
        <w:spacing w:line="360" w:lineRule="auto"/>
        <w:ind w:firstLine="420" w:firstLineChars="200"/>
      </w:pPr>
      <w:r>
        <w:rPr>
          <w:rFonts w:hint="eastAsia"/>
        </w:rPr>
        <w:t>施工过程中，招标人有权根据现场施工情况抽取材料样本，要求中标人进行复验。一般同一厂家生产的同一品种、同一类型的进场材料抽取一组样品进行复验。若检测</w:t>
      </w:r>
      <w:r>
        <w:t>不合格，应</w:t>
      </w:r>
      <w:r>
        <w:rPr>
          <w:rFonts w:hint="eastAsia"/>
        </w:rPr>
        <w:t>立即更换合格</w:t>
      </w:r>
      <w:r>
        <w:t>材料</w:t>
      </w:r>
      <w:r>
        <w:rPr>
          <w:rFonts w:hint="eastAsia"/>
        </w:rPr>
        <w:t>。</w:t>
      </w:r>
    </w:p>
    <w:p w14:paraId="0BC4D55C">
      <w:pPr>
        <w:spacing w:line="360" w:lineRule="auto"/>
        <w:ind w:firstLine="420" w:firstLineChars="200"/>
      </w:pPr>
      <w:r>
        <w:rPr>
          <w:rFonts w:hint="eastAsia"/>
        </w:rPr>
        <w:t>若材料送检过程中出现问题带来相关工期延误、费用变更、工程质量缺陷等相关责任由中标人负责</w:t>
      </w:r>
      <w:r>
        <w:t>。</w:t>
      </w:r>
    </w:p>
    <w:p w14:paraId="373B4763">
      <w:pPr>
        <w:spacing w:line="360" w:lineRule="auto"/>
        <w:outlineLvl w:val="1"/>
        <w:rPr>
          <w:b/>
          <w:szCs w:val="21"/>
        </w:rPr>
      </w:pPr>
      <w:bookmarkStart w:id="139" w:name="_Toc206145349"/>
      <w:r>
        <w:rPr>
          <w:rFonts w:hint="eastAsia"/>
          <w:b/>
          <w:szCs w:val="21"/>
        </w:rPr>
        <w:t>8.3环保验收要求</w:t>
      </w:r>
      <w:bookmarkEnd w:id="139"/>
    </w:p>
    <w:p w14:paraId="27264AC6">
      <w:pPr>
        <w:spacing w:line="360" w:lineRule="auto"/>
        <w:ind w:firstLine="420" w:firstLineChars="200"/>
      </w:pPr>
      <w:r>
        <w:rPr>
          <w:rFonts w:hint="eastAsia"/>
        </w:rPr>
        <w:t>本工程竣工验收前，招标人有权委托专业第三方检测机构进行环保检测和评估，检测不合格的，一律不予竣工验收。对环保检测的不合格项，中标人应无条件进行返工修复或治理，直至检测合格为止。因此造成损失的，招标人有权追求相关责任。</w:t>
      </w:r>
    </w:p>
    <w:p w14:paraId="4E275CA9">
      <w:pPr>
        <w:spacing w:line="360" w:lineRule="auto"/>
        <w:outlineLvl w:val="0"/>
        <w:rPr>
          <w:b/>
          <w:szCs w:val="21"/>
        </w:rPr>
      </w:pPr>
      <w:bookmarkStart w:id="140" w:name="_Toc12790"/>
      <w:bookmarkStart w:id="141" w:name="_Toc206145350"/>
      <w:r>
        <w:rPr>
          <w:rFonts w:hint="eastAsia"/>
          <w:b/>
          <w:szCs w:val="21"/>
        </w:rPr>
        <w:t>9</w:t>
      </w:r>
      <w:r>
        <w:rPr>
          <w:b/>
          <w:szCs w:val="21"/>
        </w:rPr>
        <w:t>其他要求</w:t>
      </w:r>
      <w:bookmarkEnd w:id="140"/>
      <w:bookmarkEnd w:id="141"/>
    </w:p>
    <w:p w14:paraId="5548C7A3">
      <w:pPr>
        <w:tabs>
          <w:tab w:val="left" w:pos="851"/>
        </w:tabs>
        <w:spacing w:line="360" w:lineRule="auto"/>
        <w:ind w:firstLine="420" w:firstLineChars="200"/>
        <w:jc w:val="left"/>
        <w:rPr>
          <w:szCs w:val="21"/>
          <w:lang w:val="zh-CN"/>
        </w:rPr>
      </w:pPr>
      <w:r>
        <w:rPr>
          <w:rFonts w:hint="eastAsia"/>
          <w:szCs w:val="21"/>
          <w:lang w:val="zh-CN"/>
        </w:rPr>
        <w:t>本技术规范书的最终解释权归招标人。</w:t>
      </w:r>
    </w:p>
    <w:p w14:paraId="460795FD">
      <w:pPr>
        <w:spacing w:line="360" w:lineRule="auto"/>
        <w:outlineLvl w:val="0"/>
        <w:rPr>
          <w:b/>
          <w:szCs w:val="21"/>
        </w:rPr>
      </w:pPr>
      <w:bookmarkStart w:id="142" w:name="_Toc9253"/>
      <w:bookmarkStart w:id="143" w:name="_Toc206145351"/>
      <w:r>
        <w:rPr>
          <w:b/>
          <w:szCs w:val="21"/>
        </w:rPr>
        <w:t>10</w:t>
      </w:r>
      <w:r>
        <w:rPr>
          <w:rFonts w:hint="eastAsia"/>
          <w:b/>
          <w:szCs w:val="21"/>
        </w:rPr>
        <w:t xml:space="preserve"> 项目品牌推荐及内容清单</w:t>
      </w:r>
      <w:bookmarkEnd w:id="142"/>
      <w:bookmarkEnd w:id="143"/>
    </w:p>
    <w:p w14:paraId="36B1706C">
      <w:pPr>
        <w:tabs>
          <w:tab w:val="left" w:pos="851"/>
        </w:tabs>
        <w:spacing w:line="360" w:lineRule="auto"/>
        <w:ind w:firstLine="420" w:firstLineChars="200"/>
        <w:jc w:val="left"/>
        <w:rPr>
          <w:szCs w:val="21"/>
          <w:lang w:bidi="en-US"/>
        </w:rPr>
      </w:pPr>
      <w:r>
        <w:rPr>
          <w:rFonts w:hint="eastAsia"/>
          <w:szCs w:val="21"/>
          <w:lang w:bidi="en-US"/>
        </w:rPr>
        <w:t>本工程由投标人负责采购的材料、设备及施工工艺必须符合国家最新规范要求及设计技术指标要求，表中未列的所有设备、材料必须采用同类名牌产品的优等品系列。</w:t>
      </w:r>
    </w:p>
    <w:p w14:paraId="5857B8CB">
      <w:pPr>
        <w:tabs>
          <w:tab w:val="left" w:pos="851"/>
        </w:tabs>
        <w:spacing w:line="360" w:lineRule="auto"/>
        <w:ind w:firstLine="420" w:firstLineChars="200"/>
        <w:jc w:val="left"/>
        <w:rPr>
          <w:szCs w:val="21"/>
          <w:lang w:bidi="en-US"/>
        </w:rPr>
      </w:pPr>
      <w:r>
        <w:rPr>
          <w:rFonts w:hint="eastAsia"/>
          <w:szCs w:val="21"/>
          <w:lang w:bidi="en-US"/>
        </w:rPr>
        <w:t>对于投标人采购的主要设备、材料必须参见设备材料推荐品牌作为投标报价的依据以及质量控制的标准。投标人在工程实施过程中，主要设备、材料须按本附件以及施工合同规定的程序选用材料及设备品牌。若采用与之档次相当或更高档次的其它品牌，投标人须经招标人同意，且此材料替换不得影响清单单价。招标人有权根据工程需要变更推荐品牌，及变更投标人采购的主要设备、材料的范围。</w:t>
      </w:r>
    </w:p>
    <w:p w14:paraId="1F535C2C">
      <w:pPr>
        <w:widowControl/>
        <w:spacing w:line="360" w:lineRule="auto"/>
        <w:jc w:val="center"/>
        <w:rPr>
          <w:bCs/>
          <w:lang w:bidi="en-US"/>
        </w:rPr>
      </w:pPr>
      <w:r>
        <w:rPr>
          <w:rFonts w:hint="eastAsia"/>
          <w:bCs/>
          <w:lang w:bidi="en-US"/>
        </w:rPr>
        <w:t>主要设备材料推荐品牌</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126"/>
        <w:gridCol w:w="1389"/>
        <w:gridCol w:w="4111"/>
      </w:tblGrid>
      <w:tr w14:paraId="6DA4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blHeader/>
        </w:trPr>
        <w:tc>
          <w:tcPr>
            <w:tcW w:w="704" w:type="dxa"/>
            <w:shd w:val="clear" w:color="auto" w:fill="auto"/>
            <w:vAlign w:val="center"/>
          </w:tcPr>
          <w:p w14:paraId="2284930A">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序号</w:t>
            </w:r>
          </w:p>
        </w:tc>
        <w:tc>
          <w:tcPr>
            <w:tcW w:w="2126" w:type="dxa"/>
            <w:shd w:val="clear" w:color="auto" w:fill="auto"/>
            <w:vAlign w:val="center"/>
          </w:tcPr>
          <w:p w14:paraId="38178658">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设备或材料名称</w:t>
            </w:r>
          </w:p>
        </w:tc>
        <w:tc>
          <w:tcPr>
            <w:tcW w:w="1389" w:type="dxa"/>
            <w:shd w:val="clear" w:color="auto" w:fill="auto"/>
            <w:vAlign w:val="center"/>
          </w:tcPr>
          <w:p w14:paraId="5A597A58">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品牌档次</w:t>
            </w:r>
          </w:p>
          <w:p w14:paraId="48400FF2">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（不低于）</w:t>
            </w:r>
          </w:p>
        </w:tc>
        <w:tc>
          <w:tcPr>
            <w:tcW w:w="4111" w:type="dxa"/>
            <w:shd w:val="clear" w:color="auto" w:fill="auto"/>
            <w:vAlign w:val="center"/>
          </w:tcPr>
          <w:p w14:paraId="63CE2D25">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参考品牌</w:t>
            </w:r>
          </w:p>
        </w:tc>
      </w:tr>
      <w:tr w14:paraId="5A83B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58320449">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一</w:t>
            </w:r>
          </w:p>
        </w:tc>
        <w:tc>
          <w:tcPr>
            <w:tcW w:w="2126" w:type="dxa"/>
            <w:shd w:val="clear" w:color="auto" w:fill="auto"/>
            <w:vAlign w:val="center"/>
          </w:tcPr>
          <w:p w14:paraId="78AB43D5">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装饰装修</w:t>
            </w:r>
          </w:p>
        </w:tc>
        <w:tc>
          <w:tcPr>
            <w:tcW w:w="1389" w:type="dxa"/>
            <w:shd w:val="clear" w:color="auto" w:fill="auto"/>
            <w:vAlign w:val="center"/>
          </w:tcPr>
          <w:p w14:paraId="3E4AD721">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　</w:t>
            </w:r>
          </w:p>
        </w:tc>
        <w:tc>
          <w:tcPr>
            <w:tcW w:w="4111" w:type="dxa"/>
            <w:shd w:val="clear" w:color="auto" w:fill="auto"/>
            <w:vAlign w:val="center"/>
          </w:tcPr>
          <w:p w14:paraId="7B3A482D">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　</w:t>
            </w:r>
          </w:p>
        </w:tc>
      </w:tr>
      <w:tr w14:paraId="3F9A0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56E694C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126" w:type="dxa"/>
            <w:shd w:val="clear" w:color="auto" w:fill="auto"/>
            <w:vAlign w:val="center"/>
          </w:tcPr>
          <w:p w14:paraId="3C7A966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涂料</w:t>
            </w:r>
          </w:p>
        </w:tc>
        <w:tc>
          <w:tcPr>
            <w:tcW w:w="1389" w:type="dxa"/>
            <w:shd w:val="clear" w:color="auto" w:fill="auto"/>
            <w:vAlign w:val="center"/>
          </w:tcPr>
          <w:p w14:paraId="7F61BEA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合资品牌</w:t>
            </w:r>
          </w:p>
        </w:tc>
        <w:tc>
          <w:tcPr>
            <w:tcW w:w="4111" w:type="dxa"/>
            <w:shd w:val="clear" w:color="auto" w:fill="auto"/>
            <w:vAlign w:val="center"/>
          </w:tcPr>
          <w:p w14:paraId="4FD475A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多乐士、立邦、美国大师</w:t>
            </w:r>
          </w:p>
        </w:tc>
      </w:tr>
      <w:tr w14:paraId="11242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6B27A0B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2126" w:type="dxa"/>
            <w:shd w:val="clear" w:color="auto" w:fill="auto"/>
            <w:vAlign w:val="center"/>
          </w:tcPr>
          <w:p w14:paraId="0EAE3D7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石膏板</w:t>
            </w:r>
          </w:p>
        </w:tc>
        <w:tc>
          <w:tcPr>
            <w:tcW w:w="1389" w:type="dxa"/>
            <w:shd w:val="clear" w:color="auto" w:fill="auto"/>
            <w:vAlign w:val="center"/>
          </w:tcPr>
          <w:p w14:paraId="0289459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02C04040">
            <w:pPr>
              <w:widowControl/>
              <w:jc w:val="center"/>
              <w:rPr>
                <w:rFonts w:ascii="宋体" w:hAnsi="宋体" w:eastAsia="宋体" w:cs="宋体"/>
                <w:color w:val="000000"/>
                <w:kern w:val="0"/>
                <w:szCs w:val="21"/>
              </w:rPr>
            </w:pPr>
            <w:r>
              <w:rPr>
                <w:rFonts w:hint="eastAsia" w:ascii="宋体" w:hAnsi="宋体" w:cs="宋体"/>
                <w:color w:val="000000"/>
                <w:kern w:val="0"/>
                <w:szCs w:val="21"/>
              </w:rPr>
              <w:t>康纳、龙牌、可耐福、美穗</w:t>
            </w:r>
          </w:p>
        </w:tc>
      </w:tr>
      <w:tr w14:paraId="418C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7CE417A5">
            <w:pPr>
              <w:widowControl/>
              <w:jc w:val="center"/>
              <w:rPr>
                <w:rFonts w:ascii="宋体" w:hAnsi="宋体" w:eastAsia="宋体" w:cs="宋体"/>
                <w:color w:val="000000"/>
                <w:kern w:val="0"/>
                <w:szCs w:val="21"/>
              </w:rPr>
            </w:pPr>
            <w:r>
              <w:rPr>
                <w:rFonts w:ascii="宋体" w:hAnsi="宋体" w:eastAsia="宋体" w:cs="宋体"/>
                <w:color w:val="000000"/>
                <w:kern w:val="0"/>
                <w:szCs w:val="21"/>
              </w:rPr>
              <w:t>3</w:t>
            </w:r>
          </w:p>
        </w:tc>
        <w:tc>
          <w:tcPr>
            <w:tcW w:w="2126" w:type="dxa"/>
            <w:shd w:val="clear" w:color="auto" w:fill="auto"/>
            <w:vAlign w:val="center"/>
          </w:tcPr>
          <w:p w14:paraId="59A4F3E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保温棉</w:t>
            </w:r>
          </w:p>
        </w:tc>
        <w:tc>
          <w:tcPr>
            <w:tcW w:w="1389" w:type="dxa"/>
            <w:shd w:val="clear" w:color="auto" w:fill="auto"/>
            <w:vAlign w:val="center"/>
          </w:tcPr>
          <w:p w14:paraId="2589D9D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57DB1A0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凯门福乐斯、康龙、贝宁</w:t>
            </w:r>
          </w:p>
        </w:tc>
      </w:tr>
      <w:tr w14:paraId="0F5B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69730673">
            <w:pPr>
              <w:widowControl/>
              <w:jc w:val="center"/>
              <w:rPr>
                <w:rFonts w:ascii="宋体" w:hAnsi="宋体" w:eastAsia="宋体" w:cs="宋体"/>
                <w:color w:val="000000"/>
                <w:kern w:val="0"/>
                <w:szCs w:val="21"/>
              </w:rPr>
            </w:pPr>
            <w:r>
              <w:rPr>
                <w:rFonts w:ascii="宋体" w:hAnsi="宋体" w:eastAsia="宋体" w:cs="宋体"/>
                <w:color w:val="000000"/>
                <w:kern w:val="0"/>
                <w:szCs w:val="21"/>
              </w:rPr>
              <w:t>4</w:t>
            </w:r>
          </w:p>
        </w:tc>
        <w:tc>
          <w:tcPr>
            <w:tcW w:w="2126" w:type="dxa"/>
            <w:shd w:val="clear" w:color="auto" w:fill="auto"/>
            <w:vAlign w:val="center"/>
          </w:tcPr>
          <w:p w14:paraId="24D9648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铝扣天花</w:t>
            </w:r>
          </w:p>
        </w:tc>
        <w:tc>
          <w:tcPr>
            <w:tcW w:w="1389" w:type="dxa"/>
            <w:shd w:val="clear" w:color="auto" w:fill="auto"/>
            <w:vAlign w:val="center"/>
          </w:tcPr>
          <w:p w14:paraId="5EDC5BF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017E148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广铝、西飞、欧陆、</w:t>
            </w:r>
            <w:r>
              <w:rPr>
                <w:rFonts w:ascii="宋体" w:hAnsi="宋体" w:eastAsia="宋体" w:cs="宋体"/>
                <w:color w:val="000000"/>
                <w:kern w:val="0"/>
                <w:szCs w:val="21"/>
              </w:rPr>
              <w:t>欧</w:t>
            </w:r>
            <w:r>
              <w:rPr>
                <w:rFonts w:hint="eastAsia" w:ascii="宋体" w:hAnsi="宋体" w:eastAsia="宋体" w:cs="宋体"/>
                <w:color w:val="000000"/>
                <w:kern w:val="0"/>
                <w:szCs w:val="21"/>
              </w:rPr>
              <w:t>佰</w:t>
            </w:r>
          </w:p>
        </w:tc>
      </w:tr>
      <w:tr w14:paraId="1B6A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58061AF0">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二</w:t>
            </w:r>
          </w:p>
        </w:tc>
        <w:tc>
          <w:tcPr>
            <w:tcW w:w="2126" w:type="dxa"/>
            <w:shd w:val="clear" w:color="auto" w:fill="auto"/>
            <w:vAlign w:val="center"/>
          </w:tcPr>
          <w:p w14:paraId="65EE3837">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供配电系统</w:t>
            </w:r>
          </w:p>
        </w:tc>
        <w:tc>
          <w:tcPr>
            <w:tcW w:w="1389" w:type="dxa"/>
            <w:shd w:val="clear" w:color="auto" w:fill="auto"/>
            <w:vAlign w:val="center"/>
          </w:tcPr>
          <w:p w14:paraId="4E66146F">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　</w:t>
            </w:r>
          </w:p>
        </w:tc>
        <w:tc>
          <w:tcPr>
            <w:tcW w:w="4111" w:type="dxa"/>
            <w:shd w:val="clear" w:color="auto" w:fill="auto"/>
            <w:vAlign w:val="center"/>
          </w:tcPr>
          <w:p w14:paraId="34485401">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　</w:t>
            </w:r>
          </w:p>
        </w:tc>
      </w:tr>
      <w:tr w14:paraId="2C17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6F4C528B">
            <w:pPr>
              <w:widowControl/>
              <w:jc w:val="center"/>
              <w:rPr>
                <w:rFonts w:ascii="宋体" w:hAnsi="宋体" w:eastAsia="宋体" w:cs="宋体"/>
                <w:color w:val="000000"/>
                <w:kern w:val="0"/>
                <w:szCs w:val="21"/>
              </w:rPr>
            </w:pPr>
            <w:r>
              <w:rPr>
                <w:rFonts w:ascii="宋体" w:hAnsi="宋体" w:eastAsia="宋体" w:cs="宋体"/>
                <w:color w:val="000000"/>
                <w:kern w:val="0"/>
                <w:szCs w:val="21"/>
              </w:rPr>
              <w:t>1</w:t>
            </w:r>
          </w:p>
        </w:tc>
        <w:tc>
          <w:tcPr>
            <w:tcW w:w="2126" w:type="dxa"/>
            <w:shd w:val="clear" w:color="auto" w:fill="auto"/>
            <w:vAlign w:val="center"/>
          </w:tcPr>
          <w:p w14:paraId="0DDB496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电线电缆</w:t>
            </w:r>
          </w:p>
        </w:tc>
        <w:tc>
          <w:tcPr>
            <w:tcW w:w="1389" w:type="dxa"/>
            <w:shd w:val="clear" w:color="auto" w:fill="auto"/>
            <w:vAlign w:val="center"/>
          </w:tcPr>
          <w:p w14:paraId="683060F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18A5809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番禺电缆厂、南洋电缆、珠江</w:t>
            </w:r>
            <w:r>
              <w:rPr>
                <w:rFonts w:ascii="宋体" w:hAnsi="宋体" w:eastAsia="宋体" w:cs="宋体"/>
                <w:color w:val="000000"/>
                <w:kern w:val="0"/>
                <w:szCs w:val="21"/>
              </w:rPr>
              <w:t>电缆、</w:t>
            </w:r>
            <w:r>
              <w:rPr>
                <w:rFonts w:hint="eastAsia" w:ascii="宋体" w:hAnsi="宋体" w:eastAsia="宋体" w:cs="宋体"/>
                <w:color w:val="000000"/>
                <w:kern w:val="0"/>
                <w:szCs w:val="21"/>
              </w:rPr>
              <w:t>广东电缆厂</w:t>
            </w:r>
          </w:p>
        </w:tc>
      </w:tr>
      <w:tr w14:paraId="3FC4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308E748D">
            <w:pPr>
              <w:widowControl/>
              <w:jc w:val="center"/>
              <w:rPr>
                <w:rFonts w:ascii="宋体" w:hAnsi="宋体" w:eastAsia="宋体" w:cs="宋体"/>
                <w:color w:val="000000"/>
                <w:kern w:val="0"/>
                <w:szCs w:val="21"/>
              </w:rPr>
            </w:pPr>
            <w:r>
              <w:rPr>
                <w:rFonts w:ascii="宋体" w:hAnsi="宋体" w:eastAsia="宋体" w:cs="宋体"/>
                <w:color w:val="000000"/>
                <w:kern w:val="0"/>
                <w:szCs w:val="21"/>
              </w:rPr>
              <w:t>2</w:t>
            </w:r>
          </w:p>
        </w:tc>
        <w:tc>
          <w:tcPr>
            <w:tcW w:w="2126" w:type="dxa"/>
            <w:shd w:val="clear" w:color="auto" w:fill="auto"/>
            <w:vAlign w:val="center"/>
          </w:tcPr>
          <w:p w14:paraId="0561694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电气开关</w:t>
            </w:r>
          </w:p>
        </w:tc>
        <w:tc>
          <w:tcPr>
            <w:tcW w:w="1389" w:type="dxa"/>
            <w:shd w:val="clear" w:color="auto" w:fill="auto"/>
            <w:vAlign w:val="center"/>
          </w:tcPr>
          <w:p w14:paraId="3D6929B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合资品牌</w:t>
            </w:r>
          </w:p>
        </w:tc>
        <w:tc>
          <w:tcPr>
            <w:tcW w:w="4111" w:type="dxa"/>
            <w:shd w:val="clear" w:color="auto" w:fill="auto"/>
            <w:vAlign w:val="center"/>
          </w:tcPr>
          <w:p w14:paraId="0CD7BF8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施耐德、西门子、ABB</w:t>
            </w:r>
          </w:p>
        </w:tc>
      </w:tr>
      <w:tr w14:paraId="10FC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1638AE09">
            <w:pPr>
              <w:widowControl/>
              <w:jc w:val="center"/>
              <w:rPr>
                <w:rFonts w:ascii="宋体" w:hAnsi="宋体" w:eastAsia="宋体" w:cs="宋体"/>
                <w:color w:val="000000"/>
                <w:kern w:val="0"/>
                <w:szCs w:val="21"/>
              </w:rPr>
            </w:pPr>
            <w:r>
              <w:rPr>
                <w:rFonts w:ascii="宋体" w:hAnsi="宋体" w:eastAsia="宋体" w:cs="宋体"/>
                <w:color w:val="000000"/>
                <w:kern w:val="0"/>
                <w:szCs w:val="21"/>
              </w:rPr>
              <w:t>3</w:t>
            </w:r>
          </w:p>
        </w:tc>
        <w:tc>
          <w:tcPr>
            <w:tcW w:w="2126" w:type="dxa"/>
            <w:shd w:val="clear" w:color="auto" w:fill="auto"/>
            <w:vAlign w:val="center"/>
          </w:tcPr>
          <w:p w14:paraId="6136AB2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配电箱箱体</w:t>
            </w:r>
          </w:p>
        </w:tc>
        <w:tc>
          <w:tcPr>
            <w:tcW w:w="1389" w:type="dxa"/>
            <w:shd w:val="clear" w:color="auto" w:fill="auto"/>
            <w:vAlign w:val="center"/>
          </w:tcPr>
          <w:p w14:paraId="182F2E2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26D420B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雅华、基业、珠江</w:t>
            </w:r>
          </w:p>
        </w:tc>
      </w:tr>
      <w:tr w14:paraId="0951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5D2BE66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2126" w:type="dxa"/>
            <w:shd w:val="clear" w:color="auto" w:fill="auto"/>
            <w:vAlign w:val="center"/>
          </w:tcPr>
          <w:p w14:paraId="181F35D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配电箱元器件</w:t>
            </w:r>
          </w:p>
        </w:tc>
        <w:tc>
          <w:tcPr>
            <w:tcW w:w="1389" w:type="dxa"/>
            <w:shd w:val="clear" w:color="auto" w:fill="auto"/>
            <w:vAlign w:val="center"/>
          </w:tcPr>
          <w:p w14:paraId="61456B4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合资品牌</w:t>
            </w:r>
          </w:p>
        </w:tc>
        <w:tc>
          <w:tcPr>
            <w:tcW w:w="4111" w:type="dxa"/>
            <w:shd w:val="clear" w:color="auto" w:fill="auto"/>
            <w:vAlign w:val="center"/>
          </w:tcPr>
          <w:p w14:paraId="39D7C2D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施耐德、西门子、ABB</w:t>
            </w:r>
          </w:p>
        </w:tc>
      </w:tr>
      <w:tr w14:paraId="7C210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340C96D5">
            <w:pPr>
              <w:widowControl/>
              <w:jc w:val="center"/>
              <w:rPr>
                <w:rFonts w:ascii="宋体" w:hAnsi="宋体" w:eastAsia="宋体" w:cs="宋体"/>
                <w:color w:val="000000"/>
                <w:kern w:val="0"/>
                <w:szCs w:val="21"/>
              </w:rPr>
            </w:pPr>
            <w:r>
              <w:rPr>
                <w:rFonts w:ascii="宋体" w:hAnsi="宋体" w:eastAsia="宋体" w:cs="宋体"/>
                <w:color w:val="000000"/>
                <w:kern w:val="0"/>
                <w:szCs w:val="21"/>
              </w:rPr>
              <w:t>5</w:t>
            </w:r>
          </w:p>
        </w:tc>
        <w:tc>
          <w:tcPr>
            <w:tcW w:w="2126" w:type="dxa"/>
            <w:shd w:val="clear" w:color="auto" w:fill="auto"/>
            <w:vAlign w:val="center"/>
          </w:tcPr>
          <w:p w14:paraId="7D6E215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镀锌线槽</w:t>
            </w:r>
          </w:p>
        </w:tc>
        <w:tc>
          <w:tcPr>
            <w:tcW w:w="1389" w:type="dxa"/>
            <w:shd w:val="clear" w:color="auto" w:fill="auto"/>
            <w:vAlign w:val="center"/>
          </w:tcPr>
          <w:p w14:paraId="02E58D8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54D1B93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一通、方盛、天旭</w:t>
            </w:r>
          </w:p>
        </w:tc>
      </w:tr>
      <w:tr w14:paraId="763F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7F742460">
            <w:pPr>
              <w:widowControl/>
              <w:jc w:val="center"/>
              <w:rPr>
                <w:rFonts w:ascii="宋体" w:hAnsi="宋体" w:eastAsia="宋体" w:cs="宋体"/>
                <w:color w:val="000000"/>
                <w:kern w:val="0"/>
                <w:szCs w:val="21"/>
              </w:rPr>
            </w:pPr>
            <w:r>
              <w:rPr>
                <w:rFonts w:ascii="宋体" w:hAnsi="宋体" w:eastAsia="宋体" w:cs="宋体"/>
                <w:color w:val="000000"/>
                <w:kern w:val="0"/>
                <w:szCs w:val="21"/>
              </w:rPr>
              <w:t>6</w:t>
            </w:r>
          </w:p>
        </w:tc>
        <w:tc>
          <w:tcPr>
            <w:tcW w:w="2126" w:type="dxa"/>
            <w:shd w:val="clear" w:color="auto" w:fill="auto"/>
            <w:vAlign w:val="center"/>
          </w:tcPr>
          <w:p w14:paraId="5DD019F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照明灯具</w:t>
            </w:r>
          </w:p>
        </w:tc>
        <w:tc>
          <w:tcPr>
            <w:tcW w:w="1389" w:type="dxa"/>
            <w:shd w:val="clear" w:color="auto" w:fill="auto"/>
            <w:vAlign w:val="center"/>
          </w:tcPr>
          <w:p w14:paraId="548033A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316E757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飞利浦</w:t>
            </w:r>
            <w:r>
              <w:rPr>
                <w:rFonts w:ascii="宋体" w:hAnsi="宋体" w:eastAsia="宋体" w:cs="宋体"/>
                <w:color w:val="000000"/>
                <w:kern w:val="0"/>
                <w:szCs w:val="21"/>
              </w:rPr>
              <w:t>、松下、</w:t>
            </w:r>
            <w:r>
              <w:rPr>
                <w:rFonts w:hint="eastAsia" w:ascii="宋体" w:hAnsi="宋体" w:eastAsia="宋体" w:cs="宋体"/>
                <w:color w:val="000000"/>
                <w:kern w:val="0"/>
                <w:szCs w:val="21"/>
              </w:rPr>
              <w:t>欧普、</w:t>
            </w:r>
            <w:r>
              <w:rPr>
                <w:rFonts w:ascii="宋体" w:hAnsi="宋体" w:eastAsia="宋体" w:cs="宋体"/>
                <w:color w:val="000000"/>
                <w:kern w:val="0"/>
                <w:szCs w:val="21"/>
              </w:rPr>
              <w:t>雷士照明、三雄极光</w:t>
            </w:r>
          </w:p>
        </w:tc>
      </w:tr>
      <w:tr w14:paraId="7BE14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354AE6B2">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三</w:t>
            </w:r>
          </w:p>
        </w:tc>
        <w:tc>
          <w:tcPr>
            <w:tcW w:w="2126" w:type="dxa"/>
            <w:shd w:val="clear" w:color="auto" w:fill="auto"/>
            <w:vAlign w:val="center"/>
          </w:tcPr>
          <w:p w14:paraId="4F49CA7F">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综合布线系统</w:t>
            </w:r>
          </w:p>
        </w:tc>
        <w:tc>
          <w:tcPr>
            <w:tcW w:w="1389" w:type="dxa"/>
            <w:shd w:val="clear" w:color="auto" w:fill="auto"/>
            <w:vAlign w:val="center"/>
          </w:tcPr>
          <w:p w14:paraId="34981532">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　</w:t>
            </w:r>
          </w:p>
        </w:tc>
        <w:tc>
          <w:tcPr>
            <w:tcW w:w="4111" w:type="dxa"/>
            <w:shd w:val="clear" w:color="auto" w:fill="auto"/>
            <w:vAlign w:val="center"/>
          </w:tcPr>
          <w:p w14:paraId="4E63FBD9">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　</w:t>
            </w:r>
          </w:p>
        </w:tc>
      </w:tr>
      <w:tr w14:paraId="5D582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7BD78AB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126" w:type="dxa"/>
            <w:shd w:val="clear" w:color="auto" w:fill="auto"/>
            <w:vAlign w:val="center"/>
          </w:tcPr>
          <w:p w14:paraId="3A60A6E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机柜</w:t>
            </w:r>
          </w:p>
        </w:tc>
        <w:tc>
          <w:tcPr>
            <w:tcW w:w="1389" w:type="dxa"/>
            <w:shd w:val="clear" w:color="auto" w:fill="auto"/>
            <w:vAlign w:val="center"/>
          </w:tcPr>
          <w:p w14:paraId="4025198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3E5AAB2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金盾、方盛、图腾</w:t>
            </w:r>
          </w:p>
        </w:tc>
      </w:tr>
      <w:tr w14:paraId="7311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2F33C5C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2126" w:type="dxa"/>
            <w:shd w:val="clear" w:color="auto" w:fill="auto"/>
            <w:vAlign w:val="center"/>
          </w:tcPr>
          <w:p w14:paraId="023AC15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PDU</w:t>
            </w:r>
          </w:p>
        </w:tc>
        <w:tc>
          <w:tcPr>
            <w:tcW w:w="1389" w:type="dxa"/>
            <w:shd w:val="clear" w:color="auto" w:fill="auto"/>
            <w:vAlign w:val="center"/>
          </w:tcPr>
          <w:p w14:paraId="32E6DAB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79A4BBB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金盾、方盛、克莱沃</w:t>
            </w:r>
          </w:p>
        </w:tc>
      </w:tr>
      <w:tr w14:paraId="2F20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7577625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2126" w:type="dxa"/>
            <w:shd w:val="clear" w:color="auto" w:fill="auto"/>
            <w:vAlign w:val="center"/>
          </w:tcPr>
          <w:p w14:paraId="1192A7A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信息面板（带模块）（含地插）</w:t>
            </w:r>
          </w:p>
        </w:tc>
        <w:tc>
          <w:tcPr>
            <w:tcW w:w="1389" w:type="dxa"/>
            <w:shd w:val="clear" w:color="auto" w:fill="auto"/>
            <w:vAlign w:val="center"/>
          </w:tcPr>
          <w:p w14:paraId="67990B4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合资品牌</w:t>
            </w:r>
          </w:p>
        </w:tc>
        <w:tc>
          <w:tcPr>
            <w:tcW w:w="4111" w:type="dxa"/>
            <w:shd w:val="clear" w:color="auto" w:fill="auto"/>
            <w:vAlign w:val="center"/>
          </w:tcPr>
          <w:p w14:paraId="74773C4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康普、西门子、西蒙、罗格朗</w:t>
            </w:r>
          </w:p>
        </w:tc>
      </w:tr>
      <w:tr w14:paraId="17C6F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3F55A2B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2126" w:type="dxa"/>
            <w:shd w:val="clear" w:color="auto" w:fill="auto"/>
            <w:vAlign w:val="center"/>
          </w:tcPr>
          <w:p w14:paraId="05BF3BB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综合布线系统</w:t>
            </w:r>
          </w:p>
        </w:tc>
        <w:tc>
          <w:tcPr>
            <w:tcW w:w="1389" w:type="dxa"/>
            <w:shd w:val="clear" w:color="auto" w:fill="auto"/>
            <w:vAlign w:val="center"/>
          </w:tcPr>
          <w:p w14:paraId="60BFC04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合资品牌</w:t>
            </w:r>
          </w:p>
        </w:tc>
        <w:tc>
          <w:tcPr>
            <w:tcW w:w="4111" w:type="dxa"/>
            <w:shd w:val="clear" w:color="auto" w:fill="auto"/>
            <w:vAlign w:val="center"/>
          </w:tcPr>
          <w:p w14:paraId="0ECDC39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康普、西门子、西蒙、罗格朗</w:t>
            </w:r>
          </w:p>
        </w:tc>
      </w:tr>
      <w:tr w14:paraId="5938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1F6C29E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2126" w:type="dxa"/>
            <w:shd w:val="clear" w:color="auto" w:fill="auto"/>
            <w:vAlign w:val="center"/>
          </w:tcPr>
          <w:p w14:paraId="4EE289A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开放式铝合金桥架</w:t>
            </w:r>
          </w:p>
        </w:tc>
        <w:tc>
          <w:tcPr>
            <w:tcW w:w="1389" w:type="dxa"/>
            <w:shd w:val="clear" w:color="auto" w:fill="auto"/>
            <w:vAlign w:val="center"/>
          </w:tcPr>
          <w:p w14:paraId="1A81977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3EA4586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一通、方盛、天旭</w:t>
            </w:r>
          </w:p>
        </w:tc>
      </w:tr>
      <w:tr w14:paraId="27B7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0D91BE1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w:t>
            </w:r>
          </w:p>
        </w:tc>
        <w:tc>
          <w:tcPr>
            <w:tcW w:w="2126" w:type="dxa"/>
            <w:shd w:val="clear" w:color="auto" w:fill="auto"/>
            <w:vAlign w:val="center"/>
          </w:tcPr>
          <w:p w14:paraId="1CB5FB8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光缆、大对数电缆</w:t>
            </w:r>
          </w:p>
        </w:tc>
        <w:tc>
          <w:tcPr>
            <w:tcW w:w="1389" w:type="dxa"/>
            <w:shd w:val="clear" w:color="auto" w:fill="auto"/>
            <w:vAlign w:val="center"/>
          </w:tcPr>
          <w:p w14:paraId="27AD230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054A948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武汉</w:t>
            </w:r>
            <w:r>
              <w:rPr>
                <w:rFonts w:ascii="宋体" w:hAnsi="宋体" w:eastAsia="宋体" w:cs="宋体"/>
                <w:color w:val="000000"/>
                <w:kern w:val="0"/>
                <w:szCs w:val="21"/>
              </w:rPr>
              <w:t>长飞、</w:t>
            </w:r>
            <w:r>
              <w:rPr>
                <w:rFonts w:hint="eastAsia" w:ascii="宋体" w:hAnsi="宋体" w:eastAsia="宋体" w:cs="宋体"/>
                <w:color w:val="000000"/>
                <w:kern w:val="0"/>
                <w:szCs w:val="21"/>
              </w:rPr>
              <w:t>武汉烽火、深圳特发、清华同方、江西普天</w:t>
            </w:r>
          </w:p>
        </w:tc>
      </w:tr>
      <w:tr w14:paraId="5072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7569AD6C">
            <w:pPr>
              <w:widowControl/>
              <w:jc w:val="center"/>
              <w:rPr>
                <w:rFonts w:ascii="宋体" w:hAnsi="宋体" w:eastAsia="宋体" w:cs="宋体"/>
                <w:b/>
                <w:bCs/>
                <w:color w:val="000000"/>
                <w:kern w:val="0"/>
                <w:szCs w:val="21"/>
              </w:rPr>
            </w:pPr>
            <w:r>
              <w:rPr>
                <w:rFonts w:ascii="宋体" w:hAnsi="宋体" w:eastAsia="宋体" w:cs="宋体"/>
                <w:b/>
                <w:bCs/>
                <w:color w:val="000000"/>
                <w:kern w:val="0"/>
                <w:szCs w:val="21"/>
              </w:rPr>
              <w:t>四</w:t>
            </w:r>
          </w:p>
        </w:tc>
        <w:tc>
          <w:tcPr>
            <w:tcW w:w="2126" w:type="dxa"/>
            <w:shd w:val="clear" w:color="auto" w:fill="auto"/>
            <w:vAlign w:val="center"/>
          </w:tcPr>
          <w:p w14:paraId="5E164D3B">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空调</w:t>
            </w:r>
            <w:r>
              <w:rPr>
                <w:rFonts w:ascii="宋体" w:hAnsi="宋体" w:eastAsia="宋体" w:cs="宋体"/>
                <w:b/>
                <w:bCs/>
                <w:color w:val="000000"/>
                <w:kern w:val="0"/>
                <w:szCs w:val="21"/>
              </w:rPr>
              <w:t>系统</w:t>
            </w:r>
          </w:p>
        </w:tc>
        <w:tc>
          <w:tcPr>
            <w:tcW w:w="1389" w:type="dxa"/>
            <w:shd w:val="clear" w:color="auto" w:fill="auto"/>
            <w:vAlign w:val="center"/>
          </w:tcPr>
          <w:p w14:paraId="24ACBE2A">
            <w:pPr>
              <w:widowControl/>
              <w:jc w:val="center"/>
              <w:rPr>
                <w:rFonts w:ascii="宋体" w:hAnsi="宋体" w:eastAsia="宋体" w:cs="宋体"/>
                <w:b/>
                <w:bCs/>
                <w:color w:val="000000"/>
                <w:kern w:val="0"/>
                <w:szCs w:val="21"/>
              </w:rPr>
            </w:pPr>
          </w:p>
        </w:tc>
        <w:tc>
          <w:tcPr>
            <w:tcW w:w="4111" w:type="dxa"/>
            <w:shd w:val="clear" w:color="auto" w:fill="auto"/>
            <w:vAlign w:val="center"/>
          </w:tcPr>
          <w:p w14:paraId="3ECB45BC">
            <w:pPr>
              <w:widowControl/>
              <w:jc w:val="center"/>
              <w:rPr>
                <w:rFonts w:ascii="宋体" w:hAnsi="宋体" w:eastAsia="宋体" w:cs="宋体"/>
                <w:b/>
                <w:bCs/>
                <w:color w:val="000000"/>
                <w:kern w:val="0"/>
                <w:szCs w:val="21"/>
              </w:rPr>
            </w:pPr>
          </w:p>
        </w:tc>
      </w:tr>
      <w:tr w14:paraId="1679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4" w:type="dxa"/>
            <w:shd w:val="clear" w:color="auto" w:fill="auto"/>
            <w:vAlign w:val="center"/>
          </w:tcPr>
          <w:p w14:paraId="2C598C6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126" w:type="dxa"/>
            <w:shd w:val="clear" w:color="auto" w:fill="auto"/>
            <w:vAlign w:val="center"/>
          </w:tcPr>
          <w:p w14:paraId="3CA67CC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VRV空调</w:t>
            </w:r>
          </w:p>
        </w:tc>
        <w:tc>
          <w:tcPr>
            <w:tcW w:w="1389" w:type="dxa"/>
            <w:shd w:val="clear" w:color="auto" w:fill="auto"/>
            <w:vAlign w:val="center"/>
          </w:tcPr>
          <w:p w14:paraId="4B5FE13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国内优等</w:t>
            </w:r>
          </w:p>
        </w:tc>
        <w:tc>
          <w:tcPr>
            <w:tcW w:w="4111" w:type="dxa"/>
            <w:shd w:val="clear" w:color="auto" w:fill="auto"/>
            <w:vAlign w:val="center"/>
          </w:tcPr>
          <w:p w14:paraId="0EECA99C">
            <w:pPr>
              <w:widowControl/>
              <w:jc w:val="center"/>
              <w:rPr>
                <w:rFonts w:ascii="宋体" w:hAnsi="宋体" w:eastAsia="宋体" w:cs="宋体"/>
                <w:color w:val="000000"/>
                <w:kern w:val="0"/>
                <w:szCs w:val="21"/>
              </w:rPr>
            </w:pPr>
            <w:r>
              <w:rPr>
                <w:rFonts w:ascii="宋体" w:hAnsi="宋体" w:eastAsia="宋体" w:cs="宋体"/>
                <w:color w:val="000000"/>
                <w:kern w:val="0"/>
                <w:szCs w:val="21"/>
              </w:rPr>
              <w:t>格力</w:t>
            </w:r>
            <w:r>
              <w:rPr>
                <w:rFonts w:hint="eastAsia" w:ascii="宋体" w:hAnsi="宋体" w:eastAsia="宋体" w:cs="宋体"/>
                <w:color w:val="000000"/>
                <w:kern w:val="0"/>
                <w:szCs w:val="21"/>
              </w:rPr>
              <w:t>、美的、</w:t>
            </w:r>
            <w:r>
              <w:rPr>
                <w:rFonts w:hint="eastAsia" w:ascii="宋体" w:hAnsi="宋体" w:cs="宋体"/>
                <w:color w:val="000000"/>
                <w:kern w:val="0"/>
                <w:szCs w:val="21"/>
              </w:rPr>
              <w:t>海尔</w:t>
            </w:r>
          </w:p>
        </w:tc>
      </w:tr>
    </w:tbl>
    <w:p w14:paraId="569F7066">
      <w:pPr>
        <w:tabs>
          <w:tab w:val="left" w:pos="851"/>
        </w:tabs>
        <w:spacing w:line="360" w:lineRule="auto"/>
        <w:jc w:val="left"/>
        <w:rPr>
          <w:szCs w:val="21"/>
        </w:rPr>
        <w:sectPr>
          <w:headerReference r:id="rId5" w:type="default"/>
          <w:footerReference r:id="rId6" w:type="default"/>
          <w:pgSz w:w="11906" w:h="16838"/>
          <w:pgMar w:top="1440" w:right="1418" w:bottom="1440" w:left="1701" w:header="851" w:footer="992" w:gutter="0"/>
          <w:pgNumType w:fmt="numberInDash" w:start="1"/>
          <w:cols w:space="425" w:num="1"/>
          <w:docGrid w:type="lines" w:linePitch="312" w:charSpace="0"/>
        </w:sectPr>
      </w:pPr>
    </w:p>
    <w:p w14:paraId="6A6B95E8">
      <w:pPr>
        <w:spacing w:line="360" w:lineRule="auto"/>
        <w:outlineLvl w:val="0"/>
        <w:rPr>
          <w:b/>
          <w:szCs w:val="21"/>
        </w:rPr>
      </w:pPr>
      <w:bookmarkStart w:id="144" w:name="_Toc206145352"/>
      <w:bookmarkStart w:id="145" w:name="_Toc20640"/>
      <w:r>
        <w:rPr>
          <w:rFonts w:hint="eastAsia"/>
          <w:b/>
          <w:szCs w:val="21"/>
        </w:rPr>
        <w:t>附录A 技术投标书格式</w:t>
      </w:r>
      <w:bookmarkEnd w:id="144"/>
      <w:bookmarkEnd w:id="145"/>
    </w:p>
    <w:p w14:paraId="7D88BA58">
      <w:pPr>
        <w:tabs>
          <w:tab w:val="left" w:pos="851"/>
        </w:tabs>
        <w:spacing w:line="360" w:lineRule="auto"/>
        <w:jc w:val="left"/>
        <w:rPr>
          <w:szCs w:val="21"/>
          <w:lang w:val="zh-CN"/>
        </w:rPr>
      </w:pPr>
      <w:r>
        <w:rPr>
          <w:rFonts w:hint="eastAsia"/>
          <w:szCs w:val="21"/>
          <w:lang w:val="zh-CN"/>
        </w:rPr>
        <w:t>技术投标书</w:t>
      </w:r>
      <w:r>
        <w:rPr>
          <w:szCs w:val="21"/>
          <w:lang w:val="zh-CN"/>
        </w:rPr>
        <w:t>的内容格式</w:t>
      </w:r>
      <w:r>
        <w:rPr>
          <w:rFonts w:hint="eastAsia"/>
          <w:szCs w:val="21"/>
          <w:lang w:val="zh-CN"/>
        </w:rPr>
        <w:t>：</w:t>
      </w:r>
    </w:p>
    <w:p w14:paraId="05432E4B">
      <w:pPr>
        <w:pStyle w:val="39"/>
        <w:numPr>
          <w:ilvl w:val="0"/>
          <w:numId w:val="50"/>
        </w:numPr>
        <w:tabs>
          <w:tab w:val="left" w:pos="851"/>
        </w:tabs>
        <w:spacing w:line="360" w:lineRule="auto"/>
        <w:ind w:firstLineChars="0"/>
        <w:jc w:val="left"/>
        <w:rPr>
          <w:szCs w:val="21"/>
          <w:lang w:val="zh-CN" w:bidi="en-US"/>
        </w:rPr>
      </w:pPr>
      <w:r>
        <w:rPr>
          <w:szCs w:val="21"/>
          <w:lang w:val="zh-CN" w:bidi="en-US"/>
        </w:rPr>
        <w:t>技术方案</w:t>
      </w:r>
    </w:p>
    <w:p w14:paraId="04604692">
      <w:pPr>
        <w:tabs>
          <w:tab w:val="left" w:pos="851"/>
        </w:tabs>
        <w:spacing w:line="360" w:lineRule="auto"/>
        <w:ind w:firstLine="420" w:firstLineChars="200"/>
        <w:jc w:val="left"/>
        <w:rPr>
          <w:szCs w:val="21"/>
          <w:lang w:val="zh-CN" w:bidi="en-US"/>
        </w:rPr>
      </w:pPr>
      <w:r>
        <w:rPr>
          <w:rFonts w:hint="eastAsia"/>
          <w:szCs w:val="21"/>
          <w:lang w:val="zh-CN" w:bidi="en-US"/>
        </w:rPr>
        <w:t>三、技术偏差表</w:t>
      </w:r>
    </w:p>
    <w:p w14:paraId="3CD149D0">
      <w:pPr>
        <w:tabs>
          <w:tab w:val="left" w:pos="851"/>
        </w:tabs>
        <w:spacing w:line="360" w:lineRule="auto"/>
        <w:ind w:firstLine="420" w:firstLineChars="200"/>
        <w:jc w:val="left"/>
        <w:rPr>
          <w:szCs w:val="21"/>
          <w:lang w:val="zh-CN" w:bidi="en-US"/>
        </w:rPr>
      </w:pPr>
      <w:r>
        <w:rPr>
          <w:rFonts w:hint="eastAsia"/>
          <w:szCs w:val="21"/>
          <w:lang w:val="zh-CN" w:bidi="en-US"/>
        </w:rPr>
        <w:t>四、其他相关技术资料</w:t>
      </w:r>
    </w:p>
    <w:p w14:paraId="76906582">
      <w:pPr>
        <w:tabs>
          <w:tab w:val="left" w:pos="851"/>
        </w:tabs>
        <w:spacing w:line="360" w:lineRule="auto"/>
        <w:ind w:firstLine="420" w:firstLineChars="200"/>
        <w:jc w:val="left"/>
        <w:rPr>
          <w:szCs w:val="21"/>
          <w:lang w:val="zh-CN" w:bidi="en-US"/>
        </w:rPr>
      </w:pPr>
    </w:p>
    <w:p w14:paraId="33AC8C3B">
      <w:pPr>
        <w:tabs>
          <w:tab w:val="left" w:pos="851"/>
        </w:tabs>
        <w:spacing w:line="360" w:lineRule="auto"/>
        <w:ind w:firstLine="420" w:firstLineChars="200"/>
        <w:jc w:val="left"/>
        <w:rPr>
          <w:szCs w:val="21"/>
          <w:lang w:val="zh-CN" w:bidi="en-US"/>
        </w:rPr>
        <w:sectPr>
          <w:pgSz w:w="11906" w:h="16838"/>
          <w:pgMar w:top="1440" w:right="1800" w:bottom="1440" w:left="1800" w:header="851" w:footer="992" w:gutter="0"/>
          <w:cols w:space="425" w:num="1"/>
          <w:docGrid w:type="lines" w:linePitch="312" w:charSpace="0"/>
        </w:sectPr>
      </w:pPr>
    </w:p>
    <w:p w14:paraId="6DFE964E">
      <w:pPr>
        <w:spacing w:line="360" w:lineRule="auto"/>
        <w:outlineLvl w:val="0"/>
        <w:rPr>
          <w:b/>
          <w:szCs w:val="21"/>
        </w:rPr>
      </w:pPr>
      <w:bookmarkStart w:id="146" w:name="_Toc206145353"/>
      <w:bookmarkStart w:id="147" w:name="_Toc2399"/>
      <w:r>
        <w:rPr>
          <w:rFonts w:hint="eastAsia"/>
          <w:b/>
          <w:szCs w:val="21"/>
        </w:rPr>
        <w:t>附录</w:t>
      </w:r>
      <w:r>
        <w:rPr>
          <w:b/>
          <w:szCs w:val="21"/>
        </w:rPr>
        <w:t>B</w:t>
      </w:r>
      <w:r>
        <w:rPr>
          <w:rFonts w:hint="eastAsia"/>
          <w:b/>
          <w:szCs w:val="21"/>
        </w:rPr>
        <w:t xml:space="preserve"> 技术差异表</w:t>
      </w:r>
      <w:bookmarkEnd w:id="146"/>
      <w:bookmarkEnd w:id="147"/>
    </w:p>
    <w:p w14:paraId="4ED56A0B">
      <w:pPr>
        <w:tabs>
          <w:tab w:val="left" w:pos="851"/>
        </w:tabs>
        <w:spacing w:line="360" w:lineRule="auto"/>
        <w:ind w:firstLine="420" w:firstLineChars="200"/>
        <w:jc w:val="left"/>
        <w:rPr>
          <w:szCs w:val="21"/>
          <w:lang w:bidi="en-US"/>
        </w:rPr>
      </w:pPr>
      <w:r>
        <w:rPr>
          <w:rFonts w:hint="eastAsia"/>
          <w:szCs w:val="21"/>
          <w:lang w:bidi="en-US"/>
        </w:rPr>
        <w:t>投标人要将投标文件中，与本技术规范书有差异之处，无论优于或劣于招标文件要求，均汇集成此表</w:t>
      </w:r>
      <w:r>
        <w:rPr>
          <w:rFonts w:hint="eastAsia"/>
          <w:b/>
          <w:szCs w:val="21"/>
          <w:lang w:bidi="en-US"/>
        </w:rPr>
        <w:t>（简要内容）</w:t>
      </w:r>
      <w:r>
        <w:rPr>
          <w:rFonts w:hint="eastAsia"/>
          <w:szCs w:val="21"/>
          <w:lang w:bidi="en-US"/>
        </w:rPr>
        <w:t>。</w:t>
      </w:r>
    </w:p>
    <w:p w14:paraId="7BDE94EB">
      <w:pPr>
        <w:tabs>
          <w:tab w:val="left" w:pos="851"/>
        </w:tabs>
        <w:spacing w:line="360" w:lineRule="auto"/>
        <w:jc w:val="center"/>
        <w:rPr>
          <w:szCs w:val="21"/>
          <w:lang w:bidi="en-US"/>
        </w:rPr>
      </w:pPr>
      <w:r>
        <w:rPr>
          <w:rFonts w:hint="eastAsia"/>
          <w:szCs w:val="21"/>
          <w:lang w:bidi="en-US"/>
        </w:rPr>
        <w:t>附表C  技术差异表</w:t>
      </w:r>
    </w:p>
    <w:tbl>
      <w:tblPr>
        <w:tblStyle w:val="29"/>
        <w:tblW w:w="875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38"/>
        <w:gridCol w:w="1050"/>
        <w:gridCol w:w="2998"/>
        <w:gridCol w:w="1140"/>
        <w:gridCol w:w="2829"/>
      </w:tblGrid>
      <w:tr w14:paraId="6A37E4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738" w:type="dxa"/>
            <w:vMerge w:val="restart"/>
            <w:vAlign w:val="center"/>
          </w:tcPr>
          <w:p w14:paraId="1242AE09">
            <w:pPr>
              <w:tabs>
                <w:tab w:val="left" w:pos="851"/>
              </w:tabs>
              <w:spacing w:line="360" w:lineRule="auto"/>
              <w:jc w:val="left"/>
              <w:rPr>
                <w:szCs w:val="21"/>
                <w:lang w:bidi="en-US"/>
              </w:rPr>
            </w:pPr>
            <w:r>
              <w:rPr>
                <w:rFonts w:hint="eastAsia"/>
                <w:szCs w:val="21"/>
                <w:lang w:bidi="en-US"/>
              </w:rPr>
              <w:t>序号</w:t>
            </w:r>
          </w:p>
        </w:tc>
        <w:tc>
          <w:tcPr>
            <w:tcW w:w="4048" w:type="dxa"/>
            <w:gridSpan w:val="2"/>
            <w:vAlign w:val="center"/>
          </w:tcPr>
          <w:p w14:paraId="5EC8CE87">
            <w:pPr>
              <w:tabs>
                <w:tab w:val="left" w:pos="851"/>
              </w:tabs>
              <w:spacing w:line="360" w:lineRule="auto"/>
              <w:jc w:val="left"/>
              <w:rPr>
                <w:szCs w:val="21"/>
                <w:lang w:bidi="en-US"/>
              </w:rPr>
            </w:pPr>
            <w:r>
              <w:rPr>
                <w:rFonts w:hint="eastAsia"/>
                <w:szCs w:val="21"/>
                <w:lang w:bidi="en-US"/>
              </w:rPr>
              <w:t>技术规范书</w:t>
            </w:r>
          </w:p>
        </w:tc>
        <w:tc>
          <w:tcPr>
            <w:tcW w:w="3969" w:type="dxa"/>
            <w:gridSpan w:val="2"/>
            <w:vAlign w:val="center"/>
          </w:tcPr>
          <w:p w14:paraId="271AA9B7">
            <w:pPr>
              <w:tabs>
                <w:tab w:val="left" w:pos="851"/>
              </w:tabs>
              <w:spacing w:line="360" w:lineRule="auto"/>
              <w:jc w:val="left"/>
              <w:rPr>
                <w:szCs w:val="21"/>
                <w:lang w:bidi="en-US"/>
              </w:rPr>
            </w:pPr>
            <w:r>
              <w:rPr>
                <w:rFonts w:hint="eastAsia"/>
                <w:szCs w:val="21"/>
                <w:lang w:bidi="en-US"/>
              </w:rPr>
              <w:t>投标文件</w:t>
            </w:r>
          </w:p>
        </w:tc>
      </w:tr>
      <w:tr w14:paraId="15CBCC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738" w:type="dxa"/>
            <w:vMerge w:val="continue"/>
            <w:vAlign w:val="center"/>
          </w:tcPr>
          <w:p w14:paraId="0CF1D5EE">
            <w:pPr>
              <w:tabs>
                <w:tab w:val="left" w:pos="851"/>
              </w:tabs>
              <w:spacing w:line="360" w:lineRule="auto"/>
              <w:jc w:val="left"/>
              <w:rPr>
                <w:szCs w:val="21"/>
                <w:lang w:bidi="en-US"/>
              </w:rPr>
            </w:pPr>
          </w:p>
        </w:tc>
        <w:tc>
          <w:tcPr>
            <w:tcW w:w="1050" w:type="dxa"/>
            <w:vAlign w:val="center"/>
          </w:tcPr>
          <w:p w14:paraId="66878631">
            <w:pPr>
              <w:tabs>
                <w:tab w:val="left" w:pos="851"/>
              </w:tabs>
              <w:spacing w:line="360" w:lineRule="auto"/>
              <w:jc w:val="left"/>
              <w:rPr>
                <w:szCs w:val="21"/>
                <w:lang w:bidi="en-US"/>
              </w:rPr>
            </w:pPr>
            <w:r>
              <w:rPr>
                <w:rFonts w:hint="eastAsia"/>
                <w:szCs w:val="21"/>
                <w:lang w:bidi="en-US"/>
              </w:rPr>
              <w:t>条目</w:t>
            </w:r>
          </w:p>
        </w:tc>
        <w:tc>
          <w:tcPr>
            <w:tcW w:w="2998" w:type="dxa"/>
            <w:vAlign w:val="center"/>
          </w:tcPr>
          <w:p w14:paraId="35706A9F">
            <w:pPr>
              <w:tabs>
                <w:tab w:val="left" w:pos="851"/>
              </w:tabs>
              <w:spacing w:line="360" w:lineRule="auto"/>
              <w:jc w:val="left"/>
              <w:rPr>
                <w:szCs w:val="21"/>
                <w:lang w:bidi="en-US"/>
              </w:rPr>
            </w:pPr>
            <w:r>
              <w:rPr>
                <w:rFonts w:hint="eastAsia"/>
                <w:szCs w:val="21"/>
                <w:lang w:bidi="en-US"/>
              </w:rPr>
              <w:t>简要内容</w:t>
            </w:r>
          </w:p>
        </w:tc>
        <w:tc>
          <w:tcPr>
            <w:tcW w:w="1140" w:type="dxa"/>
            <w:vAlign w:val="center"/>
          </w:tcPr>
          <w:p w14:paraId="23C110CF">
            <w:pPr>
              <w:tabs>
                <w:tab w:val="left" w:pos="851"/>
              </w:tabs>
              <w:spacing w:line="360" w:lineRule="auto"/>
              <w:jc w:val="left"/>
              <w:rPr>
                <w:szCs w:val="21"/>
                <w:lang w:bidi="en-US"/>
              </w:rPr>
            </w:pPr>
            <w:r>
              <w:rPr>
                <w:rFonts w:hint="eastAsia"/>
                <w:szCs w:val="21"/>
                <w:lang w:bidi="en-US"/>
              </w:rPr>
              <w:t>条目</w:t>
            </w:r>
          </w:p>
        </w:tc>
        <w:tc>
          <w:tcPr>
            <w:tcW w:w="2829" w:type="dxa"/>
            <w:vAlign w:val="center"/>
          </w:tcPr>
          <w:p w14:paraId="0A08F6D3">
            <w:pPr>
              <w:tabs>
                <w:tab w:val="left" w:pos="851"/>
              </w:tabs>
              <w:spacing w:line="360" w:lineRule="auto"/>
              <w:jc w:val="left"/>
              <w:rPr>
                <w:szCs w:val="21"/>
                <w:lang w:bidi="en-US"/>
              </w:rPr>
            </w:pPr>
            <w:r>
              <w:rPr>
                <w:rFonts w:hint="eastAsia"/>
                <w:szCs w:val="21"/>
                <w:lang w:bidi="en-US"/>
              </w:rPr>
              <w:t>简要内容</w:t>
            </w:r>
          </w:p>
        </w:tc>
      </w:tr>
      <w:tr w14:paraId="412E96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vAlign w:val="center"/>
          </w:tcPr>
          <w:p w14:paraId="3BC7CF83">
            <w:pPr>
              <w:tabs>
                <w:tab w:val="left" w:pos="851"/>
              </w:tabs>
              <w:spacing w:line="360" w:lineRule="auto"/>
              <w:jc w:val="left"/>
              <w:rPr>
                <w:szCs w:val="21"/>
                <w:lang w:bidi="en-US"/>
              </w:rPr>
            </w:pPr>
          </w:p>
        </w:tc>
        <w:tc>
          <w:tcPr>
            <w:tcW w:w="1050" w:type="dxa"/>
            <w:vAlign w:val="center"/>
          </w:tcPr>
          <w:p w14:paraId="706F1BDB">
            <w:pPr>
              <w:tabs>
                <w:tab w:val="left" w:pos="851"/>
              </w:tabs>
              <w:spacing w:line="360" w:lineRule="auto"/>
              <w:jc w:val="left"/>
              <w:rPr>
                <w:szCs w:val="21"/>
                <w:lang w:bidi="en-US"/>
              </w:rPr>
            </w:pPr>
          </w:p>
        </w:tc>
        <w:tc>
          <w:tcPr>
            <w:tcW w:w="2998" w:type="dxa"/>
            <w:vAlign w:val="center"/>
          </w:tcPr>
          <w:p w14:paraId="087FC2DE">
            <w:pPr>
              <w:tabs>
                <w:tab w:val="left" w:pos="851"/>
              </w:tabs>
              <w:spacing w:line="360" w:lineRule="auto"/>
              <w:jc w:val="left"/>
              <w:rPr>
                <w:szCs w:val="21"/>
                <w:lang w:bidi="en-US"/>
              </w:rPr>
            </w:pPr>
          </w:p>
        </w:tc>
        <w:tc>
          <w:tcPr>
            <w:tcW w:w="1140" w:type="dxa"/>
            <w:vAlign w:val="center"/>
          </w:tcPr>
          <w:p w14:paraId="120DC99E">
            <w:pPr>
              <w:tabs>
                <w:tab w:val="left" w:pos="851"/>
              </w:tabs>
              <w:spacing w:line="360" w:lineRule="auto"/>
              <w:jc w:val="left"/>
              <w:rPr>
                <w:szCs w:val="21"/>
                <w:lang w:bidi="en-US"/>
              </w:rPr>
            </w:pPr>
          </w:p>
        </w:tc>
        <w:tc>
          <w:tcPr>
            <w:tcW w:w="2829" w:type="dxa"/>
            <w:vAlign w:val="center"/>
          </w:tcPr>
          <w:p w14:paraId="1B21634C">
            <w:pPr>
              <w:tabs>
                <w:tab w:val="left" w:pos="851"/>
              </w:tabs>
              <w:spacing w:line="360" w:lineRule="auto"/>
              <w:jc w:val="left"/>
              <w:rPr>
                <w:szCs w:val="21"/>
                <w:lang w:bidi="en-US"/>
              </w:rPr>
            </w:pPr>
          </w:p>
        </w:tc>
      </w:tr>
      <w:tr w14:paraId="4D2003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65DF145F">
            <w:pPr>
              <w:tabs>
                <w:tab w:val="left" w:pos="851"/>
              </w:tabs>
              <w:spacing w:line="360" w:lineRule="auto"/>
              <w:jc w:val="left"/>
              <w:rPr>
                <w:szCs w:val="21"/>
                <w:lang w:bidi="en-US"/>
              </w:rPr>
            </w:pPr>
          </w:p>
        </w:tc>
        <w:tc>
          <w:tcPr>
            <w:tcW w:w="1050" w:type="dxa"/>
          </w:tcPr>
          <w:p w14:paraId="120C7034">
            <w:pPr>
              <w:tabs>
                <w:tab w:val="left" w:pos="851"/>
              </w:tabs>
              <w:spacing w:line="360" w:lineRule="auto"/>
              <w:jc w:val="left"/>
              <w:rPr>
                <w:szCs w:val="21"/>
                <w:lang w:bidi="en-US"/>
              </w:rPr>
            </w:pPr>
          </w:p>
        </w:tc>
        <w:tc>
          <w:tcPr>
            <w:tcW w:w="2998" w:type="dxa"/>
          </w:tcPr>
          <w:p w14:paraId="4CB4CADE">
            <w:pPr>
              <w:tabs>
                <w:tab w:val="left" w:pos="851"/>
              </w:tabs>
              <w:spacing w:line="360" w:lineRule="auto"/>
              <w:jc w:val="left"/>
              <w:rPr>
                <w:szCs w:val="21"/>
                <w:lang w:bidi="en-US"/>
              </w:rPr>
            </w:pPr>
          </w:p>
        </w:tc>
        <w:tc>
          <w:tcPr>
            <w:tcW w:w="1140" w:type="dxa"/>
          </w:tcPr>
          <w:p w14:paraId="74109845">
            <w:pPr>
              <w:tabs>
                <w:tab w:val="left" w:pos="851"/>
              </w:tabs>
              <w:spacing w:line="360" w:lineRule="auto"/>
              <w:jc w:val="left"/>
              <w:rPr>
                <w:szCs w:val="21"/>
                <w:lang w:bidi="en-US"/>
              </w:rPr>
            </w:pPr>
          </w:p>
        </w:tc>
        <w:tc>
          <w:tcPr>
            <w:tcW w:w="2829" w:type="dxa"/>
          </w:tcPr>
          <w:p w14:paraId="6A5AB549">
            <w:pPr>
              <w:tabs>
                <w:tab w:val="left" w:pos="851"/>
              </w:tabs>
              <w:spacing w:line="360" w:lineRule="auto"/>
              <w:jc w:val="left"/>
              <w:rPr>
                <w:szCs w:val="21"/>
                <w:lang w:bidi="en-US"/>
              </w:rPr>
            </w:pPr>
          </w:p>
        </w:tc>
      </w:tr>
      <w:tr w14:paraId="1FE58A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7CA91D34">
            <w:pPr>
              <w:tabs>
                <w:tab w:val="left" w:pos="851"/>
              </w:tabs>
              <w:spacing w:line="360" w:lineRule="auto"/>
              <w:jc w:val="left"/>
              <w:rPr>
                <w:szCs w:val="21"/>
                <w:lang w:bidi="en-US"/>
              </w:rPr>
            </w:pPr>
          </w:p>
        </w:tc>
        <w:tc>
          <w:tcPr>
            <w:tcW w:w="1050" w:type="dxa"/>
          </w:tcPr>
          <w:p w14:paraId="557F23BF">
            <w:pPr>
              <w:tabs>
                <w:tab w:val="left" w:pos="851"/>
              </w:tabs>
              <w:spacing w:line="360" w:lineRule="auto"/>
              <w:jc w:val="left"/>
              <w:rPr>
                <w:szCs w:val="21"/>
                <w:lang w:bidi="en-US"/>
              </w:rPr>
            </w:pPr>
          </w:p>
        </w:tc>
        <w:tc>
          <w:tcPr>
            <w:tcW w:w="2998" w:type="dxa"/>
          </w:tcPr>
          <w:p w14:paraId="21F056FD">
            <w:pPr>
              <w:tabs>
                <w:tab w:val="left" w:pos="851"/>
              </w:tabs>
              <w:spacing w:line="360" w:lineRule="auto"/>
              <w:jc w:val="left"/>
              <w:rPr>
                <w:szCs w:val="21"/>
                <w:lang w:bidi="en-US"/>
              </w:rPr>
            </w:pPr>
          </w:p>
        </w:tc>
        <w:tc>
          <w:tcPr>
            <w:tcW w:w="1140" w:type="dxa"/>
          </w:tcPr>
          <w:p w14:paraId="08023EFE">
            <w:pPr>
              <w:tabs>
                <w:tab w:val="left" w:pos="851"/>
              </w:tabs>
              <w:spacing w:line="360" w:lineRule="auto"/>
              <w:jc w:val="left"/>
              <w:rPr>
                <w:szCs w:val="21"/>
                <w:lang w:bidi="en-US"/>
              </w:rPr>
            </w:pPr>
          </w:p>
        </w:tc>
        <w:tc>
          <w:tcPr>
            <w:tcW w:w="2829" w:type="dxa"/>
          </w:tcPr>
          <w:p w14:paraId="2219E93E">
            <w:pPr>
              <w:tabs>
                <w:tab w:val="left" w:pos="851"/>
              </w:tabs>
              <w:spacing w:line="360" w:lineRule="auto"/>
              <w:jc w:val="left"/>
              <w:rPr>
                <w:szCs w:val="21"/>
                <w:lang w:bidi="en-US"/>
              </w:rPr>
            </w:pPr>
          </w:p>
        </w:tc>
      </w:tr>
      <w:tr w14:paraId="02F83D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20EFE3EB">
            <w:pPr>
              <w:tabs>
                <w:tab w:val="left" w:pos="851"/>
              </w:tabs>
              <w:spacing w:line="360" w:lineRule="auto"/>
              <w:jc w:val="left"/>
              <w:rPr>
                <w:szCs w:val="21"/>
                <w:lang w:bidi="en-US"/>
              </w:rPr>
            </w:pPr>
          </w:p>
        </w:tc>
        <w:tc>
          <w:tcPr>
            <w:tcW w:w="1050" w:type="dxa"/>
          </w:tcPr>
          <w:p w14:paraId="297792E5">
            <w:pPr>
              <w:tabs>
                <w:tab w:val="left" w:pos="851"/>
              </w:tabs>
              <w:spacing w:line="360" w:lineRule="auto"/>
              <w:jc w:val="left"/>
              <w:rPr>
                <w:szCs w:val="21"/>
                <w:lang w:bidi="en-US"/>
              </w:rPr>
            </w:pPr>
          </w:p>
        </w:tc>
        <w:tc>
          <w:tcPr>
            <w:tcW w:w="2998" w:type="dxa"/>
          </w:tcPr>
          <w:p w14:paraId="72CC9027">
            <w:pPr>
              <w:tabs>
                <w:tab w:val="left" w:pos="851"/>
              </w:tabs>
              <w:spacing w:line="360" w:lineRule="auto"/>
              <w:jc w:val="left"/>
              <w:rPr>
                <w:szCs w:val="21"/>
                <w:lang w:bidi="en-US"/>
              </w:rPr>
            </w:pPr>
          </w:p>
        </w:tc>
        <w:tc>
          <w:tcPr>
            <w:tcW w:w="1140" w:type="dxa"/>
          </w:tcPr>
          <w:p w14:paraId="17A9BDEA">
            <w:pPr>
              <w:tabs>
                <w:tab w:val="left" w:pos="851"/>
              </w:tabs>
              <w:spacing w:line="360" w:lineRule="auto"/>
              <w:jc w:val="left"/>
              <w:rPr>
                <w:szCs w:val="21"/>
                <w:lang w:bidi="en-US"/>
              </w:rPr>
            </w:pPr>
          </w:p>
        </w:tc>
        <w:tc>
          <w:tcPr>
            <w:tcW w:w="2829" w:type="dxa"/>
          </w:tcPr>
          <w:p w14:paraId="6FD17E36">
            <w:pPr>
              <w:tabs>
                <w:tab w:val="left" w:pos="851"/>
              </w:tabs>
              <w:spacing w:line="360" w:lineRule="auto"/>
              <w:jc w:val="left"/>
              <w:rPr>
                <w:szCs w:val="21"/>
                <w:lang w:bidi="en-US"/>
              </w:rPr>
            </w:pPr>
          </w:p>
        </w:tc>
      </w:tr>
      <w:tr w14:paraId="2416A1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01AFA171">
            <w:pPr>
              <w:tabs>
                <w:tab w:val="left" w:pos="851"/>
              </w:tabs>
              <w:spacing w:line="360" w:lineRule="auto"/>
              <w:jc w:val="left"/>
              <w:rPr>
                <w:szCs w:val="21"/>
                <w:lang w:bidi="en-US"/>
              </w:rPr>
            </w:pPr>
          </w:p>
        </w:tc>
        <w:tc>
          <w:tcPr>
            <w:tcW w:w="1050" w:type="dxa"/>
          </w:tcPr>
          <w:p w14:paraId="5D35CD49">
            <w:pPr>
              <w:tabs>
                <w:tab w:val="left" w:pos="851"/>
              </w:tabs>
              <w:spacing w:line="360" w:lineRule="auto"/>
              <w:jc w:val="left"/>
              <w:rPr>
                <w:szCs w:val="21"/>
                <w:lang w:bidi="en-US"/>
              </w:rPr>
            </w:pPr>
          </w:p>
        </w:tc>
        <w:tc>
          <w:tcPr>
            <w:tcW w:w="2998" w:type="dxa"/>
          </w:tcPr>
          <w:p w14:paraId="4D807D75">
            <w:pPr>
              <w:tabs>
                <w:tab w:val="left" w:pos="851"/>
              </w:tabs>
              <w:spacing w:line="360" w:lineRule="auto"/>
              <w:jc w:val="left"/>
              <w:rPr>
                <w:szCs w:val="21"/>
                <w:lang w:bidi="en-US"/>
              </w:rPr>
            </w:pPr>
          </w:p>
        </w:tc>
        <w:tc>
          <w:tcPr>
            <w:tcW w:w="1140" w:type="dxa"/>
          </w:tcPr>
          <w:p w14:paraId="4B556AE5">
            <w:pPr>
              <w:tabs>
                <w:tab w:val="left" w:pos="851"/>
              </w:tabs>
              <w:spacing w:line="360" w:lineRule="auto"/>
              <w:jc w:val="left"/>
              <w:rPr>
                <w:szCs w:val="21"/>
                <w:lang w:bidi="en-US"/>
              </w:rPr>
            </w:pPr>
          </w:p>
        </w:tc>
        <w:tc>
          <w:tcPr>
            <w:tcW w:w="2829" w:type="dxa"/>
          </w:tcPr>
          <w:p w14:paraId="320EB321">
            <w:pPr>
              <w:tabs>
                <w:tab w:val="left" w:pos="851"/>
              </w:tabs>
              <w:spacing w:line="360" w:lineRule="auto"/>
              <w:jc w:val="left"/>
              <w:rPr>
                <w:szCs w:val="21"/>
                <w:lang w:bidi="en-US"/>
              </w:rPr>
            </w:pPr>
          </w:p>
        </w:tc>
      </w:tr>
      <w:tr w14:paraId="07D52D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326BBCFA">
            <w:pPr>
              <w:tabs>
                <w:tab w:val="left" w:pos="851"/>
              </w:tabs>
              <w:spacing w:line="360" w:lineRule="auto"/>
              <w:jc w:val="left"/>
              <w:rPr>
                <w:szCs w:val="21"/>
                <w:lang w:bidi="en-US"/>
              </w:rPr>
            </w:pPr>
          </w:p>
        </w:tc>
        <w:tc>
          <w:tcPr>
            <w:tcW w:w="1050" w:type="dxa"/>
          </w:tcPr>
          <w:p w14:paraId="4BDF9B6C">
            <w:pPr>
              <w:tabs>
                <w:tab w:val="left" w:pos="851"/>
              </w:tabs>
              <w:spacing w:line="360" w:lineRule="auto"/>
              <w:jc w:val="left"/>
              <w:rPr>
                <w:szCs w:val="21"/>
                <w:lang w:bidi="en-US"/>
              </w:rPr>
            </w:pPr>
          </w:p>
        </w:tc>
        <w:tc>
          <w:tcPr>
            <w:tcW w:w="2998" w:type="dxa"/>
          </w:tcPr>
          <w:p w14:paraId="0AFE105A">
            <w:pPr>
              <w:tabs>
                <w:tab w:val="left" w:pos="851"/>
              </w:tabs>
              <w:spacing w:line="360" w:lineRule="auto"/>
              <w:jc w:val="left"/>
              <w:rPr>
                <w:szCs w:val="21"/>
                <w:lang w:bidi="en-US"/>
              </w:rPr>
            </w:pPr>
          </w:p>
        </w:tc>
        <w:tc>
          <w:tcPr>
            <w:tcW w:w="1140" w:type="dxa"/>
          </w:tcPr>
          <w:p w14:paraId="73F0F17D">
            <w:pPr>
              <w:tabs>
                <w:tab w:val="left" w:pos="851"/>
              </w:tabs>
              <w:spacing w:line="360" w:lineRule="auto"/>
              <w:jc w:val="left"/>
              <w:rPr>
                <w:szCs w:val="21"/>
                <w:lang w:bidi="en-US"/>
              </w:rPr>
            </w:pPr>
          </w:p>
        </w:tc>
        <w:tc>
          <w:tcPr>
            <w:tcW w:w="2829" w:type="dxa"/>
          </w:tcPr>
          <w:p w14:paraId="53907F9F">
            <w:pPr>
              <w:tabs>
                <w:tab w:val="left" w:pos="851"/>
              </w:tabs>
              <w:spacing w:line="360" w:lineRule="auto"/>
              <w:jc w:val="left"/>
              <w:rPr>
                <w:szCs w:val="21"/>
                <w:lang w:bidi="en-US"/>
              </w:rPr>
            </w:pPr>
          </w:p>
        </w:tc>
      </w:tr>
      <w:tr w14:paraId="6D1FCA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1FF2D7EE">
            <w:pPr>
              <w:tabs>
                <w:tab w:val="left" w:pos="851"/>
              </w:tabs>
              <w:spacing w:line="360" w:lineRule="auto"/>
              <w:jc w:val="left"/>
              <w:rPr>
                <w:szCs w:val="21"/>
                <w:lang w:bidi="en-US"/>
              </w:rPr>
            </w:pPr>
          </w:p>
        </w:tc>
        <w:tc>
          <w:tcPr>
            <w:tcW w:w="1050" w:type="dxa"/>
          </w:tcPr>
          <w:p w14:paraId="1401C515">
            <w:pPr>
              <w:tabs>
                <w:tab w:val="left" w:pos="851"/>
              </w:tabs>
              <w:spacing w:line="360" w:lineRule="auto"/>
              <w:jc w:val="left"/>
              <w:rPr>
                <w:szCs w:val="21"/>
                <w:lang w:bidi="en-US"/>
              </w:rPr>
            </w:pPr>
          </w:p>
        </w:tc>
        <w:tc>
          <w:tcPr>
            <w:tcW w:w="2998" w:type="dxa"/>
          </w:tcPr>
          <w:p w14:paraId="367152FF">
            <w:pPr>
              <w:tabs>
                <w:tab w:val="left" w:pos="851"/>
              </w:tabs>
              <w:spacing w:line="360" w:lineRule="auto"/>
              <w:jc w:val="left"/>
              <w:rPr>
                <w:szCs w:val="21"/>
                <w:lang w:bidi="en-US"/>
              </w:rPr>
            </w:pPr>
          </w:p>
        </w:tc>
        <w:tc>
          <w:tcPr>
            <w:tcW w:w="1140" w:type="dxa"/>
          </w:tcPr>
          <w:p w14:paraId="3FD59B4C">
            <w:pPr>
              <w:tabs>
                <w:tab w:val="left" w:pos="851"/>
              </w:tabs>
              <w:spacing w:line="360" w:lineRule="auto"/>
              <w:jc w:val="left"/>
              <w:rPr>
                <w:szCs w:val="21"/>
                <w:lang w:bidi="en-US"/>
              </w:rPr>
            </w:pPr>
          </w:p>
        </w:tc>
        <w:tc>
          <w:tcPr>
            <w:tcW w:w="2829" w:type="dxa"/>
          </w:tcPr>
          <w:p w14:paraId="62DB9144">
            <w:pPr>
              <w:tabs>
                <w:tab w:val="left" w:pos="851"/>
              </w:tabs>
              <w:spacing w:line="360" w:lineRule="auto"/>
              <w:jc w:val="left"/>
              <w:rPr>
                <w:szCs w:val="21"/>
                <w:lang w:bidi="en-US"/>
              </w:rPr>
            </w:pPr>
          </w:p>
        </w:tc>
      </w:tr>
      <w:tr w14:paraId="205AB1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282BAE73">
            <w:pPr>
              <w:tabs>
                <w:tab w:val="left" w:pos="851"/>
              </w:tabs>
              <w:spacing w:line="360" w:lineRule="auto"/>
              <w:jc w:val="left"/>
              <w:rPr>
                <w:szCs w:val="21"/>
                <w:lang w:bidi="en-US"/>
              </w:rPr>
            </w:pPr>
          </w:p>
        </w:tc>
        <w:tc>
          <w:tcPr>
            <w:tcW w:w="1050" w:type="dxa"/>
          </w:tcPr>
          <w:p w14:paraId="45B98123">
            <w:pPr>
              <w:tabs>
                <w:tab w:val="left" w:pos="851"/>
              </w:tabs>
              <w:spacing w:line="360" w:lineRule="auto"/>
              <w:jc w:val="left"/>
              <w:rPr>
                <w:szCs w:val="21"/>
                <w:lang w:bidi="en-US"/>
              </w:rPr>
            </w:pPr>
          </w:p>
        </w:tc>
        <w:tc>
          <w:tcPr>
            <w:tcW w:w="2998" w:type="dxa"/>
          </w:tcPr>
          <w:p w14:paraId="4775FD1D">
            <w:pPr>
              <w:tabs>
                <w:tab w:val="left" w:pos="851"/>
              </w:tabs>
              <w:spacing w:line="360" w:lineRule="auto"/>
              <w:jc w:val="left"/>
              <w:rPr>
                <w:szCs w:val="21"/>
                <w:lang w:bidi="en-US"/>
              </w:rPr>
            </w:pPr>
          </w:p>
        </w:tc>
        <w:tc>
          <w:tcPr>
            <w:tcW w:w="1140" w:type="dxa"/>
          </w:tcPr>
          <w:p w14:paraId="51AB06F3">
            <w:pPr>
              <w:tabs>
                <w:tab w:val="left" w:pos="851"/>
              </w:tabs>
              <w:spacing w:line="360" w:lineRule="auto"/>
              <w:jc w:val="left"/>
              <w:rPr>
                <w:szCs w:val="21"/>
                <w:lang w:bidi="en-US"/>
              </w:rPr>
            </w:pPr>
          </w:p>
        </w:tc>
        <w:tc>
          <w:tcPr>
            <w:tcW w:w="2829" w:type="dxa"/>
          </w:tcPr>
          <w:p w14:paraId="7C329523">
            <w:pPr>
              <w:tabs>
                <w:tab w:val="left" w:pos="851"/>
              </w:tabs>
              <w:spacing w:line="360" w:lineRule="auto"/>
              <w:jc w:val="left"/>
              <w:rPr>
                <w:szCs w:val="21"/>
                <w:lang w:bidi="en-US"/>
              </w:rPr>
            </w:pPr>
          </w:p>
        </w:tc>
      </w:tr>
      <w:tr w14:paraId="3699D1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51AD8A9A">
            <w:pPr>
              <w:tabs>
                <w:tab w:val="left" w:pos="851"/>
              </w:tabs>
              <w:spacing w:line="360" w:lineRule="auto"/>
              <w:jc w:val="left"/>
              <w:rPr>
                <w:szCs w:val="21"/>
                <w:lang w:bidi="en-US"/>
              </w:rPr>
            </w:pPr>
          </w:p>
        </w:tc>
        <w:tc>
          <w:tcPr>
            <w:tcW w:w="1050" w:type="dxa"/>
          </w:tcPr>
          <w:p w14:paraId="1B7E5246">
            <w:pPr>
              <w:tabs>
                <w:tab w:val="left" w:pos="851"/>
              </w:tabs>
              <w:spacing w:line="360" w:lineRule="auto"/>
              <w:jc w:val="left"/>
              <w:rPr>
                <w:szCs w:val="21"/>
                <w:lang w:bidi="en-US"/>
              </w:rPr>
            </w:pPr>
          </w:p>
        </w:tc>
        <w:tc>
          <w:tcPr>
            <w:tcW w:w="2998" w:type="dxa"/>
          </w:tcPr>
          <w:p w14:paraId="16DA0C6D">
            <w:pPr>
              <w:tabs>
                <w:tab w:val="left" w:pos="851"/>
              </w:tabs>
              <w:spacing w:line="360" w:lineRule="auto"/>
              <w:jc w:val="left"/>
              <w:rPr>
                <w:szCs w:val="21"/>
                <w:lang w:bidi="en-US"/>
              </w:rPr>
            </w:pPr>
          </w:p>
        </w:tc>
        <w:tc>
          <w:tcPr>
            <w:tcW w:w="1140" w:type="dxa"/>
          </w:tcPr>
          <w:p w14:paraId="3C6BC2AE">
            <w:pPr>
              <w:tabs>
                <w:tab w:val="left" w:pos="851"/>
              </w:tabs>
              <w:spacing w:line="360" w:lineRule="auto"/>
              <w:jc w:val="left"/>
              <w:rPr>
                <w:szCs w:val="21"/>
                <w:lang w:bidi="en-US"/>
              </w:rPr>
            </w:pPr>
          </w:p>
        </w:tc>
        <w:tc>
          <w:tcPr>
            <w:tcW w:w="2829" w:type="dxa"/>
          </w:tcPr>
          <w:p w14:paraId="29B48ADD">
            <w:pPr>
              <w:tabs>
                <w:tab w:val="left" w:pos="851"/>
              </w:tabs>
              <w:spacing w:line="360" w:lineRule="auto"/>
              <w:jc w:val="left"/>
              <w:rPr>
                <w:szCs w:val="21"/>
                <w:lang w:bidi="en-US"/>
              </w:rPr>
            </w:pPr>
          </w:p>
        </w:tc>
      </w:tr>
      <w:tr w14:paraId="0A2E1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6AC05CA2">
            <w:pPr>
              <w:tabs>
                <w:tab w:val="left" w:pos="851"/>
              </w:tabs>
              <w:spacing w:line="360" w:lineRule="auto"/>
              <w:jc w:val="left"/>
              <w:rPr>
                <w:szCs w:val="21"/>
                <w:lang w:bidi="en-US"/>
              </w:rPr>
            </w:pPr>
          </w:p>
        </w:tc>
        <w:tc>
          <w:tcPr>
            <w:tcW w:w="1050" w:type="dxa"/>
          </w:tcPr>
          <w:p w14:paraId="2EE51397">
            <w:pPr>
              <w:tabs>
                <w:tab w:val="left" w:pos="851"/>
              </w:tabs>
              <w:spacing w:line="360" w:lineRule="auto"/>
              <w:jc w:val="left"/>
              <w:rPr>
                <w:szCs w:val="21"/>
                <w:lang w:bidi="en-US"/>
              </w:rPr>
            </w:pPr>
          </w:p>
        </w:tc>
        <w:tc>
          <w:tcPr>
            <w:tcW w:w="2998" w:type="dxa"/>
          </w:tcPr>
          <w:p w14:paraId="54A0CB7A">
            <w:pPr>
              <w:tabs>
                <w:tab w:val="left" w:pos="851"/>
              </w:tabs>
              <w:spacing w:line="360" w:lineRule="auto"/>
              <w:jc w:val="left"/>
              <w:rPr>
                <w:szCs w:val="21"/>
                <w:lang w:bidi="en-US"/>
              </w:rPr>
            </w:pPr>
          </w:p>
        </w:tc>
        <w:tc>
          <w:tcPr>
            <w:tcW w:w="1140" w:type="dxa"/>
          </w:tcPr>
          <w:p w14:paraId="21C6FA08">
            <w:pPr>
              <w:tabs>
                <w:tab w:val="left" w:pos="851"/>
              </w:tabs>
              <w:spacing w:line="360" w:lineRule="auto"/>
              <w:jc w:val="left"/>
              <w:rPr>
                <w:szCs w:val="21"/>
                <w:lang w:bidi="en-US"/>
              </w:rPr>
            </w:pPr>
          </w:p>
        </w:tc>
        <w:tc>
          <w:tcPr>
            <w:tcW w:w="2829" w:type="dxa"/>
          </w:tcPr>
          <w:p w14:paraId="64692E1B">
            <w:pPr>
              <w:tabs>
                <w:tab w:val="left" w:pos="851"/>
              </w:tabs>
              <w:spacing w:line="360" w:lineRule="auto"/>
              <w:jc w:val="left"/>
              <w:rPr>
                <w:szCs w:val="21"/>
                <w:lang w:bidi="en-US"/>
              </w:rPr>
            </w:pPr>
          </w:p>
        </w:tc>
      </w:tr>
      <w:tr w14:paraId="5660FA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241DDCBC">
            <w:pPr>
              <w:tabs>
                <w:tab w:val="left" w:pos="851"/>
              </w:tabs>
              <w:spacing w:line="360" w:lineRule="auto"/>
              <w:jc w:val="left"/>
              <w:rPr>
                <w:szCs w:val="21"/>
                <w:lang w:bidi="en-US"/>
              </w:rPr>
            </w:pPr>
          </w:p>
        </w:tc>
        <w:tc>
          <w:tcPr>
            <w:tcW w:w="1050" w:type="dxa"/>
          </w:tcPr>
          <w:p w14:paraId="3A350104">
            <w:pPr>
              <w:tabs>
                <w:tab w:val="left" w:pos="851"/>
              </w:tabs>
              <w:spacing w:line="360" w:lineRule="auto"/>
              <w:jc w:val="left"/>
              <w:rPr>
                <w:szCs w:val="21"/>
                <w:lang w:bidi="en-US"/>
              </w:rPr>
            </w:pPr>
          </w:p>
        </w:tc>
        <w:tc>
          <w:tcPr>
            <w:tcW w:w="2998" w:type="dxa"/>
          </w:tcPr>
          <w:p w14:paraId="4E5DE388">
            <w:pPr>
              <w:tabs>
                <w:tab w:val="left" w:pos="851"/>
              </w:tabs>
              <w:spacing w:line="360" w:lineRule="auto"/>
              <w:jc w:val="left"/>
              <w:rPr>
                <w:szCs w:val="21"/>
                <w:lang w:bidi="en-US"/>
              </w:rPr>
            </w:pPr>
          </w:p>
        </w:tc>
        <w:tc>
          <w:tcPr>
            <w:tcW w:w="1140" w:type="dxa"/>
          </w:tcPr>
          <w:p w14:paraId="7B50BED6">
            <w:pPr>
              <w:tabs>
                <w:tab w:val="left" w:pos="851"/>
              </w:tabs>
              <w:spacing w:line="360" w:lineRule="auto"/>
              <w:jc w:val="left"/>
              <w:rPr>
                <w:szCs w:val="21"/>
                <w:lang w:bidi="en-US"/>
              </w:rPr>
            </w:pPr>
          </w:p>
        </w:tc>
        <w:tc>
          <w:tcPr>
            <w:tcW w:w="2829" w:type="dxa"/>
          </w:tcPr>
          <w:p w14:paraId="5E288E07">
            <w:pPr>
              <w:tabs>
                <w:tab w:val="left" w:pos="851"/>
              </w:tabs>
              <w:spacing w:line="360" w:lineRule="auto"/>
              <w:jc w:val="left"/>
              <w:rPr>
                <w:szCs w:val="21"/>
                <w:lang w:bidi="en-US"/>
              </w:rPr>
            </w:pPr>
          </w:p>
        </w:tc>
      </w:tr>
      <w:tr w14:paraId="121823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0DBA9497">
            <w:pPr>
              <w:tabs>
                <w:tab w:val="left" w:pos="851"/>
              </w:tabs>
              <w:spacing w:line="360" w:lineRule="auto"/>
              <w:jc w:val="left"/>
              <w:rPr>
                <w:szCs w:val="21"/>
                <w:lang w:bidi="en-US"/>
              </w:rPr>
            </w:pPr>
          </w:p>
        </w:tc>
        <w:tc>
          <w:tcPr>
            <w:tcW w:w="1050" w:type="dxa"/>
          </w:tcPr>
          <w:p w14:paraId="760F267F">
            <w:pPr>
              <w:tabs>
                <w:tab w:val="left" w:pos="851"/>
              </w:tabs>
              <w:spacing w:line="360" w:lineRule="auto"/>
              <w:jc w:val="left"/>
              <w:rPr>
                <w:szCs w:val="21"/>
                <w:lang w:bidi="en-US"/>
              </w:rPr>
            </w:pPr>
          </w:p>
        </w:tc>
        <w:tc>
          <w:tcPr>
            <w:tcW w:w="2998" w:type="dxa"/>
          </w:tcPr>
          <w:p w14:paraId="606E8B39">
            <w:pPr>
              <w:tabs>
                <w:tab w:val="left" w:pos="851"/>
              </w:tabs>
              <w:spacing w:line="360" w:lineRule="auto"/>
              <w:jc w:val="left"/>
              <w:rPr>
                <w:szCs w:val="21"/>
                <w:lang w:bidi="en-US"/>
              </w:rPr>
            </w:pPr>
          </w:p>
        </w:tc>
        <w:tc>
          <w:tcPr>
            <w:tcW w:w="1140" w:type="dxa"/>
          </w:tcPr>
          <w:p w14:paraId="6885523B">
            <w:pPr>
              <w:tabs>
                <w:tab w:val="left" w:pos="851"/>
              </w:tabs>
              <w:spacing w:line="360" w:lineRule="auto"/>
              <w:jc w:val="left"/>
              <w:rPr>
                <w:szCs w:val="21"/>
                <w:lang w:bidi="en-US"/>
              </w:rPr>
            </w:pPr>
          </w:p>
        </w:tc>
        <w:tc>
          <w:tcPr>
            <w:tcW w:w="2829" w:type="dxa"/>
          </w:tcPr>
          <w:p w14:paraId="27FC50BA">
            <w:pPr>
              <w:tabs>
                <w:tab w:val="left" w:pos="851"/>
              </w:tabs>
              <w:spacing w:line="360" w:lineRule="auto"/>
              <w:jc w:val="left"/>
              <w:rPr>
                <w:szCs w:val="21"/>
                <w:lang w:bidi="en-US"/>
              </w:rPr>
            </w:pPr>
          </w:p>
        </w:tc>
      </w:tr>
      <w:tr w14:paraId="778495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14:paraId="247CB210">
            <w:pPr>
              <w:tabs>
                <w:tab w:val="left" w:pos="851"/>
              </w:tabs>
              <w:spacing w:line="360" w:lineRule="auto"/>
              <w:jc w:val="left"/>
              <w:rPr>
                <w:szCs w:val="21"/>
                <w:lang w:bidi="en-US"/>
              </w:rPr>
            </w:pPr>
          </w:p>
        </w:tc>
        <w:tc>
          <w:tcPr>
            <w:tcW w:w="1050" w:type="dxa"/>
          </w:tcPr>
          <w:p w14:paraId="1ABC7806">
            <w:pPr>
              <w:tabs>
                <w:tab w:val="left" w:pos="851"/>
              </w:tabs>
              <w:spacing w:line="360" w:lineRule="auto"/>
              <w:jc w:val="left"/>
              <w:rPr>
                <w:szCs w:val="21"/>
                <w:lang w:bidi="en-US"/>
              </w:rPr>
            </w:pPr>
          </w:p>
        </w:tc>
        <w:tc>
          <w:tcPr>
            <w:tcW w:w="2998" w:type="dxa"/>
          </w:tcPr>
          <w:p w14:paraId="699967CA">
            <w:pPr>
              <w:tabs>
                <w:tab w:val="left" w:pos="851"/>
              </w:tabs>
              <w:spacing w:line="360" w:lineRule="auto"/>
              <w:jc w:val="left"/>
              <w:rPr>
                <w:szCs w:val="21"/>
                <w:lang w:bidi="en-US"/>
              </w:rPr>
            </w:pPr>
          </w:p>
        </w:tc>
        <w:tc>
          <w:tcPr>
            <w:tcW w:w="1140" w:type="dxa"/>
          </w:tcPr>
          <w:p w14:paraId="6BF01864">
            <w:pPr>
              <w:tabs>
                <w:tab w:val="left" w:pos="851"/>
              </w:tabs>
              <w:spacing w:line="360" w:lineRule="auto"/>
              <w:jc w:val="left"/>
              <w:rPr>
                <w:szCs w:val="21"/>
                <w:lang w:bidi="en-US"/>
              </w:rPr>
            </w:pPr>
          </w:p>
        </w:tc>
        <w:tc>
          <w:tcPr>
            <w:tcW w:w="2829" w:type="dxa"/>
          </w:tcPr>
          <w:p w14:paraId="3A052080">
            <w:pPr>
              <w:tabs>
                <w:tab w:val="left" w:pos="851"/>
              </w:tabs>
              <w:spacing w:line="360" w:lineRule="auto"/>
              <w:jc w:val="left"/>
              <w:rPr>
                <w:szCs w:val="21"/>
                <w:lang w:bidi="en-US"/>
              </w:rPr>
            </w:pPr>
          </w:p>
        </w:tc>
      </w:tr>
    </w:tbl>
    <w:p w14:paraId="22602B5C">
      <w:pPr>
        <w:tabs>
          <w:tab w:val="left" w:pos="851"/>
        </w:tabs>
        <w:spacing w:line="360" w:lineRule="auto"/>
        <w:jc w:val="left"/>
        <w:rPr>
          <w:szCs w:val="21"/>
          <w:lang w:bidi="en-US"/>
        </w:rPr>
      </w:pPr>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2991727"/>
    </w:sdtPr>
    <w:sdtContent>
      <w:p w14:paraId="2071220A">
        <w:pPr>
          <w:pStyle w:val="18"/>
          <w:jc w:val="center"/>
        </w:pPr>
        <w:r>
          <w:fldChar w:fldCharType="begin"/>
        </w:r>
        <w:r>
          <w:instrText xml:space="preserve">PAGE   \* MERGEFORMAT</w:instrText>
        </w:r>
        <w:r>
          <w:fldChar w:fldCharType="separate"/>
        </w:r>
        <w:r>
          <w:rPr>
            <w:lang w:val="zh-CN"/>
          </w:rPr>
          <w:t>II</w:t>
        </w:r>
        <w:r>
          <w:rPr>
            <w:lang w:val="zh-CN"/>
          </w:rPr>
          <w:fldChar w:fldCharType="end"/>
        </w:r>
      </w:p>
    </w:sdtContent>
  </w:sdt>
  <w:p w14:paraId="03D3BBA0">
    <w:pPr>
      <w:pStyle w:val="1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211191"/>
    </w:sdtPr>
    <w:sdtContent>
      <w:p w14:paraId="3DCC4953">
        <w:pPr>
          <w:pStyle w:val="18"/>
          <w:jc w:val="center"/>
        </w:pPr>
        <w:r>
          <w:fldChar w:fldCharType="begin"/>
        </w:r>
        <w:r>
          <w:instrText xml:space="preserve">PAGE   \* MERGEFORMAT</w:instrText>
        </w:r>
        <w:r>
          <w:fldChar w:fldCharType="separate"/>
        </w:r>
        <w:r>
          <w:rPr>
            <w:lang w:val="zh-CN"/>
          </w:rPr>
          <w:t>31</w:t>
        </w:r>
        <w:r>
          <w:rPr>
            <w:lang w:val="zh-CN"/>
          </w:rPr>
          <w:fldChar w:fldCharType="end"/>
        </w:r>
      </w:p>
    </w:sdtContent>
  </w:sdt>
  <w:p w14:paraId="1FF38BA9">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6DB62">
    <w:pPr>
      <w:pStyle w:val="18"/>
      <w:jc w:val="center"/>
    </w:pPr>
    <w:r>
      <w:fldChar w:fldCharType="begin"/>
    </w:r>
    <w:r>
      <w:instrText xml:space="preserve">PAGE   \* MERGEFORMAT</w:instrText>
    </w:r>
    <w:r>
      <w:fldChar w:fldCharType="separate"/>
    </w:r>
    <w:r>
      <w:rPr>
        <w:lang w:val="zh-CN"/>
      </w:rPr>
      <w:t>32</w:t>
    </w:r>
    <w:r>
      <w:rPr>
        <w:lang w:val="zh-CN"/>
      </w:rPr>
      <w:fldChar w:fldCharType="end"/>
    </w:r>
  </w:p>
  <w:p w14:paraId="62F5D0F8">
    <w:pPr>
      <w:pStyle w:val="1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077A1">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A5359">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CA2AE">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2"/>
      <w:lvlText w:val=""/>
      <w:lvlJc w:val="left"/>
      <w:pPr>
        <w:tabs>
          <w:tab w:val="left" w:pos="780"/>
        </w:tabs>
        <w:ind w:left="780" w:leftChars="200" w:hanging="360" w:hangingChars="200"/>
      </w:pPr>
      <w:rPr>
        <w:rFonts w:hint="default" w:ascii="Wingdings" w:hAnsi="Wingdings"/>
      </w:rPr>
    </w:lvl>
  </w:abstractNum>
  <w:abstractNum w:abstractNumId="1">
    <w:nsid w:val="01AF422F"/>
    <w:multiLevelType w:val="multilevel"/>
    <w:tmpl w:val="01AF422F"/>
    <w:lvl w:ilvl="0" w:tentative="0">
      <w:start w:val="1"/>
      <w:numFmt w:val="decimal"/>
      <w:pStyle w:val="60"/>
      <w:lvlText w:val="%1)"/>
      <w:lvlJc w:val="left"/>
      <w:pPr>
        <w:ind w:left="1413" w:hanging="420"/>
      </w:pPr>
      <w:rPr>
        <w:rFonts w:hint="default"/>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2DD0AAA"/>
    <w:multiLevelType w:val="multilevel"/>
    <w:tmpl w:val="02DD0AAA"/>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780"/>
        </w:tabs>
        <w:ind w:left="780" w:hanging="420"/>
      </w:pPr>
    </w:lvl>
    <w:lvl w:ilvl="2" w:tentative="0">
      <w:start w:val="1"/>
      <w:numFmt w:val="lowerRoman"/>
      <w:lvlText w:val="%3."/>
      <w:lvlJc w:val="right"/>
      <w:pPr>
        <w:tabs>
          <w:tab w:val="left" w:pos="1200"/>
        </w:tabs>
        <w:ind w:left="1200" w:hanging="420"/>
      </w:pPr>
    </w:lvl>
    <w:lvl w:ilvl="3" w:tentative="0">
      <w:start w:val="1"/>
      <w:numFmt w:val="decimal"/>
      <w:lvlText w:val="%4."/>
      <w:lvlJc w:val="left"/>
      <w:pPr>
        <w:tabs>
          <w:tab w:val="left" w:pos="1620"/>
        </w:tabs>
        <w:ind w:left="1620" w:hanging="420"/>
      </w:pPr>
    </w:lvl>
    <w:lvl w:ilvl="4" w:tentative="0">
      <w:start w:val="1"/>
      <w:numFmt w:val="lowerLetter"/>
      <w:lvlText w:val="%5)"/>
      <w:lvlJc w:val="left"/>
      <w:pPr>
        <w:tabs>
          <w:tab w:val="left" w:pos="2040"/>
        </w:tabs>
        <w:ind w:left="2040" w:hanging="420"/>
      </w:pPr>
    </w:lvl>
    <w:lvl w:ilvl="5" w:tentative="0">
      <w:start w:val="1"/>
      <w:numFmt w:val="lowerRoman"/>
      <w:lvlText w:val="%6."/>
      <w:lvlJc w:val="right"/>
      <w:pPr>
        <w:tabs>
          <w:tab w:val="left" w:pos="2460"/>
        </w:tabs>
        <w:ind w:left="2460" w:hanging="420"/>
      </w:pPr>
    </w:lvl>
    <w:lvl w:ilvl="6" w:tentative="0">
      <w:start w:val="1"/>
      <w:numFmt w:val="decimal"/>
      <w:lvlText w:val="%7."/>
      <w:lvlJc w:val="left"/>
      <w:pPr>
        <w:tabs>
          <w:tab w:val="left" w:pos="2880"/>
        </w:tabs>
        <w:ind w:left="2880" w:hanging="420"/>
      </w:pPr>
    </w:lvl>
    <w:lvl w:ilvl="7" w:tentative="0">
      <w:start w:val="1"/>
      <w:numFmt w:val="lowerLetter"/>
      <w:lvlText w:val="%8)"/>
      <w:lvlJc w:val="left"/>
      <w:pPr>
        <w:tabs>
          <w:tab w:val="left" w:pos="3300"/>
        </w:tabs>
        <w:ind w:left="3300" w:hanging="420"/>
      </w:pPr>
    </w:lvl>
    <w:lvl w:ilvl="8" w:tentative="0">
      <w:start w:val="1"/>
      <w:numFmt w:val="lowerRoman"/>
      <w:lvlText w:val="%9."/>
      <w:lvlJc w:val="right"/>
      <w:pPr>
        <w:tabs>
          <w:tab w:val="left" w:pos="3720"/>
        </w:tabs>
        <w:ind w:left="3720" w:hanging="420"/>
      </w:pPr>
    </w:lvl>
  </w:abstractNum>
  <w:abstractNum w:abstractNumId="3">
    <w:nsid w:val="03743612"/>
    <w:multiLevelType w:val="multilevel"/>
    <w:tmpl w:val="0374361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E22E4A"/>
    <w:multiLevelType w:val="multilevel"/>
    <w:tmpl w:val="06E22E4A"/>
    <w:lvl w:ilvl="0" w:tentative="0">
      <w:start w:val="1"/>
      <w:numFmt w:val="decimal"/>
      <w:lvlText w:val="%1)"/>
      <w:lvlJc w:val="left"/>
      <w:pPr>
        <w:tabs>
          <w:tab w:val="left" w:pos="980"/>
        </w:tabs>
        <w:ind w:left="980" w:hanging="420"/>
      </w:pPr>
    </w:lvl>
    <w:lvl w:ilvl="1" w:tentative="0">
      <w:start w:val="2"/>
      <w:numFmt w:val="decimal"/>
      <w:lvlText w:val="%2）"/>
      <w:lvlJc w:val="left"/>
      <w:pPr>
        <w:tabs>
          <w:tab w:val="left" w:pos="1340"/>
        </w:tabs>
        <w:ind w:left="13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7A16C05"/>
    <w:multiLevelType w:val="multilevel"/>
    <w:tmpl w:val="07A16C0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08D170D1"/>
    <w:multiLevelType w:val="multilevel"/>
    <w:tmpl w:val="08D170D1"/>
    <w:lvl w:ilvl="0" w:tentative="0">
      <w:start w:val="1"/>
      <w:numFmt w:val="bullet"/>
      <w:lvlText w:val=""/>
      <w:lvlJc w:val="left"/>
      <w:pPr>
        <w:tabs>
          <w:tab w:val="left" w:pos="840"/>
        </w:tabs>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B8C21C7"/>
    <w:multiLevelType w:val="multilevel"/>
    <w:tmpl w:val="0B8C21C7"/>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14745DC2"/>
    <w:multiLevelType w:val="multilevel"/>
    <w:tmpl w:val="14745DC2"/>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15616488"/>
    <w:multiLevelType w:val="multilevel"/>
    <w:tmpl w:val="15616488"/>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10">
    <w:nsid w:val="170675B5"/>
    <w:multiLevelType w:val="multilevel"/>
    <w:tmpl w:val="170675B5"/>
    <w:lvl w:ilvl="0" w:tentative="0">
      <w:start w:val="1"/>
      <w:numFmt w:val="decimal"/>
      <w:lvlText w:val="%1."/>
      <w:lvlJc w:val="left"/>
      <w:pPr>
        <w:ind w:left="1680" w:hanging="420"/>
      </w:pPr>
      <w:rPr>
        <w:rFonts w:hint="eastAsia"/>
      </w:rPr>
    </w:lvl>
    <w:lvl w:ilvl="1" w:tentative="0">
      <w:start w:val="1"/>
      <w:numFmt w:val="lowerLetter"/>
      <w:lvlText w:val="%2)"/>
      <w:lvlJc w:val="left"/>
      <w:pPr>
        <w:ind w:left="2100" w:hanging="420"/>
      </w:pPr>
    </w:lvl>
    <w:lvl w:ilvl="2" w:tentative="0">
      <w:start w:val="1"/>
      <w:numFmt w:val="lowerRoman"/>
      <w:lvlText w:val="%3."/>
      <w:lvlJc w:val="right"/>
      <w:pPr>
        <w:ind w:left="2520" w:hanging="420"/>
      </w:pPr>
    </w:lvl>
    <w:lvl w:ilvl="3" w:tentative="0">
      <w:start w:val="1"/>
      <w:numFmt w:val="decimal"/>
      <w:lvlText w:val="%4."/>
      <w:lvlJc w:val="left"/>
      <w:pPr>
        <w:ind w:left="2940" w:hanging="420"/>
      </w:pPr>
    </w:lvl>
    <w:lvl w:ilvl="4" w:tentative="0">
      <w:start w:val="1"/>
      <w:numFmt w:val="lowerLetter"/>
      <w:lvlText w:val="%5)"/>
      <w:lvlJc w:val="left"/>
      <w:pPr>
        <w:ind w:left="3360" w:hanging="420"/>
      </w:pPr>
    </w:lvl>
    <w:lvl w:ilvl="5" w:tentative="0">
      <w:start w:val="1"/>
      <w:numFmt w:val="lowerRoman"/>
      <w:lvlText w:val="%6."/>
      <w:lvlJc w:val="right"/>
      <w:pPr>
        <w:ind w:left="3780" w:hanging="420"/>
      </w:pPr>
    </w:lvl>
    <w:lvl w:ilvl="6" w:tentative="0">
      <w:start w:val="1"/>
      <w:numFmt w:val="decimal"/>
      <w:lvlText w:val="%7."/>
      <w:lvlJc w:val="left"/>
      <w:pPr>
        <w:ind w:left="4200" w:hanging="420"/>
      </w:pPr>
    </w:lvl>
    <w:lvl w:ilvl="7" w:tentative="0">
      <w:start w:val="1"/>
      <w:numFmt w:val="lowerLetter"/>
      <w:lvlText w:val="%8)"/>
      <w:lvlJc w:val="left"/>
      <w:pPr>
        <w:ind w:left="4620" w:hanging="420"/>
      </w:pPr>
    </w:lvl>
    <w:lvl w:ilvl="8" w:tentative="0">
      <w:start w:val="1"/>
      <w:numFmt w:val="lowerRoman"/>
      <w:lvlText w:val="%9."/>
      <w:lvlJc w:val="right"/>
      <w:pPr>
        <w:ind w:left="5040" w:hanging="420"/>
      </w:pPr>
    </w:lvl>
  </w:abstractNum>
  <w:abstractNum w:abstractNumId="11">
    <w:nsid w:val="19D40EFB"/>
    <w:multiLevelType w:val="multilevel"/>
    <w:tmpl w:val="19D40EF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B44344E"/>
    <w:multiLevelType w:val="multilevel"/>
    <w:tmpl w:val="1B44344E"/>
    <w:lvl w:ilvl="0" w:tentative="0">
      <w:start w:val="1"/>
      <w:numFmt w:val="decimal"/>
      <w:lvlText w:val="%1）"/>
      <w:lvlJc w:val="left"/>
      <w:pPr>
        <w:ind w:left="2704" w:hanging="720"/>
      </w:pPr>
      <w:rPr>
        <w:rFonts w:hint="default"/>
      </w:rPr>
    </w:lvl>
    <w:lvl w:ilvl="1" w:tentative="0">
      <w:start w:val="1"/>
      <w:numFmt w:val="lowerLetter"/>
      <w:lvlText w:val="%2)"/>
      <w:lvlJc w:val="left"/>
      <w:pPr>
        <w:ind w:left="2824" w:hanging="420"/>
      </w:pPr>
    </w:lvl>
    <w:lvl w:ilvl="2" w:tentative="0">
      <w:start w:val="1"/>
      <w:numFmt w:val="lowerRoman"/>
      <w:lvlText w:val="%3."/>
      <w:lvlJc w:val="right"/>
      <w:pPr>
        <w:ind w:left="3244" w:hanging="420"/>
      </w:pPr>
    </w:lvl>
    <w:lvl w:ilvl="3" w:tentative="0">
      <w:start w:val="1"/>
      <w:numFmt w:val="decimal"/>
      <w:lvlText w:val="%4."/>
      <w:lvlJc w:val="left"/>
      <w:pPr>
        <w:ind w:left="3664" w:hanging="420"/>
      </w:pPr>
    </w:lvl>
    <w:lvl w:ilvl="4" w:tentative="0">
      <w:start w:val="1"/>
      <w:numFmt w:val="lowerLetter"/>
      <w:lvlText w:val="%5)"/>
      <w:lvlJc w:val="left"/>
      <w:pPr>
        <w:ind w:left="4084" w:hanging="420"/>
      </w:pPr>
    </w:lvl>
    <w:lvl w:ilvl="5" w:tentative="0">
      <w:start w:val="1"/>
      <w:numFmt w:val="lowerRoman"/>
      <w:lvlText w:val="%6."/>
      <w:lvlJc w:val="right"/>
      <w:pPr>
        <w:ind w:left="4504" w:hanging="420"/>
      </w:pPr>
    </w:lvl>
    <w:lvl w:ilvl="6" w:tentative="0">
      <w:start w:val="1"/>
      <w:numFmt w:val="decimal"/>
      <w:lvlText w:val="%7."/>
      <w:lvlJc w:val="left"/>
      <w:pPr>
        <w:ind w:left="4924" w:hanging="420"/>
      </w:pPr>
    </w:lvl>
    <w:lvl w:ilvl="7" w:tentative="0">
      <w:start w:val="1"/>
      <w:numFmt w:val="lowerLetter"/>
      <w:lvlText w:val="%8)"/>
      <w:lvlJc w:val="left"/>
      <w:pPr>
        <w:ind w:left="5344" w:hanging="420"/>
      </w:pPr>
    </w:lvl>
    <w:lvl w:ilvl="8" w:tentative="0">
      <w:start w:val="1"/>
      <w:numFmt w:val="lowerRoman"/>
      <w:lvlText w:val="%9."/>
      <w:lvlJc w:val="right"/>
      <w:pPr>
        <w:ind w:left="5764" w:hanging="420"/>
      </w:pPr>
    </w:lvl>
  </w:abstractNum>
  <w:abstractNum w:abstractNumId="13">
    <w:nsid w:val="1F361005"/>
    <w:multiLevelType w:val="multilevel"/>
    <w:tmpl w:val="1F36100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200353DA"/>
    <w:multiLevelType w:val="multilevel"/>
    <w:tmpl w:val="200353DA"/>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780"/>
        </w:tabs>
        <w:ind w:left="780" w:hanging="420"/>
      </w:pPr>
    </w:lvl>
    <w:lvl w:ilvl="2" w:tentative="0">
      <w:start w:val="1"/>
      <w:numFmt w:val="lowerRoman"/>
      <w:lvlText w:val="%3."/>
      <w:lvlJc w:val="right"/>
      <w:pPr>
        <w:tabs>
          <w:tab w:val="left" w:pos="1200"/>
        </w:tabs>
        <w:ind w:left="1200" w:hanging="420"/>
      </w:pPr>
    </w:lvl>
    <w:lvl w:ilvl="3" w:tentative="0">
      <w:start w:val="1"/>
      <w:numFmt w:val="decimal"/>
      <w:lvlText w:val="%4."/>
      <w:lvlJc w:val="left"/>
      <w:pPr>
        <w:tabs>
          <w:tab w:val="left" w:pos="1620"/>
        </w:tabs>
        <w:ind w:left="1620" w:hanging="420"/>
      </w:pPr>
    </w:lvl>
    <w:lvl w:ilvl="4" w:tentative="0">
      <w:start w:val="1"/>
      <w:numFmt w:val="lowerLetter"/>
      <w:lvlText w:val="%5)"/>
      <w:lvlJc w:val="left"/>
      <w:pPr>
        <w:tabs>
          <w:tab w:val="left" w:pos="2040"/>
        </w:tabs>
        <w:ind w:left="2040" w:hanging="420"/>
      </w:pPr>
    </w:lvl>
    <w:lvl w:ilvl="5" w:tentative="0">
      <w:start w:val="1"/>
      <w:numFmt w:val="lowerRoman"/>
      <w:lvlText w:val="%6."/>
      <w:lvlJc w:val="right"/>
      <w:pPr>
        <w:tabs>
          <w:tab w:val="left" w:pos="2460"/>
        </w:tabs>
        <w:ind w:left="2460" w:hanging="420"/>
      </w:pPr>
    </w:lvl>
    <w:lvl w:ilvl="6" w:tentative="0">
      <w:start w:val="1"/>
      <w:numFmt w:val="decimal"/>
      <w:lvlText w:val="%7."/>
      <w:lvlJc w:val="left"/>
      <w:pPr>
        <w:tabs>
          <w:tab w:val="left" w:pos="2880"/>
        </w:tabs>
        <w:ind w:left="2880" w:hanging="420"/>
      </w:pPr>
    </w:lvl>
    <w:lvl w:ilvl="7" w:tentative="0">
      <w:start w:val="1"/>
      <w:numFmt w:val="lowerLetter"/>
      <w:lvlText w:val="%8)"/>
      <w:lvlJc w:val="left"/>
      <w:pPr>
        <w:tabs>
          <w:tab w:val="left" w:pos="3300"/>
        </w:tabs>
        <w:ind w:left="3300" w:hanging="420"/>
      </w:pPr>
    </w:lvl>
    <w:lvl w:ilvl="8" w:tentative="0">
      <w:start w:val="1"/>
      <w:numFmt w:val="lowerRoman"/>
      <w:lvlText w:val="%9."/>
      <w:lvlJc w:val="right"/>
      <w:pPr>
        <w:tabs>
          <w:tab w:val="left" w:pos="3720"/>
        </w:tabs>
        <w:ind w:left="3720" w:hanging="420"/>
      </w:pPr>
    </w:lvl>
  </w:abstractNum>
  <w:abstractNum w:abstractNumId="15">
    <w:nsid w:val="208E1F97"/>
    <w:multiLevelType w:val="multilevel"/>
    <w:tmpl w:val="208E1F97"/>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16">
    <w:nsid w:val="217C4599"/>
    <w:multiLevelType w:val="multilevel"/>
    <w:tmpl w:val="217C4599"/>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17">
    <w:nsid w:val="285321F8"/>
    <w:multiLevelType w:val="multilevel"/>
    <w:tmpl w:val="285321F8"/>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18">
    <w:nsid w:val="2979460F"/>
    <w:multiLevelType w:val="multilevel"/>
    <w:tmpl w:val="2979460F"/>
    <w:lvl w:ilvl="0" w:tentative="0">
      <w:start w:val="1"/>
      <w:numFmt w:val="decimal"/>
      <w:lvlText w:val="%1)"/>
      <w:lvlJc w:val="left"/>
      <w:pPr>
        <w:tabs>
          <w:tab w:val="left" w:pos="420"/>
        </w:tabs>
        <w:ind w:left="420" w:hanging="420"/>
      </w:pPr>
      <w:rPr>
        <w:rFonts w:ascii="宋体" w:hAnsi="宋体" w:eastAsia="宋体"/>
        <w:b/>
      </w:rPr>
    </w:lvl>
    <w:lvl w:ilvl="1" w:tentative="0">
      <w:start w:val="4"/>
      <w:numFmt w:val="decimal"/>
      <w:lvlText w:val="%2．"/>
      <w:lvlJc w:val="left"/>
      <w:pPr>
        <w:tabs>
          <w:tab w:val="left" w:pos="780"/>
        </w:tabs>
        <w:ind w:left="780" w:hanging="360"/>
      </w:pPr>
    </w:lvl>
    <w:lvl w:ilvl="2" w:tentative="0">
      <w:start w:val="1"/>
      <w:numFmt w:val="decimal"/>
      <w:lvlText w:val="%3．"/>
      <w:lvlJc w:val="left"/>
      <w:pPr>
        <w:tabs>
          <w:tab w:val="left" w:pos="1680"/>
        </w:tabs>
        <w:ind w:left="1680" w:hanging="840"/>
      </w:pPr>
    </w:lvl>
    <w:lvl w:ilvl="3" w:tentative="0">
      <w:start w:val="1"/>
      <w:numFmt w:val="decimal"/>
      <w:lvlText w:val="%4"/>
      <w:lvlJc w:val="left"/>
      <w:pPr>
        <w:tabs>
          <w:tab w:val="left" w:pos="1620"/>
        </w:tabs>
        <w:ind w:left="162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2A454170"/>
    <w:multiLevelType w:val="multilevel"/>
    <w:tmpl w:val="2A454170"/>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20">
    <w:nsid w:val="2B773E5A"/>
    <w:multiLevelType w:val="multilevel"/>
    <w:tmpl w:val="2B773E5A"/>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21">
    <w:nsid w:val="2BE93D37"/>
    <w:multiLevelType w:val="multilevel"/>
    <w:tmpl w:val="2BE93D37"/>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22">
    <w:nsid w:val="2EEB19E1"/>
    <w:multiLevelType w:val="multilevel"/>
    <w:tmpl w:val="2EEB19E1"/>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780"/>
        </w:tabs>
        <w:ind w:left="780" w:hanging="420"/>
      </w:pPr>
    </w:lvl>
    <w:lvl w:ilvl="2" w:tentative="0">
      <w:start w:val="1"/>
      <w:numFmt w:val="lowerRoman"/>
      <w:lvlText w:val="%3."/>
      <w:lvlJc w:val="right"/>
      <w:pPr>
        <w:tabs>
          <w:tab w:val="left" w:pos="1200"/>
        </w:tabs>
        <w:ind w:left="1200" w:hanging="420"/>
      </w:pPr>
    </w:lvl>
    <w:lvl w:ilvl="3" w:tentative="0">
      <w:start w:val="1"/>
      <w:numFmt w:val="decimal"/>
      <w:lvlText w:val="%4."/>
      <w:lvlJc w:val="left"/>
      <w:pPr>
        <w:tabs>
          <w:tab w:val="left" w:pos="1620"/>
        </w:tabs>
        <w:ind w:left="1620" w:hanging="420"/>
      </w:pPr>
    </w:lvl>
    <w:lvl w:ilvl="4" w:tentative="0">
      <w:start w:val="1"/>
      <w:numFmt w:val="lowerLetter"/>
      <w:lvlText w:val="%5)"/>
      <w:lvlJc w:val="left"/>
      <w:pPr>
        <w:tabs>
          <w:tab w:val="left" w:pos="2040"/>
        </w:tabs>
        <w:ind w:left="2040" w:hanging="420"/>
      </w:pPr>
    </w:lvl>
    <w:lvl w:ilvl="5" w:tentative="0">
      <w:start w:val="1"/>
      <w:numFmt w:val="lowerRoman"/>
      <w:lvlText w:val="%6."/>
      <w:lvlJc w:val="right"/>
      <w:pPr>
        <w:tabs>
          <w:tab w:val="left" w:pos="2460"/>
        </w:tabs>
        <w:ind w:left="2460" w:hanging="420"/>
      </w:pPr>
    </w:lvl>
    <w:lvl w:ilvl="6" w:tentative="0">
      <w:start w:val="1"/>
      <w:numFmt w:val="decimal"/>
      <w:lvlText w:val="%7."/>
      <w:lvlJc w:val="left"/>
      <w:pPr>
        <w:tabs>
          <w:tab w:val="left" w:pos="2880"/>
        </w:tabs>
        <w:ind w:left="2880" w:hanging="420"/>
      </w:pPr>
    </w:lvl>
    <w:lvl w:ilvl="7" w:tentative="0">
      <w:start w:val="1"/>
      <w:numFmt w:val="lowerLetter"/>
      <w:lvlText w:val="%8)"/>
      <w:lvlJc w:val="left"/>
      <w:pPr>
        <w:tabs>
          <w:tab w:val="left" w:pos="3300"/>
        </w:tabs>
        <w:ind w:left="3300" w:hanging="420"/>
      </w:pPr>
    </w:lvl>
    <w:lvl w:ilvl="8" w:tentative="0">
      <w:start w:val="1"/>
      <w:numFmt w:val="lowerRoman"/>
      <w:lvlText w:val="%9."/>
      <w:lvlJc w:val="right"/>
      <w:pPr>
        <w:tabs>
          <w:tab w:val="left" w:pos="3720"/>
        </w:tabs>
        <w:ind w:left="3720" w:hanging="420"/>
      </w:pPr>
    </w:lvl>
  </w:abstractNum>
  <w:abstractNum w:abstractNumId="23">
    <w:nsid w:val="2FC55DBB"/>
    <w:multiLevelType w:val="multilevel"/>
    <w:tmpl w:val="2FC55DBB"/>
    <w:lvl w:ilvl="0" w:tentative="0">
      <w:start w:val="1"/>
      <w:numFmt w:val="lowerLetter"/>
      <w:lvlText w:val="%1)"/>
      <w:lvlJc w:val="left"/>
      <w:pPr>
        <w:ind w:left="-93" w:hanging="420"/>
      </w:pPr>
      <w:rPr>
        <w:rFonts w:hint="eastAsia"/>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24">
    <w:nsid w:val="33EC1267"/>
    <w:multiLevelType w:val="multilevel"/>
    <w:tmpl w:val="33EC1267"/>
    <w:lvl w:ilvl="0" w:tentative="0">
      <w:start w:val="1"/>
      <w:numFmt w:val="decimal"/>
      <w:lvlText w:val="%1)"/>
      <w:lvlJc w:val="left"/>
      <w:pPr>
        <w:tabs>
          <w:tab w:val="left" w:pos="900"/>
        </w:tabs>
        <w:ind w:left="900" w:hanging="4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5">
    <w:nsid w:val="36BC7C0D"/>
    <w:multiLevelType w:val="multilevel"/>
    <w:tmpl w:val="36BC7C0D"/>
    <w:lvl w:ilvl="0" w:tentative="0">
      <w:start w:val="1"/>
      <w:numFmt w:val="decimal"/>
      <w:lvlText w:val="%1."/>
      <w:lvlJc w:val="left"/>
      <w:pPr>
        <w:ind w:left="1680" w:hanging="420"/>
      </w:pPr>
      <w:rPr>
        <w:rFonts w:hint="eastAsia"/>
      </w:rPr>
    </w:lvl>
    <w:lvl w:ilvl="1" w:tentative="0">
      <w:start w:val="1"/>
      <w:numFmt w:val="lowerLetter"/>
      <w:lvlText w:val="%2)"/>
      <w:lvlJc w:val="left"/>
      <w:pPr>
        <w:ind w:left="2100" w:hanging="420"/>
      </w:pPr>
    </w:lvl>
    <w:lvl w:ilvl="2" w:tentative="0">
      <w:start w:val="1"/>
      <w:numFmt w:val="lowerRoman"/>
      <w:lvlText w:val="%3."/>
      <w:lvlJc w:val="right"/>
      <w:pPr>
        <w:ind w:left="2520" w:hanging="420"/>
      </w:pPr>
    </w:lvl>
    <w:lvl w:ilvl="3" w:tentative="0">
      <w:start w:val="1"/>
      <w:numFmt w:val="decimal"/>
      <w:lvlText w:val="%4."/>
      <w:lvlJc w:val="left"/>
      <w:pPr>
        <w:ind w:left="2940" w:hanging="420"/>
      </w:pPr>
    </w:lvl>
    <w:lvl w:ilvl="4" w:tentative="0">
      <w:start w:val="1"/>
      <w:numFmt w:val="lowerLetter"/>
      <w:lvlText w:val="%5)"/>
      <w:lvlJc w:val="left"/>
      <w:pPr>
        <w:ind w:left="3360" w:hanging="420"/>
      </w:pPr>
    </w:lvl>
    <w:lvl w:ilvl="5" w:tentative="0">
      <w:start w:val="1"/>
      <w:numFmt w:val="lowerRoman"/>
      <w:lvlText w:val="%6."/>
      <w:lvlJc w:val="right"/>
      <w:pPr>
        <w:ind w:left="3780" w:hanging="420"/>
      </w:pPr>
    </w:lvl>
    <w:lvl w:ilvl="6" w:tentative="0">
      <w:start w:val="1"/>
      <w:numFmt w:val="decimal"/>
      <w:lvlText w:val="%7."/>
      <w:lvlJc w:val="left"/>
      <w:pPr>
        <w:ind w:left="4200" w:hanging="420"/>
      </w:pPr>
    </w:lvl>
    <w:lvl w:ilvl="7" w:tentative="0">
      <w:start w:val="1"/>
      <w:numFmt w:val="lowerLetter"/>
      <w:lvlText w:val="%8)"/>
      <w:lvlJc w:val="left"/>
      <w:pPr>
        <w:ind w:left="4620" w:hanging="420"/>
      </w:pPr>
    </w:lvl>
    <w:lvl w:ilvl="8" w:tentative="0">
      <w:start w:val="1"/>
      <w:numFmt w:val="lowerRoman"/>
      <w:lvlText w:val="%9."/>
      <w:lvlJc w:val="right"/>
      <w:pPr>
        <w:ind w:left="5040" w:hanging="420"/>
      </w:pPr>
    </w:lvl>
  </w:abstractNum>
  <w:abstractNum w:abstractNumId="26">
    <w:nsid w:val="39B20FC6"/>
    <w:multiLevelType w:val="multilevel"/>
    <w:tmpl w:val="39B20FC6"/>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3CD62418"/>
    <w:multiLevelType w:val="multilevel"/>
    <w:tmpl w:val="3CD62418"/>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28">
    <w:nsid w:val="3F23502B"/>
    <w:multiLevelType w:val="multilevel"/>
    <w:tmpl w:val="3F23502B"/>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9">
    <w:nsid w:val="419A6BBD"/>
    <w:multiLevelType w:val="multilevel"/>
    <w:tmpl w:val="419A6BBD"/>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30">
    <w:nsid w:val="421C723C"/>
    <w:multiLevelType w:val="multilevel"/>
    <w:tmpl w:val="421C723C"/>
    <w:lvl w:ilvl="0" w:tentative="0">
      <w:start w:val="1"/>
      <w:numFmt w:val="decimal"/>
      <w:lvlText w:val="%1."/>
      <w:lvlJc w:val="left"/>
      <w:pPr>
        <w:tabs>
          <w:tab w:val="left" w:pos="780"/>
        </w:tabs>
        <w:ind w:left="780" w:hanging="360"/>
      </w:pPr>
      <w:rPr>
        <w:rFonts w:hint="default"/>
      </w:rPr>
    </w:lvl>
    <w:lvl w:ilvl="1" w:tentative="0">
      <w:start w:val="1"/>
      <w:numFmt w:val="decimal"/>
      <w:lvlText w:val="%2、"/>
      <w:lvlJc w:val="left"/>
      <w:pPr>
        <w:tabs>
          <w:tab w:val="left" w:pos="1680"/>
        </w:tabs>
        <w:ind w:left="1680" w:hanging="84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1">
    <w:nsid w:val="47DF0746"/>
    <w:multiLevelType w:val="multilevel"/>
    <w:tmpl w:val="47DF0746"/>
    <w:lvl w:ilvl="0" w:tentative="0">
      <w:start w:val="1"/>
      <w:numFmt w:val="bullet"/>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2">
    <w:nsid w:val="47E263B7"/>
    <w:multiLevelType w:val="multilevel"/>
    <w:tmpl w:val="47E263B7"/>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Letter"/>
      <w:lvlText w:val="%3)"/>
      <w:lvlJc w:val="lef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3">
    <w:nsid w:val="4A0745B8"/>
    <w:multiLevelType w:val="multilevel"/>
    <w:tmpl w:val="4A0745B8"/>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34">
    <w:nsid w:val="4B4C6E02"/>
    <w:multiLevelType w:val="multilevel"/>
    <w:tmpl w:val="4B4C6E02"/>
    <w:lvl w:ilvl="0" w:tentative="0">
      <w:start w:val="1"/>
      <w:numFmt w:val="lowerLetter"/>
      <w:lvlText w:val="%1)"/>
      <w:lvlJc w:val="left"/>
      <w:pPr>
        <w:tabs>
          <w:tab w:val="left" w:pos="840"/>
        </w:tabs>
        <w:ind w:left="840" w:hanging="420"/>
      </w:pPr>
      <w:rPr>
        <w:rFonts w:hint="default"/>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5">
    <w:nsid w:val="4F331B6E"/>
    <w:multiLevelType w:val="multilevel"/>
    <w:tmpl w:val="4F331B6E"/>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36">
    <w:nsid w:val="52BB21E3"/>
    <w:multiLevelType w:val="multilevel"/>
    <w:tmpl w:val="52BB21E3"/>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37">
    <w:nsid w:val="54446B4D"/>
    <w:multiLevelType w:val="multilevel"/>
    <w:tmpl w:val="54446B4D"/>
    <w:lvl w:ilvl="0" w:tentative="0">
      <w:start w:val="1"/>
      <w:numFmt w:val="bullet"/>
      <w:pStyle w:val="45"/>
      <w:lvlText w:val=""/>
      <w:lvlJc w:val="left"/>
      <w:pPr>
        <w:ind w:left="902"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8">
    <w:nsid w:val="54C849DA"/>
    <w:multiLevelType w:val="multilevel"/>
    <w:tmpl w:val="54C849DA"/>
    <w:lvl w:ilvl="0" w:tentative="0">
      <w:start w:val="7"/>
      <w:numFmt w:val="decimal"/>
      <w:lvlText w:val="%1"/>
      <w:lvlJc w:val="left"/>
      <w:pPr>
        <w:ind w:left="425" w:hanging="425"/>
      </w:pPr>
      <w:rPr>
        <w:rFonts w:hint="eastAsia"/>
      </w:rPr>
    </w:lvl>
    <w:lvl w:ilvl="1" w:tentative="0">
      <w:start w:val="1"/>
      <w:numFmt w:val="decimal"/>
      <w:pStyle w:val="41"/>
      <w:lvlText w:val="%1.%2"/>
      <w:lvlJc w:val="left"/>
      <w:pPr>
        <w:ind w:left="902" w:hanging="425"/>
      </w:pPr>
      <w:rPr>
        <w:rFonts w:hint="eastAsia"/>
      </w:rPr>
    </w:lvl>
    <w:lvl w:ilvl="2" w:tentative="0">
      <w:start w:val="1"/>
      <w:numFmt w:val="decimal"/>
      <w:pStyle w:val="43"/>
      <w:lvlText w:val="%1.%2.%3"/>
      <w:lvlJc w:val="left"/>
      <w:pPr>
        <w:ind w:left="851" w:hanging="425"/>
      </w:pPr>
      <w:rPr>
        <w:rFonts w:hint="eastAsia"/>
      </w:rPr>
    </w:lvl>
    <w:lvl w:ilvl="3" w:tentative="0">
      <w:start w:val="1"/>
      <w:numFmt w:val="decimal"/>
      <w:pStyle w:val="44"/>
      <w:lvlText w:val="%1.%2.%3.%4"/>
      <w:lvlJc w:val="left"/>
      <w:pPr>
        <w:ind w:left="1134" w:hanging="425"/>
      </w:pPr>
      <w:rPr>
        <w:rFonts w:hint="default" w:ascii="Cambria" w:hAnsi="Cambria" w:cs="Times New Roman"/>
        <w:b w:val="0"/>
        <w:bCs w:val="0"/>
        <w:i w:val="0"/>
        <w:iCs w:val="0"/>
        <w:caps w:val="0"/>
        <w:smallCaps w:val="0"/>
        <w:strike w:val="0"/>
        <w:dstrike w:val="0"/>
        <w:vanish w:val="0"/>
        <w:color w:val="000000"/>
        <w:spacing w:val="0"/>
        <w:position w:val="0"/>
        <w:sz w:val="28"/>
        <w:u w:val="none"/>
        <w:vertAlign w:val="baseline"/>
      </w:rPr>
    </w:lvl>
    <w:lvl w:ilvl="4" w:tentative="0">
      <w:start w:val="1"/>
      <w:numFmt w:val="decimal"/>
      <w:lvlText w:val="%1.%2.%3.%4.%5"/>
      <w:lvlJc w:val="left"/>
      <w:pPr>
        <w:ind w:left="1073" w:hanging="425"/>
      </w:pPr>
      <w:rPr>
        <w:rFonts w:hint="eastAsia"/>
      </w:rPr>
    </w:lvl>
    <w:lvl w:ilvl="5" w:tentative="0">
      <w:start w:val="1"/>
      <w:numFmt w:val="decimal"/>
      <w:lvlText w:val="%1.%2.%3.%4.%5.%6"/>
      <w:lvlJc w:val="left"/>
      <w:pPr>
        <w:ind w:left="1130" w:hanging="425"/>
      </w:pPr>
      <w:rPr>
        <w:rFonts w:hint="eastAsia"/>
      </w:rPr>
    </w:lvl>
    <w:lvl w:ilvl="6" w:tentative="0">
      <w:start w:val="1"/>
      <w:numFmt w:val="decimal"/>
      <w:lvlText w:val="%1.%2.%3.%4.%5.%6.%7"/>
      <w:lvlJc w:val="left"/>
      <w:pPr>
        <w:ind w:left="1187" w:hanging="425"/>
      </w:pPr>
      <w:rPr>
        <w:rFonts w:hint="eastAsia"/>
      </w:rPr>
    </w:lvl>
    <w:lvl w:ilvl="7" w:tentative="0">
      <w:start w:val="1"/>
      <w:numFmt w:val="decimal"/>
      <w:lvlText w:val="%1.%2.%3.%4.%5.%6.%7.%8"/>
      <w:lvlJc w:val="left"/>
      <w:pPr>
        <w:ind w:left="1244" w:hanging="425"/>
      </w:pPr>
      <w:rPr>
        <w:rFonts w:hint="eastAsia"/>
      </w:rPr>
    </w:lvl>
    <w:lvl w:ilvl="8" w:tentative="0">
      <w:start w:val="1"/>
      <w:numFmt w:val="decimal"/>
      <w:lvlText w:val="%1.%2.%3.%4.%5.%6.%7.%8.%9"/>
      <w:lvlJc w:val="left"/>
      <w:pPr>
        <w:ind w:left="1301" w:hanging="425"/>
      </w:pPr>
      <w:rPr>
        <w:rFonts w:hint="eastAsia"/>
      </w:rPr>
    </w:lvl>
  </w:abstractNum>
  <w:abstractNum w:abstractNumId="39">
    <w:nsid w:val="57B337AB"/>
    <w:multiLevelType w:val="multilevel"/>
    <w:tmpl w:val="57B337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597E06E1"/>
    <w:multiLevelType w:val="multilevel"/>
    <w:tmpl w:val="597E06E1"/>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41">
    <w:nsid w:val="5B050A95"/>
    <w:multiLevelType w:val="multilevel"/>
    <w:tmpl w:val="5B050A95"/>
    <w:lvl w:ilvl="0" w:tentative="0">
      <w:start w:val="1"/>
      <w:numFmt w:val="decimal"/>
      <w:lvlText w:val="%1、"/>
      <w:lvlJc w:val="left"/>
      <w:pPr>
        <w:ind w:left="1260" w:hanging="420"/>
      </w:pPr>
      <w:rPr>
        <w:rFonts w:hint="eastAsia"/>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2">
    <w:nsid w:val="5B952E46"/>
    <w:multiLevelType w:val="multilevel"/>
    <w:tmpl w:val="5B952E46"/>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360"/>
        </w:tabs>
        <w:ind w:left="36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5D16702D"/>
    <w:multiLevelType w:val="multilevel"/>
    <w:tmpl w:val="5D16702D"/>
    <w:lvl w:ilvl="0" w:tentative="0">
      <w:start w:val="1"/>
      <w:numFmt w:val="decimal"/>
      <w:lvlText w:val="%1）"/>
      <w:lvlJc w:val="left"/>
      <w:pPr>
        <w:tabs>
          <w:tab w:val="left" w:pos="928"/>
        </w:tabs>
        <w:ind w:left="928" w:hanging="360"/>
      </w:pPr>
      <w:rPr>
        <w:rFonts w:hint="default"/>
      </w:rPr>
    </w:lvl>
    <w:lvl w:ilvl="1" w:tentative="0">
      <w:start w:val="1"/>
      <w:numFmt w:val="lowerLetter"/>
      <w:lvlText w:val="%2)"/>
      <w:lvlJc w:val="left"/>
      <w:pPr>
        <w:tabs>
          <w:tab w:val="left" w:pos="928"/>
        </w:tabs>
        <w:ind w:left="928" w:hanging="420"/>
      </w:pPr>
    </w:lvl>
    <w:lvl w:ilvl="2" w:tentative="0">
      <w:start w:val="1"/>
      <w:numFmt w:val="lowerRoman"/>
      <w:lvlText w:val="%3."/>
      <w:lvlJc w:val="right"/>
      <w:pPr>
        <w:tabs>
          <w:tab w:val="left" w:pos="1348"/>
        </w:tabs>
        <w:ind w:left="1348" w:hanging="420"/>
      </w:pPr>
    </w:lvl>
    <w:lvl w:ilvl="3" w:tentative="0">
      <w:start w:val="1"/>
      <w:numFmt w:val="decimal"/>
      <w:lvlText w:val="%4."/>
      <w:lvlJc w:val="left"/>
      <w:pPr>
        <w:tabs>
          <w:tab w:val="left" w:pos="1768"/>
        </w:tabs>
        <w:ind w:left="1768" w:hanging="420"/>
      </w:pPr>
    </w:lvl>
    <w:lvl w:ilvl="4" w:tentative="0">
      <w:start w:val="1"/>
      <w:numFmt w:val="lowerLetter"/>
      <w:lvlText w:val="%5)"/>
      <w:lvlJc w:val="left"/>
      <w:pPr>
        <w:tabs>
          <w:tab w:val="left" w:pos="2188"/>
        </w:tabs>
        <w:ind w:left="2188" w:hanging="420"/>
      </w:pPr>
    </w:lvl>
    <w:lvl w:ilvl="5" w:tentative="0">
      <w:start w:val="1"/>
      <w:numFmt w:val="lowerRoman"/>
      <w:lvlText w:val="%6."/>
      <w:lvlJc w:val="right"/>
      <w:pPr>
        <w:tabs>
          <w:tab w:val="left" w:pos="2608"/>
        </w:tabs>
        <w:ind w:left="2608" w:hanging="420"/>
      </w:pPr>
    </w:lvl>
    <w:lvl w:ilvl="6" w:tentative="0">
      <w:start w:val="1"/>
      <w:numFmt w:val="decimal"/>
      <w:lvlText w:val="%7."/>
      <w:lvlJc w:val="left"/>
      <w:pPr>
        <w:tabs>
          <w:tab w:val="left" w:pos="3028"/>
        </w:tabs>
        <w:ind w:left="3028" w:hanging="420"/>
      </w:pPr>
    </w:lvl>
    <w:lvl w:ilvl="7" w:tentative="0">
      <w:start w:val="1"/>
      <w:numFmt w:val="lowerLetter"/>
      <w:lvlText w:val="%8)"/>
      <w:lvlJc w:val="left"/>
      <w:pPr>
        <w:tabs>
          <w:tab w:val="left" w:pos="3448"/>
        </w:tabs>
        <w:ind w:left="3448" w:hanging="420"/>
      </w:pPr>
    </w:lvl>
    <w:lvl w:ilvl="8" w:tentative="0">
      <w:start w:val="1"/>
      <w:numFmt w:val="lowerRoman"/>
      <w:lvlText w:val="%9."/>
      <w:lvlJc w:val="right"/>
      <w:pPr>
        <w:tabs>
          <w:tab w:val="left" w:pos="3868"/>
        </w:tabs>
        <w:ind w:left="3868" w:hanging="420"/>
      </w:pPr>
    </w:lvl>
  </w:abstractNum>
  <w:abstractNum w:abstractNumId="44">
    <w:nsid w:val="607776BA"/>
    <w:multiLevelType w:val="multilevel"/>
    <w:tmpl w:val="607776B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642A7DFD"/>
    <w:multiLevelType w:val="multilevel"/>
    <w:tmpl w:val="642A7DFD"/>
    <w:lvl w:ilvl="0" w:tentative="0">
      <w:start w:val="1"/>
      <w:numFmt w:val="decimal"/>
      <w:lvlText w:val="（%1）"/>
      <w:lvlJc w:val="left"/>
      <w:pPr>
        <w:ind w:left="-93" w:hanging="420"/>
      </w:pPr>
      <w:rPr>
        <w:rFonts w:hint="default" w:cs="Times New Roman"/>
      </w:rPr>
    </w:lvl>
    <w:lvl w:ilvl="1" w:tentative="0">
      <w:start w:val="1"/>
      <w:numFmt w:val="lowerLetter"/>
      <w:lvlText w:val="%2)"/>
      <w:lvlJc w:val="left"/>
      <w:pPr>
        <w:ind w:left="327" w:hanging="420"/>
      </w:pPr>
    </w:lvl>
    <w:lvl w:ilvl="2" w:tentative="0">
      <w:start w:val="1"/>
      <w:numFmt w:val="lowerRoman"/>
      <w:lvlText w:val="%3."/>
      <w:lvlJc w:val="right"/>
      <w:pPr>
        <w:ind w:left="747" w:hanging="420"/>
      </w:pPr>
    </w:lvl>
    <w:lvl w:ilvl="3" w:tentative="0">
      <w:start w:val="1"/>
      <w:numFmt w:val="decimal"/>
      <w:lvlText w:val="%4."/>
      <w:lvlJc w:val="left"/>
      <w:pPr>
        <w:ind w:left="1167" w:hanging="420"/>
      </w:pPr>
    </w:lvl>
    <w:lvl w:ilvl="4" w:tentative="0">
      <w:start w:val="1"/>
      <w:numFmt w:val="lowerLetter"/>
      <w:lvlText w:val="%5)"/>
      <w:lvlJc w:val="left"/>
      <w:pPr>
        <w:ind w:left="1587" w:hanging="420"/>
      </w:pPr>
    </w:lvl>
    <w:lvl w:ilvl="5" w:tentative="0">
      <w:start w:val="1"/>
      <w:numFmt w:val="lowerRoman"/>
      <w:lvlText w:val="%6."/>
      <w:lvlJc w:val="right"/>
      <w:pPr>
        <w:ind w:left="2007" w:hanging="420"/>
      </w:pPr>
    </w:lvl>
    <w:lvl w:ilvl="6" w:tentative="0">
      <w:start w:val="1"/>
      <w:numFmt w:val="decimal"/>
      <w:lvlText w:val="%7."/>
      <w:lvlJc w:val="left"/>
      <w:pPr>
        <w:ind w:left="2427" w:hanging="420"/>
      </w:pPr>
    </w:lvl>
    <w:lvl w:ilvl="7" w:tentative="0">
      <w:start w:val="1"/>
      <w:numFmt w:val="lowerLetter"/>
      <w:lvlText w:val="%8)"/>
      <w:lvlJc w:val="left"/>
      <w:pPr>
        <w:ind w:left="2847" w:hanging="420"/>
      </w:pPr>
    </w:lvl>
    <w:lvl w:ilvl="8" w:tentative="0">
      <w:start w:val="1"/>
      <w:numFmt w:val="lowerRoman"/>
      <w:lvlText w:val="%9."/>
      <w:lvlJc w:val="right"/>
      <w:pPr>
        <w:ind w:left="3267" w:hanging="420"/>
      </w:pPr>
    </w:lvl>
  </w:abstractNum>
  <w:abstractNum w:abstractNumId="46">
    <w:nsid w:val="668C57BD"/>
    <w:multiLevelType w:val="multilevel"/>
    <w:tmpl w:val="668C57BD"/>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71C84928"/>
    <w:multiLevelType w:val="multilevel"/>
    <w:tmpl w:val="71C84928"/>
    <w:lvl w:ilvl="0" w:tentative="0">
      <w:start w:val="1"/>
      <w:numFmt w:val="bullet"/>
      <w:lvlText w:val=""/>
      <w:lvlJc w:val="left"/>
      <w:pPr>
        <w:tabs>
          <w:tab w:val="left" w:pos="900"/>
        </w:tabs>
        <w:ind w:left="90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8">
    <w:nsid w:val="739A1BBC"/>
    <w:multiLevelType w:val="multilevel"/>
    <w:tmpl w:val="739A1BBC"/>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780"/>
        </w:tabs>
        <w:ind w:left="780" w:hanging="420"/>
      </w:pPr>
    </w:lvl>
    <w:lvl w:ilvl="2" w:tentative="0">
      <w:start w:val="1"/>
      <w:numFmt w:val="lowerRoman"/>
      <w:lvlText w:val="%3."/>
      <w:lvlJc w:val="right"/>
      <w:pPr>
        <w:tabs>
          <w:tab w:val="left" w:pos="1200"/>
        </w:tabs>
        <w:ind w:left="1200" w:hanging="420"/>
      </w:pPr>
    </w:lvl>
    <w:lvl w:ilvl="3" w:tentative="0">
      <w:start w:val="1"/>
      <w:numFmt w:val="decimal"/>
      <w:lvlText w:val="%4."/>
      <w:lvlJc w:val="left"/>
      <w:pPr>
        <w:tabs>
          <w:tab w:val="left" w:pos="1620"/>
        </w:tabs>
        <w:ind w:left="1620" w:hanging="420"/>
      </w:pPr>
    </w:lvl>
    <w:lvl w:ilvl="4" w:tentative="0">
      <w:start w:val="1"/>
      <w:numFmt w:val="lowerLetter"/>
      <w:lvlText w:val="%5)"/>
      <w:lvlJc w:val="left"/>
      <w:pPr>
        <w:tabs>
          <w:tab w:val="left" w:pos="2040"/>
        </w:tabs>
        <w:ind w:left="2040" w:hanging="420"/>
      </w:pPr>
    </w:lvl>
    <w:lvl w:ilvl="5" w:tentative="0">
      <w:start w:val="1"/>
      <w:numFmt w:val="lowerRoman"/>
      <w:lvlText w:val="%6."/>
      <w:lvlJc w:val="right"/>
      <w:pPr>
        <w:tabs>
          <w:tab w:val="left" w:pos="2460"/>
        </w:tabs>
        <w:ind w:left="2460" w:hanging="420"/>
      </w:pPr>
    </w:lvl>
    <w:lvl w:ilvl="6" w:tentative="0">
      <w:start w:val="1"/>
      <w:numFmt w:val="decimal"/>
      <w:lvlText w:val="%7."/>
      <w:lvlJc w:val="left"/>
      <w:pPr>
        <w:tabs>
          <w:tab w:val="left" w:pos="2880"/>
        </w:tabs>
        <w:ind w:left="2880" w:hanging="420"/>
      </w:pPr>
    </w:lvl>
    <w:lvl w:ilvl="7" w:tentative="0">
      <w:start w:val="1"/>
      <w:numFmt w:val="lowerLetter"/>
      <w:lvlText w:val="%8)"/>
      <w:lvlJc w:val="left"/>
      <w:pPr>
        <w:tabs>
          <w:tab w:val="left" w:pos="3300"/>
        </w:tabs>
        <w:ind w:left="3300" w:hanging="420"/>
      </w:pPr>
    </w:lvl>
    <w:lvl w:ilvl="8" w:tentative="0">
      <w:start w:val="1"/>
      <w:numFmt w:val="lowerRoman"/>
      <w:lvlText w:val="%9."/>
      <w:lvlJc w:val="right"/>
      <w:pPr>
        <w:tabs>
          <w:tab w:val="left" w:pos="3720"/>
        </w:tabs>
        <w:ind w:left="3720" w:hanging="420"/>
      </w:pPr>
    </w:lvl>
  </w:abstractNum>
  <w:abstractNum w:abstractNumId="49">
    <w:nsid w:val="78925701"/>
    <w:multiLevelType w:val="multilevel"/>
    <w:tmpl w:val="7892570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8"/>
  </w:num>
  <w:num w:numId="3">
    <w:abstractNumId w:val="37"/>
  </w:num>
  <w:num w:numId="4">
    <w:abstractNumId w:val="1"/>
  </w:num>
  <w:num w:numId="5">
    <w:abstractNumId w:val="32"/>
  </w:num>
  <w:num w:numId="6">
    <w:abstractNumId w:val="13"/>
  </w:num>
  <w:num w:numId="7">
    <w:abstractNumId w:val="18"/>
  </w:num>
  <w:num w:numId="8">
    <w:abstractNumId w:val="30"/>
  </w:num>
  <w:num w:numId="9">
    <w:abstractNumId w:val="25"/>
  </w:num>
  <w:num w:numId="10">
    <w:abstractNumId w:val="10"/>
  </w:num>
  <w:num w:numId="11">
    <w:abstractNumId w:val="40"/>
  </w:num>
  <w:num w:numId="12">
    <w:abstractNumId w:val="9"/>
  </w:num>
  <w:num w:numId="13">
    <w:abstractNumId w:val="21"/>
  </w:num>
  <w:num w:numId="14">
    <w:abstractNumId w:val="19"/>
  </w:num>
  <w:num w:numId="15">
    <w:abstractNumId w:val="20"/>
  </w:num>
  <w:num w:numId="16">
    <w:abstractNumId w:val="35"/>
  </w:num>
  <w:num w:numId="17">
    <w:abstractNumId w:val="27"/>
  </w:num>
  <w:num w:numId="18">
    <w:abstractNumId w:val="17"/>
  </w:num>
  <w:num w:numId="19">
    <w:abstractNumId w:val="16"/>
  </w:num>
  <w:num w:numId="20">
    <w:abstractNumId w:val="45"/>
  </w:num>
  <w:num w:numId="21">
    <w:abstractNumId w:val="33"/>
  </w:num>
  <w:num w:numId="22">
    <w:abstractNumId w:val="15"/>
  </w:num>
  <w:num w:numId="23">
    <w:abstractNumId w:val="29"/>
  </w:num>
  <w:num w:numId="24">
    <w:abstractNumId w:val="36"/>
  </w:num>
  <w:num w:numId="25">
    <w:abstractNumId w:val="23"/>
  </w:num>
  <w:num w:numId="26">
    <w:abstractNumId w:val="43"/>
  </w:num>
  <w:num w:numId="27">
    <w:abstractNumId w:val="48"/>
  </w:num>
  <w:num w:numId="28">
    <w:abstractNumId w:val="22"/>
  </w:num>
  <w:num w:numId="29">
    <w:abstractNumId w:val="2"/>
  </w:num>
  <w:num w:numId="30">
    <w:abstractNumId w:val="14"/>
  </w:num>
  <w:num w:numId="31">
    <w:abstractNumId w:val="39"/>
  </w:num>
  <w:num w:numId="32">
    <w:abstractNumId w:val="49"/>
  </w:num>
  <w:num w:numId="33">
    <w:abstractNumId w:val="11"/>
  </w:num>
  <w:num w:numId="34">
    <w:abstractNumId w:val="3"/>
  </w:num>
  <w:num w:numId="35">
    <w:abstractNumId w:val="5"/>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8"/>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4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41"/>
  </w:num>
  <w:num w:numId="49">
    <w:abstractNumId w:val="44"/>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5153"/>
    <w:rsid w:val="00035DAE"/>
    <w:rsid w:val="0004019F"/>
    <w:rsid w:val="00040482"/>
    <w:rsid w:val="00051F1E"/>
    <w:rsid w:val="000525AB"/>
    <w:rsid w:val="000565BE"/>
    <w:rsid w:val="000628D8"/>
    <w:rsid w:val="00067A9B"/>
    <w:rsid w:val="00070161"/>
    <w:rsid w:val="000715EB"/>
    <w:rsid w:val="0009177F"/>
    <w:rsid w:val="000932A8"/>
    <w:rsid w:val="00093CEE"/>
    <w:rsid w:val="000944E4"/>
    <w:rsid w:val="000952A1"/>
    <w:rsid w:val="000B727B"/>
    <w:rsid w:val="000C03C4"/>
    <w:rsid w:val="000C4AA3"/>
    <w:rsid w:val="000C73A5"/>
    <w:rsid w:val="000D407F"/>
    <w:rsid w:val="000D46A3"/>
    <w:rsid w:val="000E07F2"/>
    <w:rsid w:val="000E151B"/>
    <w:rsid w:val="000E3669"/>
    <w:rsid w:val="000F2087"/>
    <w:rsid w:val="000F441B"/>
    <w:rsid w:val="00100CDC"/>
    <w:rsid w:val="00110F86"/>
    <w:rsid w:val="001179C9"/>
    <w:rsid w:val="00127587"/>
    <w:rsid w:val="00156849"/>
    <w:rsid w:val="001574DF"/>
    <w:rsid w:val="00161164"/>
    <w:rsid w:val="00163830"/>
    <w:rsid w:val="00172A27"/>
    <w:rsid w:val="00174D78"/>
    <w:rsid w:val="0018035B"/>
    <w:rsid w:val="00185CB0"/>
    <w:rsid w:val="0018798D"/>
    <w:rsid w:val="00195C89"/>
    <w:rsid w:val="0019730A"/>
    <w:rsid w:val="001A27A0"/>
    <w:rsid w:val="001A3BCB"/>
    <w:rsid w:val="001A45EF"/>
    <w:rsid w:val="001A7AD3"/>
    <w:rsid w:val="001B1744"/>
    <w:rsid w:val="001C0510"/>
    <w:rsid w:val="001D1CB3"/>
    <w:rsid w:val="001F0750"/>
    <w:rsid w:val="001F3671"/>
    <w:rsid w:val="00202301"/>
    <w:rsid w:val="00207E22"/>
    <w:rsid w:val="00211544"/>
    <w:rsid w:val="002140EA"/>
    <w:rsid w:val="00216994"/>
    <w:rsid w:val="002216A0"/>
    <w:rsid w:val="00236D14"/>
    <w:rsid w:val="002525EE"/>
    <w:rsid w:val="00253D01"/>
    <w:rsid w:val="00254874"/>
    <w:rsid w:val="00255FED"/>
    <w:rsid w:val="002565D9"/>
    <w:rsid w:val="00261013"/>
    <w:rsid w:val="00263BA4"/>
    <w:rsid w:val="00266441"/>
    <w:rsid w:val="00281185"/>
    <w:rsid w:val="00281A47"/>
    <w:rsid w:val="00284C5A"/>
    <w:rsid w:val="00290935"/>
    <w:rsid w:val="00294E72"/>
    <w:rsid w:val="002C1A65"/>
    <w:rsid w:val="002C1C61"/>
    <w:rsid w:val="002D3F80"/>
    <w:rsid w:val="002E1B6B"/>
    <w:rsid w:val="002E594A"/>
    <w:rsid w:val="002F597F"/>
    <w:rsid w:val="0030669F"/>
    <w:rsid w:val="00306EC9"/>
    <w:rsid w:val="00311443"/>
    <w:rsid w:val="003143A9"/>
    <w:rsid w:val="00325847"/>
    <w:rsid w:val="003318E4"/>
    <w:rsid w:val="0033466D"/>
    <w:rsid w:val="003406A3"/>
    <w:rsid w:val="00344D7F"/>
    <w:rsid w:val="00366A8B"/>
    <w:rsid w:val="00385A97"/>
    <w:rsid w:val="003863DB"/>
    <w:rsid w:val="00394BE9"/>
    <w:rsid w:val="0039542B"/>
    <w:rsid w:val="003965EA"/>
    <w:rsid w:val="003A2280"/>
    <w:rsid w:val="003C5535"/>
    <w:rsid w:val="003D0B7C"/>
    <w:rsid w:val="003E2484"/>
    <w:rsid w:val="003E67A1"/>
    <w:rsid w:val="0040386E"/>
    <w:rsid w:val="004039B4"/>
    <w:rsid w:val="00405745"/>
    <w:rsid w:val="00405783"/>
    <w:rsid w:val="00407076"/>
    <w:rsid w:val="00427592"/>
    <w:rsid w:val="00427C0C"/>
    <w:rsid w:val="0043797A"/>
    <w:rsid w:val="00444875"/>
    <w:rsid w:val="00456FF1"/>
    <w:rsid w:val="0046000C"/>
    <w:rsid w:val="00461362"/>
    <w:rsid w:val="004634F0"/>
    <w:rsid w:val="00466BEA"/>
    <w:rsid w:val="00467F59"/>
    <w:rsid w:val="00471C37"/>
    <w:rsid w:val="00471D90"/>
    <w:rsid w:val="00472D46"/>
    <w:rsid w:val="004831C2"/>
    <w:rsid w:val="0048716A"/>
    <w:rsid w:val="00490188"/>
    <w:rsid w:val="00490AA0"/>
    <w:rsid w:val="0049265A"/>
    <w:rsid w:val="0049791E"/>
    <w:rsid w:val="004B087C"/>
    <w:rsid w:val="004B269A"/>
    <w:rsid w:val="004B348A"/>
    <w:rsid w:val="004C2BE7"/>
    <w:rsid w:val="004C5870"/>
    <w:rsid w:val="004D4F37"/>
    <w:rsid w:val="004D56A8"/>
    <w:rsid w:val="004D5CD4"/>
    <w:rsid w:val="004E6675"/>
    <w:rsid w:val="004E73F9"/>
    <w:rsid w:val="004E7C52"/>
    <w:rsid w:val="004F3966"/>
    <w:rsid w:val="0050151D"/>
    <w:rsid w:val="00514143"/>
    <w:rsid w:val="00515752"/>
    <w:rsid w:val="005157E2"/>
    <w:rsid w:val="00517271"/>
    <w:rsid w:val="00517746"/>
    <w:rsid w:val="00521136"/>
    <w:rsid w:val="00521D18"/>
    <w:rsid w:val="005325C8"/>
    <w:rsid w:val="005347FE"/>
    <w:rsid w:val="0053727E"/>
    <w:rsid w:val="005377D4"/>
    <w:rsid w:val="005478F6"/>
    <w:rsid w:val="00550227"/>
    <w:rsid w:val="005512FD"/>
    <w:rsid w:val="00555982"/>
    <w:rsid w:val="005603F6"/>
    <w:rsid w:val="0056234C"/>
    <w:rsid w:val="00572A28"/>
    <w:rsid w:val="005774D4"/>
    <w:rsid w:val="005908B2"/>
    <w:rsid w:val="00593509"/>
    <w:rsid w:val="005A0114"/>
    <w:rsid w:val="005A1011"/>
    <w:rsid w:val="005B7791"/>
    <w:rsid w:val="005C2148"/>
    <w:rsid w:val="005C4D75"/>
    <w:rsid w:val="005C6C08"/>
    <w:rsid w:val="005D084C"/>
    <w:rsid w:val="005D7786"/>
    <w:rsid w:val="005D7EE0"/>
    <w:rsid w:val="005E2FB9"/>
    <w:rsid w:val="005F43FE"/>
    <w:rsid w:val="005F6CAC"/>
    <w:rsid w:val="0060478A"/>
    <w:rsid w:val="00613705"/>
    <w:rsid w:val="00614570"/>
    <w:rsid w:val="00614FAB"/>
    <w:rsid w:val="006157B4"/>
    <w:rsid w:val="00623951"/>
    <w:rsid w:val="006248EF"/>
    <w:rsid w:val="00631CED"/>
    <w:rsid w:val="006356ED"/>
    <w:rsid w:val="00640EA8"/>
    <w:rsid w:val="00647382"/>
    <w:rsid w:val="00652590"/>
    <w:rsid w:val="006554D7"/>
    <w:rsid w:val="00657728"/>
    <w:rsid w:val="006651CE"/>
    <w:rsid w:val="00665E98"/>
    <w:rsid w:val="00670D60"/>
    <w:rsid w:val="00671459"/>
    <w:rsid w:val="00671DD4"/>
    <w:rsid w:val="00676D83"/>
    <w:rsid w:val="006845B1"/>
    <w:rsid w:val="0068543D"/>
    <w:rsid w:val="006871D3"/>
    <w:rsid w:val="006919E4"/>
    <w:rsid w:val="006A294A"/>
    <w:rsid w:val="006B66B2"/>
    <w:rsid w:val="006B6D65"/>
    <w:rsid w:val="006C36E8"/>
    <w:rsid w:val="006C65F6"/>
    <w:rsid w:val="006D498A"/>
    <w:rsid w:val="006E2121"/>
    <w:rsid w:val="006F2962"/>
    <w:rsid w:val="006F2E3C"/>
    <w:rsid w:val="006F3623"/>
    <w:rsid w:val="006F7FFD"/>
    <w:rsid w:val="00701092"/>
    <w:rsid w:val="00702C0A"/>
    <w:rsid w:val="0070603D"/>
    <w:rsid w:val="007103A7"/>
    <w:rsid w:val="00710C12"/>
    <w:rsid w:val="007167CB"/>
    <w:rsid w:val="0071696F"/>
    <w:rsid w:val="0073121C"/>
    <w:rsid w:val="00732A26"/>
    <w:rsid w:val="007343D0"/>
    <w:rsid w:val="00734711"/>
    <w:rsid w:val="00746015"/>
    <w:rsid w:val="00747B7B"/>
    <w:rsid w:val="00752C48"/>
    <w:rsid w:val="00753C31"/>
    <w:rsid w:val="007634A2"/>
    <w:rsid w:val="007834D9"/>
    <w:rsid w:val="00796B72"/>
    <w:rsid w:val="007A31ED"/>
    <w:rsid w:val="007A5E9D"/>
    <w:rsid w:val="007A7F21"/>
    <w:rsid w:val="007B3F72"/>
    <w:rsid w:val="007C4D30"/>
    <w:rsid w:val="007C5DC0"/>
    <w:rsid w:val="007E01ED"/>
    <w:rsid w:val="007E268A"/>
    <w:rsid w:val="007E678E"/>
    <w:rsid w:val="007E682E"/>
    <w:rsid w:val="007F1322"/>
    <w:rsid w:val="007F583D"/>
    <w:rsid w:val="007F7E67"/>
    <w:rsid w:val="00804337"/>
    <w:rsid w:val="0080651E"/>
    <w:rsid w:val="008075F6"/>
    <w:rsid w:val="00820D84"/>
    <w:rsid w:val="00825752"/>
    <w:rsid w:val="0083198D"/>
    <w:rsid w:val="00834A17"/>
    <w:rsid w:val="008429A1"/>
    <w:rsid w:val="00846A49"/>
    <w:rsid w:val="008535E4"/>
    <w:rsid w:val="008627D9"/>
    <w:rsid w:val="00870952"/>
    <w:rsid w:val="008734A5"/>
    <w:rsid w:val="00882953"/>
    <w:rsid w:val="008B58E2"/>
    <w:rsid w:val="008C024B"/>
    <w:rsid w:val="008C3C1E"/>
    <w:rsid w:val="008C3D09"/>
    <w:rsid w:val="008C6F2B"/>
    <w:rsid w:val="008D4171"/>
    <w:rsid w:val="008E375F"/>
    <w:rsid w:val="008F2CB0"/>
    <w:rsid w:val="00901EA1"/>
    <w:rsid w:val="009042F4"/>
    <w:rsid w:val="00913635"/>
    <w:rsid w:val="009145BE"/>
    <w:rsid w:val="009238A6"/>
    <w:rsid w:val="009357A4"/>
    <w:rsid w:val="00946C9C"/>
    <w:rsid w:val="009528F0"/>
    <w:rsid w:val="00964BC2"/>
    <w:rsid w:val="00980B0B"/>
    <w:rsid w:val="00981492"/>
    <w:rsid w:val="009841B5"/>
    <w:rsid w:val="00995259"/>
    <w:rsid w:val="00996E61"/>
    <w:rsid w:val="00997D1C"/>
    <w:rsid w:val="009A1450"/>
    <w:rsid w:val="009A1608"/>
    <w:rsid w:val="009A2E44"/>
    <w:rsid w:val="009B70A1"/>
    <w:rsid w:val="009B7B84"/>
    <w:rsid w:val="009C595E"/>
    <w:rsid w:val="009D5DEB"/>
    <w:rsid w:val="009D65F8"/>
    <w:rsid w:val="009E4BE8"/>
    <w:rsid w:val="00A0110E"/>
    <w:rsid w:val="00A13156"/>
    <w:rsid w:val="00A24EC2"/>
    <w:rsid w:val="00A27173"/>
    <w:rsid w:val="00A30524"/>
    <w:rsid w:val="00A3286B"/>
    <w:rsid w:val="00A32ABA"/>
    <w:rsid w:val="00A32F06"/>
    <w:rsid w:val="00A45547"/>
    <w:rsid w:val="00A4597E"/>
    <w:rsid w:val="00A46260"/>
    <w:rsid w:val="00A51950"/>
    <w:rsid w:val="00A55FF8"/>
    <w:rsid w:val="00A663FB"/>
    <w:rsid w:val="00A673A7"/>
    <w:rsid w:val="00A72F59"/>
    <w:rsid w:val="00A768B9"/>
    <w:rsid w:val="00A84126"/>
    <w:rsid w:val="00A85B9F"/>
    <w:rsid w:val="00A944CF"/>
    <w:rsid w:val="00A96D9A"/>
    <w:rsid w:val="00AB1285"/>
    <w:rsid w:val="00AB1717"/>
    <w:rsid w:val="00AB61C9"/>
    <w:rsid w:val="00AB7C10"/>
    <w:rsid w:val="00AC2CBD"/>
    <w:rsid w:val="00AC3E5D"/>
    <w:rsid w:val="00AC4BB2"/>
    <w:rsid w:val="00AD0532"/>
    <w:rsid w:val="00AD7990"/>
    <w:rsid w:val="00AE6674"/>
    <w:rsid w:val="00AE6F6C"/>
    <w:rsid w:val="00AF091D"/>
    <w:rsid w:val="00B10023"/>
    <w:rsid w:val="00B2256C"/>
    <w:rsid w:val="00B3282A"/>
    <w:rsid w:val="00B4067B"/>
    <w:rsid w:val="00B52ADF"/>
    <w:rsid w:val="00B645EC"/>
    <w:rsid w:val="00B658FB"/>
    <w:rsid w:val="00B77640"/>
    <w:rsid w:val="00B81562"/>
    <w:rsid w:val="00B822D7"/>
    <w:rsid w:val="00B90AB2"/>
    <w:rsid w:val="00B9377F"/>
    <w:rsid w:val="00B951C5"/>
    <w:rsid w:val="00BA5C59"/>
    <w:rsid w:val="00BA65A0"/>
    <w:rsid w:val="00BB283E"/>
    <w:rsid w:val="00BB46BF"/>
    <w:rsid w:val="00BC05AC"/>
    <w:rsid w:val="00BC1E44"/>
    <w:rsid w:val="00BC2566"/>
    <w:rsid w:val="00BC33EB"/>
    <w:rsid w:val="00BC3ACC"/>
    <w:rsid w:val="00BC6E54"/>
    <w:rsid w:val="00BD7654"/>
    <w:rsid w:val="00BE14F2"/>
    <w:rsid w:val="00BE7113"/>
    <w:rsid w:val="00BE7E4C"/>
    <w:rsid w:val="00BF12AE"/>
    <w:rsid w:val="00BF44E3"/>
    <w:rsid w:val="00BF71EE"/>
    <w:rsid w:val="00C1392B"/>
    <w:rsid w:val="00C21F0B"/>
    <w:rsid w:val="00C21FCE"/>
    <w:rsid w:val="00C227CC"/>
    <w:rsid w:val="00C23074"/>
    <w:rsid w:val="00C268B5"/>
    <w:rsid w:val="00C440B4"/>
    <w:rsid w:val="00C44A0F"/>
    <w:rsid w:val="00C52CB5"/>
    <w:rsid w:val="00C651EB"/>
    <w:rsid w:val="00C6606C"/>
    <w:rsid w:val="00C71AB9"/>
    <w:rsid w:val="00C73CC5"/>
    <w:rsid w:val="00C74D56"/>
    <w:rsid w:val="00CA16B5"/>
    <w:rsid w:val="00CB6413"/>
    <w:rsid w:val="00CB7E94"/>
    <w:rsid w:val="00CC1C74"/>
    <w:rsid w:val="00CC39A8"/>
    <w:rsid w:val="00CC4408"/>
    <w:rsid w:val="00CC5790"/>
    <w:rsid w:val="00CC7B86"/>
    <w:rsid w:val="00CD378F"/>
    <w:rsid w:val="00CD5A2D"/>
    <w:rsid w:val="00CE09A4"/>
    <w:rsid w:val="00D039D5"/>
    <w:rsid w:val="00D06A57"/>
    <w:rsid w:val="00D20231"/>
    <w:rsid w:val="00D21E67"/>
    <w:rsid w:val="00D24BAB"/>
    <w:rsid w:val="00D24CE2"/>
    <w:rsid w:val="00D25226"/>
    <w:rsid w:val="00D43A7D"/>
    <w:rsid w:val="00D43FA8"/>
    <w:rsid w:val="00D5100D"/>
    <w:rsid w:val="00D52113"/>
    <w:rsid w:val="00D54629"/>
    <w:rsid w:val="00D567A7"/>
    <w:rsid w:val="00D61AFD"/>
    <w:rsid w:val="00D733B6"/>
    <w:rsid w:val="00D82528"/>
    <w:rsid w:val="00DA4A41"/>
    <w:rsid w:val="00DC69CC"/>
    <w:rsid w:val="00DD5A6E"/>
    <w:rsid w:val="00DD742D"/>
    <w:rsid w:val="00DE1370"/>
    <w:rsid w:val="00DE2702"/>
    <w:rsid w:val="00DE3221"/>
    <w:rsid w:val="00DE6BDA"/>
    <w:rsid w:val="00E027E1"/>
    <w:rsid w:val="00E30752"/>
    <w:rsid w:val="00E33E1E"/>
    <w:rsid w:val="00E36304"/>
    <w:rsid w:val="00E43DC6"/>
    <w:rsid w:val="00E47935"/>
    <w:rsid w:val="00E503BB"/>
    <w:rsid w:val="00E66FD3"/>
    <w:rsid w:val="00E7023E"/>
    <w:rsid w:val="00E74A6E"/>
    <w:rsid w:val="00E817A4"/>
    <w:rsid w:val="00E84653"/>
    <w:rsid w:val="00EA260C"/>
    <w:rsid w:val="00EA4300"/>
    <w:rsid w:val="00EA4750"/>
    <w:rsid w:val="00EC005E"/>
    <w:rsid w:val="00EC2689"/>
    <w:rsid w:val="00ED1E65"/>
    <w:rsid w:val="00ED24C8"/>
    <w:rsid w:val="00ED4133"/>
    <w:rsid w:val="00ED4640"/>
    <w:rsid w:val="00EF6548"/>
    <w:rsid w:val="00F016FC"/>
    <w:rsid w:val="00F025F3"/>
    <w:rsid w:val="00F03843"/>
    <w:rsid w:val="00F17B4B"/>
    <w:rsid w:val="00F20E29"/>
    <w:rsid w:val="00F235B6"/>
    <w:rsid w:val="00F30A96"/>
    <w:rsid w:val="00F33137"/>
    <w:rsid w:val="00F37986"/>
    <w:rsid w:val="00F51C88"/>
    <w:rsid w:val="00F571E1"/>
    <w:rsid w:val="00F66DFB"/>
    <w:rsid w:val="00F87262"/>
    <w:rsid w:val="00F931BE"/>
    <w:rsid w:val="00FA417D"/>
    <w:rsid w:val="00FA44EF"/>
    <w:rsid w:val="00FA46B9"/>
    <w:rsid w:val="00FA7ABE"/>
    <w:rsid w:val="00FB1557"/>
    <w:rsid w:val="00FB6E4B"/>
    <w:rsid w:val="00FC2F00"/>
    <w:rsid w:val="00FC51BD"/>
    <w:rsid w:val="00FD023A"/>
    <w:rsid w:val="00FD1EE5"/>
    <w:rsid w:val="00FD4615"/>
    <w:rsid w:val="00FD5856"/>
    <w:rsid w:val="00FF7671"/>
    <w:rsid w:val="04BC071F"/>
    <w:rsid w:val="06535829"/>
    <w:rsid w:val="06D45243"/>
    <w:rsid w:val="06EC06CF"/>
    <w:rsid w:val="08A94616"/>
    <w:rsid w:val="0A2E4246"/>
    <w:rsid w:val="0C52543E"/>
    <w:rsid w:val="0FA015D0"/>
    <w:rsid w:val="12A14627"/>
    <w:rsid w:val="13F71529"/>
    <w:rsid w:val="15E56217"/>
    <w:rsid w:val="16627153"/>
    <w:rsid w:val="16A0350D"/>
    <w:rsid w:val="183B5ED1"/>
    <w:rsid w:val="1BF1260A"/>
    <w:rsid w:val="1F60663F"/>
    <w:rsid w:val="241C2DEE"/>
    <w:rsid w:val="25E85EE3"/>
    <w:rsid w:val="26146AAD"/>
    <w:rsid w:val="2F0426B2"/>
    <w:rsid w:val="304D4ACF"/>
    <w:rsid w:val="30DA1160"/>
    <w:rsid w:val="312270CD"/>
    <w:rsid w:val="37E71D14"/>
    <w:rsid w:val="3B316417"/>
    <w:rsid w:val="3C933094"/>
    <w:rsid w:val="3DE4251A"/>
    <w:rsid w:val="3F3C5BC7"/>
    <w:rsid w:val="41D814C5"/>
    <w:rsid w:val="4234203B"/>
    <w:rsid w:val="439F2A21"/>
    <w:rsid w:val="44B74E5C"/>
    <w:rsid w:val="461A6D03"/>
    <w:rsid w:val="46706EDD"/>
    <w:rsid w:val="474A6CC5"/>
    <w:rsid w:val="4D664649"/>
    <w:rsid w:val="51665E4C"/>
    <w:rsid w:val="54B82062"/>
    <w:rsid w:val="595323BD"/>
    <w:rsid w:val="5ECB189C"/>
    <w:rsid w:val="61F8657D"/>
    <w:rsid w:val="640D1B49"/>
    <w:rsid w:val="64B472D0"/>
    <w:rsid w:val="66A5777F"/>
    <w:rsid w:val="6A4907C3"/>
    <w:rsid w:val="6AA143F0"/>
    <w:rsid w:val="716A70AE"/>
    <w:rsid w:val="7182783A"/>
    <w:rsid w:val="72C258C3"/>
    <w:rsid w:val="75CF1772"/>
    <w:rsid w:val="79A15214"/>
    <w:rsid w:val="79C52B4C"/>
    <w:rsid w:val="7A47758B"/>
    <w:rsid w:val="7DCE331F"/>
    <w:rsid w:val="7EBF22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spacing w:before="240" w:after="60"/>
      <w:outlineLvl w:val="3"/>
    </w:pPr>
    <w:rPr>
      <w:b/>
      <w:bCs/>
      <w:sz w:val="28"/>
      <w:szCs w:val="28"/>
    </w:rPr>
  </w:style>
  <w:style w:type="paragraph" w:styleId="6">
    <w:name w:val="heading 5"/>
    <w:basedOn w:val="1"/>
    <w:next w:val="1"/>
    <w:unhideWhenUsed/>
    <w:qFormat/>
    <w:uiPriority w:val="0"/>
    <w:pPr>
      <w:spacing w:before="240" w:after="60"/>
      <w:outlineLvl w:val="4"/>
    </w:pPr>
    <w:rPr>
      <w:b/>
      <w:bCs/>
      <w:i/>
      <w:iCs/>
      <w:sz w:val="26"/>
      <w:szCs w:val="26"/>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2520" w:leftChars="1200"/>
    </w:pPr>
  </w:style>
  <w:style w:type="paragraph" w:styleId="8">
    <w:name w:val="Document Map"/>
    <w:basedOn w:val="1"/>
    <w:link w:val="51"/>
    <w:semiHidden/>
    <w:unhideWhenUsed/>
    <w:qFormat/>
    <w:uiPriority w:val="99"/>
    <w:rPr>
      <w:rFonts w:ascii="宋体" w:eastAsia="宋体"/>
      <w:sz w:val="18"/>
      <w:szCs w:val="18"/>
    </w:rPr>
  </w:style>
  <w:style w:type="paragraph" w:styleId="9">
    <w:name w:val="annotation text"/>
    <w:basedOn w:val="1"/>
    <w:link w:val="48"/>
    <w:unhideWhenUsed/>
    <w:qFormat/>
    <w:uiPriority w:val="99"/>
    <w:pPr>
      <w:jc w:val="left"/>
    </w:pPr>
  </w:style>
  <w:style w:type="paragraph" w:styleId="10">
    <w:name w:val="Body Text"/>
    <w:basedOn w:val="1"/>
    <w:link w:val="74"/>
    <w:semiHidden/>
    <w:unhideWhenUsed/>
    <w:qFormat/>
    <w:uiPriority w:val="99"/>
    <w:pPr>
      <w:spacing w:after="120"/>
    </w:pPr>
  </w:style>
  <w:style w:type="paragraph" w:styleId="11">
    <w:name w:val="Body Text Indent"/>
    <w:basedOn w:val="1"/>
    <w:link w:val="56"/>
    <w:qFormat/>
    <w:uiPriority w:val="0"/>
    <w:pPr>
      <w:ind w:firstLine="480" w:firstLineChars="200"/>
    </w:pPr>
    <w:rPr>
      <w:rFonts w:ascii="Times New Roman" w:hAnsi="Times New Roman" w:eastAsia="宋体" w:cs="Times New Roman"/>
      <w:sz w:val="24"/>
      <w:szCs w:val="24"/>
    </w:rPr>
  </w:style>
  <w:style w:type="paragraph" w:styleId="12">
    <w:name w:val="List Bullet 2"/>
    <w:basedOn w:val="1"/>
    <w:unhideWhenUsed/>
    <w:qFormat/>
    <w:uiPriority w:val="0"/>
    <w:pPr>
      <w:numPr>
        <w:ilvl w:val="0"/>
        <w:numId w:val="1"/>
      </w:numPr>
    </w:pPr>
    <w:rPr>
      <w:rFonts w:ascii="Times New Roman" w:hAnsi="Times New Roman" w:eastAsia="宋体" w:cs="Times New Roman"/>
      <w:szCs w:val="24"/>
    </w:rPr>
  </w:style>
  <w:style w:type="paragraph" w:styleId="13">
    <w:name w:val="toc 5"/>
    <w:basedOn w:val="1"/>
    <w:next w:val="1"/>
    <w:unhideWhenUsed/>
    <w:qFormat/>
    <w:uiPriority w:val="39"/>
    <w:pPr>
      <w:ind w:left="1680" w:leftChars="800"/>
    </w:pPr>
  </w:style>
  <w:style w:type="paragraph" w:styleId="14">
    <w:name w:val="toc 3"/>
    <w:basedOn w:val="1"/>
    <w:next w:val="1"/>
    <w:unhideWhenUsed/>
    <w:qFormat/>
    <w:uiPriority w:val="39"/>
    <w:pPr>
      <w:ind w:left="840" w:leftChars="400"/>
    </w:pPr>
  </w:style>
  <w:style w:type="paragraph" w:styleId="15">
    <w:name w:val="Plain Text"/>
    <w:basedOn w:val="1"/>
    <w:unhideWhenUsed/>
    <w:qFormat/>
    <w:uiPriority w:val="99"/>
    <w:pPr>
      <w:spacing w:line="360" w:lineRule="auto"/>
      <w:ind w:left="839" w:firstLine="420"/>
    </w:pPr>
    <w:rPr>
      <w:rFonts w:hAnsi="Courier New"/>
      <w:szCs w:val="20"/>
    </w:rPr>
  </w:style>
  <w:style w:type="paragraph" w:styleId="16">
    <w:name w:val="toc 8"/>
    <w:basedOn w:val="1"/>
    <w:next w:val="1"/>
    <w:unhideWhenUsed/>
    <w:qFormat/>
    <w:uiPriority w:val="39"/>
    <w:pPr>
      <w:ind w:left="2940" w:leftChars="1400"/>
    </w:pPr>
  </w:style>
  <w:style w:type="paragraph" w:styleId="17">
    <w:name w:val="Balloon Text"/>
    <w:basedOn w:val="1"/>
    <w:link w:val="50"/>
    <w:semiHidden/>
    <w:unhideWhenUsed/>
    <w:qFormat/>
    <w:uiPriority w:val="99"/>
    <w:rPr>
      <w:sz w:val="18"/>
      <w:szCs w:val="18"/>
    </w:rPr>
  </w:style>
  <w:style w:type="paragraph" w:styleId="18">
    <w:name w:val="footer"/>
    <w:basedOn w:val="1"/>
    <w:link w:val="36"/>
    <w:unhideWhenUsed/>
    <w:qFormat/>
    <w:uiPriority w:val="99"/>
    <w:pPr>
      <w:tabs>
        <w:tab w:val="center" w:pos="4153"/>
        <w:tab w:val="right" w:pos="8306"/>
      </w:tabs>
      <w:snapToGrid w:val="0"/>
      <w:jc w:val="left"/>
    </w:pPr>
    <w:rPr>
      <w:sz w:val="18"/>
      <w:szCs w:val="18"/>
    </w:rPr>
  </w:style>
  <w:style w:type="paragraph" w:styleId="19">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style>
  <w:style w:type="paragraph" w:styleId="21">
    <w:name w:val="toc 4"/>
    <w:basedOn w:val="1"/>
    <w:next w:val="1"/>
    <w:unhideWhenUsed/>
    <w:qFormat/>
    <w:uiPriority w:val="39"/>
    <w:pPr>
      <w:ind w:left="1260" w:leftChars="600"/>
    </w:pPr>
  </w:style>
  <w:style w:type="paragraph" w:styleId="22">
    <w:name w:val="List"/>
    <w:basedOn w:val="1"/>
    <w:unhideWhenUsed/>
    <w:qFormat/>
    <w:uiPriority w:val="99"/>
    <w:pPr>
      <w:ind w:left="200" w:hanging="200" w:hangingChars="200"/>
      <w:contextualSpacing/>
    </w:pPr>
  </w:style>
  <w:style w:type="paragraph" w:styleId="23">
    <w:name w:val="toc 6"/>
    <w:basedOn w:val="1"/>
    <w:next w:val="1"/>
    <w:unhideWhenUsed/>
    <w:qFormat/>
    <w:uiPriority w:val="39"/>
    <w:pPr>
      <w:ind w:left="2100" w:leftChars="1000"/>
    </w:pPr>
  </w:style>
  <w:style w:type="paragraph" w:styleId="24">
    <w:name w:val="toc 2"/>
    <w:basedOn w:val="1"/>
    <w:next w:val="1"/>
    <w:unhideWhenUsed/>
    <w:qFormat/>
    <w:uiPriority w:val="39"/>
    <w:pPr>
      <w:ind w:left="420" w:leftChars="200"/>
    </w:pPr>
  </w:style>
  <w:style w:type="paragraph" w:styleId="25">
    <w:name w:val="toc 9"/>
    <w:basedOn w:val="1"/>
    <w:next w:val="1"/>
    <w:unhideWhenUsed/>
    <w:qFormat/>
    <w:uiPriority w:val="39"/>
    <w:pPr>
      <w:ind w:left="3360" w:leftChars="1600"/>
    </w:p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7">
    <w:name w:val="annotation subject"/>
    <w:basedOn w:val="9"/>
    <w:next w:val="9"/>
    <w:link w:val="49"/>
    <w:semiHidden/>
    <w:unhideWhenUsed/>
    <w:qFormat/>
    <w:uiPriority w:val="99"/>
    <w:rPr>
      <w:b/>
      <w:bCs/>
    </w:rPr>
  </w:style>
  <w:style w:type="paragraph" w:styleId="28">
    <w:name w:val="Body Text First Indent"/>
    <w:basedOn w:val="10"/>
    <w:link w:val="75"/>
    <w:semiHidden/>
    <w:unhideWhenUsed/>
    <w:qFormat/>
    <w:uiPriority w:val="99"/>
    <w:pPr>
      <w:ind w:firstLine="420" w:firstLineChars="1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Cs/>
      <w:sz w:val="24"/>
      <w:szCs w:val="21"/>
    </w:rPr>
  </w:style>
  <w:style w:type="character" w:styleId="33">
    <w:name w:val="Hyperlink"/>
    <w:basedOn w:val="31"/>
    <w:unhideWhenUsed/>
    <w:qFormat/>
    <w:uiPriority w:val="99"/>
    <w:rPr>
      <w:color w:val="0563C1" w:themeColor="hyperlink"/>
      <w:u w:val="single"/>
      <w14:textFill>
        <w14:solidFill>
          <w14:schemeClr w14:val="hlink"/>
        </w14:solidFill>
      </w14:textFill>
    </w:rPr>
  </w:style>
  <w:style w:type="character" w:styleId="34">
    <w:name w:val="annotation reference"/>
    <w:basedOn w:val="31"/>
    <w:semiHidden/>
    <w:unhideWhenUsed/>
    <w:qFormat/>
    <w:uiPriority w:val="99"/>
    <w:rPr>
      <w:sz w:val="21"/>
      <w:szCs w:val="21"/>
    </w:rPr>
  </w:style>
  <w:style w:type="character" w:customStyle="1" w:styleId="35">
    <w:name w:val="页眉 字符"/>
    <w:basedOn w:val="31"/>
    <w:link w:val="19"/>
    <w:qFormat/>
    <w:uiPriority w:val="99"/>
    <w:rPr>
      <w:sz w:val="18"/>
      <w:szCs w:val="18"/>
    </w:rPr>
  </w:style>
  <w:style w:type="character" w:customStyle="1" w:styleId="36">
    <w:name w:val="页脚 字符"/>
    <w:basedOn w:val="31"/>
    <w:link w:val="18"/>
    <w:qFormat/>
    <w:uiPriority w:val="99"/>
    <w:rPr>
      <w:sz w:val="18"/>
      <w:szCs w:val="18"/>
    </w:rPr>
  </w:style>
  <w:style w:type="character" w:customStyle="1" w:styleId="37">
    <w:name w:val="标题 1 字符"/>
    <w:basedOn w:val="31"/>
    <w:link w:val="2"/>
    <w:qFormat/>
    <w:uiPriority w:val="9"/>
    <w:rPr>
      <w:b/>
      <w:bCs/>
      <w:kern w:val="44"/>
      <w:sz w:val="44"/>
      <w:szCs w:val="44"/>
    </w:rPr>
  </w:style>
  <w:style w:type="paragraph" w:customStyle="1" w:styleId="3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styleId="39">
    <w:name w:val="List Paragraph"/>
    <w:basedOn w:val="1"/>
    <w:link w:val="78"/>
    <w:qFormat/>
    <w:uiPriority w:val="34"/>
    <w:pPr>
      <w:ind w:firstLine="420" w:firstLineChars="200"/>
    </w:pPr>
  </w:style>
  <w:style w:type="character" w:customStyle="1" w:styleId="40">
    <w:name w:val="标题 3 字符"/>
    <w:basedOn w:val="31"/>
    <w:link w:val="4"/>
    <w:semiHidden/>
    <w:qFormat/>
    <w:uiPriority w:val="9"/>
    <w:rPr>
      <w:b/>
      <w:bCs/>
      <w:sz w:val="32"/>
      <w:szCs w:val="32"/>
    </w:rPr>
  </w:style>
  <w:style w:type="paragraph" w:customStyle="1" w:styleId="41">
    <w:name w:val="弱电样2"/>
    <w:basedOn w:val="4"/>
    <w:next w:val="1"/>
    <w:link w:val="54"/>
    <w:qFormat/>
    <w:uiPriority w:val="0"/>
    <w:pPr>
      <w:numPr>
        <w:ilvl w:val="1"/>
        <w:numId w:val="2"/>
      </w:numPr>
    </w:pPr>
    <w:rPr>
      <w:rFonts w:ascii="黑体"/>
    </w:rPr>
  </w:style>
  <w:style w:type="paragraph" w:customStyle="1" w:styleId="42">
    <w:name w:val="弱电正文"/>
    <w:basedOn w:val="1"/>
    <w:link w:val="53"/>
    <w:qFormat/>
    <w:uiPriority w:val="0"/>
    <w:pPr>
      <w:spacing w:line="360" w:lineRule="auto"/>
      <w:ind w:firstLine="200" w:firstLineChars="200"/>
    </w:pPr>
  </w:style>
  <w:style w:type="paragraph" w:customStyle="1" w:styleId="43">
    <w:name w:val="弱电样3"/>
    <w:basedOn w:val="5"/>
    <w:next w:val="42"/>
    <w:link w:val="59"/>
    <w:qFormat/>
    <w:uiPriority w:val="0"/>
    <w:pPr>
      <w:numPr>
        <w:ilvl w:val="2"/>
        <w:numId w:val="2"/>
      </w:numPr>
      <w:spacing w:after="120" w:line="360" w:lineRule="auto"/>
    </w:pPr>
    <w:rPr>
      <w:rFonts w:ascii="Cambria" w:hAnsi="Cambria"/>
    </w:rPr>
  </w:style>
  <w:style w:type="paragraph" w:customStyle="1" w:styleId="44">
    <w:name w:val="弱电样4"/>
    <w:basedOn w:val="6"/>
    <w:next w:val="42"/>
    <w:link w:val="63"/>
    <w:qFormat/>
    <w:uiPriority w:val="0"/>
    <w:pPr>
      <w:numPr>
        <w:ilvl w:val="3"/>
        <w:numId w:val="2"/>
      </w:numPr>
      <w:spacing w:after="120" w:line="360" w:lineRule="auto"/>
    </w:pPr>
    <w:rPr>
      <w:rFonts w:ascii="Cambria" w:hAnsi="Cambria"/>
      <w:i w:val="0"/>
      <w:iCs w:val="0"/>
      <w:sz w:val="24"/>
      <w:szCs w:val="28"/>
    </w:rPr>
  </w:style>
  <w:style w:type="paragraph" w:customStyle="1" w:styleId="45">
    <w:name w:val="弱电正文编号1"/>
    <w:basedOn w:val="42"/>
    <w:next w:val="42"/>
    <w:link w:val="55"/>
    <w:qFormat/>
    <w:uiPriority w:val="0"/>
    <w:pPr>
      <w:numPr>
        <w:ilvl w:val="0"/>
        <w:numId w:val="3"/>
      </w:numPr>
      <w:ind w:firstLine="0" w:firstLineChars="0"/>
    </w:pPr>
  </w:style>
  <w:style w:type="paragraph" w:customStyle="1" w:styleId="46">
    <w:name w:val="奥特正文编号1"/>
    <w:basedOn w:val="47"/>
    <w:next w:val="47"/>
    <w:qFormat/>
    <w:uiPriority w:val="0"/>
    <w:pPr>
      <w:ind w:left="902" w:hanging="420" w:firstLineChars="0"/>
    </w:pPr>
  </w:style>
  <w:style w:type="paragraph" w:customStyle="1" w:styleId="47">
    <w:name w:val="奥特正文"/>
    <w:basedOn w:val="1"/>
    <w:link w:val="62"/>
    <w:qFormat/>
    <w:uiPriority w:val="0"/>
    <w:pPr>
      <w:spacing w:line="360" w:lineRule="auto"/>
      <w:ind w:firstLine="200" w:firstLineChars="200"/>
    </w:pPr>
  </w:style>
  <w:style w:type="character" w:customStyle="1" w:styleId="48">
    <w:name w:val="批注文字 字符"/>
    <w:basedOn w:val="31"/>
    <w:link w:val="9"/>
    <w:qFormat/>
    <w:uiPriority w:val="99"/>
    <w:rPr>
      <w:rFonts w:asciiTheme="minorHAnsi" w:hAnsiTheme="minorHAnsi" w:eastAsiaTheme="minorEastAsia" w:cstheme="minorBidi"/>
      <w:kern w:val="2"/>
      <w:sz w:val="21"/>
      <w:szCs w:val="22"/>
    </w:rPr>
  </w:style>
  <w:style w:type="character" w:customStyle="1" w:styleId="49">
    <w:name w:val="批注主题 字符"/>
    <w:basedOn w:val="48"/>
    <w:link w:val="27"/>
    <w:semiHidden/>
    <w:qFormat/>
    <w:uiPriority w:val="99"/>
    <w:rPr>
      <w:rFonts w:asciiTheme="minorHAnsi" w:hAnsiTheme="minorHAnsi" w:eastAsiaTheme="minorEastAsia" w:cstheme="minorBidi"/>
      <w:b/>
      <w:bCs/>
      <w:kern w:val="2"/>
      <w:sz w:val="21"/>
      <w:szCs w:val="22"/>
    </w:rPr>
  </w:style>
  <w:style w:type="character" w:customStyle="1" w:styleId="50">
    <w:name w:val="批注框文本 字符"/>
    <w:basedOn w:val="31"/>
    <w:link w:val="17"/>
    <w:semiHidden/>
    <w:qFormat/>
    <w:uiPriority w:val="99"/>
    <w:rPr>
      <w:rFonts w:asciiTheme="minorHAnsi" w:hAnsiTheme="minorHAnsi" w:eastAsiaTheme="minorEastAsia" w:cstheme="minorBidi"/>
      <w:kern w:val="2"/>
      <w:sz w:val="18"/>
      <w:szCs w:val="18"/>
    </w:rPr>
  </w:style>
  <w:style w:type="character" w:customStyle="1" w:styleId="51">
    <w:name w:val="文档结构图 字符"/>
    <w:basedOn w:val="31"/>
    <w:link w:val="8"/>
    <w:semiHidden/>
    <w:qFormat/>
    <w:uiPriority w:val="99"/>
    <w:rPr>
      <w:rFonts w:ascii="宋体" w:hAnsiTheme="minorHAnsi" w:cstheme="minorBidi"/>
      <w:kern w:val="2"/>
      <w:sz w:val="18"/>
      <w:szCs w:val="18"/>
    </w:rPr>
  </w:style>
  <w:style w:type="paragraph" w:customStyle="1" w:styleId="52">
    <w:name w:val="弱电样1"/>
    <w:basedOn w:val="3"/>
    <w:next w:val="42"/>
    <w:qFormat/>
    <w:uiPriority w:val="0"/>
    <w:pPr>
      <w:spacing w:before="240" w:after="120" w:line="360" w:lineRule="auto"/>
      <w:ind w:left="425" w:hanging="425"/>
    </w:pPr>
    <w:rPr>
      <w:rFonts w:ascii="黑体" w:hAnsi="Cambria" w:eastAsia="宋体" w:cs="Times New Roman"/>
    </w:rPr>
  </w:style>
  <w:style w:type="character" w:customStyle="1" w:styleId="53">
    <w:name w:val="弱电正文 Char"/>
    <w:link w:val="42"/>
    <w:qFormat/>
    <w:uiPriority w:val="0"/>
    <w:rPr>
      <w:rFonts w:asciiTheme="minorHAnsi" w:hAnsiTheme="minorHAnsi" w:eastAsiaTheme="minorEastAsia" w:cstheme="minorBidi"/>
      <w:kern w:val="2"/>
      <w:sz w:val="21"/>
      <w:szCs w:val="22"/>
    </w:rPr>
  </w:style>
  <w:style w:type="character" w:customStyle="1" w:styleId="54">
    <w:name w:val="弱电样2 Char"/>
    <w:link w:val="41"/>
    <w:qFormat/>
    <w:uiPriority w:val="0"/>
    <w:rPr>
      <w:rFonts w:ascii="黑体" w:hAnsiTheme="minorHAnsi" w:eastAsiaTheme="minorEastAsia" w:cstheme="minorBidi"/>
      <w:b/>
      <w:bCs/>
      <w:kern w:val="2"/>
      <w:sz w:val="32"/>
      <w:szCs w:val="32"/>
    </w:rPr>
  </w:style>
  <w:style w:type="character" w:customStyle="1" w:styleId="55">
    <w:name w:val="弱电正文编号1 Char"/>
    <w:link w:val="45"/>
    <w:qFormat/>
    <w:uiPriority w:val="0"/>
    <w:rPr>
      <w:rFonts w:asciiTheme="minorHAnsi" w:hAnsiTheme="minorHAnsi" w:eastAsiaTheme="minorEastAsia" w:cstheme="minorBidi"/>
      <w:kern w:val="2"/>
      <w:sz w:val="21"/>
      <w:szCs w:val="22"/>
    </w:rPr>
  </w:style>
  <w:style w:type="character" w:customStyle="1" w:styleId="56">
    <w:name w:val="正文文本缩进 字符"/>
    <w:basedOn w:val="31"/>
    <w:link w:val="11"/>
    <w:qFormat/>
    <w:uiPriority w:val="0"/>
    <w:rPr>
      <w:kern w:val="2"/>
      <w:sz w:val="24"/>
      <w:szCs w:val="24"/>
    </w:rPr>
  </w:style>
  <w:style w:type="character" w:customStyle="1" w:styleId="57">
    <w:name w:val="标题 2 字符"/>
    <w:basedOn w:val="31"/>
    <w:link w:val="3"/>
    <w:qFormat/>
    <w:uiPriority w:val="9"/>
    <w:rPr>
      <w:rFonts w:asciiTheme="majorHAnsi" w:hAnsiTheme="majorHAnsi" w:eastAsiaTheme="majorEastAsia" w:cstheme="majorBidi"/>
      <w:b/>
      <w:bCs/>
      <w:kern w:val="2"/>
      <w:sz w:val="32"/>
      <w:szCs w:val="32"/>
    </w:rPr>
  </w:style>
  <w:style w:type="character" w:customStyle="1" w:styleId="58">
    <w:name w:val="标题 1 Char1"/>
    <w:qFormat/>
    <w:uiPriority w:val="0"/>
    <w:rPr>
      <w:rFonts w:ascii="Times New Roman" w:hAnsi="Times New Roman" w:eastAsia="宋体" w:cs="Times New Roman"/>
      <w:b/>
      <w:bCs/>
      <w:kern w:val="44"/>
      <w:sz w:val="28"/>
      <w:szCs w:val="44"/>
    </w:rPr>
  </w:style>
  <w:style w:type="character" w:customStyle="1" w:styleId="59">
    <w:name w:val="弱电样3 Char"/>
    <w:link w:val="43"/>
    <w:qFormat/>
    <w:uiPriority w:val="0"/>
    <w:rPr>
      <w:rFonts w:ascii="Cambria" w:hAnsi="Cambria" w:eastAsiaTheme="minorEastAsia" w:cstheme="minorBidi"/>
      <w:b/>
      <w:bCs/>
      <w:kern w:val="2"/>
      <w:sz w:val="28"/>
      <w:szCs w:val="28"/>
    </w:rPr>
  </w:style>
  <w:style w:type="paragraph" w:customStyle="1" w:styleId="60">
    <w:name w:val="弱电正文编号2"/>
    <w:basedOn w:val="42"/>
    <w:next w:val="42"/>
    <w:link w:val="61"/>
    <w:qFormat/>
    <w:uiPriority w:val="0"/>
    <w:pPr>
      <w:numPr>
        <w:ilvl w:val="0"/>
        <w:numId w:val="4"/>
      </w:numPr>
      <w:ind w:left="567" w:firstLine="0" w:firstLineChars="0"/>
    </w:pPr>
    <w:rPr>
      <w:rFonts w:ascii="Calibri" w:hAnsi="Calibri" w:eastAsia="宋体" w:cs="Times New Roman"/>
      <w:sz w:val="24"/>
    </w:rPr>
  </w:style>
  <w:style w:type="character" w:customStyle="1" w:styleId="61">
    <w:name w:val="弱电正文编号2 Char"/>
    <w:basedOn w:val="53"/>
    <w:link w:val="60"/>
    <w:qFormat/>
    <w:uiPriority w:val="0"/>
    <w:rPr>
      <w:rFonts w:ascii="Calibri" w:hAnsi="Calibri" w:eastAsiaTheme="minorEastAsia" w:cstheme="minorBidi"/>
      <w:kern w:val="2"/>
      <w:sz w:val="24"/>
      <w:szCs w:val="22"/>
    </w:rPr>
  </w:style>
  <w:style w:type="character" w:customStyle="1" w:styleId="62">
    <w:name w:val="奥特正文 Char"/>
    <w:link w:val="47"/>
    <w:qFormat/>
    <w:uiPriority w:val="0"/>
    <w:rPr>
      <w:rFonts w:asciiTheme="minorHAnsi" w:hAnsiTheme="minorHAnsi" w:eastAsiaTheme="minorEastAsia" w:cstheme="minorBidi"/>
      <w:kern w:val="2"/>
      <w:sz w:val="21"/>
      <w:szCs w:val="22"/>
    </w:rPr>
  </w:style>
  <w:style w:type="character" w:customStyle="1" w:styleId="63">
    <w:name w:val="弱电样4 Char"/>
    <w:link w:val="44"/>
    <w:qFormat/>
    <w:uiPriority w:val="0"/>
    <w:rPr>
      <w:rFonts w:ascii="Cambria" w:hAnsi="Cambria" w:eastAsiaTheme="minorEastAsia" w:cstheme="minorBidi"/>
      <w:b/>
      <w:bCs/>
      <w:kern w:val="2"/>
      <w:sz w:val="24"/>
      <w:szCs w:val="28"/>
    </w:rPr>
  </w:style>
  <w:style w:type="paragraph" w:customStyle="1" w:styleId="64">
    <w:name w:val="Table Paragraph"/>
    <w:basedOn w:val="1"/>
    <w:qFormat/>
    <w:uiPriority w:val="1"/>
    <w:pPr>
      <w:jc w:val="left"/>
    </w:pPr>
    <w:rPr>
      <w:rFonts w:ascii="Calibri" w:hAnsi="Calibri" w:eastAsia="Calibri" w:cs="Times New Roman"/>
      <w:kern w:val="0"/>
      <w:sz w:val="22"/>
      <w:lang w:eastAsia="en-US"/>
    </w:rPr>
  </w:style>
  <w:style w:type="paragraph" w:customStyle="1" w:styleId="65">
    <w:name w:val="文章正文编号"/>
    <w:basedOn w:val="66"/>
    <w:qFormat/>
    <w:uiPriority w:val="0"/>
  </w:style>
  <w:style w:type="paragraph" w:customStyle="1" w:styleId="66">
    <w:name w:val="文章正文"/>
    <w:basedOn w:val="1"/>
    <w:qFormat/>
    <w:uiPriority w:val="0"/>
    <w:pPr>
      <w:adjustRightInd w:val="0"/>
      <w:snapToGrid w:val="0"/>
      <w:spacing w:line="360" w:lineRule="auto"/>
      <w:ind w:firstLine="480" w:firstLineChars="200"/>
    </w:pPr>
    <w:rPr>
      <w:rFonts w:ascii="Times New Roman" w:hAnsi="Times New Roman" w:eastAsia="宋体" w:cs="Times New Roman"/>
      <w:sz w:val="24"/>
      <w:szCs w:val="24"/>
    </w:rPr>
  </w:style>
  <w:style w:type="paragraph" w:customStyle="1" w:styleId="67">
    <w:name w:val="正文编号"/>
    <w:basedOn w:val="66"/>
    <w:qFormat/>
    <w:uiPriority w:val="0"/>
    <w:pPr>
      <w:ind w:firstLine="420"/>
    </w:pPr>
    <w:rPr>
      <w:sz w:val="21"/>
    </w:rPr>
  </w:style>
  <w:style w:type="paragraph" w:customStyle="1" w:styleId="68">
    <w:name w:val="二级标题"/>
    <w:basedOn w:val="39"/>
    <w:link w:val="69"/>
    <w:qFormat/>
    <w:uiPriority w:val="0"/>
    <w:pPr>
      <w:keepNext/>
      <w:keepLines/>
      <w:widowControl/>
      <w:tabs>
        <w:tab w:val="left" w:pos="567"/>
      </w:tabs>
      <w:adjustRightInd w:val="0"/>
      <w:snapToGrid w:val="0"/>
      <w:spacing w:line="360" w:lineRule="auto"/>
      <w:ind w:firstLine="0" w:firstLineChars="0"/>
      <w:contextualSpacing/>
      <w:jc w:val="left"/>
      <w:outlineLvl w:val="1"/>
    </w:pPr>
    <w:rPr>
      <w:rFonts w:ascii="宋体" w:hAnsi="宋体"/>
      <w:b/>
      <w:bCs/>
      <w:kern w:val="0"/>
      <w:sz w:val="24"/>
    </w:rPr>
  </w:style>
  <w:style w:type="character" w:customStyle="1" w:styleId="69">
    <w:name w:val="二级标题 Char"/>
    <w:basedOn w:val="31"/>
    <w:link w:val="68"/>
    <w:qFormat/>
    <w:uiPriority w:val="0"/>
    <w:rPr>
      <w:rFonts w:ascii="宋体" w:hAnsi="宋体" w:eastAsiaTheme="minorEastAsia" w:cstheme="minorBidi"/>
      <w:b/>
      <w:bCs/>
      <w:sz w:val="24"/>
      <w:szCs w:val="22"/>
    </w:rPr>
  </w:style>
  <w:style w:type="paragraph" w:customStyle="1" w:styleId="70">
    <w:name w:val="样式 标准正文 + 宋体 小四"/>
    <w:basedOn w:val="1"/>
    <w:link w:val="71"/>
    <w:qFormat/>
    <w:uiPriority w:val="0"/>
    <w:pPr>
      <w:spacing w:line="360" w:lineRule="auto"/>
      <w:ind w:firstLine="200" w:firstLineChars="200"/>
    </w:pPr>
    <w:rPr>
      <w:rFonts w:ascii="宋体" w:hAnsi="宋体" w:eastAsia="宋体" w:cs="Times New Roman"/>
      <w:sz w:val="24"/>
      <w:szCs w:val="20"/>
    </w:rPr>
  </w:style>
  <w:style w:type="character" w:customStyle="1" w:styleId="71">
    <w:name w:val="样式 标准正文 + 宋体 小四 Char"/>
    <w:link w:val="70"/>
    <w:qFormat/>
    <w:uiPriority w:val="0"/>
    <w:rPr>
      <w:rFonts w:ascii="宋体" w:hAnsi="宋体"/>
      <w:kern w:val="2"/>
      <w:sz w:val="24"/>
    </w:rPr>
  </w:style>
  <w:style w:type="paragraph" w:customStyle="1" w:styleId="72">
    <w:name w:val="表格标题"/>
    <w:basedOn w:val="1"/>
    <w:next w:val="1"/>
    <w:link w:val="73"/>
    <w:qFormat/>
    <w:uiPriority w:val="0"/>
    <w:pPr>
      <w:spacing w:line="500" w:lineRule="exact"/>
      <w:ind w:firstLine="624"/>
      <w:outlineLvl w:val="4"/>
    </w:pPr>
    <w:rPr>
      <w:rFonts w:ascii="Times New Roman" w:hAnsi="Times New Roman" w:eastAsia="仿宋_GB2312" w:cs="Times New Roman"/>
      <w:szCs w:val="24"/>
      <w:lang w:val="zh-CN"/>
    </w:rPr>
  </w:style>
  <w:style w:type="character" w:customStyle="1" w:styleId="73">
    <w:name w:val="表格标题 Char2"/>
    <w:link w:val="72"/>
    <w:qFormat/>
    <w:uiPriority w:val="0"/>
    <w:rPr>
      <w:rFonts w:eastAsia="仿宋_GB2312"/>
      <w:kern w:val="2"/>
      <w:sz w:val="21"/>
      <w:szCs w:val="24"/>
      <w:lang w:val="zh-CN" w:eastAsia="zh-CN"/>
    </w:rPr>
  </w:style>
  <w:style w:type="character" w:customStyle="1" w:styleId="74">
    <w:name w:val="正文文本 字符"/>
    <w:basedOn w:val="31"/>
    <w:link w:val="10"/>
    <w:semiHidden/>
    <w:qFormat/>
    <w:uiPriority w:val="99"/>
    <w:rPr>
      <w:rFonts w:asciiTheme="minorHAnsi" w:hAnsiTheme="minorHAnsi" w:eastAsiaTheme="minorEastAsia" w:cstheme="minorBidi"/>
      <w:kern w:val="2"/>
      <w:sz w:val="21"/>
      <w:szCs w:val="22"/>
    </w:rPr>
  </w:style>
  <w:style w:type="character" w:customStyle="1" w:styleId="75">
    <w:name w:val="正文首行缩进 字符"/>
    <w:basedOn w:val="74"/>
    <w:link w:val="28"/>
    <w:semiHidden/>
    <w:qFormat/>
    <w:uiPriority w:val="99"/>
    <w:rPr>
      <w:rFonts w:asciiTheme="minorHAnsi" w:hAnsiTheme="minorHAnsi" w:eastAsiaTheme="minorEastAsia" w:cstheme="minorBidi"/>
      <w:kern w:val="2"/>
      <w:sz w:val="21"/>
      <w:szCs w:val="22"/>
    </w:rPr>
  </w:style>
  <w:style w:type="paragraph" w:customStyle="1" w:styleId="76">
    <w:name w:val="zi"/>
    <w:basedOn w:val="1"/>
    <w:qFormat/>
    <w:uiPriority w:val="0"/>
    <w:pPr>
      <w:widowControl/>
      <w:spacing w:before="100" w:beforeAutospacing="1" w:after="100" w:afterAutospacing="1" w:line="336" w:lineRule="atLeast"/>
      <w:jc w:val="left"/>
    </w:pPr>
    <w:rPr>
      <w:rFonts w:ascii="ˎ̥" w:hAnsi="ˎ̥" w:eastAsia="宋体" w:cs="宋体"/>
      <w:color w:val="000000"/>
      <w:kern w:val="0"/>
      <w:sz w:val="22"/>
    </w:rPr>
  </w:style>
  <w:style w:type="paragraph" w:customStyle="1" w:styleId="77">
    <w:name w:val="列出段落1"/>
    <w:basedOn w:val="1"/>
    <w:qFormat/>
    <w:uiPriority w:val="34"/>
    <w:pPr>
      <w:ind w:firstLine="420" w:firstLineChars="200"/>
    </w:pPr>
    <w:rPr>
      <w:rFonts w:ascii="Times New Roman" w:hAnsi="Times New Roman" w:eastAsia="宋体" w:cs="Times New Roman"/>
      <w:szCs w:val="24"/>
    </w:rPr>
  </w:style>
  <w:style w:type="character" w:customStyle="1" w:styleId="78">
    <w:name w:val="列出段落 字符"/>
    <w:link w:val="39"/>
    <w:qFormat/>
    <w:uiPriority w:val="34"/>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2439;&#32321;&#22810;&#24425;.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8C801-211E-418F-A028-8088CE313068}">
  <ds:schemaRefs/>
</ds:datastoreItem>
</file>

<file path=docProps/app.xml><?xml version="1.0" encoding="utf-8"?>
<Properties xmlns="http://schemas.openxmlformats.org/officeDocument/2006/extended-properties" xmlns:vt="http://schemas.openxmlformats.org/officeDocument/2006/docPropsVTypes">
  <Template>纷繁多彩.wpt</Template>
  <Company>HP</Company>
  <Pages>35</Pages>
  <Words>4331</Words>
  <Characters>24693</Characters>
  <Lines>205</Lines>
  <Paragraphs>57</Paragraphs>
  <TotalTime>0</TotalTime>
  <ScaleCrop>false</ScaleCrop>
  <LinksUpToDate>false</LinksUpToDate>
  <CharactersWithSpaces>28967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2018-08-30T02:25:00Z</dcterms:created>
  <dc:creator>李可祥</dc:creator>
  <cp:lastModifiedBy>冯兴兴</cp:lastModifiedBy>
  <cp:lastPrinted>2025-08-19T07:54:03Z</cp:lastPrinted>
  <dcterms:modified xsi:type="dcterms:W3CDTF">2025-08-19T07:54:14Z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C1473994B8AB4CCF9142A8ACFAD56E62_12</vt:lpwstr>
  </property>
</Properties>
</file>