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鼎和财产保险股份有限公司北海中心支公司2025年体检项目采购要求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竞价成功后，我司以通知书形式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通知医疗机构。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体检服务期：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医疗机构通知体检起一年内。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申请人资格要求: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1.在中国境内注册具有独立承担民事责任能力的法人、其他组织或者自然人；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2.具有医疗机构执业许可证；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3.参加采购活动前3年内在经营活动中没有重大违法记录；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4.依照中国现行《医院分级管理办法》规定划分等级为三级甲等及以上的医疗机构；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5.体检报告需在个人体检项目完成后的30日内出具；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6.体检环境健康舒适、干净整洁；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7.体检地点需为北海市区内；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8.本项目不接受联合体竞价。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4、体检费结算方式：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u w:val="single"/>
          <w:lang w:val="en-US" w:eastAsia="zh-CN" w:bidi="ar-SA"/>
        </w:rPr>
        <w:t>转账形式。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项目生效后，供应商如有违约，应当承担违约责任，并赔偿我公司由此受到的损失。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CE11EC1-9E88-4EA3-813B-CB0F374CE45A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563C6089-05E2-4731-BB85-F7EBAF269FF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3E47146-14F8-4FA2-89B0-060AFEB759E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484ACB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D03336"/>
    <w:rsid w:val="04EB6D8D"/>
    <w:rsid w:val="04F51F5C"/>
    <w:rsid w:val="05213895"/>
    <w:rsid w:val="05215FDD"/>
    <w:rsid w:val="0541709E"/>
    <w:rsid w:val="05611AD5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347291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A21A22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D26933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7207DE"/>
    <w:rsid w:val="2C8E4E7C"/>
    <w:rsid w:val="2C8E733D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387035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B70DA9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453FB0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9F26F5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853781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413</Words>
  <Characters>414</Characters>
  <Lines>0</Lines>
  <Paragraphs>0</Paragraphs>
  <TotalTime>106</TotalTime>
  <ScaleCrop>false</ScaleCrop>
  <LinksUpToDate>false</LinksUpToDate>
  <CharactersWithSpaces>418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李云</cp:lastModifiedBy>
  <dcterms:modified xsi:type="dcterms:W3CDTF">2025-09-05T02:14:38Z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A48739C67D2845D2B63061D60C5A6D87</vt:lpwstr>
  </property>
</Properties>
</file>