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B38EE">
      <w:pPr>
        <w:jc w:val="center"/>
        <w:rPr>
          <w:rFonts w:hint="eastAsia"/>
          <w:b/>
          <w:bCs/>
          <w:sz w:val="32"/>
          <w:szCs w:val="40"/>
        </w:rPr>
      </w:pPr>
      <w:r>
        <w:rPr>
          <w:rFonts w:hint="eastAsia"/>
          <w:b/>
          <w:bCs/>
          <w:sz w:val="32"/>
          <w:szCs w:val="40"/>
        </w:rPr>
        <w:t>电科院电缆燃烧实验室环境</w:t>
      </w:r>
      <w:r>
        <w:rPr>
          <w:rFonts w:hint="eastAsia"/>
          <w:b/>
          <w:bCs/>
          <w:sz w:val="32"/>
          <w:szCs w:val="40"/>
          <w:lang w:val="en-US" w:eastAsia="zh-CN"/>
        </w:rPr>
        <w:t>影响评价</w:t>
      </w:r>
      <w:r>
        <w:rPr>
          <w:rFonts w:hint="eastAsia"/>
          <w:b/>
          <w:bCs/>
          <w:sz w:val="32"/>
          <w:szCs w:val="40"/>
        </w:rPr>
        <w:t>咨询服务项目</w:t>
      </w:r>
    </w:p>
    <w:p w14:paraId="78C9F9FC">
      <w:pPr>
        <w:jc w:val="center"/>
        <w:rPr>
          <w:rFonts w:hint="eastAsia"/>
          <w:b/>
          <w:bCs/>
          <w:sz w:val="32"/>
          <w:szCs w:val="40"/>
        </w:rPr>
      </w:pPr>
      <w:bookmarkStart w:id="5" w:name="_GoBack"/>
      <w:r>
        <w:rPr>
          <w:rFonts w:hint="eastAsia"/>
          <w:b/>
          <w:bCs/>
          <w:sz w:val="32"/>
          <w:szCs w:val="40"/>
        </w:rPr>
        <w:t>实施要求</w:t>
      </w:r>
      <w:bookmarkEnd w:id="5"/>
    </w:p>
    <w:p w14:paraId="588A8501">
      <w:pPr>
        <w:pStyle w:val="4"/>
        <w:snapToGrid/>
        <w:spacing w:before="156" w:beforeLines="50" w:after="156" w:afterLines="50"/>
        <w:contextualSpacing/>
        <w:rPr>
          <w:rFonts w:ascii="Times New Roman" w:eastAsia="黑体"/>
          <w:color w:val="000000"/>
        </w:rPr>
      </w:pPr>
      <w:bookmarkStart w:id="0" w:name="_Toc112756677"/>
      <w:r>
        <w:rPr>
          <w:rFonts w:ascii="Times New Roman"/>
          <w:b w:val="0"/>
          <w:color w:val="000000"/>
        </w:rPr>
        <w:t xml:space="preserve"> </w:t>
      </w:r>
      <w:bookmarkEnd w:id="0"/>
      <w:bookmarkStart w:id="1" w:name="_Toc305941223"/>
      <w:bookmarkStart w:id="2" w:name="_Toc305941518"/>
      <w:bookmarkStart w:id="3" w:name="_Toc17748"/>
      <w:r>
        <w:rPr>
          <w:rFonts w:ascii="Times New Roman" w:eastAsia="黑体"/>
          <w:color w:val="000000"/>
        </w:rPr>
        <w:t>总则</w:t>
      </w:r>
      <w:bookmarkEnd w:id="1"/>
      <w:bookmarkEnd w:id="2"/>
      <w:bookmarkEnd w:id="3"/>
    </w:p>
    <w:p w14:paraId="5B522F9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olor w:val="000000"/>
          <w:sz w:val="21"/>
          <w:szCs w:val="21"/>
        </w:rPr>
      </w:pPr>
      <w:bookmarkStart w:id="4" w:name="_Toc112756678"/>
      <w:r>
        <w:rPr>
          <w:rFonts w:ascii="Times New Roman" w:hAnsi="Times New Roman" w:eastAsia="宋体"/>
          <w:color w:val="000000"/>
          <w:sz w:val="21"/>
          <w:szCs w:val="21"/>
        </w:rPr>
        <w:t>1.1  本</w:t>
      </w:r>
      <w:r>
        <w:rPr>
          <w:rFonts w:hint="eastAsia" w:ascii="Times New Roman" w:hAnsi="Times New Roman" w:eastAsia="宋体"/>
          <w:color w:val="000000"/>
          <w:sz w:val="21"/>
          <w:szCs w:val="21"/>
          <w:lang w:val="en-US" w:eastAsia="zh-CN"/>
        </w:rPr>
        <w:t>技术要求适用于广州供电局的电科院电缆燃烧实验室环境影响评价咨询服务， 它提出了该项目的区域环境质量现状分析、环境保护目标及评价标准、主要环境影响和保护措施分析、环境保护措施监督检查清单总结等</w:t>
      </w:r>
      <w:r>
        <w:rPr>
          <w:rFonts w:ascii="Times New Roman" w:hAnsi="Times New Roman" w:eastAsia="宋体"/>
          <w:color w:val="000000"/>
          <w:sz w:val="21"/>
          <w:szCs w:val="21"/>
        </w:rPr>
        <w:t>方面的技术要求。</w:t>
      </w:r>
    </w:p>
    <w:p w14:paraId="2D113E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olor w:val="000000"/>
          <w:sz w:val="21"/>
          <w:szCs w:val="21"/>
        </w:rPr>
      </w:pPr>
      <w:r>
        <w:rPr>
          <w:rFonts w:ascii="Times New Roman" w:hAnsi="Times New Roman" w:eastAsia="宋体"/>
          <w:color w:val="000000"/>
          <w:sz w:val="21"/>
          <w:szCs w:val="21"/>
        </w:rPr>
        <w:t>1.2  本</w:t>
      </w:r>
      <w:r>
        <w:rPr>
          <w:rFonts w:hint="eastAsia" w:ascii="Times New Roman" w:hAnsi="Times New Roman" w:eastAsia="宋体"/>
          <w:color w:val="000000"/>
          <w:sz w:val="21"/>
          <w:szCs w:val="21"/>
          <w:lang w:val="en-US" w:eastAsia="zh-CN"/>
        </w:rPr>
        <w:t>技术要求</w:t>
      </w:r>
      <w:r>
        <w:rPr>
          <w:rFonts w:ascii="Times New Roman" w:hAnsi="Times New Roman" w:eastAsia="宋体"/>
          <w:color w:val="000000"/>
          <w:sz w:val="21"/>
          <w:szCs w:val="21"/>
        </w:rPr>
        <w:t>提出的是最低限度的技术要求。凡本技术</w:t>
      </w:r>
      <w:r>
        <w:rPr>
          <w:rFonts w:hint="eastAsia" w:ascii="Times New Roman" w:hAnsi="Times New Roman" w:eastAsia="宋体"/>
          <w:color w:val="000000"/>
          <w:sz w:val="21"/>
          <w:szCs w:val="21"/>
          <w:lang w:val="en-US" w:eastAsia="zh-CN"/>
        </w:rPr>
        <w:t>要求</w:t>
      </w:r>
      <w:r>
        <w:rPr>
          <w:rFonts w:ascii="Times New Roman" w:hAnsi="Times New Roman" w:eastAsia="宋体"/>
          <w:color w:val="000000"/>
          <w:sz w:val="21"/>
          <w:szCs w:val="21"/>
        </w:rPr>
        <w:t>中未规定，但在相关的行业标准、国家标准或IEC标准中有规定的规范条文，</w:t>
      </w:r>
      <w:r>
        <w:rPr>
          <w:rFonts w:hint="eastAsia" w:ascii="Times New Roman" w:hAnsi="Times New Roman" w:eastAsia="宋体"/>
          <w:color w:val="000000"/>
          <w:sz w:val="21"/>
          <w:szCs w:val="21"/>
          <w:lang w:val="en-US" w:eastAsia="zh-CN"/>
        </w:rPr>
        <w:t>供应商</w:t>
      </w:r>
      <w:r>
        <w:rPr>
          <w:rFonts w:ascii="Times New Roman" w:hAnsi="Times New Roman" w:eastAsia="宋体"/>
          <w:color w:val="000000"/>
          <w:sz w:val="21"/>
          <w:szCs w:val="21"/>
        </w:rPr>
        <w:t>应按相应标准的条文</w:t>
      </w:r>
      <w:r>
        <w:rPr>
          <w:rFonts w:hint="eastAsia" w:ascii="Times New Roman" w:hAnsi="Times New Roman" w:eastAsia="宋体"/>
          <w:color w:val="000000"/>
          <w:sz w:val="21"/>
          <w:szCs w:val="21"/>
          <w:lang w:val="en-US" w:eastAsia="zh-CN"/>
        </w:rPr>
        <w:t>提供服务</w:t>
      </w:r>
      <w:r>
        <w:rPr>
          <w:rFonts w:ascii="Times New Roman" w:hAnsi="Times New Roman" w:eastAsia="宋体"/>
          <w:color w:val="000000"/>
          <w:sz w:val="21"/>
          <w:szCs w:val="21"/>
        </w:rPr>
        <w:t>。</w:t>
      </w:r>
    </w:p>
    <w:bookmarkEnd w:id="4"/>
    <w:p w14:paraId="6B2B813A">
      <w:pPr>
        <w:pStyle w:val="4"/>
        <w:shd w:val="clear" w:color="auto" w:fill="auto"/>
        <w:snapToGrid/>
        <w:spacing w:before="156" w:beforeLines="50" w:after="156" w:afterLines="50"/>
        <w:contextualSpacing/>
        <w:rPr>
          <w:rFonts w:ascii="Times New Roman" w:eastAsia="黑体"/>
          <w:color w:val="000000"/>
        </w:rPr>
      </w:pPr>
      <w:r>
        <w:rPr>
          <w:rFonts w:hint="eastAsia" w:ascii="Times New Roman" w:eastAsia="黑体"/>
          <w:color w:val="000000"/>
        </w:rPr>
        <w:t>实施要求</w:t>
      </w:r>
    </w:p>
    <w:p w14:paraId="40AD62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heme="minorBidi"/>
          <w:color w:val="000000"/>
          <w:kern w:val="0"/>
          <w:sz w:val="21"/>
          <w:szCs w:val="21"/>
          <w:lang w:val="en-US" w:eastAsia="zh-CN" w:bidi="ar-SA"/>
        </w:rPr>
      </w:pPr>
      <w:r>
        <w:rPr>
          <w:rFonts w:hint="eastAsia" w:ascii="Times New Roman" w:eastAsia="黑体"/>
          <w:color w:val="000000"/>
          <w:lang w:val="en-US" w:eastAsia="zh-CN"/>
        </w:rPr>
        <w:t>2.1</w:t>
      </w:r>
      <w:r>
        <w:rPr>
          <w:rFonts w:hint="eastAsia" w:ascii="Times New Roman" w:hAnsi="Times New Roman" w:eastAsia="宋体" w:cstheme="minorBidi"/>
          <w:color w:val="000000"/>
          <w:kern w:val="0"/>
          <w:sz w:val="21"/>
          <w:szCs w:val="21"/>
          <w:lang w:val="en-US" w:eastAsia="zh-CN" w:bidi="ar-SA"/>
        </w:rPr>
        <w:t>按照《建设项目环境影响评价技术导则总纲》（HJ 2.1-2016）、《</w:t>
      </w:r>
      <w:r>
        <w:rPr>
          <w:rFonts w:ascii="Times New Roman" w:hAnsi="Times New Roman" w:eastAsia="宋体" w:cstheme="minorBidi"/>
          <w:color w:val="000000"/>
          <w:kern w:val="0"/>
          <w:sz w:val="21"/>
          <w:szCs w:val="21"/>
          <w:lang w:val="en-US" w:eastAsia="zh-CN" w:bidi="ar-SA"/>
        </w:rPr>
        <w:t>建设项目环境影响报告书（表）编制监督管理办法》</w:t>
      </w:r>
      <w:r>
        <w:rPr>
          <w:rFonts w:hint="eastAsia" w:ascii="Times New Roman" w:hAnsi="Times New Roman" w:eastAsia="宋体" w:cstheme="minorBidi"/>
          <w:color w:val="000000"/>
          <w:kern w:val="0"/>
          <w:sz w:val="21"/>
          <w:szCs w:val="21"/>
          <w:lang w:val="en-US" w:eastAsia="zh-CN" w:bidi="ar-SA"/>
        </w:rPr>
        <w:t>的要求编制环评报告；</w:t>
      </w:r>
    </w:p>
    <w:p w14:paraId="457B8B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heme="minorBidi"/>
          <w:color w:val="000000"/>
          <w:kern w:val="0"/>
          <w:sz w:val="21"/>
          <w:szCs w:val="21"/>
          <w:lang w:val="en-US" w:eastAsia="zh-CN" w:bidi="ar-SA"/>
        </w:rPr>
      </w:pPr>
      <w:r>
        <w:rPr>
          <w:rFonts w:hint="eastAsia" w:ascii="Times New Roman" w:hAnsi="Times New Roman" w:eastAsia="宋体" w:cstheme="minorBidi"/>
          <w:color w:val="000000"/>
          <w:kern w:val="0"/>
          <w:sz w:val="21"/>
          <w:szCs w:val="21"/>
          <w:lang w:val="en-US" w:eastAsia="zh-CN" w:bidi="ar-SA"/>
        </w:rPr>
        <w:t>2.2《中华人民共和国环境影响评价法》《建设项目环境保护管理条例》等法律法规。通过建设项目基本情况、建设项目工程分析、区域环境质量现状分析、环境保护目标及评价标准、主要环境影响和保护措施分析对项目进行环境评价取得主管部门的批复文件；</w:t>
      </w:r>
    </w:p>
    <w:p w14:paraId="6F8466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heme="minorBidi"/>
          <w:color w:val="000000"/>
          <w:kern w:val="0"/>
          <w:sz w:val="21"/>
          <w:szCs w:val="21"/>
          <w:lang w:val="en-US" w:eastAsia="zh-CN" w:bidi="ar-SA"/>
        </w:rPr>
      </w:pPr>
      <w:r>
        <w:rPr>
          <w:rFonts w:hint="eastAsia" w:ascii="Times New Roman" w:hAnsi="Times New Roman" w:eastAsia="宋体" w:cstheme="minorBidi"/>
          <w:color w:val="000000"/>
          <w:kern w:val="0"/>
          <w:sz w:val="21"/>
          <w:szCs w:val="21"/>
          <w:lang w:val="en-US" w:eastAsia="zh-CN" w:bidi="ar-SA"/>
        </w:rPr>
        <w:t>2.3根据环境影响评价报告及批复文件对建设项目环境保护设施的建设进行现场验收自查，自查工作由派遣的项目负责人到项目现场开展工作；自查发现未落实环境影响评价报告及其审批部门审批决定要求的，应及时向甲方反馈并提出合理可行的整改意见，对整改完成情况进行跟踪确认；</w:t>
      </w:r>
    </w:p>
    <w:p w14:paraId="662A85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Times New Roman" w:eastAsia="宋体" w:cstheme="minorBidi"/>
          <w:color w:val="000000"/>
          <w:kern w:val="0"/>
          <w:sz w:val="21"/>
          <w:szCs w:val="21"/>
          <w:lang w:val="en-US" w:eastAsia="zh-CN" w:bidi="ar-SA"/>
        </w:rPr>
      </w:pPr>
      <w:r>
        <w:rPr>
          <w:rFonts w:hint="eastAsia" w:ascii="Times New Roman" w:hAnsi="Times New Roman" w:eastAsia="宋体" w:cstheme="minorBidi"/>
          <w:color w:val="000000"/>
          <w:kern w:val="0"/>
          <w:sz w:val="21"/>
          <w:szCs w:val="21"/>
          <w:lang w:val="en-US" w:eastAsia="zh-CN" w:bidi="ar-SA"/>
        </w:rPr>
        <w:t>2.4编制验收监测方案，监测点位、监测因子以及监测频次需满足环评及相关法律法规的要求对验收监测结果进行达标性判定，对不能符合标准的应分析原因提出整改建议，对整改完成情况进行跟踪确认；</w:t>
      </w:r>
    </w:p>
    <w:p w14:paraId="3C6EB0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heme="minorBidi"/>
          <w:color w:val="000000"/>
          <w:kern w:val="0"/>
          <w:sz w:val="21"/>
          <w:szCs w:val="21"/>
          <w:lang w:val="en-US" w:eastAsia="zh-CN" w:bidi="ar-SA"/>
        </w:rPr>
      </w:pPr>
      <w:r>
        <w:rPr>
          <w:rFonts w:hint="eastAsia" w:ascii="Times New Roman" w:hAnsi="Times New Roman" w:eastAsia="宋体" w:cstheme="minorBidi"/>
          <w:color w:val="000000"/>
          <w:kern w:val="0"/>
          <w:sz w:val="21"/>
          <w:szCs w:val="21"/>
          <w:lang w:val="en-US" w:eastAsia="zh-CN" w:bidi="ar-SA"/>
        </w:rPr>
        <w:t>2.5按照《建设项目竣工环境保护设施验收技术规范》的要求编制验收报告，组织专家现场核查与验收，针对专家现场核查时提出的问题和建议，提出合理的整改意见及对策，对整改完成情况进行跟踪确认，最终须取得专家出具的验收合格意见完成项目环保验收备案。</w:t>
      </w:r>
    </w:p>
    <w:p w14:paraId="70DACB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heme="minorBidi"/>
          <w:color w:val="000000"/>
          <w:kern w:val="0"/>
          <w:sz w:val="21"/>
          <w:szCs w:val="21"/>
          <w:lang w:val="en-US" w:eastAsia="zh-CN" w:bidi="ar-SA"/>
        </w:rPr>
      </w:pPr>
      <w:r>
        <w:rPr>
          <w:rFonts w:hint="eastAsia" w:ascii="Times New Roman" w:hAnsi="Times New Roman" w:eastAsia="宋体" w:cstheme="minorBidi"/>
          <w:color w:val="000000"/>
          <w:kern w:val="0"/>
          <w:sz w:val="21"/>
          <w:szCs w:val="21"/>
          <w:lang w:val="en-US" w:eastAsia="zh-CN" w:bidi="ar-SA"/>
        </w:rPr>
        <w:t>2.6供应商自合同签订起60日内向当地环保部门提交环境影响评估报告，并获得受理。</w:t>
      </w:r>
    </w:p>
    <w:p w14:paraId="51F3F173">
      <w:pPr>
        <w:jc w:val="center"/>
        <w:rPr>
          <w:rFonts w:hint="eastAsia"/>
          <w:b/>
          <w:bCs/>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multilevel"/>
    <w:tmpl w:val="00000014"/>
    <w:lvl w:ilvl="0" w:tentative="0">
      <w:start w:val="1"/>
      <w:numFmt w:val="decimal"/>
      <w:pStyle w:val="4"/>
      <w:suff w:val="space"/>
      <w:lvlText w:val="%1"/>
      <w:lvlJc w:val="left"/>
      <w:pPr>
        <w:ind w:left="0" w:firstLine="0"/>
      </w:pPr>
      <w:rPr>
        <w:rFonts w:hint="default" w:ascii="Times New Roman" w:hAnsi="Times New Roman" w:eastAsia="宋体"/>
        <w:b/>
        <w:i w:val="0"/>
        <w:color w:val="auto"/>
        <w:sz w:val="21"/>
      </w:rPr>
    </w:lvl>
    <w:lvl w:ilvl="1" w:tentative="0">
      <w:start w:val="2"/>
      <w:numFmt w:val="decimal"/>
      <w:suff w:val="space"/>
      <w:lvlText w:val="%1.%2"/>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284"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A75AF8"/>
    <w:rsid w:val="3D791187"/>
    <w:rsid w:val="406379FC"/>
    <w:rsid w:val="41CF69CA"/>
    <w:rsid w:val="60E43853"/>
    <w:rsid w:val="642D3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numPr>
        <w:ilvl w:val="0"/>
        <w:numId w:val="1"/>
      </w:numPr>
      <w:snapToGrid w:val="0"/>
      <w:spacing w:before="312" w:beforeLines="100" w:line="360" w:lineRule="auto"/>
      <w:outlineLvl w:val="0"/>
    </w:pPr>
    <w:rPr>
      <w:rFonts w:ascii="宋体"/>
      <w:b/>
      <w:bCs/>
      <w:kern w:val="44"/>
      <w:szCs w:val="21"/>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0"/>
      </w:tabs>
      <w:spacing w:line="240" w:lineRule="auto"/>
      <w:ind w:left="420" w:firstLine="420"/>
    </w:pPr>
    <w:rPr>
      <w:rFonts w:ascii="Times New Roman"/>
    </w:rPr>
  </w:style>
  <w:style w:type="paragraph" w:styleId="3">
    <w:name w:val="Body Text Indent"/>
    <w:basedOn w:val="1"/>
    <w:qFormat/>
    <w:uiPriority w:val="0"/>
    <w:pPr>
      <w:adjustRightInd/>
      <w:snapToGrid/>
      <w:spacing w:line="560" w:lineRule="exact"/>
      <w:ind w:firstLine="630" w:firstLineChars="225"/>
    </w:pPr>
    <w:rPr>
      <w:rFonts w:ascii="楷体_GB2312" w:eastAsia="楷体_GB2312"/>
      <w:color w:val="FF0000"/>
      <w:szCs w:val="28"/>
    </w:rPr>
  </w:style>
  <w:style w:type="paragraph" w:styleId="5">
    <w:name w:val="Plain Text"/>
    <w:basedOn w:val="1"/>
    <w:qFormat/>
    <w:uiPriority w:val="0"/>
    <w:rPr>
      <w:rFonts w:ascii="宋体" w:hAnsi="Courier New"/>
      <w:kern w:val="0"/>
      <w:sz w:val="20"/>
    </w:rPr>
  </w:style>
  <w:style w:type="paragraph" w:styleId="6">
    <w:name w:val="footer"/>
    <w:basedOn w:val="1"/>
    <w:qFormat/>
    <w:uiPriority w:val="0"/>
    <w:pPr>
      <w:tabs>
        <w:tab w:val="center" w:pos="4153"/>
        <w:tab w:val="right" w:pos="8306"/>
      </w:tabs>
      <w:snapToGrid w:val="0"/>
      <w:jc w:val="center"/>
    </w:pPr>
    <w:rPr>
      <w:rFonts w:ascii="Times New Roman" w:hAnsi="Times New Roman" w:eastAsia="宋体" w:cs="Times New Roman"/>
      <w:sz w:val="18"/>
      <w:szCs w:val="18"/>
    </w:rPr>
  </w:style>
  <w:style w:type="paragraph" w:customStyle="1" w:styleId="9">
    <w:name w:val="首行缩进"/>
    <w:basedOn w:val="1"/>
    <w:qFormat/>
    <w:uiPriority w:val="0"/>
    <w:pPr>
      <w:spacing w:line="300" w:lineRule="auto"/>
      <w:ind w:firstLine="420" w:firstLineChars="200"/>
    </w:pPr>
    <w:rPr>
      <w:rFonts w:ascii="Calibri" w:hAnsi="Calibri" w:eastAsia="方正书宋简体"/>
      <w:kern w:val="0"/>
      <w:sz w:val="20"/>
      <w:szCs w:val="20"/>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179</Words>
  <Characters>185</Characters>
  <Lines>0</Lines>
  <Paragraphs>0</Paragraphs>
  <TotalTime>15</TotalTime>
  <ScaleCrop>false</ScaleCrop>
  <LinksUpToDate>false</LinksUpToDate>
  <CharactersWithSpaces>191</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2025-09-03T04:53:00Z</dcterms:created>
  <dc:creator>pangbiao.GZPSN</dc:creator>
  <cp:lastModifiedBy>pangbiao</cp:lastModifiedBy>
  <dcterms:modified xsi:type="dcterms:W3CDTF">2025-09-09T01:33:57Z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874C3744B6EC491298FE0FB722A67AB2_13</vt:lpwstr>
  </property>
  <property fmtid="{D5CDD505-2E9C-101B-9397-08002B2CF9AE}" pid="4" name="KSOTemplateDocerSaveRecord">
    <vt:lpwstr>eyJoZGlkIjoiNzExZjViOWU1NTlhZTYyNzc5NDI1ZjJhOGY0OTk1NzIiLCJ1c2VySWQiOiIzNDg2NzMyNTQifQ==</vt:lpwstr>
  </property>
</Properties>
</file>