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jc w:val="center"/>
        <w:rPr>
          <w:rFonts w:ascii="隶书" w:eastAsia="隶书"/>
          <w:sz w:val="56"/>
          <w:szCs w:val="56"/>
        </w:rPr>
      </w:pPr>
      <w:bookmarkStart w:id="0" w:name="_Toc1572"/>
      <w:bookmarkStart w:id="1" w:name="_Toc6059"/>
      <w:r>
        <w:rPr>
          <w:rFonts w:ascii="黑体" w:hAnsi="Times New Roman" w:eastAsia="黑体" w:cs="Times New Roman"/>
          <w:b/>
          <w:kern w:val="0"/>
          <w:sz w:val="32"/>
          <w:szCs w:val="20"/>
        </w:rPr>
        <w:drawing>
          <wp:anchor distT="0" distB="0" distL="114300" distR="114300" simplePos="0" relativeHeight="251659264" behindDoc="1" locked="0" layoutInCell="1" allowOverlap="1">
            <wp:simplePos x="0" y="0"/>
            <wp:positionH relativeFrom="column">
              <wp:posOffset>-1127125</wp:posOffset>
            </wp:positionH>
            <wp:positionV relativeFrom="paragraph">
              <wp:posOffset>-920115</wp:posOffset>
            </wp:positionV>
            <wp:extent cx="7534275" cy="10692765"/>
            <wp:effectExtent l="0" t="0" r="9525" b="13335"/>
            <wp:wrapNone/>
            <wp:docPr id="1" name="图片 1" descr="封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7534275" cy="10692765"/>
                    </a:xfrm>
                    <a:prstGeom prst="rect">
                      <a:avLst/>
                    </a:prstGeom>
                    <a:solidFill>
                      <a:srgbClr val="FFFFFF"/>
                    </a:solidFill>
                    <a:ln>
                      <a:noFill/>
                    </a:ln>
                  </pic:spPr>
                </pic:pic>
              </a:graphicData>
            </a:graphic>
          </wp:anchor>
        </w:drawing>
      </w:r>
    </w:p>
    <w:p>
      <w:pPr>
        <w:pStyle w:val="10"/>
        <w:jc w:val="center"/>
        <w:rPr>
          <w:rFonts w:ascii="隶书" w:eastAsia="隶书"/>
          <w:sz w:val="56"/>
          <w:szCs w:val="56"/>
        </w:rPr>
      </w:pPr>
    </w:p>
    <w:p>
      <w:pPr>
        <w:spacing w:line="360" w:lineRule="auto"/>
        <w:jc w:val="center"/>
        <w:outlineLvl w:val="0"/>
        <w:rPr>
          <w:b/>
          <w:bCs/>
          <w:sz w:val="48"/>
        </w:rPr>
      </w:pPr>
    </w:p>
    <w:p>
      <w:pPr>
        <w:pStyle w:val="10"/>
        <w:jc w:val="center"/>
        <w:rPr>
          <w:rFonts w:hint="eastAsia" w:ascii="楷体_GB2312" w:hAnsi="宋体" w:eastAsia="楷体_GB2312"/>
          <w:sz w:val="32"/>
          <w:szCs w:val="32"/>
        </w:rPr>
      </w:pPr>
    </w:p>
    <w:p>
      <w:pPr>
        <w:spacing w:before="156" w:beforeLines="50"/>
        <w:rPr>
          <w:rFonts w:hint="eastAsia" w:ascii="楷体_GB2312" w:hAnsi="宋体" w:eastAsia="楷体_GB2312"/>
          <w:sz w:val="32"/>
          <w:szCs w:val="32"/>
        </w:rPr>
      </w:pPr>
    </w:p>
    <w:p>
      <w:pPr>
        <w:pStyle w:val="25"/>
        <w:rPr>
          <w:rStyle w:val="27"/>
          <w:rFonts w:hint="eastAsia" w:ascii="黑体" w:hAnsi="黑体" w:eastAsia="黑体" w:cs="黑体"/>
        </w:rPr>
      </w:pPr>
      <w:r>
        <w:rPr>
          <w:rFonts w:ascii="黑体" w:hAnsi="Times New Roman" w:eastAsia="黑体" w:cs="Times New Roman"/>
          <w:b/>
          <w:kern w:val="0"/>
          <w:sz w:val="32"/>
          <w:szCs w:val="20"/>
        </w:rPr>
        <mc:AlternateContent>
          <mc:Choice Requires="wps">
            <w:drawing>
              <wp:anchor distT="0" distB="0" distL="114300" distR="114300" simplePos="0" relativeHeight="251660288" behindDoc="0" locked="0" layoutInCell="1" allowOverlap="1">
                <wp:simplePos x="0" y="0"/>
                <wp:positionH relativeFrom="column">
                  <wp:posOffset>356870</wp:posOffset>
                </wp:positionH>
                <wp:positionV relativeFrom="paragraph">
                  <wp:posOffset>1270</wp:posOffset>
                </wp:positionV>
                <wp:extent cx="4934585" cy="673100"/>
                <wp:effectExtent l="0" t="0" r="0" b="0"/>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4934585" cy="673100"/>
                        </a:xfrm>
                        <a:prstGeom prst="rect">
                          <a:avLst/>
                        </a:prstGeom>
                        <a:noFill/>
                        <a:ln>
                          <a:noFill/>
                        </a:ln>
                      </wps:spPr>
                      <wps:txbx>
                        <w:txbxContent>
                          <w:p>
                            <w:pPr>
                              <w:rPr>
                                <w:rFonts w:ascii="黑体" w:hAnsi="黑体" w:eastAsia="黑体"/>
                                <w:b/>
                                <w:sz w:val="52"/>
                                <w:szCs w:val="52"/>
                              </w:rPr>
                            </w:pPr>
                            <w:r>
                              <w:rPr>
                                <w:rFonts w:hint="eastAsia" w:ascii="黑体" w:hAnsi="黑体" w:eastAsia="黑体"/>
                                <w:b/>
                                <w:sz w:val="52"/>
                                <w:szCs w:val="52"/>
                              </w:rPr>
                              <w:t>南方海上风电联合开发有限公司</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8.1pt;margin-top:0.1pt;height:53pt;width:388.55pt;z-index:251660288;mso-width-relative:page;mso-height-relative:page;" filled="f" stroked="f" coordsize="21600,21600" o:gfxdata="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92J34NQAAAAHAQAADwAAAAAA&#10;AAABACAAAAAiAAAAZHJzL2Rvd25yZXYueG1sUEsBAhQAFAAAAAgAh07iQGKYfBcXAgAAFQQAAA4A&#10;AAAAAAAAAQAgAAAAIwEAAGRycy9lMm9Eb2MueG1sUEsFBgAAAAAGAAYAWQEAAKwFAAAAAA==&#10;">
                <v:fill on="f" focussize="0,0"/>
                <v:stroke on="f"/>
                <v:imagedata o:title=""/>
                <o:lock v:ext="edit" aspectratio="f"/>
                <v:textbox>
                  <w:txbxContent>
                    <w:p>
                      <w:pPr>
                        <w:rPr>
                          <w:rFonts w:ascii="黑体" w:hAnsi="黑体" w:eastAsia="黑体"/>
                          <w:b/>
                          <w:sz w:val="52"/>
                          <w:szCs w:val="52"/>
                        </w:rPr>
                      </w:pPr>
                      <w:r>
                        <w:rPr>
                          <w:rFonts w:hint="eastAsia" w:ascii="黑体" w:hAnsi="黑体" w:eastAsia="黑体"/>
                          <w:b/>
                          <w:sz w:val="52"/>
                          <w:szCs w:val="52"/>
                        </w:rPr>
                        <w:t>南方海上风电联合开发有限公司</w:t>
                      </w:r>
                    </w:p>
                  </w:txbxContent>
                </v:textbox>
              </v:shape>
            </w:pict>
          </mc:Fallback>
        </mc:AlternateContent>
      </w:r>
      <w:r>
        <w:rPr>
          <w:rFonts w:ascii="Times New Roman" w:hAnsi="Times New Roman" w:eastAsia="宋体" w:cs="Times New Roman"/>
          <w:szCs w:val="24"/>
        </w:rPr>
        <mc:AlternateContent>
          <mc:Choice Requires="wps">
            <w:drawing>
              <wp:anchor distT="0" distB="0" distL="114300" distR="114300" simplePos="0" relativeHeight="251662336" behindDoc="0" locked="0" layoutInCell="1" allowOverlap="1">
                <wp:simplePos x="0" y="0"/>
                <wp:positionH relativeFrom="column">
                  <wp:posOffset>1854835</wp:posOffset>
                </wp:positionH>
                <wp:positionV relativeFrom="paragraph">
                  <wp:posOffset>5410835</wp:posOffset>
                </wp:positionV>
                <wp:extent cx="1884680" cy="1036955"/>
                <wp:effectExtent l="0" t="0" r="0" b="0"/>
                <wp:wrapNone/>
                <wp:docPr id="19" name="文本框 19"/>
                <wp:cNvGraphicFramePr/>
                <a:graphic xmlns:a="http://schemas.openxmlformats.org/drawingml/2006/main">
                  <a:graphicData uri="http://schemas.microsoft.com/office/word/2010/wordprocessingShape">
                    <wps:wsp>
                      <wps:cNvSpPr txBox="1">
                        <a:spLocks noChangeArrowheads="1"/>
                      </wps:cNvSpPr>
                      <wps:spPr bwMode="auto">
                        <a:xfrm>
                          <a:off x="0" y="0"/>
                          <a:ext cx="1884680" cy="1036955"/>
                        </a:xfrm>
                        <a:prstGeom prst="rect">
                          <a:avLst/>
                        </a:prstGeom>
                        <a:noFill/>
                        <a:ln>
                          <a:noFill/>
                        </a:ln>
                      </wps:spPr>
                      <wps:txbx>
                        <w:txbxContent>
                          <w:p>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Theme="majorEastAsia" w:hAnsiTheme="majorEastAsia" w:eastAsiaTheme="majorEastAsia"/>
                                <w:b/>
                                <w:spacing w:val="-10"/>
                                <w:sz w:val="36"/>
                                <w:szCs w:val="36"/>
                              </w:rPr>
                            </w:pPr>
                            <w:r>
                              <w:rPr>
                                <w:rFonts w:hint="eastAsia" w:asciiTheme="majorEastAsia" w:hAnsiTheme="majorEastAsia" w:eastAsiaTheme="majorEastAsia"/>
                                <w:b/>
                                <w:spacing w:val="-10"/>
                                <w:sz w:val="36"/>
                                <w:szCs w:val="36"/>
                                <w:lang w:val="en-US" w:eastAsia="zh-CN"/>
                              </w:rPr>
                              <w:t>经营发展</w:t>
                            </w:r>
                            <w:r>
                              <w:rPr>
                                <w:rFonts w:hint="eastAsia" w:asciiTheme="majorEastAsia" w:hAnsiTheme="majorEastAsia" w:eastAsiaTheme="majorEastAsia"/>
                                <w:b/>
                                <w:spacing w:val="-10"/>
                                <w:sz w:val="36"/>
                                <w:szCs w:val="36"/>
                              </w:rPr>
                              <w:t>部</w:t>
                            </w:r>
                          </w:p>
                          <w:p>
                            <w:pPr>
                              <w:pStyle w:val="7"/>
                              <w:keepNext w:val="0"/>
                              <w:keepLines w:val="0"/>
                              <w:pageBreakBefore w:val="0"/>
                              <w:widowControl w:val="0"/>
                              <w:kinsoku/>
                              <w:wordWrap/>
                              <w:overflowPunct/>
                              <w:topLinePunct w:val="0"/>
                              <w:autoSpaceDE/>
                              <w:autoSpaceDN/>
                              <w:bidi w:val="0"/>
                              <w:adjustRightInd/>
                              <w:snapToGrid/>
                              <w:spacing w:before="0" w:after="0"/>
                              <w:ind w:right="0"/>
                              <w:jc w:val="center"/>
                              <w:textAlignment w:val="auto"/>
                              <w:rPr>
                                <w:rFonts w:hint="default" w:asciiTheme="majorEastAsia" w:hAnsiTheme="majorEastAsia" w:eastAsiaTheme="majorEastAsia"/>
                                <w:b/>
                                <w:spacing w:val="-10"/>
                                <w:sz w:val="36"/>
                                <w:szCs w:val="36"/>
                                <w:lang w:val="en-US" w:eastAsia="zh-CN"/>
                              </w:rPr>
                            </w:pPr>
                            <w:r>
                              <w:rPr>
                                <w:rFonts w:hint="eastAsia" w:asciiTheme="majorEastAsia" w:hAnsiTheme="majorEastAsia" w:eastAsiaTheme="majorEastAsia"/>
                                <w:b/>
                                <w:spacing w:val="-10"/>
                                <w:sz w:val="36"/>
                                <w:szCs w:val="36"/>
                                <w:lang w:val="en-US" w:eastAsia="zh-CN"/>
                              </w:rPr>
                              <w:t>2025年8月</w:t>
                            </w:r>
                          </w:p>
                          <w:p>
                            <w:pPr>
                              <w:pStyle w:val="8"/>
                              <w:keepNext w:val="0"/>
                              <w:keepLines w:val="0"/>
                              <w:pageBreakBefore w:val="0"/>
                              <w:widowControl w:val="0"/>
                              <w:kinsoku/>
                              <w:wordWrap/>
                              <w:overflowPunct/>
                              <w:topLinePunct w:val="0"/>
                              <w:autoSpaceDE/>
                              <w:autoSpaceDN/>
                              <w:bidi w:val="0"/>
                              <w:adjustRightInd/>
                              <w:snapToGrid/>
                              <w:jc w:val="center"/>
                              <w:textAlignment w:val="auto"/>
                              <w:rPr>
                                <w:rFonts w:hint="eastAsia"/>
                              </w:rPr>
                            </w:pPr>
                          </w:p>
                          <w:p>
                            <w:pPr>
                              <w:keepNext w:val="0"/>
                              <w:keepLines w:val="0"/>
                              <w:pageBreakBefore w:val="0"/>
                              <w:widowControl w:val="0"/>
                              <w:kinsoku/>
                              <w:wordWrap/>
                              <w:overflowPunct/>
                              <w:topLinePunct w:val="0"/>
                              <w:autoSpaceDE/>
                              <w:autoSpaceDN/>
                              <w:bidi w:val="0"/>
                              <w:adjustRightInd/>
                              <w:snapToGrid/>
                              <w:ind w:right="243"/>
                              <w:jc w:val="center"/>
                              <w:textAlignment w:val="auto"/>
                              <w:rPr>
                                <w:rFonts w:hint="eastAsia" w:asciiTheme="majorEastAsia" w:hAnsiTheme="majorEastAsia" w:eastAsiaTheme="majorEastAsia"/>
                                <w:b/>
                                <w:spacing w:val="-10"/>
                                <w:sz w:val="36"/>
                                <w:szCs w:val="36"/>
                              </w:rPr>
                            </w:pPr>
                          </w:p>
                          <w:p>
                            <w:pPr>
                              <w:keepNext w:val="0"/>
                              <w:keepLines w:val="0"/>
                              <w:pageBreakBefore w:val="0"/>
                              <w:widowControl w:val="0"/>
                              <w:kinsoku/>
                              <w:wordWrap/>
                              <w:overflowPunct/>
                              <w:topLinePunct w:val="0"/>
                              <w:autoSpaceDE/>
                              <w:autoSpaceDN/>
                              <w:bidi w:val="0"/>
                              <w:adjustRightInd/>
                              <w:snapToGrid/>
                              <w:ind w:right="243"/>
                              <w:jc w:val="center"/>
                              <w:textAlignment w:val="auto"/>
                              <w:rPr>
                                <w:rFonts w:hint="eastAsia" w:asciiTheme="majorEastAsia" w:hAnsiTheme="majorEastAsia" w:eastAsiaTheme="majorEastAsia"/>
                                <w:b/>
                                <w:spacing w:val="-10"/>
                                <w:sz w:val="36"/>
                                <w:szCs w:val="36"/>
                              </w:rPr>
                            </w:pPr>
                          </w:p>
                          <w:p>
                            <w:pPr>
                              <w:keepNext w:val="0"/>
                              <w:keepLines w:val="0"/>
                              <w:pageBreakBefore w:val="0"/>
                              <w:widowControl w:val="0"/>
                              <w:kinsoku/>
                              <w:wordWrap/>
                              <w:overflowPunct/>
                              <w:topLinePunct w:val="0"/>
                              <w:autoSpaceDE/>
                              <w:autoSpaceDN/>
                              <w:bidi w:val="0"/>
                              <w:adjustRightInd/>
                              <w:snapToGrid/>
                              <w:ind w:right="243"/>
                              <w:jc w:val="center"/>
                              <w:textAlignment w:val="auto"/>
                              <w:rPr>
                                <w:rFonts w:asciiTheme="majorEastAsia" w:hAnsiTheme="majorEastAsia" w:eastAsiaTheme="majorEastAsia"/>
                                <w:b/>
                                <w:spacing w:val="-10"/>
                                <w:sz w:val="36"/>
                                <w:szCs w:val="36"/>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146.05pt;margin-top:426.05pt;height:81.65pt;width:148.4pt;z-index:251662336;mso-width-relative:page;mso-height-relative:page;" filled="f" stroked="f" coordsize="21600,21600" o:gfxdata="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4bBbI2AAAAAwBAAAP&#10;AAAAAAAAAAEAIAAAACIAAABkcnMvZG93bnJldi54bWxQSwECFAAUAAAACACHTuJAGX6q8RgCAAAY&#10;BAAADgAAAAAAAAABACAAAAAnAQAAZHJzL2Uyb0RvYy54bWxQSwUGAAAAAAYABgBZAQAAsQUAAAAA&#10;">
                <v:fill on="f" focussize="0,0"/>
                <v:stroke on="f"/>
                <v:imagedata o:title=""/>
                <o:lock v:ext="edit" aspectratio="f"/>
                <v:textbox>
                  <w:txbxContent>
                    <w:p>
                      <w:pPr>
                        <w:keepNext w:val="0"/>
                        <w:keepLines w:val="0"/>
                        <w:pageBreakBefore w:val="0"/>
                        <w:widowControl w:val="0"/>
                        <w:kinsoku/>
                        <w:wordWrap/>
                        <w:overflowPunct/>
                        <w:topLinePunct w:val="0"/>
                        <w:autoSpaceDE/>
                        <w:autoSpaceDN/>
                        <w:bidi w:val="0"/>
                        <w:adjustRightInd/>
                        <w:snapToGrid/>
                        <w:ind w:right="0"/>
                        <w:jc w:val="center"/>
                        <w:textAlignment w:val="auto"/>
                        <w:rPr>
                          <w:rFonts w:hint="eastAsia" w:asciiTheme="majorEastAsia" w:hAnsiTheme="majorEastAsia" w:eastAsiaTheme="majorEastAsia"/>
                          <w:b/>
                          <w:spacing w:val="-10"/>
                          <w:sz w:val="36"/>
                          <w:szCs w:val="36"/>
                        </w:rPr>
                      </w:pPr>
                      <w:r>
                        <w:rPr>
                          <w:rFonts w:hint="eastAsia" w:asciiTheme="majorEastAsia" w:hAnsiTheme="majorEastAsia" w:eastAsiaTheme="majorEastAsia"/>
                          <w:b/>
                          <w:spacing w:val="-10"/>
                          <w:sz w:val="36"/>
                          <w:szCs w:val="36"/>
                          <w:lang w:val="en-US" w:eastAsia="zh-CN"/>
                        </w:rPr>
                        <w:t>经营发展</w:t>
                      </w:r>
                      <w:r>
                        <w:rPr>
                          <w:rFonts w:hint="eastAsia" w:asciiTheme="majorEastAsia" w:hAnsiTheme="majorEastAsia" w:eastAsiaTheme="majorEastAsia"/>
                          <w:b/>
                          <w:spacing w:val="-10"/>
                          <w:sz w:val="36"/>
                          <w:szCs w:val="36"/>
                        </w:rPr>
                        <w:t>部</w:t>
                      </w:r>
                    </w:p>
                    <w:p>
                      <w:pPr>
                        <w:pStyle w:val="7"/>
                        <w:keepNext w:val="0"/>
                        <w:keepLines w:val="0"/>
                        <w:pageBreakBefore w:val="0"/>
                        <w:widowControl w:val="0"/>
                        <w:kinsoku/>
                        <w:wordWrap/>
                        <w:overflowPunct/>
                        <w:topLinePunct w:val="0"/>
                        <w:autoSpaceDE/>
                        <w:autoSpaceDN/>
                        <w:bidi w:val="0"/>
                        <w:adjustRightInd/>
                        <w:snapToGrid/>
                        <w:spacing w:before="0" w:after="0"/>
                        <w:ind w:right="0"/>
                        <w:jc w:val="center"/>
                        <w:textAlignment w:val="auto"/>
                        <w:rPr>
                          <w:rFonts w:hint="default" w:asciiTheme="majorEastAsia" w:hAnsiTheme="majorEastAsia" w:eastAsiaTheme="majorEastAsia"/>
                          <w:b/>
                          <w:spacing w:val="-10"/>
                          <w:sz w:val="36"/>
                          <w:szCs w:val="36"/>
                          <w:lang w:val="en-US" w:eastAsia="zh-CN"/>
                        </w:rPr>
                      </w:pPr>
                      <w:r>
                        <w:rPr>
                          <w:rFonts w:hint="eastAsia" w:asciiTheme="majorEastAsia" w:hAnsiTheme="majorEastAsia" w:eastAsiaTheme="majorEastAsia"/>
                          <w:b/>
                          <w:spacing w:val="-10"/>
                          <w:sz w:val="36"/>
                          <w:szCs w:val="36"/>
                          <w:lang w:val="en-US" w:eastAsia="zh-CN"/>
                        </w:rPr>
                        <w:t>2025年8月</w:t>
                      </w:r>
                    </w:p>
                    <w:p>
                      <w:pPr>
                        <w:pStyle w:val="8"/>
                        <w:keepNext w:val="0"/>
                        <w:keepLines w:val="0"/>
                        <w:pageBreakBefore w:val="0"/>
                        <w:widowControl w:val="0"/>
                        <w:kinsoku/>
                        <w:wordWrap/>
                        <w:overflowPunct/>
                        <w:topLinePunct w:val="0"/>
                        <w:autoSpaceDE/>
                        <w:autoSpaceDN/>
                        <w:bidi w:val="0"/>
                        <w:adjustRightInd/>
                        <w:snapToGrid/>
                        <w:jc w:val="center"/>
                        <w:textAlignment w:val="auto"/>
                        <w:rPr>
                          <w:rFonts w:hint="eastAsia"/>
                        </w:rPr>
                      </w:pPr>
                    </w:p>
                    <w:p>
                      <w:pPr>
                        <w:keepNext w:val="0"/>
                        <w:keepLines w:val="0"/>
                        <w:pageBreakBefore w:val="0"/>
                        <w:widowControl w:val="0"/>
                        <w:kinsoku/>
                        <w:wordWrap/>
                        <w:overflowPunct/>
                        <w:topLinePunct w:val="0"/>
                        <w:autoSpaceDE/>
                        <w:autoSpaceDN/>
                        <w:bidi w:val="0"/>
                        <w:adjustRightInd/>
                        <w:snapToGrid/>
                        <w:ind w:right="243"/>
                        <w:jc w:val="center"/>
                        <w:textAlignment w:val="auto"/>
                        <w:rPr>
                          <w:rFonts w:hint="eastAsia" w:asciiTheme="majorEastAsia" w:hAnsiTheme="majorEastAsia" w:eastAsiaTheme="majorEastAsia"/>
                          <w:b/>
                          <w:spacing w:val="-10"/>
                          <w:sz w:val="36"/>
                          <w:szCs w:val="36"/>
                        </w:rPr>
                      </w:pPr>
                    </w:p>
                    <w:p>
                      <w:pPr>
                        <w:keepNext w:val="0"/>
                        <w:keepLines w:val="0"/>
                        <w:pageBreakBefore w:val="0"/>
                        <w:widowControl w:val="0"/>
                        <w:kinsoku/>
                        <w:wordWrap/>
                        <w:overflowPunct/>
                        <w:topLinePunct w:val="0"/>
                        <w:autoSpaceDE/>
                        <w:autoSpaceDN/>
                        <w:bidi w:val="0"/>
                        <w:adjustRightInd/>
                        <w:snapToGrid/>
                        <w:ind w:right="243"/>
                        <w:jc w:val="center"/>
                        <w:textAlignment w:val="auto"/>
                        <w:rPr>
                          <w:rFonts w:hint="eastAsia" w:asciiTheme="majorEastAsia" w:hAnsiTheme="majorEastAsia" w:eastAsiaTheme="majorEastAsia"/>
                          <w:b/>
                          <w:spacing w:val="-10"/>
                          <w:sz w:val="36"/>
                          <w:szCs w:val="36"/>
                        </w:rPr>
                      </w:pPr>
                    </w:p>
                    <w:p>
                      <w:pPr>
                        <w:keepNext w:val="0"/>
                        <w:keepLines w:val="0"/>
                        <w:pageBreakBefore w:val="0"/>
                        <w:widowControl w:val="0"/>
                        <w:kinsoku/>
                        <w:wordWrap/>
                        <w:overflowPunct/>
                        <w:topLinePunct w:val="0"/>
                        <w:autoSpaceDE/>
                        <w:autoSpaceDN/>
                        <w:bidi w:val="0"/>
                        <w:adjustRightInd/>
                        <w:snapToGrid/>
                        <w:ind w:right="243"/>
                        <w:jc w:val="center"/>
                        <w:textAlignment w:val="auto"/>
                        <w:rPr>
                          <w:rFonts w:asciiTheme="majorEastAsia" w:hAnsiTheme="majorEastAsia" w:eastAsiaTheme="majorEastAsia"/>
                          <w:b/>
                          <w:spacing w:val="-10"/>
                          <w:sz w:val="36"/>
                          <w:szCs w:val="36"/>
                        </w:rPr>
                      </w:pPr>
                    </w:p>
                  </w:txbxContent>
                </v:textbox>
              </v:shape>
            </w:pict>
          </mc:Fallback>
        </mc:AlternateContent>
      </w:r>
    </w:p>
    <w:p>
      <w:pPr>
        <w:pStyle w:val="25"/>
        <w:rPr>
          <w:rStyle w:val="27"/>
          <w:rFonts w:hint="eastAsia" w:ascii="黑体" w:hAnsi="黑体" w:eastAsia="黑体" w:cs="黑体"/>
        </w:rPr>
      </w:pPr>
      <w:r>
        <w:rPr>
          <w:rFonts w:ascii="黑体" w:hAnsi="Times New Roman" w:eastAsia="黑体" w:cs="Times New Roman"/>
          <w:b/>
          <w:kern w:val="0"/>
          <w:sz w:val="32"/>
          <w:szCs w:val="20"/>
        </w:rPr>
        <mc:AlternateContent>
          <mc:Choice Requires="wps">
            <w:drawing>
              <wp:anchor distT="0" distB="0" distL="114300" distR="114300" simplePos="0" relativeHeight="251661312" behindDoc="0" locked="0" layoutInCell="1" allowOverlap="1">
                <wp:simplePos x="0" y="0"/>
                <wp:positionH relativeFrom="column">
                  <wp:posOffset>-958850</wp:posOffset>
                </wp:positionH>
                <wp:positionV relativeFrom="paragraph">
                  <wp:posOffset>241935</wp:posOffset>
                </wp:positionV>
                <wp:extent cx="6240780" cy="1063625"/>
                <wp:effectExtent l="0" t="0" r="0" b="0"/>
                <wp:wrapNone/>
                <wp:docPr id="8" name="文本框 8"/>
                <wp:cNvGraphicFramePr/>
                <a:graphic xmlns:a="http://schemas.openxmlformats.org/drawingml/2006/main">
                  <a:graphicData uri="http://schemas.microsoft.com/office/word/2010/wordprocessingShape">
                    <wps:wsp>
                      <wps:cNvSpPr txBox="1">
                        <a:spLocks noChangeArrowheads="1"/>
                      </wps:cNvSpPr>
                      <wps:spPr bwMode="auto">
                        <a:xfrm>
                          <a:off x="0" y="0"/>
                          <a:ext cx="6240780" cy="1063625"/>
                        </a:xfrm>
                        <a:prstGeom prst="rect">
                          <a:avLst/>
                        </a:prstGeom>
                        <a:noFill/>
                        <a:ln>
                          <a:noFill/>
                        </a:ln>
                      </wps:spPr>
                      <wps:txbx>
                        <w:txbxContent>
                          <w:p>
                            <w:pPr>
                              <w:pStyle w:val="8"/>
                              <w:keepNext w:val="0"/>
                              <w:keepLines w:val="0"/>
                              <w:pageBreakBefore w:val="0"/>
                              <w:widowControl w:val="0"/>
                              <w:kinsoku/>
                              <w:wordWrap/>
                              <w:overflowPunct/>
                              <w:topLinePunct w:val="0"/>
                              <w:autoSpaceDE/>
                              <w:autoSpaceDN/>
                              <w:bidi w:val="0"/>
                              <w:adjustRightInd/>
                              <w:snapToGrid/>
                              <w:spacing w:before="0" w:after="0"/>
                              <w:jc w:val="center"/>
                              <w:textAlignment w:val="auto"/>
                              <w:rPr>
                                <w:rFonts w:hint="eastAsia" w:ascii="黑体" w:hAnsi="黑体" w:eastAsia="黑体"/>
                                <w:b/>
                                <w:sz w:val="40"/>
                                <w:szCs w:val="40"/>
                                <w:lang w:val="en-US" w:eastAsia="zh-CN"/>
                              </w:rPr>
                            </w:pPr>
                            <w:bookmarkStart w:id="32" w:name="OLE_LINK2"/>
                            <w:r>
                              <w:rPr>
                                <w:rFonts w:hint="eastAsia" w:ascii="黑体" w:hAnsi="黑体" w:eastAsia="黑体" w:cs="黑体"/>
                                <w:b/>
                                <w:sz w:val="40"/>
                                <w:szCs w:val="40"/>
                              </w:rPr>
                              <w:t>配网直流电源装置研制</w:t>
                            </w:r>
                            <w:r>
                              <w:rPr>
                                <w:rFonts w:hint="eastAsia" w:ascii="黑体" w:hAnsi="黑体" w:eastAsia="黑体" w:cs="黑体"/>
                                <w:b/>
                                <w:sz w:val="40"/>
                                <w:szCs w:val="40"/>
                                <w:lang w:val="en-US" w:eastAsia="zh-CN"/>
                              </w:rPr>
                              <w:t>项目材料采购</w:t>
                            </w:r>
                            <w:bookmarkEnd w:id="32"/>
                            <w:r>
                              <w:rPr>
                                <w:rFonts w:hint="eastAsia" w:ascii="黑体" w:hAnsi="黑体" w:eastAsia="黑体" w:cs="黑体"/>
                                <w:b/>
                                <w:sz w:val="40"/>
                                <w:szCs w:val="40"/>
                              </w:rPr>
                              <w:t>技术</w:t>
                            </w:r>
                            <w:r>
                              <w:rPr>
                                <w:rFonts w:hint="eastAsia" w:ascii="黑体" w:hAnsi="黑体" w:eastAsia="黑体" w:cs="黑体"/>
                                <w:b/>
                                <w:sz w:val="40"/>
                                <w:szCs w:val="40"/>
                                <w:lang w:val="en-US" w:eastAsia="zh-CN"/>
                              </w:rPr>
                              <w:t>规范书</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75.5pt;margin-top:19.05pt;height:83.75pt;width:491.4pt;z-index:251661312;mso-width-relative:page;mso-height-relative:page;" filled="f" stroked="f" coordsize="21600,21600" o:gfxdata="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nu/Lr2AAAAAsBAAAP&#10;AAAAAAAAAAEAIAAAACIAAABkcnMvZG93bnJldi54bWxQSwECFAAUAAAACACHTuJAeKzS5RgCAAAW&#10;BAAADgAAAAAAAAABACAAAAAnAQAAZHJzL2Uyb0RvYy54bWxQSwUGAAAAAAYABgBZAQAAsQUAAAAA&#10;">
                <v:fill on="f" focussize="0,0"/>
                <v:stroke on="f"/>
                <v:imagedata o:title=""/>
                <o:lock v:ext="edit" aspectratio="f"/>
                <v:textbox>
                  <w:txbxContent>
                    <w:p>
                      <w:pPr>
                        <w:pStyle w:val="8"/>
                        <w:keepNext w:val="0"/>
                        <w:keepLines w:val="0"/>
                        <w:pageBreakBefore w:val="0"/>
                        <w:widowControl w:val="0"/>
                        <w:kinsoku/>
                        <w:wordWrap/>
                        <w:overflowPunct/>
                        <w:topLinePunct w:val="0"/>
                        <w:autoSpaceDE/>
                        <w:autoSpaceDN/>
                        <w:bidi w:val="0"/>
                        <w:adjustRightInd/>
                        <w:snapToGrid/>
                        <w:spacing w:before="0" w:after="0"/>
                        <w:jc w:val="center"/>
                        <w:textAlignment w:val="auto"/>
                        <w:rPr>
                          <w:rFonts w:hint="eastAsia" w:ascii="黑体" w:hAnsi="黑体" w:eastAsia="黑体"/>
                          <w:b/>
                          <w:sz w:val="40"/>
                          <w:szCs w:val="40"/>
                          <w:lang w:val="en-US" w:eastAsia="zh-CN"/>
                        </w:rPr>
                      </w:pPr>
                      <w:bookmarkStart w:id="32" w:name="OLE_LINK2"/>
                      <w:r>
                        <w:rPr>
                          <w:rFonts w:hint="eastAsia" w:ascii="黑体" w:hAnsi="黑体" w:eastAsia="黑体" w:cs="黑体"/>
                          <w:b/>
                          <w:sz w:val="40"/>
                          <w:szCs w:val="40"/>
                        </w:rPr>
                        <w:t>配网直流电源装置研制</w:t>
                      </w:r>
                      <w:r>
                        <w:rPr>
                          <w:rFonts w:hint="eastAsia" w:ascii="黑体" w:hAnsi="黑体" w:eastAsia="黑体" w:cs="黑体"/>
                          <w:b/>
                          <w:sz w:val="40"/>
                          <w:szCs w:val="40"/>
                          <w:lang w:val="en-US" w:eastAsia="zh-CN"/>
                        </w:rPr>
                        <w:t>项目材料采购</w:t>
                      </w:r>
                      <w:bookmarkEnd w:id="32"/>
                      <w:r>
                        <w:rPr>
                          <w:rFonts w:hint="eastAsia" w:ascii="黑体" w:hAnsi="黑体" w:eastAsia="黑体" w:cs="黑体"/>
                          <w:b/>
                          <w:sz w:val="40"/>
                          <w:szCs w:val="40"/>
                        </w:rPr>
                        <w:t>技术</w:t>
                      </w:r>
                      <w:r>
                        <w:rPr>
                          <w:rFonts w:hint="eastAsia" w:ascii="黑体" w:hAnsi="黑体" w:eastAsia="黑体" w:cs="黑体"/>
                          <w:b/>
                          <w:sz w:val="40"/>
                          <w:szCs w:val="40"/>
                          <w:lang w:val="en-US" w:eastAsia="zh-CN"/>
                        </w:rPr>
                        <w:t>规范书</w:t>
                      </w:r>
                    </w:p>
                  </w:txbxContent>
                </v:textbox>
              </v:shape>
            </w:pict>
          </mc:Fallback>
        </mc:AlternateContent>
      </w:r>
    </w:p>
    <w:p>
      <w:pPr>
        <w:spacing w:line="240" w:lineRule="auto"/>
        <w:jc w:val="left"/>
        <w:outlineLvl w:val="9"/>
        <w:rPr>
          <w:rFonts w:hint="eastAsia"/>
        </w:rPr>
      </w:pPr>
      <w:bookmarkStart w:id="2" w:name="_Toc16229"/>
      <w:bookmarkStart w:id="3" w:name="_Toc30850"/>
    </w:p>
    <w:p>
      <w:pPr>
        <w:spacing w:line="480" w:lineRule="auto"/>
        <w:jc w:val="center"/>
        <w:outlineLvl w:val="0"/>
        <w:rPr>
          <w:rFonts w:hint="eastAsia" w:ascii="黑体" w:hAnsi="黑体" w:eastAsia="黑体" w:cs="黑体"/>
          <w:bCs/>
          <w:sz w:val="44"/>
          <w:szCs w:val="36"/>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bookmarkStart w:id="33" w:name="_GoBack"/>
      <w:bookmarkEnd w:id="33"/>
    </w:p>
    <w:p>
      <w:pPr>
        <w:keepNext w:val="0"/>
        <w:keepLines w:val="0"/>
        <w:pageBreakBefore w:val="0"/>
        <w:widowControl w:val="0"/>
        <w:kinsoku/>
        <w:wordWrap/>
        <w:overflowPunct/>
        <w:topLinePunct w:val="0"/>
        <w:autoSpaceDE/>
        <w:autoSpaceDN/>
        <w:bidi w:val="0"/>
        <w:adjustRightInd/>
        <w:snapToGrid/>
        <w:spacing w:before="157" w:beforeLines="50" w:after="157" w:afterLines="50" w:line="480" w:lineRule="auto"/>
        <w:jc w:val="center"/>
        <w:textAlignment w:val="auto"/>
        <w:outlineLvl w:val="0"/>
        <w:rPr>
          <w:rFonts w:hint="eastAsia" w:ascii="黑体" w:hAnsi="黑体" w:eastAsia="黑体" w:cs="黑体"/>
          <w:b/>
          <w:bCs w:val="0"/>
          <w:sz w:val="44"/>
          <w:szCs w:val="36"/>
        </w:rPr>
      </w:pPr>
      <w:bookmarkStart w:id="4" w:name="_Toc6322"/>
      <w:bookmarkStart w:id="5" w:name="_Toc12015"/>
      <w:bookmarkStart w:id="6" w:name="_Toc6362"/>
      <w:bookmarkStart w:id="7" w:name="_Toc7196"/>
      <w:bookmarkStart w:id="8" w:name="_Toc4457"/>
      <w:bookmarkStart w:id="9" w:name="_Toc26285"/>
      <w:bookmarkStart w:id="10" w:name="_Toc19644"/>
      <w:r>
        <w:rPr>
          <w:rFonts w:hint="eastAsia" w:ascii="黑体" w:hAnsi="黑体" w:eastAsia="黑体" w:cs="黑体"/>
          <w:b/>
          <w:bCs w:val="0"/>
          <w:sz w:val="44"/>
          <w:szCs w:val="36"/>
        </w:rPr>
        <w:t>目录</w:t>
      </w:r>
      <w:bookmarkEnd w:id="0"/>
      <w:bookmarkEnd w:id="1"/>
      <w:bookmarkEnd w:id="2"/>
      <w:bookmarkEnd w:id="3"/>
      <w:bookmarkEnd w:id="4"/>
      <w:bookmarkEnd w:id="5"/>
      <w:bookmarkEnd w:id="6"/>
      <w:bookmarkEnd w:id="7"/>
      <w:bookmarkEnd w:id="8"/>
      <w:bookmarkEnd w:id="9"/>
      <w:bookmarkEnd w:id="10"/>
    </w:p>
    <w:p>
      <w:pPr>
        <w:pStyle w:val="14"/>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TOC \o "1-2" \h \u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_Toc25261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lang w:val="en-US" w:eastAsia="zh-CN"/>
        </w:rPr>
        <w:t>一、</w:t>
      </w:r>
      <w:r>
        <w:rPr>
          <w:rFonts w:hint="eastAsia" w:ascii="仿宋_GB2312" w:hAnsi="仿宋_GB2312" w:eastAsia="仿宋_GB2312" w:cs="仿宋_GB2312"/>
          <w:bCs w:val="0"/>
          <w:sz w:val="32"/>
          <w:szCs w:val="32"/>
        </w:rPr>
        <w:t>总则</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_Toc25261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_Toc30973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lang w:val="en-US" w:eastAsia="zh-CN"/>
        </w:rPr>
        <w:t>二、技术标准与规范</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_Toc30973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_Toc10021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lang w:val="en-US" w:eastAsia="zh-CN"/>
        </w:rPr>
        <w:t>三、采购材料明细及技术要求</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_Toc10021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2</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_Toc23315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lang w:val="en-US" w:eastAsia="zh-CN"/>
        </w:rPr>
        <w:t>四、供货要求</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_Toc23315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3</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_Toc3847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lang w:val="en-US" w:eastAsia="zh-CN"/>
        </w:rPr>
        <w:t>五、验收规范​</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_Toc3847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5</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_Toc8992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lang w:val="en-US" w:eastAsia="zh-CN"/>
        </w:rPr>
        <w:t>六、售后服务​</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_Toc8992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6</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tabs>
          <w:tab w:val="right" w:leader="dot" w:pos="8306"/>
        </w:tabs>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HYPERLINK \l _Toc14693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bCs w:val="0"/>
          <w:sz w:val="32"/>
          <w:szCs w:val="32"/>
          <w:lang w:val="en-US" w:eastAsia="zh-CN"/>
        </w:rPr>
        <w:t>六、其他​</w:t>
      </w:r>
      <w:r>
        <w:rPr>
          <w:rFonts w:hint="eastAsia" w:ascii="仿宋_GB2312" w:hAnsi="仿宋_GB2312" w:eastAsia="仿宋_GB2312" w:cs="仿宋_GB2312"/>
          <w:sz w:val="32"/>
          <w:szCs w:val="32"/>
        </w:rPr>
        <w:tab/>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PAGEREF _Toc14693 \h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7</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fldChar w:fldCharType="end"/>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520" w:lineRule="exact"/>
        <w:ind w:firstLine="0"/>
        <w:textAlignment w:val="auto"/>
        <w:rPr>
          <w:rFonts w:hint="eastAsia" w:ascii="宋体" w:hAnsi="宋体" w:eastAsia="宋体" w:cs="宋体"/>
          <w:b/>
          <w:sz w:val="28"/>
          <w:szCs w:val="28"/>
        </w:rPr>
      </w:pPr>
      <w:r>
        <w:rPr>
          <w:rFonts w:hint="eastAsia" w:ascii="仿宋_GB2312" w:hAnsi="仿宋_GB2312" w:eastAsia="仿宋_GB2312" w:cs="仿宋_GB2312"/>
          <w:sz w:val="32"/>
          <w:szCs w:val="32"/>
        </w:rPr>
        <w:fldChar w:fldCharType="end"/>
      </w:r>
    </w:p>
    <w:p>
      <w:pPr>
        <w:rPr>
          <w:rFonts w:hint="eastAsia" w:ascii="宋体" w:hAnsi="宋体"/>
          <w:b/>
          <w:sz w:val="30"/>
        </w:rPr>
      </w:pPr>
      <w:r>
        <w:rPr>
          <w:rFonts w:ascii="宋体" w:hAnsi="宋体"/>
          <w:b/>
          <w:sz w:val="30"/>
        </w:rPr>
        <w:br w:type="page"/>
      </w:r>
    </w:p>
    <w:p>
      <w:pPr>
        <w:spacing w:line="480" w:lineRule="auto"/>
        <w:jc w:val="center"/>
        <w:outlineLvl w:val="0"/>
        <w:rPr>
          <w:rFonts w:hint="eastAsia" w:ascii="黑体" w:hAnsi="黑体" w:eastAsia="黑体" w:cs="黑体"/>
          <w:b/>
          <w:sz w:val="32"/>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bookmarkStart w:id="11" w:name="_Toc32374"/>
      <w:bookmarkStart w:id="12" w:name="_Toc266713645"/>
      <w:bookmarkStart w:id="13" w:name="_Toc19589"/>
      <w:bookmarkStart w:id="14" w:name="_Toc17586"/>
    </w:p>
    <w:p>
      <w:pPr>
        <w:keepNext w:val="0"/>
        <w:keepLines w:val="0"/>
        <w:pageBreakBefore w:val="0"/>
        <w:widowControl w:val="0"/>
        <w:kinsoku/>
        <w:wordWrap/>
        <w:overflowPunct/>
        <w:topLinePunct w:val="0"/>
        <w:autoSpaceDE/>
        <w:autoSpaceDN/>
        <w:bidi w:val="0"/>
        <w:adjustRightInd/>
        <w:snapToGrid/>
        <w:spacing w:before="157" w:beforeLines="50"/>
        <w:jc w:val="center"/>
        <w:textAlignment w:val="auto"/>
        <w:rPr>
          <w:rFonts w:hint="eastAsia" w:ascii="黑体" w:hAnsi="黑体" w:eastAsia="黑体" w:cs="黑体"/>
          <w:b w:val="0"/>
          <w:bCs w:val="0"/>
          <w:sz w:val="36"/>
          <w:szCs w:val="36"/>
        </w:rPr>
      </w:pPr>
      <w:r>
        <w:rPr>
          <w:rFonts w:hint="eastAsia" w:ascii="黑体" w:hAnsi="黑体" w:eastAsia="黑体" w:cs="黑体"/>
          <w:sz w:val="36"/>
          <w:szCs w:val="36"/>
        </w:rPr>
        <w:t>配网直流电源装置的研制项目材料采购技术规范书</w:t>
      </w:r>
    </w:p>
    <w:p>
      <w:pPr>
        <w:pStyle w:val="3"/>
        <w:keepNext/>
        <w:keepLines/>
        <w:pageBreakBefore w:val="0"/>
        <w:widowControl w:val="0"/>
        <w:numPr>
          <w:ilvl w:val="0"/>
          <w:numId w:val="0"/>
        </w:numPr>
        <w:tabs>
          <w:tab w:val="left" w:pos="0"/>
        </w:tabs>
        <w:kinsoku/>
        <w:wordWrap/>
        <w:overflowPunct/>
        <w:topLinePunct w:val="0"/>
        <w:autoSpaceDE/>
        <w:autoSpaceDN/>
        <w:bidi w:val="0"/>
        <w:adjustRightInd/>
        <w:snapToGrid/>
        <w:spacing w:line="520" w:lineRule="exact"/>
        <w:ind w:leftChars="0" w:firstLine="643" w:firstLineChars="200"/>
        <w:jc w:val="left"/>
        <w:textAlignment w:val="auto"/>
        <w:rPr>
          <w:rFonts w:hint="eastAsia" w:ascii="楷体" w:hAnsi="楷体" w:eastAsia="楷体" w:cs="楷体"/>
          <w:b/>
          <w:bCs w:val="0"/>
          <w:sz w:val="32"/>
          <w:szCs w:val="32"/>
        </w:rPr>
      </w:pPr>
      <w:bookmarkStart w:id="15" w:name="_Toc27152"/>
      <w:bookmarkStart w:id="16" w:name="_Toc25261"/>
      <w:bookmarkStart w:id="17" w:name="_Toc13956"/>
      <w:r>
        <w:rPr>
          <w:rFonts w:hint="eastAsia" w:ascii="楷体" w:hAnsi="楷体" w:eastAsia="楷体" w:cs="楷体"/>
          <w:b/>
          <w:bCs w:val="0"/>
          <w:sz w:val="32"/>
          <w:szCs w:val="32"/>
          <w:lang w:val="en-US" w:eastAsia="zh-CN"/>
        </w:rPr>
        <w:t>一、</w:t>
      </w:r>
      <w:r>
        <w:rPr>
          <w:rFonts w:hint="eastAsia" w:ascii="楷体" w:hAnsi="楷体" w:eastAsia="楷体" w:cs="楷体"/>
          <w:b/>
          <w:bCs w:val="0"/>
          <w:sz w:val="32"/>
          <w:szCs w:val="32"/>
        </w:rPr>
        <w:t>总则</w:t>
      </w:r>
      <w:bookmarkEnd w:id="11"/>
      <w:bookmarkEnd w:id="12"/>
      <w:bookmarkEnd w:id="13"/>
      <w:bookmarkEnd w:id="14"/>
      <w:bookmarkEnd w:id="15"/>
      <w:bookmarkEnd w:id="16"/>
      <w:bookmarkEnd w:id="17"/>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本技术规范书适用于南方海上风电联合开发有限公司（以下简称“招标方”）</w:t>
      </w:r>
      <w:bookmarkStart w:id="18" w:name="OLE_LINK1"/>
      <w:r>
        <w:rPr>
          <w:rFonts w:hint="eastAsia" w:ascii="仿宋_GB2312" w:hAnsi="仿宋_GB2312" w:eastAsia="仿宋_GB2312" w:cs="仿宋_GB2312"/>
          <w:bCs/>
          <w:sz w:val="32"/>
          <w:szCs w:val="32"/>
          <w:highlight w:val="none"/>
        </w:rPr>
        <w:t>“配网直流电源装置的研制项目”（以下简称“本项目”）的材料采购工作，明确了采购材料的技术要求、供货标准、验收规范等内容，是供需双方开展采购业务的重要依据</w:t>
      </w:r>
      <w:r>
        <w:rPr>
          <w:rFonts w:hint="eastAsia" w:ascii="仿宋_GB2312" w:hAnsi="仿宋_GB2312" w:eastAsia="仿宋_GB2312" w:cs="仿宋_GB2312"/>
          <w:bCs/>
          <w:sz w:val="32"/>
          <w:szCs w:val="32"/>
          <w:highlight w:val="none"/>
          <w:lang w:val="en-US" w:eastAsia="zh-CN"/>
        </w:rPr>
        <w:t>。</w:t>
      </w:r>
    </w:p>
    <w:bookmarkEnd w:id="18"/>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供应商须为中华人民共和国境内注册的独立法人单位，具备独立承担民事责任的能力和独立订立合同的权利。</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供应商须持有有效的营业执照（三证合一），或有效的营业执照、税务登记证、组织机构代码证。</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供应商近3年需具有至少1项与本项目类似材料的供应业绩，并能提供合同复印件（需加盖公章），复印件应包含合同买卖双方盖章页、合同签订时间及关键信息页，信息不全视为无效业绩。</w:t>
      </w:r>
    </w:p>
    <w:p>
      <w:pPr>
        <w:keepNext w:val="0"/>
        <w:keepLines w:val="0"/>
        <w:pageBreakBefore w:val="0"/>
        <w:widowControl w:val="0"/>
        <w:numPr>
          <w:ilvl w:val="0"/>
          <w:numId w:val="2"/>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highlight w:val="none"/>
        </w:rPr>
        <w:t>本规范书经供需双方确认后，作为采购合同的附件，与合同正文具有同等法律效力。若本规范书中的商务内容与商务招标文件存在冲突，以商务招标文件为准。本规范书未尽事宜，由双方在合同谈判过程中协商确定，最终解释权归招标方所有。</w:t>
      </w:r>
    </w:p>
    <w:p>
      <w:pPr>
        <w:pStyle w:val="3"/>
        <w:keepNext/>
        <w:keepLines/>
        <w:pageBreakBefore w:val="0"/>
        <w:widowControl w:val="0"/>
        <w:numPr>
          <w:ilvl w:val="0"/>
          <w:numId w:val="0"/>
        </w:numPr>
        <w:tabs>
          <w:tab w:val="left" w:pos="0"/>
        </w:tabs>
        <w:kinsoku/>
        <w:wordWrap/>
        <w:overflowPunct/>
        <w:topLinePunct w:val="0"/>
        <w:autoSpaceDE/>
        <w:autoSpaceDN/>
        <w:bidi w:val="0"/>
        <w:adjustRightInd/>
        <w:snapToGrid/>
        <w:spacing w:line="520" w:lineRule="exact"/>
        <w:ind w:leftChars="0" w:firstLine="643" w:firstLineChars="200"/>
        <w:jc w:val="left"/>
        <w:textAlignment w:val="auto"/>
        <w:rPr>
          <w:rFonts w:hint="eastAsia" w:ascii="楷体" w:hAnsi="楷体" w:eastAsia="楷体" w:cs="楷体"/>
          <w:b/>
          <w:bCs w:val="0"/>
          <w:sz w:val="32"/>
          <w:szCs w:val="32"/>
          <w:lang w:val="en-US" w:eastAsia="zh-CN"/>
        </w:rPr>
      </w:pPr>
      <w:bookmarkStart w:id="19" w:name="_Toc30973"/>
      <w:bookmarkStart w:id="20" w:name="_Toc16809"/>
      <w:bookmarkStart w:id="21" w:name="_Toc30262"/>
      <w:bookmarkStart w:id="22" w:name="_Toc14881"/>
      <w:r>
        <w:rPr>
          <w:rFonts w:hint="eastAsia" w:ascii="楷体" w:hAnsi="楷体" w:eastAsia="楷体" w:cs="楷体"/>
          <w:b/>
          <w:bCs w:val="0"/>
          <w:sz w:val="32"/>
          <w:szCs w:val="32"/>
          <w:lang w:val="en-US" w:eastAsia="zh-CN"/>
        </w:rPr>
        <w:t>二、技术标准与规范</w:t>
      </w:r>
      <w:bookmarkEnd w:id="19"/>
    </w:p>
    <w:p>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本规范书规定了采购材料的最低技术要求，供应商提供的材料应符合中国国家标准（GB）、电力行业标准（DL）以及南方电网最新版本的标准和规范。</w:t>
      </w:r>
    </w:p>
    <w:p>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sz w:val="32"/>
          <w:szCs w:val="32"/>
          <w:highlight w:val="none"/>
        </w:rPr>
        <w:t>若供应商所执行的标准与本规范书涉及的标准不一致，应遵循较高标准执行；若存在争议，由供需双方协商确定。</w:t>
      </w:r>
    </w:p>
    <w:p>
      <w:pPr>
        <w:keepNext w:val="0"/>
        <w:keepLines w:val="0"/>
        <w:pageBreakBefore w:val="0"/>
        <w:widowControl w:val="0"/>
        <w:numPr>
          <w:ilvl w:val="0"/>
          <w:numId w:val="3"/>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rPr>
        <w:t>供应商如对本规范书的条款有异议，须在投标文件中以“对规范书的意见和差异”为标题的专门章节详细说明；未提出书面异议的，视为其提供的材料完全符合本规范书要求。</w:t>
      </w:r>
    </w:p>
    <w:bookmarkEnd w:id="20"/>
    <w:bookmarkEnd w:id="21"/>
    <w:bookmarkEnd w:id="22"/>
    <w:p>
      <w:pPr>
        <w:pStyle w:val="3"/>
        <w:keepNext/>
        <w:keepLines/>
        <w:pageBreakBefore w:val="0"/>
        <w:widowControl w:val="0"/>
        <w:numPr>
          <w:ilvl w:val="0"/>
          <w:numId w:val="0"/>
        </w:numPr>
        <w:tabs>
          <w:tab w:val="left" w:pos="0"/>
        </w:tabs>
        <w:kinsoku/>
        <w:wordWrap/>
        <w:overflowPunct/>
        <w:topLinePunct w:val="0"/>
        <w:autoSpaceDE/>
        <w:autoSpaceDN/>
        <w:bidi w:val="0"/>
        <w:adjustRightInd/>
        <w:snapToGrid/>
        <w:spacing w:line="520" w:lineRule="exact"/>
        <w:ind w:leftChars="0" w:firstLine="643" w:firstLineChars="200"/>
        <w:jc w:val="left"/>
        <w:textAlignment w:val="auto"/>
        <w:rPr>
          <w:rFonts w:hint="eastAsia" w:ascii="楷体" w:hAnsi="楷体" w:eastAsia="楷体" w:cs="楷体"/>
          <w:b/>
          <w:bCs w:val="0"/>
          <w:sz w:val="32"/>
          <w:szCs w:val="32"/>
          <w:lang w:val="en-US" w:eastAsia="zh-CN"/>
        </w:rPr>
      </w:pPr>
      <w:bookmarkStart w:id="23" w:name="_Toc10021"/>
      <w:bookmarkStart w:id="24" w:name="_Toc6202"/>
      <w:r>
        <w:rPr>
          <w:rFonts w:hint="eastAsia" w:ascii="楷体" w:hAnsi="楷体" w:eastAsia="楷体" w:cs="楷体"/>
          <w:b/>
          <w:bCs w:val="0"/>
          <w:sz w:val="32"/>
          <w:szCs w:val="32"/>
          <w:lang w:val="en-US" w:eastAsia="zh-CN"/>
        </w:rPr>
        <w:t>三、采购材料明细及技术要求</w:t>
      </w:r>
      <w:bookmarkEnd w:id="23"/>
    </w:p>
    <w:p>
      <w:pPr>
        <w:keepNext w:val="0"/>
        <w:keepLines w:val="0"/>
        <w:pageBreakBefore w:val="0"/>
        <w:widowControl w:val="0"/>
        <w:numPr>
          <w:ilvl w:val="0"/>
          <w:numId w:val="4"/>
        </w:numPr>
        <w:kinsoku/>
        <w:wordWrap/>
        <w:overflowPunct/>
        <w:topLinePunct w:val="0"/>
        <w:autoSpaceDE/>
        <w:autoSpaceDN/>
        <w:bidi w:val="0"/>
        <w:adjustRightInd/>
        <w:snapToGrid/>
        <w:spacing w:line="520" w:lineRule="exact"/>
        <w:ind w:left="0" w:leftChars="0" w:firstLine="640" w:firstLineChars="200"/>
        <w:jc w:val="both"/>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供货清单及技术参数</w:t>
      </w:r>
    </w:p>
    <w:tbl>
      <w:tblPr>
        <w:tblStyle w:val="17"/>
        <w:tblW w:w="8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 w:type="dxa"/>
          <w:bottom w:w="0" w:type="dxa"/>
          <w:right w:w="10" w:type="dxa"/>
        </w:tblCellMar>
      </w:tblPr>
      <w:tblGrid>
        <w:gridCol w:w="731"/>
        <w:gridCol w:w="791"/>
        <w:gridCol w:w="1260"/>
        <w:gridCol w:w="3780"/>
        <w:gridCol w:w="750"/>
        <w:gridCol w:w="12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trHeight w:val="809" w:hRule="atLeast"/>
          <w:jc w:val="center"/>
        </w:trPr>
        <w:tc>
          <w:tcPr>
            <w:tcW w:w="73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79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b/>
                <w:bCs/>
                <w:sz w:val="24"/>
                <w:szCs w:val="24"/>
              </w:rPr>
            </w:pPr>
            <w:r>
              <w:rPr>
                <w:rFonts w:hint="eastAsia" w:ascii="宋体" w:hAnsi="宋体" w:eastAsia="宋体" w:cs="宋体"/>
                <w:b/>
                <w:bCs/>
                <w:sz w:val="24"/>
                <w:szCs w:val="24"/>
              </w:rPr>
              <w:t>名称</w:t>
            </w:r>
          </w:p>
        </w:tc>
        <w:tc>
          <w:tcPr>
            <w:tcW w:w="126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b/>
                <w:bCs/>
                <w:sz w:val="24"/>
                <w:szCs w:val="24"/>
              </w:rPr>
            </w:pPr>
            <w:r>
              <w:rPr>
                <w:rFonts w:hint="eastAsia" w:ascii="宋体" w:hAnsi="宋体" w:eastAsia="宋体" w:cs="宋体"/>
                <w:b/>
                <w:bCs/>
                <w:sz w:val="24"/>
                <w:szCs w:val="24"/>
              </w:rPr>
              <w:t>型号</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b/>
                <w:bCs/>
                <w:sz w:val="24"/>
                <w:szCs w:val="24"/>
              </w:rPr>
            </w:pPr>
            <w:r>
              <w:rPr>
                <w:rFonts w:hint="eastAsia" w:ascii="宋体" w:hAnsi="宋体" w:eastAsia="宋体" w:cs="宋体"/>
                <w:b/>
                <w:bCs/>
                <w:sz w:val="24"/>
                <w:szCs w:val="24"/>
              </w:rPr>
              <w:t>技术参数要点</w:t>
            </w: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b/>
                <w:bCs/>
                <w:kern w:val="0"/>
                <w:sz w:val="24"/>
                <w:szCs w:val="24"/>
                <w:lang w:val="en-US" w:eastAsia="zh-CN" w:bidi="ar"/>
              </w:rPr>
            </w:pPr>
            <w:r>
              <w:rPr>
                <w:rFonts w:hint="eastAsia" w:ascii="宋体" w:hAnsi="宋体" w:eastAsia="宋体" w:cs="宋体"/>
                <w:b/>
                <w:bCs/>
                <w:sz w:val="24"/>
                <w:szCs w:val="24"/>
              </w:rPr>
              <w:t>数量</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b/>
                <w:bCs/>
                <w:sz w:val="24"/>
                <w:szCs w:val="24"/>
              </w:rPr>
            </w:pPr>
            <w:r>
              <w:rPr>
                <w:rFonts w:hint="eastAsia" w:ascii="宋体" w:hAnsi="宋体" w:eastAsia="宋体" w:cs="宋体"/>
                <w:b/>
                <w:bCs/>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trHeight w:val="3614" w:hRule="atLeast"/>
          <w:jc w:val="center"/>
        </w:trPr>
        <w:tc>
          <w:tcPr>
            <w:tcW w:w="73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1</w:t>
            </w:r>
          </w:p>
        </w:tc>
        <w:tc>
          <w:tcPr>
            <w:tcW w:w="79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电源模块</w:t>
            </w:r>
          </w:p>
        </w:tc>
        <w:tc>
          <w:tcPr>
            <w:tcW w:w="126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HJZN-001</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rPr>
            </w:pPr>
            <w:r>
              <w:rPr>
                <w:rFonts w:hint="eastAsia" w:ascii="宋体" w:hAnsi="宋体" w:eastAsia="宋体" w:cs="宋体"/>
                <w:sz w:val="24"/>
                <w:szCs w:val="24"/>
              </w:rPr>
              <w:t>双向AC/DC输入</w:t>
            </w:r>
            <w:r>
              <w:rPr>
                <w:rFonts w:hint="eastAsia" w:ascii="宋体" w:hAnsi="宋体" w:eastAsia="宋体" w:cs="宋体"/>
                <w:sz w:val="24"/>
                <w:szCs w:val="24"/>
                <w:lang w:eastAsia="zh-CN"/>
              </w:rPr>
              <w:t>：</w:t>
            </w:r>
            <w:r>
              <w:rPr>
                <w:rFonts w:hint="eastAsia" w:ascii="宋体" w:hAnsi="宋体" w:eastAsia="宋体" w:cs="宋体"/>
                <w:sz w:val="24"/>
                <w:szCs w:val="24"/>
              </w:rPr>
              <w:t>额定交流电压100-240Vac，频率50-60Hz，电流5A/100Vac、3A/220Vac，</w:t>
            </w:r>
            <w:r>
              <w:rPr>
                <w:rFonts w:hint="eastAsia" w:ascii="宋体" w:hAnsi="宋体" w:eastAsia="宋体" w:cs="宋体"/>
                <w:sz w:val="24"/>
                <w:szCs w:val="24"/>
                <w:lang w:val="en-US" w:eastAsia="zh-CN"/>
              </w:rPr>
              <w:t>功率因</w:t>
            </w:r>
            <w:r>
              <w:rPr>
                <w:rFonts w:hint="eastAsia" w:ascii="宋体" w:hAnsi="宋体" w:eastAsia="宋体" w:cs="宋体"/>
                <w:sz w:val="24"/>
                <w:szCs w:val="24"/>
              </w:rPr>
              <w:t>数&gt;0.99/100Vac、&gt;0.98/220V；</w:t>
            </w:r>
          </w:p>
          <w:p>
            <w:pPr>
              <w:pStyle w:val="40"/>
              <w:keepNext w:val="0"/>
              <w:keepLines w:val="0"/>
              <w:widowControl/>
              <w:suppressLineNumbers w:val="0"/>
              <w:ind w:right="0"/>
              <w:jc w:val="left"/>
              <w:rPr>
                <w:rFonts w:hint="eastAsia" w:ascii="宋体" w:hAnsi="宋体" w:eastAsia="宋体" w:cs="宋体"/>
                <w:sz w:val="24"/>
                <w:szCs w:val="24"/>
                <w:lang w:eastAsia="zh-CN"/>
              </w:rPr>
            </w:pPr>
            <w:r>
              <w:rPr>
                <w:rFonts w:hint="eastAsia" w:ascii="宋体" w:hAnsi="宋体" w:eastAsia="宋体" w:cs="宋体"/>
                <w:sz w:val="24"/>
                <w:szCs w:val="24"/>
              </w:rPr>
              <w:t>输出</w:t>
            </w:r>
            <w:r>
              <w:rPr>
                <w:rFonts w:hint="eastAsia" w:ascii="宋体" w:hAnsi="宋体" w:eastAsia="宋体" w:cs="宋体"/>
                <w:sz w:val="24"/>
                <w:szCs w:val="24"/>
                <w:lang w:eastAsia="zh-CN"/>
              </w:rPr>
              <w:t>：</w:t>
            </w:r>
            <w:r>
              <w:rPr>
                <w:rFonts w:hint="eastAsia" w:ascii="宋体" w:hAnsi="宋体" w:eastAsia="宋体" w:cs="宋体"/>
                <w:sz w:val="24"/>
                <w:szCs w:val="24"/>
              </w:rPr>
              <w:t>功率500W，电压范围 40-58Vdc，电压精度±2%，额定电流10-8.6A，转换效率&gt;95%</w:t>
            </w:r>
            <w:r>
              <w:rPr>
                <w:rFonts w:hint="eastAsia" w:ascii="宋体" w:hAnsi="宋体" w:eastAsia="宋体" w:cs="宋体"/>
                <w:sz w:val="24"/>
                <w:szCs w:val="24"/>
                <w:lang w:eastAsia="zh-CN"/>
              </w:rPr>
              <w:t>，</w:t>
            </w:r>
            <w:r>
              <w:rPr>
                <w:rFonts w:hint="eastAsia" w:ascii="宋体" w:hAnsi="宋体" w:eastAsia="宋体" w:cs="宋体"/>
                <w:sz w:val="24"/>
                <w:szCs w:val="24"/>
              </w:rPr>
              <w:t>220V；具备实时在线核容和在线监测管理功能</w:t>
            </w:r>
            <w:r>
              <w:rPr>
                <w:rFonts w:hint="eastAsia" w:ascii="宋体" w:hAnsi="宋体" w:eastAsia="宋体" w:cs="宋体"/>
                <w:sz w:val="24"/>
                <w:szCs w:val="24"/>
                <w:lang w:eastAsia="zh-CN"/>
              </w:rPr>
              <w:t>。</w:t>
            </w: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lang w:val="en-US" w:eastAsia="zh-CN"/>
              </w:rPr>
              <w:t>2</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r>
              <w:rPr>
                <w:rFonts w:hint="eastAsia" w:ascii="宋体" w:hAnsi="宋体" w:eastAsia="宋体" w:cs="宋体"/>
                <w:sz w:val="24"/>
                <w:szCs w:val="24"/>
              </w:rPr>
              <w:t>全密封灌胶设计，防护等级 IP23，能抵御潮湿、盐雾、霉菌侵蚀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trHeight w:val="1247" w:hRule="atLeast"/>
          <w:jc w:val="center"/>
        </w:trPr>
        <w:tc>
          <w:tcPr>
            <w:tcW w:w="73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2</w:t>
            </w:r>
          </w:p>
        </w:tc>
        <w:tc>
          <w:tcPr>
            <w:tcW w:w="79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配套软件</w:t>
            </w:r>
          </w:p>
        </w:tc>
        <w:tc>
          <w:tcPr>
            <w:tcW w:w="126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HJZNPS</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lang w:eastAsia="zh-CN"/>
              </w:rPr>
            </w:pPr>
            <w:r>
              <w:rPr>
                <w:rFonts w:hint="eastAsia" w:ascii="宋体" w:hAnsi="宋体" w:eastAsia="宋体" w:cs="宋体"/>
                <w:sz w:val="24"/>
                <w:szCs w:val="24"/>
              </w:rPr>
              <w:t>可在线监测模块输入、输出、电池状态、电池内阻、充放电状态、温度等；具备蓄电池现场一键核容和远程自动核容功能</w:t>
            </w:r>
            <w:r>
              <w:rPr>
                <w:rFonts w:hint="eastAsia" w:ascii="宋体" w:hAnsi="宋体" w:eastAsia="宋体" w:cs="宋体"/>
                <w:sz w:val="24"/>
                <w:szCs w:val="24"/>
                <w:lang w:eastAsia="zh-CN"/>
              </w:rPr>
              <w:t>。</w:t>
            </w: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rPr>
              <w:t>1</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r>
              <w:rPr>
                <w:rFonts w:hint="eastAsia" w:ascii="宋体" w:hAnsi="宋体" w:eastAsia="宋体" w:cs="宋体"/>
                <w:sz w:val="24"/>
                <w:szCs w:val="24"/>
              </w:rPr>
              <w:t>兼容电鸿模块通信协议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trHeight w:val="134" w:hRule="atLeast"/>
          <w:jc w:val="center"/>
        </w:trPr>
        <w:tc>
          <w:tcPr>
            <w:tcW w:w="73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3</w:t>
            </w:r>
          </w:p>
        </w:tc>
        <w:tc>
          <w:tcPr>
            <w:tcW w:w="79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电池模组</w:t>
            </w:r>
          </w:p>
        </w:tc>
        <w:tc>
          <w:tcPr>
            <w:tcW w:w="126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24V/10Ah</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lang w:eastAsia="zh-CN"/>
              </w:rPr>
            </w:pPr>
            <w:r>
              <w:rPr>
                <w:rFonts w:hint="eastAsia" w:ascii="宋体" w:hAnsi="宋体" w:eastAsia="宋体" w:cs="宋体"/>
                <w:sz w:val="24"/>
                <w:szCs w:val="24"/>
              </w:rPr>
              <w:t>高低温性能</w:t>
            </w:r>
            <w:r>
              <w:rPr>
                <w:rFonts w:hint="eastAsia" w:ascii="宋体" w:hAnsi="宋体" w:cs="宋体"/>
                <w:sz w:val="24"/>
                <w:szCs w:val="24"/>
                <w:lang w:val="en-US" w:eastAsia="zh-CN"/>
              </w:rPr>
              <w:t>-40°</w:t>
            </w:r>
            <w:r>
              <w:rPr>
                <w:rFonts w:hint="eastAsia" w:ascii="宋体" w:hAnsi="宋体" w:eastAsia="宋体" w:cs="宋体"/>
                <w:sz w:val="24"/>
                <w:szCs w:val="24"/>
                <w:lang w:val="en-US" w:eastAsia="zh-CN"/>
              </w:rPr>
              <w:t>℃</w:t>
            </w:r>
            <w:r>
              <w:rPr>
                <w:rFonts w:hint="eastAsia" w:ascii="宋体" w:hAnsi="宋体" w:eastAsia="宋体" w:cs="宋体"/>
                <w:sz w:val="24"/>
                <w:szCs w:val="24"/>
              </w:rPr>
              <w:t>至75</w:t>
            </w:r>
            <w:r>
              <w:rPr>
                <w:rFonts w:hint="eastAsia" w:ascii="宋体" w:hAnsi="宋体" w:eastAsia="宋体" w:cs="宋体"/>
                <w:sz w:val="24"/>
                <w:szCs w:val="24"/>
                <w:lang w:val="en-US" w:eastAsia="zh-CN"/>
              </w:rPr>
              <w:t>℃</w:t>
            </w:r>
            <w:r>
              <w:rPr>
                <w:rFonts w:hint="eastAsia" w:ascii="宋体" w:hAnsi="宋体" w:eastAsia="宋体" w:cs="宋体"/>
                <w:sz w:val="24"/>
                <w:szCs w:val="24"/>
              </w:rPr>
              <w:t>；月自放电率＜1%（室温下），存放一年后电量保持率≥90%；安全性方面，过放无不可逆损伤，过充时通过安全阀调节气压，内部保护机制触发自动断流，钢化外壳 + 自动安全阀设计；功率密度峰值放电倍率＞3C，能量密度70–110Wh/kg</w:t>
            </w:r>
            <w:r>
              <w:rPr>
                <w:rFonts w:hint="eastAsia" w:ascii="宋体" w:hAnsi="宋体" w:eastAsia="宋体" w:cs="宋体"/>
                <w:sz w:val="24"/>
                <w:szCs w:val="24"/>
                <w:lang w:eastAsia="zh-CN"/>
              </w:rPr>
              <w:t>。</w:t>
            </w: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rPr>
              <w:t>2</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3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4</w:t>
            </w:r>
          </w:p>
        </w:tc>
        <w:tc>
          <w:tcPr>
            <w:tcW w:w="79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直流屏柜</w:t>
            </w:r>
          </w:p>
        </w:tc>
        <w:tc>
          <w:tcPr>
            <w:tcW w:w="126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lang w:eastAsia="zh-CN"/>
              </w:rPr>
            </w:pPr>
            <w:r>
              <w:rPr>
                <w:rFonts w:hint="eastAsia" w:ascii="宋体" w:hAnsi="宋体" w:eastAsia="宋体" w:cs="宋体"/>
                <w:sz w:val="24"/>
                <w:szCs w:val="24"/>
              </w:rPr>
              <w:t>含安装附件，用于装置各部件的整合安装，保障装置结构的完整性和稳定性</w:t>
            </w:r>
            <w:r>
              <w:rPr>
                <w:rFonts w:hint="eastAsia" w:ascii="宋体" w:hAnsi="宋体" w:eastAsia="宋体" w:cs="宋体"/>
                <w:sz w:val="24"/>
                <w:szCs w:val="24"/>
                <w:lang w:eastAsia="zh-CN"/>
              </w:rPr>
              <w:t>。</w:t>
            </w: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rPr>
              <w:t>1</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3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5</w:t>
            </w:r>
          </w:p>
        </w:tc>
        <w:tc>
          <w:tcPr>
            <w:tcW w:w="79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断路器</w:t>
            </w:r>
          </w:p>
        </w:tc>
        <w:tc>
          <w:tcPr>
            <w:tcW w:w="1260"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iC65N-C20A/2P</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rPr>
            </w:pP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lang w:val="en-US" w:eastAsia="zh-CN"/>
              </w:rPr>
              <w:t>2</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trHeight w:val="1353" w:hRule="atLeast"/>
          <w:jc w:val="center"/>
        </w:trPr>
        <w:tc>
          <w:tcPr>
            <w:tcW w:w="73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6</w:t>
            </w:r>
          </w:p>
        </w:tc>
        <w:tc>
          <w:tcPr>
            <w:tcW w:w="79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接触器</w:t>
            </w:r>
          </w:p>
        </w:tc>
        <w:tc>
          <w:tcPr>
            <w:tcW w:w="1260"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LC1DP25P7C</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rPr>
            </w:pP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lang w:val="en-US" w:eastAsia="zh-CN"/>
              </w:rPr>
              <w:t>2</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3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7</w:t>
            </w:r>
          </w:p>
        </w:tc>
        <w:tc>
          <w:tcPr>
            <w:tcW w:w="79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中间继电器</w:t>
            </w:r>
          </w:p>
        </w:tc>
        <w:tc>
          <w:tcPr>
            <w:tcW w:w="1260"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AC220V 8脚含底座</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rPr>
            </w:pP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rPr>
              <w:t>1</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3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8</w:t>
            </w:r>
          </w:p>
        </w:tc>
        <w:tc>
          <w:tcPr>
            <w:tcW w:w="79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断路器</w:t>
            </w:r>
          </w:p>
        </w:tc>
        <w:tc>
          <w:tcPr>
            <w:tcW w:w="1260"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iC65N DC1P C16A</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rPr>
            </w:pP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3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9</w:t>
            </w:r>
          </w:p>
        </w:tc>
        <w:tc>
          <w:tcPr>
            <w:tcW w:w="79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断路器</w:t>
            </w:r>
          </w:p>
        </w:tc>
        <w:tc>
          <w:tcPr>
            <w:tcW w:w="1260"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iC65N DC2P C25A</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rPr>
            </w:pP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jc w:val="center"/>
        </w:trPr>
        <w:tc>
          <w:tcPr>
            <w:tcW w:w="73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10</w:t>
            </w:r>
          </w:p>
        </w:tc>
        <w:tc>
          <w:tcPr>
            <w:tcW w:w="791"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避雷器</w:t>
            </w:r>
          </w:p>
        </w:tc>
        <w:tc>
          <w:tcPr>
            <w:tcW w:w="1260" w:type="dxa"/>
            <w:shd w:val="clear" w:color="auto" w:fill="auto"/>
            <w:tcMar>
              <w:top w:w="60" w:type="dxa"/>
              <w:left w:w="120" w:type="dxa"/>
              <w:bottom w:w="30" w:type="dxa"/>
              <w:right w:w="120" w:type="dxa"/>
            </w:tcMar>
            <w:vAlign w:val="center"/>
          </w:tcPr>
          <w:p>
            <w:pPr>
              <w:keepNext w:val="0"/>
              <w:keepLines w:val="0"/>
              <w:widowControl/>
              <w:suppressLineNumbers w:val="0"/>
              <w:spacing w:before="0" w:beforeAutospacing="0" w:after="0" w:afterAutospacing="0"/>
              <w:ind w:left="0" w:right="0"/>
              <w:jc w:val="left"/>
              <w:textAlignment w:val="center"/>
              <w:rPr>
                <w:rFonts w:hint="eastAsia" w:ascii="宋体" w:hAnsi="宋体" w:eastAsia="宋体" w:cs="宋体"/>
                <w:sz w:val="24"/>
                <w:szCs w:val="24"/>
              </w:rPr>
            </w:pPr>
            <w:r>
              <w:rPr>
                <w:rFonts w:hint="eastAsia" w:ascii="宋体" w:hAnsi="宋体" w:eastAsia="宋体" w:cs="宋体"/>
                <w:i w:val="0"/>
                <w:iCs w:val="0"/>
                <w:color w:val="000000"/>
                <w:kern w:val="0"/>
                <w:sz w:val="24"/>
                <w:szCs w:val="24"/>
                <w:u w:val="none"/>
                <w:lang w:val="en-US" w:eastAsia="zh-CN" w:bidi="ar"/>
              </w:rPr>
              <w:t>DXH06-FCS/1+1R 40KA</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lang w:eastAsia="zh-CN"/>
              </w:rPr>
            </w:pPr>
            <w:r>
              <w:rPr>
                <w:rFonts w:hint="eastAsia" w:ascii="宋体" w:hAnsi="宋体" w:eastAsia="宋体" w:cs="宋体"/>
                <w:sz w:val="24"/>
                <w:szCs w:val="24"/>
              </w:rPr>
              <w:t>能有效抵御雷击等过电压侵害，提高装置抗干扰能力</w:t>
            </w:r>
            <w:r>
              <w:rPr>
                <w:rFonts w:hint="eastAsia" w:ascii="宋体" w:hAnsi="宋体" w:eastAsia="宋体" w:cs="宋体"/>
                <w:sz w:val="24"/>
                <w:szCs w:val="24"/>
                <w:lang w:eastAsia="zh-CN"/>
              </w:rPr>
              <w:t>。</w:t>
            </w: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rPr>
              <w:t>1</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 w:type="dxa"/>
            <w:bottom w:w="0" w:type="dxa"/>
            <w:right w:w="10" w:type="dxa"/>
          </w:tblCellMar>
        </w:tblPrEx>
        <w:trPr>
          <w:trHeight w:val="1063" w:hRule="atLeast"/>
          <w:jc w:val="center"/>
        </w:trPr>
        <w:tc>
          <w:tcPr>
            <w:tcW w:w="73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default" w:ascii="宋体" w:hAnsi="宋体" w:eastAsia="宋体" w:cs="宋体"/>
                <w:sz w:val="24"/>
                <w:szCs w:val="24"/>
                <w:lang w:val="en-US"/>
              </w:rPr>
            </w:pPr>
            <w:r>
              <w:rPr>
                <w:rFonts w:hint="eastAsia" w:ascii="宋体" w:hAnsi="宋体" w:eastAsia="宋体" w:cs="宋体"/>
                <w:i w:val="0"/>
                <w:iCs w:val="0"/>
                <w:color w:val="000000"/>
                <w:kern w:val="0"/>
                <w:sz w:val="24"/>
                <w:szCs w:val="24"/>
                <w:u w:val="none"/>
                <w:lang w:val="en-US" w:eastAsia="zh-CN" w:bidi="ar"/>
              </w:rPr>
              <w:t>11</w:t>
            </w:r>
          </w:p>
        </w:tc>
        <w:tc>
          <w:tcPr>
            <w:tcW w:w="791"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显示屏</w:t>
            </w:r>
          </w:p>
        </w:tc>
        <w:tc>
          <w:tcPr>
            <w:tcW w:w="126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center"/>
              <w:rPr>
                <w:rFonts w:hint="eastAsia" w:ascii="宋体" w:hAnsi="宋体" w:eastAsia="宋体" w:cs="宋体"/>
                <w:sz w:val="24"/>
                <w:szCs w:val="24"/>
              </w:rPr>
            </w:pPr>
            <w:r>
              <w:rPr>
                <w:rFonts w:hint="eastAsia" w:ascii="宋体" w:hAnsi="宋体" w:eastAsia="宋体" w:cs="宋体"/>
                <w:sz w:val="24"/>
                <w:szCs w:val="24"/>
              </w:rPr>
              <w:t>TPC070-A2810FX</w:t>
            </w:r>
          </w:p>
        </w:tc>
        <w:tc>
          <w:tcPr>
            <w:tcW w:w="3780"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left"/>
              <w:rPr>
                <w:rFonts w:hint="eastAsia" w:ascii="宋体" w:hAnsi="宋体" w:eastAsia="宋体" w:cs="宋体"/>
                <w:sz w:val="24"/>
                <w:szCs w:val="24"/>
                <w:lang w:eastAsia="zh-CN"/>
              </w:rPr>
            </w:pPr>
            <w:r>
              <w:rPr>
                <w:rFonts w:hint="eastAsia" w:ascii="宋体" w:hAnsi="宋体" w:eastAsia="宋体" w:cs="宋体"/>
                <w:sz w:val="24"/>
                <w:szCs w:val="24"/>
              </w:rPr>
              <w:t>可实时显示装置运行参数及状态信息，显示清晰、准确</w:t>
            </w:r>
            <w:r>
              <w:rPr>
                <w:rFonts w:hint="eastAsia" w:ascii="宋体" w:hAnsi="宋体" w:eastAsia="宋体" w:cs="宋体"/>
                <w:sz w:val="24"/>
                <w:szCs w:val="24"/>
                <w:lang w:eastAsia="zh-CN"/>
              </w:rPr>
              <w:t>。</w:t>
            </w:r>
          </w:p>
        </w:tc>
        <w:tc>
          <w:tcPr>
            <w:tcW w:w="750" w:type="dxa"/>
            <w:shd w:val="clear" w:color="auto" w:fill="auto"/>
            <w:tcMar>
              <w:top w:w="60" w:type="dxa"/>
              <w:left w:w="120" w:type="dxa"/>
              <w:bottom w:w="30" w:type="dxa"/>
              <w:right w:w="120" w:type="dxa"/>
            </w:tcMar>
            <w:vAlign w:val="center"/>
          </w:tcPr>
          <w:p>
            <w:pPr>
              <w:pStyle w:val="40"/>
              <w:keepNext w:val="0"/>
              <w:keepLines w:val="0"/>
              <w:widowControl/>
              <w:suppressLineNumbers w:val="0"/>
              <w:ind w:left="0" w:leftChars="0" w:right="0" w:rightChars="0"/>
              <w:jc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rPr>
              <w:t>1</w:t>
            </w:r>
          </w:p>
        </w:tc>
        <w:tc>
          <w:tcPr>
            <w:tcW w:w="1252" w:type="dxa"/>
            <w:shd w:val="clear" w:color="auto" w:fill="auto"/>
            <w:tcMar>
              <w:top w:w="60" w:type="dxa"/>
              <w:left w:w="120" w:type="dxa"/>
              <w:bottom w:w="30" w:type="dxa"/>
              <w:right w:w="120" w:type="dxa"/>
            </w:tcMar>
            <w:vAlign w:val="center"/>
          </w:tcPr>
          <w:p>
            <w:pPr>
              <w:pStyle w:val="40"/>
              <w:keepNext w:val="0"/>
              <w:keepLines w:val="0"/>
              <w:widowControl/>
              <w:suppressLineNumbers w:val="0"/>
              <w:ind w:right="0"/>
              <w:jc w:val="both"/>
              <w:rPr>
                <w:rFonts w:hint="eastAsia" w:ascii="宋体" w:hAnsi="宋体" w:eastAsia="宋体" w:cs="宋体"/>
                <w:sz w:val="24"/>
                <w:szCs w:val="24"/>
              </w:rPr>
            </w:pPr>
            <w:r>
              <w:rPr>
                <w:rFonts w:hint="eastAsia" w:ascii="宋体" w:hAnsi="宋体" w:eastAsia="宋体" w:cs="宋体"/>
                <w:sz w:val="24"/>
                <w:szCs w:val="24"/>
              </w:rPr>
              <w:t>便于现场监测和操作</w:t>
            </w:r>
          </w:p>
        </w:tc>
      </w:tr>
    </w:tbl>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jc w:val="both"/>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 xml:space="preserve"> 2.材料质量要求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所有采购材料须为全新、未使用过的合格产品，符合相关质量标准和本规范书的技术要求。</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材料表面应平整、无破损、无划痕、无变形，部件安装牢固，无松动现象。</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电气类材料须具备良好的绝缘性能和导电性能，在规定的工作条件下能稳定运行，满足相关安全要求。</w:t>
      </w:r>
    </w:p>
    <w:bookmarkEnd w:id="24"/>
    <w:p>
      <w:pPr>
        <w:pStyle w:val="3"/>
        <w:keepNext/>
        <w:keepLines/>
        <w:pageBreakBefore w:val="0"/>
        <w:widowControl w:val="0"/>
        <w:numPr>
          <w:ilvl w:val="0"/>
          <w:numId w:val="0"/>
        </w:numPr>
        <w:tabs>
          <w:tab w:val="left" w:pos="0"/>
        </w:tabs>
        <w:kinsoku/>
        <w:wordWrap/>
        <w:overflowPunct/>
        <w:topLinePunct w:val="0"/>
        <w:autoSpaceDE/>
        <w:autoSpaceDN/>
        <w:bidi w:val="0"/>
        <w:adjustRightInd/>
        <w:snapToGrid/>
        <w:spacing w:line="520" w:lineRule="exact"/>
        <w:ind w:leftChars="0" w:firstLine="643" w:firstLineChars="200"/>
        <w:jc w:val="left"/>
        <w:textAlignment w:val="auto"/>
        <w:rPr>
          <w:rFonts w:hint="eastAsia" w:ascii="楷体" w:hAnsi="楷体" w:eastAsia="楷体" w:cs="楷体"/>
          <w:b/>
          <w:bCs w:val="0"/>
          <w:sz w:val="32"/>
          <w:szCs w:val="32"/>
          <w:lang w:val="en-US" w:eastAsia="zh-CN"/>
        </w:rPr>
      </w:pPr>
      <w:bookmarkStart w:id="25" w:name="_Toc23315"/>
      <w:r>
        <w:rPr>
          <w:rFonts w:hint="eastAsia" w:ascii="楷体" w:hAnsi="楷体" w:eastAsia="楷体" w:cs="楷体"/>
          <w:b/>
          <w:bCs w:val="0"/>
          <w:sz w:val="32"/>
          <w:szCs w:val="32"/>
          <w:lang w:val="en-US" w:eastAsia="zh-CN"/>
        </w:rPr>
        <w:t>四、供货要求</w:t>
      </w:r>
      <w:bookmarkEnd w:id="25"/>
    </w:p>
    <w:p>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10" w:leftChars="0" w:firstLine="640" w:firstLineChars="0"/>
        <w:textAlignment w:val="auto"/>
        <w:rPr>
          <w:rFonts w:hint="eastAsia" w:ascii="仿宋_GB2312" w:hAnsi="仿宋_GB2312" w:eastAsia="仿宋_GB2312" w:cs="仿宋_GB2312"/>
          <w:bCs/>
          <w:sz w:val="32"/>
          <w:szCs w:val="32"/>
          <w:highlight w:val="none"/>
          <w:lang w:val="en-US" w:eastAsia="zh-CN"/>
        </w:rPr>
      </w:pPr>
      <w:bookmarkStart w:id="26" w:name="_Toc12296"/>
      <w:bookmarkStart w:id="27" w:name="_Toc24425"/>
      <w:bookmarkStart w:id="28" w:name="_Toc29654"/>
      <w:r>
        <w:rPr>
          <w:rFonts w:hint="eastAsia" w:ascii="仿宋_GB2312" w:hAnsi="仿宋_GB2312" w:eastAsia="仿宋_GB2312" w:cs="仿宋_GB2312"/>
          <w:bCs/>
          <w:sz w:val="32"/>
          <w:szCs w:val="32"/>
          <w:highlight w:val="none"/>
          <w:lang w:val="en-US" w:eastAsia="zh-CN"/>
        </w:rPr>
        <w:t>供货期限</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highlight w:val="none"/>
        </w:rPr>
        <w:t>供应商须在合同签订之日起 15 天内，将所有材料送达招标方指定试验室；材料送达试验室后，须在 15 天内配合招标方完成装置的组装、调试工作（由招标方</w:t>
      </w:r>
      <w:r>
        <w:rPr>
          <w:rFonts w:hint="eastAsia" w:ascii="仿宋_GB2312" w:hAnsi="仿宋_GB2312" w:eastAsia="仿宋_GB2312" w:cs="仿宋_GB2312"/>
          <w:bCs/>
          <w:sz w:val="32"/>
          <w:szCs w:val="32"/>
          <w:highlight w:val="none"/>
          <w:lang w:val="en-US" w:eastAsia="zh-CN"/>
        </w:rPr>
        <w:t>方案设计</w:t>
      </w:r>
      <w:r>
        <w:rPr>
          <w:rFonts w:hint="eastAsia" w:ascii="仿宋_GB2312" w:hAnsi="仿宋_GB2312" w:eastAsia="仿宋_GB2312" w:cs="仿宋_GB2312"/>
          <w:bCs/>
          <w:sz w:val="32"/>
          <w:szCs w:val="32"/>
          <w:highlight w:val="none"/>
        </w:rPr>
        <w:t>，</w:t>
      </w:r>
      <w:r>
        <w:rPr>
          <w:rFonts w:hint="eastAsia" w:ascii="仿宋_GB2312" w:hAnsi="仿宋_GB2312" w:eastAsia="仿宋_GB2312" w:cs="仿宋_GB2312"/>
          <w:bCs/>
          <w:sz w:val="32"/>
          <w:szCs w:val="32"/>
          <w:highlight w:val="none"/>
          <w:lang w:val="en-US" w:eastAsia="zh-CN"/>
        </w:rPr>
        <w:t>乙方</w:t>
      </w:r>
      <w:r>
        <w:rPr>
          <w:rFonts w:hint="eastAsia" w:ascii="仿宋_GB2312" w:hAnsi="仿宋_GB2312" w:eastAsia="仿宋_GB2312" w:cs="仿宋_GB2312"/>
          <w:bCs/>
          <w:sz w:val="32"/>
          <w:szCs w:val="32"/>
          <w:highlight w:val="none"/>
        </w:rPr>
        <w:t>提供材料及技术配合），确保装置各项性能参数符合本规范书要求，由招标方组织完成第三方检测并通过内部初步验收；初步验收合格后，按招标方指令将装置送达需求单位指定地点。总周期（自合同签订至装置送达需求单位）不超过 30 天</w:t>
      </w:r>
      <w:r>
        <w:rPr>
          <w:rFonts w:hint="eastAsia" w:ascii="仿宋_GB2312" w:hAnsi="仿宋_GB2312" w:eastAsia="仿宋_GB2312" w:cs="仿宋_GB2312"/>
          <w:bCs/>
          <w:sz w:val="32"/>
          <w:szCs w:val="32"/>
          <w:highlight w:val="none"/>
          <w:lang w:eastAsia="zh-CN"/>
        </w:rPr>
        <w:t>.</w:t>
      </w:r>
    </w:p>
    <w:p>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10" w:firstLine="640" w:firstLineChars="0"/>
        <w:textAlignment w:val="auto"/>
        <w:rPr>
          <w:rFonts w:hint="eastAsia" w:ascii="仿宋_GB2312" w:hAnsi="仿宋_GB2312" w:eastAsia="仿宋_GB2312" w:cs="仿宋_GB2312"/>
          <w:bCs/>
          <w:sz w:val="32"/>
          <w:szCs w:val="32"/>
          <w:highlight w:val="none"/>
          <w:lang w:eastAsia="zh-CN"/>
        </w:rPr>
      </w:pPr>
      <w:r>
        <w:rPr>
          <w:rFonts w:hint="eastAsia" w:ascii="仿宋_GB2312" w:hAnsi="仿宋_GB2312" w:eastAsia="仿宋_GB2312" w:cs="仿宋_GB2312"/>
          <w:bCs/>
          <w:sz w:val="32"/>
          <w:szCs w:val="32"/>
          <w:highlight w:val="none"/>
          <w:lang w:val="en-US" w:eastAsia="zh-CN"/>
        </w:rPr>
        <w:t>包装与运输</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材料的包装应符合国家相关标准和行业惯例，能有效防止运输过程中的损坏、受潮和锈蚀。​</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包装上应标明产品名称、型号、数量、生产厂家、生产日期等信息，并附有产品合格证、使用说明书等资料。​</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供应商负责材料的运输工作，确保运输过程中的安全，承担运输过程中的损耗责任。​</w:t>
      </w:r>
    </w:p>
    <w:p>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10" w:leftChars="0" w:firstLine="640" w:firstLineChars="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交货验收</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第一阶段（试验室到货验收）：材料送达招标方试验室后，供需双方共同进行到货验收，核对材料的数量、型号、规格是否与合同及本规范书一致，检查包装是否完好。验收过程中如发现材料数量短缺、型号不符或损坏等情况，供应商应在 5 天内予以补足、更换或修复。</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第二阶段（试验室组装调试验收）：材料验收合格后，供应商配合招标方在试验室完成装置的组装、调试，直至装置通过招标方内部初步验收（以招标方出具的初步验收确认单为准）。</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第三阶段（需求单位到货确认）：装置经试验室初步验收合格后，由供应商按招标方要求运输至需求单位指定地点，供需双方在需求单位共同进行二次到货确认，确保装置无运输损耗、部件完好。</w:t>
      </w:r>
    </w:p>
    <w:p>
      <w:pPr>
        <w:pStyle w:val="3"/>
        <w:keepNext/>
        <w:keepLines/>
        <w:pageBreakBefore w:val="0"/>
        <w:widowControl w:val="0"/>
        <w:numPr>
          <w:ilvl w:val="0"/>
          <w:numId w:val="0"/>
        </w:numPr>
        <w:tabs>
          <w:tab w:val="left" w:pos="0"/>
        </w:tabs>
        <w:kinsoku/>
        <w:wordWrap/>
        <w:overflowPunct/>
        <w:topLinePunct w:val="0"/>
        <w:autoSpaceDE/>
        <w:autoSpaceDN/>
        <w:bidi w:val="0"/>
        <w:adjustRightInd/>
        <w:snapToGrid/>
        <w:spacing w:line="520" w:lineRule="exact"/>
        <w:ind w:leftChars="0" w:firstLine="643" w:firstLineChars="200"/>
        <w:jc w:val="left"/>
        <w:textAlignment w:val="auto"/>
        <w:rPr>
          <w:rFonts w:hint="eastAsia" w:ascii="楷体" w:hAnsi="楷体" w:eastAsia="楷体" w:cs="楷体"/>
          <w:b/>
          <w:bCs w:val="0"/>
          <w:sz w:val="32"/>
          <w:szCs w:val="32"/>
          <w:lang w:val="en-US" w:eastAsia="zh-CN"/>
        </w:rPr>
      </w:pPr>
      <w:bookmarkStart w:id="29" w:name="_Toc3847"/>
      <w:r>
        <w:rPr>
          <w:rFonts w:hint="eastAsia" w:ascii="楷体" w:hAnsi="楷体" w:eastAsia="楷体" w:cs="楷体"/>
          <w:b/>
          <w:bCs w:val="0"/>
          <w:sz w:val="32"/>
          <w:szCs w:val="32"/>
          <w:lang w:val="en-US" w:eastAsia="zh-CN"/>
        </w:rPr>
        <w:t>五、验收规范​</w:t>
      </w:r>
      <w:bookmarkEnd w:id="29"/>
    </w:p>
    <w:p>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验收依据</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本项目材料的验收依据包括本技术规范书、采购合同、相关国家标准和行业标准，以及供应商提供的产品合格证、检测报告等资料。​</w:t>
      </w:r>
    </w:p>
    <w:p>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验收项目及标准</w:t>
      </w:r>
    </w:p>
    <w:tbl>
      <w:tblPr>
        <w:tblStyle w:val="17"/>
        <w:tblW w:w="83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21"/>
        <w:gridCol w:w="1290"/>
        <w:gridCol w:w="1590"/>
        <w:gridCol w:w="2115"/>
        <w:gridCol w:w="1365"/>
        <w:gridCol w:w="1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序号</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验收项目</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验收内容</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验收标准</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b/>
                <w:bCs/>
                <w:sz w:val="24"/>
                <w:szCs w:val="24"/>
              </w:rPr>
            </w:pPr>
            <w:r>
              <w:rPr>
                <w:rFonts w:hint="eastAsia" w:ascii="宋体" w:hAnsi="宋体" w:eastAsia="宋体" w:cs="宋体"/>
                <w:b/>
                <w:bCs/>
                <w:kern w:val="0"/>
                <w:sz w:val="24"/>
                <w:szCs w:val="24"/>
                <w:lang w:val="en-US" w:eastAsia="zh-CN" w:bidi="ar"/>
              </w:rPr>
              <w:t>验收方式</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验收结果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装置整体外观</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各材料表面及安装情况</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表面无划痕、变形，部件安装稳固，无松动现象</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现场目视检查</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电源模块性能</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输入输出参数及功能</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各项参数在技术规范书规定范围内，在线核容和监测功能正常运行</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专业仪器检测+实际操作测试</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配套软件功能</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数据监测及核容功能</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数据监测准确、实时，核容功能操作顺畅、结果可靠</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实际操作测试</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电池模组性能</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高低温性能、自放电率、安全性等</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满足0℃至 75℃高低温运行，自放电率及安全性符合技术要求</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参考第三方检测报告+抽样测试</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sz w:val="24"/>
                <w:szCs w:val="24"/>
              </w:rPr>
              <w:t>直流屏柜</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安装附件及安装适配性</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附件完整，各部件可顺利安装且固定牢固</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现场检查安装情况</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断路器、避雷器</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保护功能</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在模拟过载、短路及过电压情况下，可有效保护电路</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模拟测试</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7</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显示屏</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显示效果及准确性</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显示内容清晰、无卡顿，数据与装置实际状态一致</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开机运行观察</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80" w:hRule="atLeast"/>
          <w:jc w:val="center"/>
        </w:trPr>
        <w:tc>
          <w:tcPr>
            <w:tcW w:w="721"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8</w:t>
            </w:r>
          </w:p>
        </w:tc>
        <w:tc>
          <w:tcPr>
            <w:tcW w:w="12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资料完整性</w:t>
            </w:r>
          </w:p>
        </w:tc>
        <w:tc>
          <w:tcPr>
            <w:tcW w:w="1590"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相关技术资料</w:t>
            </w:r>
          </w:p>
        </w:tc>
        <w:tc>
          <w:tcPr>
            <w:tcW w:w="211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提供硬件加工图纸、技术总结报告、验收资料等，资料齐全、规范</w:t>
            </w:r>
          </w:p>
        </w:tc>
        <w:tc>
          <w:tcPr>
            <w:tcW w:w="1365"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sz w:val="24"/>
                <w:szCs w:val="24"/>
              </w:rPr>
            </w:pPr>
            <w:r>
              <w:rPr>
                <w:rFonts w:hint="eastAsia" w:ascii="宋体" w:hAnsi="宋体" w:eastAsia="宋体" w:cs="宋体"/>
                <w:kern w:val="0"/>
                <w:sz w:val="24"/>
                <w:szCs w:val="24"/>
                <w:lang w:val="en-US" w:eastAsia="zh-CN" w:bidi="ar"/>
              </w:rPr>
              <w:t>核对资料清单</w:t>
            </w:r>
          </w:p>
        </w:tc>
        <w:tc>
          <w:tcPr>
            <w:tcW w:w="1229" w:type="dxa"/>
            <w:shd w:val="clear" w:color="auto" w:fill="auto"/>
            <w:tcMar>
              <w:top w:w="108" w:type="dxa"/>
              <w:left w:w="96" w:type="dxa"/>
              <w:bottom w:w="108" w:type="dxa"/>
              <w:right w:w="96" w:type="dxa"/>
            </w:tcMar>
            <w:vAlign w:val="center"/>
          </w:tcPr>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textAlignment w:val="top"/>
              <w:rPr>
                <w:rFonts w:hint="eastAsia" w:ascii="宋体" w:hAnsi="宋体" w:eastAsia="宋体" w:cs="宋体"/>
                <w:kern w:val="0"/>
                <w:sz w:val="24"/>
                <w:szCs w:val="24"/>
                <w:lang w:val="en-US" w:eastAsia="zh-CN" w:bidi="ar"/>
              </w:rPr>
            </w:pPr>
          </w:p>
        </w:tc>
      </w:tr>
    </w:tbl>
    <w:p>
      <w:pPr>
        <w:keepNext w:val="0"/>
        <w:keepLines w:val="0"/>
        <w:widowControl w:val="0"/>
        <w:numPr>
          <w:ilvl w:val="0"/>
          <w:numId w:val="0"/>
        </w:numPr>
        <w:suppressLineNumbers w:val="0"/>
        <w:spacing w:line="520" w:lineRule="exact"/>
        <w:ind w:left="638" w:leftChars="304" w:firstLine="0" w:firstLineChars="0"/>
        <w:jc w:val="left"/>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i w:val="0"/>
          <w:iCs w:val="0"/>
          <w:caps w:val="0"/>
          <w:spacing w:val="0"/>
          <w:sz w:val="32"/>
          <w:szCs w:val="32"/>
          <w:highlight w:val="none"/>
          <w:shd w:val="clear"/>
          <w:lang w:val="en-US" w:eastAsia="zh-CN"/>
        </w:rPr>
        <w:t>3.</w:t>
      </w:r>
      <w:r>
        <w:rPr>
          <w:rFonts w:hint="eastAsia" w:ascii="仿宋_GB2312" w:hAnsi="仿宋_GB2312" w:eastAsia="仿宋_GB2312" w:cs="仿宋_GB2312"/>
          <w:bCs/>
          <w:i w:val="0"/>
          <w:iCs w:val="0"/>
          <w:caps w:val="0"/>
          <w:spacing w:val="0"/>
          <w:sz w:val="32"/>
          <w:szCs w:val="32"/>
          <w:highlight w:val="none"/>
          <w:shd w:val="clear"/>
        </w:rPr>
        <w:t>供应商配合甲方完成项目验收要求</w:t>
      </w:r>
      <w:r>
        <w:rPr>
          <w:rFonts w:hint="eastAsia" w:ascii="仿宋_GB2312" w:hAnsi="仿宋_GB2312" w:eastAsia="仿宋_GB2312" w:cs="仿宋_GB2312"/>
          <w:bCs/>
          <w:i w:val="0"/>
          <w:iCs w:val="0"/>
          <w:caps w:val="0"/>
          <w:spacing w:val="0"/>
          <w:sz w:val="32"/>
          <w:szCs w:val="32"/>
          <w:highlight w:val="none"/>
          <w:shd w:val="clear"/>
        </w:rPr>
        <w:br w:type="textWrapping"/>
      </w:r>
      <w:r>
        <w:rPr>
          <w:rFonts w:hint="eastAsia" w:ascii="仿宋_GB2312" w:hAnsi="仿宋_GB2312" w:eastAsia="仿宋_GB2312" w:cs="仿宋_GB2312"/>
          <w:bCs/>
          <w:i w:val="0"/>
          <w:iCs w:val="0"/>
          <w:caps w:val="0"/>
          <w:spacing w:val="0"/>
          <w:sz w:val="32"/>
          <w:szCs w:val="32"/>
          <w:highlight w:val="none"/>
          <w:shd w:val="clear"/>
        </w:rPr>
        <w:t>供应商须全程配合招标方开展验收工作，具体包括：</w:t>
      </w:r>
    </w:p>
    <w:p>
      <w:pPr>
        <w:keepNext w:val="0"/>
        <w:keepLines w:val="0"/>
        <w:widowControl w:val="0"/>
        <w:numPr>
          <w:ilvl w:val="0"/>
          <w:numId w:val="0"/>
        </w:numPr>
        <w:suppressLineNumbers w:val="0"/>
        <w:pBdr>
          <w:left w:val="none" w:color="auto" w:sz="0" w:space="0"/>
        </w:pBdr>
        <w:spacing w:before="0" w:beforeAutospacing="0" w:after="0" w:afterAutospacing="0" w:line="520" w:lineRule="exact"/>
        <w:ind w:left="0" w:firstLine="640" w:firstLineChars="200"/>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i w:val="0"/>
          <w:iCs w:val="0"/>
          <w:caps w:val="0"/>
          <w:spacing w:val="0"/>
          <w:sz w:val="32"/>
          <w:szCs w:val="32"/>
          <w:highlight w:val="none"/>
          <w:shd w:val="clear"/>
          <w:lang w:eastAsia="zh-CN"/>
        </w:rPr>
        <w:t>（</w:t>
      </w:r>
      <w:r>
        <w:rPr>
          <w:rFonts w:hint="eastAsia" w:ascii="仿宋_GB2312" w:hAnsi="仿宋_GB2312" w:eastAsia="仿宋_GB2312" w:cs="仿宋_GB2312"/>
          <w:bCs/>
          <w:i w:val="0"/>
          <w:iCs w:val="0"/>
          <w:caps w:val="0"/>
          <w:spacing w:val="0"/>
          <w:sz w:val="32"/>
          <w:szCs w:val="32"/>
          <w:highlight w:val="none"/>
          <w:shd w:val="clear"/>
          <w:lang w:val="en-US" w:eastAsia="zh-CN"/>
        </w:rPr>
        <w:t>1</w:t>
      </w:r>
      <w:r>
        <w:rPr>
          <w:rFonts w:hint="eastAsia" w:ascii="仿宋_GB2312" w:hAnsi="仿宋_GB2312" w:eastAsia="仿宋_GB2312" w:cs="仿宋_GB2312"/>
          <w:bCs/>
          <w:i w:val="0"/>
          <w:iCs w:val="0"/>
          <w:caps w:val="0"/>
          <w:spacing w:val="0"/>
          <w:sz w:val="32"/>
          <w:szCs w:val="32"/>
          <w:highlight w:val="none"/>
          <w:shd w:val="clear"/>
          <w:lang w:eastAsia="zh-CN"/>
        </w:rPr>
        <w:t>）</w:t>
      </w:r>
      <w:r>
        <w:rPr>
          <w:rFonts w:hint="eastAsia" w:ascii="仿宋_GB2312" w:hAnsi="仿宋_GB2312" w:eastAsia="仿宋_GB2312" w:cs="仿宋_GB2312"/>
          <w:bCs/>
          <w:i w:val="0"/>
          <w:iCs w:val="0"/>
          <w:caps w:val="0"/>
          <w:spacing w:val="0"/>
          <w:sz w:val="32"/>
          <w:szCs w:val="32"/>
          <w:highlight w:val="none"/>
          <w:shd w:val="clear"/>
        </w:rPr>
        <w:t>初步验收阶段：提前熟悉招标方的验收流程及标准，按要求准备组装调试工具，派遣专业技术人员到场协助装置的组装、调试及测试，确保资料准确完整、技术支持到位。</w:t>
      </w:r>
    </w:p>
    <w:p>
      <w:pPr>
        <w:keepNext w:val="0"/>
        <w:keepLines w:val="0"/>
        <w:widowControl w:val="0"/>
        <w:numPr>
          <w:ilvl w:val="0"/>
          <w:numId w:val="0"/>
        </w:numPr>
        <w:suppressLineNumbers w:val="0"/>
        <w:spacing w:line="520" w:lineRule="exact"/>
        <w:ind w:firstLine="640" w:firstLineChars="200"/>
        <w:jc w:val="left"/>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i w:val="0"/>
          <w:iCs w:val="0"/>
          <w:caps w:val="0"/>
          <w:spacing w:val="0"/>
          <w:sz w:val="32"/>
          <w:szCs w:val="32"/>
          <w:highlight w:val="none"/>
          <w:shd w:val="clear"/>
          <w:lang w:eastAsia="zh-CN"/>
        </w:rPr>
        <w:t>（</w:t>
      </w:r>
      <w:r>
        <w:rPr>
          <w:rFonts w:hint="eastAsia" w:ascii="仿宋_GB2312" w:hAnsi="仿宋_GB2312" w:eastAsia="仿宋_GB2312" w:cs="仿宋_GB2312"/>
          <w:bCs/>
          <w:i w:val="0"/>
          <w:iCs w:val="0"/>
          <w:caps w:val="0"/>
          <w:spacing w:val="0"/>
          <w:sz w:val="32"/>
          <w:szCs w:val="32"/>
          <w:highlight w:val="none"/>
          <w:shd w:val="clear"/>
          <w:lang w:val="en-US" w:eastAsia="zh-CN"/>
        </w:rPr>
        <w:t>2</w:t>
      </w:r>
      <w:r>
        <w:rPr>
          <w:rFonts w:hint="eastAsia" w:ascii="仿宋_GB2312" w:hAnsi="仿宋_GB2312" w:eastAsia="仿宋_GB2312" w:cs="仿宋_GB2312"/>
          <w:bCs/>
          <w:i w:val="0"/>
          <w:iCs w:val="0"/>
          <w:caps w:val="0"/>
          <w:spacing w:val="0"/>
          <w:sz w:val="32"/>
          <w:szCs w:val="32"/>
          <w:highlight w:val="none"/>
          <w:shd w:val="clear"/>
          <w:lang w:eastAsia="zh-CN"/>
        </w:rPr>
        <w:t>）</w:t>
      </w:r>
      <w:r>
        <w:rPr>
          <w:rFonts w:hint="eastAsia" w:ascii="仿宋_GB2312" w:hAnsi="仿宋_GB2312" w:eastAsia="仿宋_GB2312" w:cs="仿宋_GB2312"/>
          <w:bCs/>
          <w:i w:val="0"/>
          <w:iCs w:val="0"/>
          <w:caps w:val="0"/>
          <w:spacing w:val="0"/>
          <w:sz w:val="32"/>
          <w:szCs w:val="32"/>
          <w:highlight w:val="none"/>
          <w:shd w:val="clear"/>
        </w:rPr>
        <w:t>需求单位最终验收阶段：提前熟悉需求单位的验收流程及标准，准备完整的验收资料（含第三方检测报告、试验室初步验收确认单等），派遣专业技术人员到场，负责解答需求单位提出的技术问题，协助进行装置的调试、测试等工作，确保验收过程顺利进行。</w:t>
      </w:r>
    </w:p>
    <w:p>
      <w:pPr>
        <w:keepNext w:val="0"/>
        <w:keepLines w:val="0"/>
        <w:widowControl w:val="0"/>
        <w:numPr>
          <w:ilvl w:val="0"/>
          <w:numId w:val="0"/>
        </w:numPr>
        <w:suppressLineNumbers w:val="0"/>
        <w:spacing w:line="520" w:lineRule="exact"/>
        <w:ind w:firstLine="640" w:firstLineChars="200"/>
        <w:jc w:val="left"/>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i w:val="0"/>
          <w:iCs w:val="0"/>
          <w:caps w:val="0"/>
          <w:spacing w:val="0"/>
          <w:kern w:val="2"/>
          <w:sz w:val="32"/>
          <w:szCs w:val="32"/>
          <w:highlight w:val="none"/>
          <w:shd w:val="clear"/>
          <w:lang w:val="en-US" w:eastAsia="zh-CN" w:bidi="ar"/>
        </w:rPr>
        <w:t>若验收过程中因材料质量或技术问题导致未能通过试验室初步验收或需求单位最终验收，供应商须在招标方要求的期限内完成整改，并承担整改费用。整改完成后，重新配合进行验收，直至通过。</w:t>
      </w:r>
    </w:p>
    <w:p>
      <w:pPr>
        <w:keepNext w:val="0"/>
        <w:keepLines w:val="0"/>
        <w:widowControl w:val="0"/>
        <w:numPr>
          <w:ilvl w:val="0"/>
          <w:numId w:val="0"/>
        </w:numPr>
        <w:suppressLineNumbers w:val="0"/>
        <w:spacing w:line="520" w:lineRule="exact"/>
        <w:ind w:firstLine="640" w:firstLineChars="200"/>
        <w:jc w:val="left"/>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i w:val="0"/>
          <w:iCs w:val="0"/>
          <w:caps w:val="0"/>
          <w:spacing w:val="0"/>
          <w:kern w:val="2"/>
          <w:sz w:val="32"/>
          <w:szCs w:val="32"/>
          <w:highlight w:val="none"/>
          <w:shd w:val="clear"/>
          <w:lang w:val="en-US" w:eastAsia="zh-CN" w:bidi="ar"/>
        </w:rPr>
        <w:t>供应商应配合招标方完成需求单位验收相关的签字确认、资料移交等后续工作。</w:t>
      </w:r>
    </w:p>
    <w:p>
      <w:pPr>
        <w:keepNext w:val="0"/>
        <w:keepLines w:val="0"/>
        <w:widowControl w:val="0"/>
        <w:numPr>
          <w:ilvl w:val="0"/>
          <w:numId w:val="6"/>
        </w:numPr>
        <w:suppressLineNumbers w:val="0"/>
        <w:spacing w:line="520" w:lineRule="exact"/>
        <w:ind w:left="0" w:leftChars="0" w:firstLine="640" w:firstLineChars="200"/>
        <w:jc w:val="left"/>
        <w:rPr>
          <w:rFonts w:hint="eastAsia" w:ascii="仿宋_GB2312" w:hAnsi="仿宋_GB2312" w:eastAsia="仿宋_GB2312" w:cs="仿宋_GB2312"/>
          <w:bCs/>
          <w:i w:val="0"/>
          <w:iCs w:val="0"/>
          <w:caps w:val="0"/>
          <w:spacing w:val="0"/>
          <w:sz w:val="32"/>
          <w:szCs w:val="32"/>
          <w:highlight w:val="none"/>
          <w:shd w:val="clear"/>
        </w:rPr>
      </w:pPr>
      <w:r>
        <w:rPr>
          <w:rFonts w:hint="eastAsia" w:ascii="仿宋_GB2312" w:hAnsi="仿宋_GB2312" w:eastAsia="仿宋_GB2312" w:cs="仿宋_GB2312"/>
          <w:bCs/>
          <w:i w:val="0"/>
          <w:iCs w:val="0"/>
          <w:caps w:val="0"/>
          <w:spacing w:val="0"/>
          <w:sz w:val="32"/>
          <w:szCs w:val="32"/>
          <w:highlight w:val="none"/>
          <w:shd w:val="clear"/>
        </w:rPr>
        <w:t>验收结果处理</w:t>
      </w:r>
    </w:p>
    <w:p>
      <w:pPr>
        <w:keepNext w:val="0"/>
        <w:keepLines w:val="0"/>
        <w:widowControl w:val="0"/>
        <w:numPr>
          <w:ilvl w:val="-1"/>
          <w:numId w:val="0"/>
        </w:numPr>
        <w:suppressLineNumbers w:val="0"/>
        <w:spacing w:line="520" w:lineRule="exact"/>
        <w:ind w:firstLine="640" w:firstLineChars="200"/>
        <w:jc w:val="left"/>
        <w:rPr>
          <w:rFonts w:hint="eastAsia" w:ascii="仿宋_GB2312" w:hAnsi="仿宋_GB2312" w:eastAsia="仿宋_GB2312" w:cs="仿宋_GB2312"/>
          <w:bCs/>
          <w:sz w:val="32"/>
          <w:szCs w:val="32"/>
          <w:highlight w:val="none"/>
        </w:rPr>
      </w:pPr>
      <w:r>
        <w:rPr>
          <w:rFonts w:hint="eastAsia" w:ascii="仿宋_GB2312" w:hAnsi="仿宋_GB2312" w:eastAsia="仿宋_GB2312" w:cs="仿宋_GB2312"/>
          <w:bCs/>
          <w:i w:val="0"/>
          <w:iCs w:val="0"/>
          <w:caps w:val="0"/>
          <w:spacing w:val="0"/>
          <w:sz w:val="32"/>
          <w:szCs w:val="32"/>
          <w:highlight w:val="none"/>
          <w:shd w:val="clear"/>
        </w:rPr>
        <w:t>所有验收项目均符合要求，且顺利通过需求单位验收的，判定为验收合格，供需双方签署验收单，完成全部付款（见附件）。</w:t>
      </w:r>
    </w:p>
    <w:p>
      <w:pPr>
        <w:pStyle w:val="3"/>
        <w:keepNext/>
        <w:keepLines/>
        <w:pageBreakBefore w:val="0"/>
        <w:widowControl w:val="0"/>
        <w:numPr>
          <w:ilvl w:val="0"/>
          <w:numId w:val="0"/>
        </w:numPr>
        <w:tabs>
          <w:tab w:val="left" w:pos="0"/>
        </w:tabs>
        <w:kinsoku/>
        <w:wordWrap/>
        <w:overflowPunct/>
        <w:topLinePunct w:val="0"/>
        <w:autoSpaceDE/>
        <w:autoSpaceDN/>
        <w:bidi w:val="0"/>
        <w:adjustRightInd/>
        <w:snapToGrid/>
        <w:spacing w:line="520" w:lineRule="exact"/>
        <w:ind w:leftChars="0" w:firstLine="643" w:firstLineChars="200"/>
        <w:jc w:val="left"/>
        <w:textAlignment w:val="auto"/>
        <w:rPr>
          <w:rFonts w:hint="eastAsia" w:ascii="楷体" w:hAnsi="楷体" w:eastAsia="楷体" w:cs="楷体"/>
          <w:b/>
          <w:bCs w:val="0"/>
          <w:sz w:val="32"/>
          <w:szCs w:val="32"/>
          <w:lang w:val="en-US" w:eastAsia="zh-CN"/>
        </w:rPr>
      </w:pPr>
      <w:bookmarkStart w:id="30" w:name="_Toc8992"/>
      <w:r>
        <w:rPr>
          <w:rFonts w:hint="eastAsia" w:ascii="楷体" w:hAnsi="楷体" w:eastAsia="楷体" w:cs="楷体"/>
          <w:b/>
          <w:bCs w:val="0"/>
          <w:sz w:val="32"/>
          <w:szCs w:val="32"/>
          <w:lang w:val="en-US" w:eastAsia="zh-CN"/>
        </w:rPr>
        <w:t>六、售后服务​</w:t>
      </w:r>
      <w:bookmarkEnd w:id="30"/>
    </w:p>
    <w:p>
      <w:pPr>
        <w:keepNext w:val="0"/>
        <w:keepLines w:val="0"/>
        <w:pageBreakBefore w:val="0"/>
        <w:widowControl w:val="0"/>
        <w:numPr>
          <w:ilvl w:val="0"/>
          <w:numId w:val="7"/>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质量保证期​</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配电终端智能型电源模块、电池模组等硬件产品的质量保证期为自验收合格之日起 1 年。​</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配套软件的质量保证期为自验收合格之日起1年内，期间免费提供软件升级服务。​</w:t>
      </w:r>
    </w:p>
    <w:p>
      <w:pPr>
        <w:keepNext w:val="0"/>
        <w:keepLines w:val="0"/>
        <w:pageBreakBefore w:val="0"/>
        <w:widowControl w:val="0"/>
        <w:numPr>
          <w:ilvl w:val="0"/>
          <w:numId w:val="7"/>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技术支持​</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质量保证期内，如材料出现质量问题，供应商应在接到通知后12小时内响应，1天内派人到场维修或更换，相关费用由供应商承担。​</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供应商应提供免费的远程技术支持，解答使用过程中的技术问题，远程技术支持在设备报废前有效。​</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供应商应为招标方相关人员提供必要的技术培训，使其掌握材料的使用、维护和故障处理技能。​</w:t>
      </w:r>
    </w:p>
    <w:p>
      <w:pPr>
        <w:pStyle w:val="3"/>
        <w:keepNext/>
        <w:keepLines/>
        <w:pageBreakBefore w:val="0"/>
        <w:widowControl w:val="0"/>
        <w:numPr>
          <w:ilvl w:val="0"/>
          <w:numId w:val="0"/>
        </w:numPr>
        <w:tabs>
          <w:tab w:val="left" w:pos="0"/>
        </w:tabs>
        <w:kinsoku/>
        <w:wordWrap/>
        <w:overflowPunct/>
        <w:topLinePunct w:val="0"/>
        <w:autoSpaceDE/>
        <w:autoSpaceDN/>
        <w:bidi w:val="0"/>
        <w:adjustRightInd/>
        <w:snapToGrid/>
        <w:spacing w:line="520" w:lineRule="exact"/>
        <w:ind w:leftChars="0" w:firstLine="643" w:firstLineChars="200"/>
        <w:jc w:val="left"/>
        <w:textAlignment w:val="auto"/>
        <w:rPr>
          <w:rFonts w:hint="eastAsia" w:ascii="楷体" w:hAnsi="楷体" w:eastAsia="楷体" w:cs="楷体"/>
          <w:b/>
          <w:bCs w:val="0"/>
          <w:sz w:val="32"/>
          <w:szCs w:val="32"/>
          <w:lang w:val="en-US" w:eastAsia="zh-CN"/>
        </w:rPr>
      </w:pPr>
      <w:bookmarkStart w:id="31" w:name="_Toc14693"/>
      <w:r>
        <w:rPr>
          <w:rFonts w:hint="eastAsia" w:ascii="楷体" w:hAnsi="楷体" w:eastAsia="楷体" w:cs="楷体"/>
          <w:b/>
          <w:bCs w:val="0"/>
          <w:sz w:val="32"/>
          <w:szCs w:val="32"/>
          <w:lang w:val="en-US" w:eastAsia="zh-CN"/>
        </w:rPr>
        <w:t>六、其他​</w:t>
      </w:r>
      <w:bookmarkEnd w:id="31"/>
    </w:p>
    <w:p>
      <w:pPr>
        <w:keepNext w:val="0"/>
        <w:keepLines w:val="0"/>
        <w:pageBreakBefore w:val="0"/>
        <w:widowControl w:val="0"/>
        <w:numPr>
          <w:ilvl w:val="0"/>
          <w:numId w:val="8"/>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保密条款</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供应商应对招标方提供的项目相关技术资料、数据等信息予以保密，未经招标方书面许可，不得向任何第三方泄露。</w:t>
      </w:r>
    </w:p>
    <w:p>
      <w:pPr>
        <w:keepNext w:val="0"/>
        <w:keepLines w:val="0"/>
        <w:pageBreakBefore w:val="0"/>
        <w:widowControl w:val="0"/>
        <w:numPr>
          <w:ilvl w:val="0"/>
          <w:numId w:val="8"/>
        </w:numPr>
        <w:kinsoku/>
        <w:wordWrap/>
        <w:overflowPunct/>
        <w:topLinePunct w:val="0"/>
        <w:autoSpaceDE/>
        <w:autoSpaceDN/>
        <w:bidi w:val="0"/>
        <w:adjustRightInd/>
        <w:snapToGrid/>
        <w:spacing w:line="520" w:lineRule="exact"/>
        <w:ind w:left="0" w:leftChars="0" w:firstLine="640" w:firstLineChars="200"/>
        <w:textAlignment w:val="auto"/>
        <w:rPr>
          <w:rFonts w:hint="eastAsia" w:ascii="仿宋_GB2312" w:hAnsi="仿宋_GB2312" w:eastAsia="仿宋_GB2312" w:cs="仿宋_GB2312"/>
          <w:bCs/>
          <w:sz w:val="32"/>
          <w:szCs w:val="32"/>
          <w:highlight w:val="none"/>
          <w:lang w:val="en-US" w:eastAsia="zh-CN"/>
        </w:rPr>
      </w:pPr>
      <w:r>
        <w:rPr>
          <w:rFonts w:hint="eastAsia" w:ascii="仿宋_GB2312" w:hAnsi="仿宋_GB2312" w:eastAsia="仿宋_GB2312" w:cs="仿宋_GB2312"/>
          <w:bCs/>
          <w:sz w:val="32"/>
          <w:szCs w:val="32"/>
          <w:highlight w:val="none"/>
          <w:lang w:val="en-US" w:eastAsia="zh-CN"/>
        </w:rPr>
        <w:t>争议解决</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640" w:firstLineChars="200"/>
        <w:textAlignment w:val="auto"/>
        <w:rPr>
          <w:rFonts w:hint="eastAsia" w:ascii="楷体" w:hAnsi="楷体" w:eastAsia="楷体" w:cs="楷体"/>
          <w:b w:val="0"/>
          <w:bCs/>
          <w:sz w:val="32"/>
          <w:szCs w:val="32"/>
        </w:rPr>
      </w:pPr>
      <w:r>
        <w:rPr>
          <w:rFonts w:hint="eastAsia" w:ascii="仿宋_GB2312" w:hAnsi="仿宋_GB2312" w:eastAsia="仿宋_GB2312" w:cs="仿宋_GB2312"/>
          <w:bCs/>
          <w:sz w:val="32"/>
          <w:szCs w:val="32"/>
          <w:highlight w:val="none"/>
          <w:lang w:val="en-US" w:eastAsia="zh-CN"/>
        </w:rPr>
        <w:t>供需双方在履行本规范书过程中发生的争议，应首先通过友好协商解决；协商不成的，任何一方均有权向招标方所在地有管辖权的人民法院提起诉讼。</w:t>
      </w:r>
    </w:p>
    <w:bookmarkEnd w:id="26"/>
    <w:bookmarkEnd w:id="27"/>
    <w:bookmarkEnd w:id="28"/>
    <w:p>
      <w:pPr>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sz w:val="24"/>
          <w:szCs w:val="24"/>
        </w:rPr>
      </w:pPr>
      <w:r>
        <w:rPr>
          <w:rFonts w:hint="eastAsia" w:ascii="宋体" w:hAnsi="宋体"/>
          <w:sz w:val="24"/>
          <w:szCs w:val="24"/>
        </w:rPr>
        <w:br w:type="page"/>
      </w:r>
    </w:p>
    <w:p>
      <w:pPr>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附件</w:t>
      </w:r>
      <w:r>
        <w:rPr>
          <w:rFonts w:hint="eastAsia" w:ascii="仿宋_GB2312" w:hAnsi="仿宋_GB2312" w:eastAsia="仿宋_GB2312" w:cs="仿宋_GB2312"/>
          <w:sz w:val="32"/>
          <w:szCs w:val="32"/>
          <w:lang w:val="en-US" w:eastAsia="zh-CN"/>
        </w:rPr>
        <w:t>1</w:t>
      </w:r>
    </w:p>
    <w:p>
      <w:pPr>
        <w:ind w:firstLine="723"/>
        <w:jc w:val="center"/>
        <w:rPr>
          <w:rFonts w:ascii="黑体" w:hAnsi="黑体" w:eastAsia="黑体"/>
          <w:b/>
          <w:sz w:val="36"/>
          <w:szCs w:val="36"/>
        </w:rPr>
      </w:pPr>
      <w:r>
        <w:rPr>
          <w:rFonts w:hint="eastAsia" w:ascii="黑体" w:hAnsi="黑体" w:eastAsia="黑体"/>
          <w:b/>
          <w:sz w:val="36"/>
          <w:szCs w:val="36"/>
        </w:rPr>
        <w:t>南方海上风电联合开发有限公司</w:t>
      </w:r>
    </w:p>
    <w:p>
      <w:pPr>
        <w:keepNext w:val="0"/>
        <w:keepLines w:val="0"/>
        <w:pageBreakBefore w:val="0"/>
        <w:widowControl w:val="0"/>
        <w:kinsoku/>
        <w:wordWrap/>
        <w:overflowPunct/>
        <w:topLinePunct w:val="0"/>
        <w:autoSpaceDE/>
        <w:autoSpaceDN/>
        <w:bidi w:val="0"/>
        <w:adjustRightInd/>
        <w:snapToGrid/>
        <w:spacing w:after="313" w:afterLines="100"/>
        <w:ind w:firstLine="726"/>
        <w:jc w:val="center"/>
        <w:textAlignment w:val="auto"/>
        <w:rPr>
          <w:rFonts w:ascii="黑体" w:hAnsi="黑体" w:eastAsia="黑体"/>
          <w:b/>
          <w:sz w:val="36"/>
          <w:szCs w:val="36"/>
        </w:rPr>
      </w:pPr>
      <w:r>
        <w:rPr>
          <w:rFonts w:hint="eastAsia" w:ascii="黑体" w:hAnsi="黑体" w:eastAsia="黑体"/>
          <w:b/>
          <w:sz w:val="36"/>
          <w:szCs w:val="36"/>
          <w:lang w:val="en-US" w:eastAsia="zh-CN"/>
        </w:rPr>
        <w:t>项目</w:t>
      </w:r>
      <w:r>
        <w:rPr>
          <w:rFonts w:hint="eastAsia" w:ascii="黑体" w:hAnsi="黑体" w:eastAsia="黑体"/>
          <w:b/>
          <w:sz w:val="36"/>
          <w:szCs w:val="36"/>
        </w:rPr>
        <w:t>验收单</w:t>
      </w:r>
    </w:p>
    <w:p>
      <w:pPr>
        <w:ind w:firstLine="420"/>
        <w:jc w:val="right"/>
        <w:rPr>
          <w:rFonts w:ascii="宋体" w:hAnsi="宋体"/>
          <w:szCs w:val="21"/>
        </w:rPr>
      </w:pPr>
      <w:r>
        <w:rPr>
          <w:rFonts w:hint="eastAsia"/>
          <w:sz w:val="24"/>
          <w:szCs w:val="24"/>
        </w:rPr>
        <w:t>时间：20</w:t>
      </w:r>
      <w:r>
        <w:rPr>
          <w:rFonts w:hint="eastAsia"/>
          <w:sz w:val="24"/>
          <w:szCs w:val="24"/>
          <w:lang w:val="en-US" w:eastAsia="zh-CN"/>
        </w:rPr>
        <w:t>xx</w:t>
      </w:r>
      <w:r>
        <w:rPr>
          <w:rFonts w:hint="eastAsia"/>
          <w:sz w:val="24"/>
          <w:szCs w:val="24"/>
        </w:rPr>
        <w:t>-</w:t>
      </w:r>
      <w:r>
        <w:rPr>
          <w:rFonts w:hint="eastAsia"/>
          <w:sz w:val="24"/>
          <w:szCs w:val="24"/>
          <w:lang w:val="en-US" w:eastAsia="zh-CN"/>
        </w:rPr>
        <w:t>xx</w:t>
      </w:r>
      <w:r>
        <w:rPr>
          <w:rFonts w:hint="eastAsia"/>
          <w:sz w:val="24"/>
          <w:szCs w:val="24"/>
        </w:rPr>
        <w:t>-</w:t>
      </w:r>
      <w:r>
        <w:rPr>
          <w:rFonts w:hint="eastAsia"/>
          <w:sz w:val="24"/>
          <w:szCs w:val="24"/>
          <w:lang w:val="en-US" w:eastAsia="zh-CN"/>
        </w:rPr>
        <w:t>xx</w:t>
      </w:r>
    </w:p>
    <w:tbl>
      <w:tblPr>
        <w:tblStyle w:val="17"/>
        <w:tblW w:w="4998"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108" w:type="dxa"/>
          <w:bottom w:w="0" w:type="dxa"/>
          <w:right w:w="108" w:type="dxa"/>
        </w:tblCellMar>
      </w:tblPr>
      <w:tblGrid>
        <w:gridCol w:w="1688"/>
        <w:gridCol w:w="2573"/>
        <w:gridCol w:w="1469"/>
        <w:gridCol w:w="278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59" w:hRule="atLeast"/>
          <w:jc w:val="center"/>
        </w:trPr>
        <w:tc>
          <w:tcPr>
            <w:tcW w:w="991"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cs="宋体"/>
                <w:sz w:val="24"/>
              </w:rPr>
            </w:pPr>
            <w:r>
              <w:rPr>
                <w:rFonts w:hint="eastAsia" w:ascii="宋体" w:hAnsi="宋体" w:cs="宋体"/>
                <w:sz w:val="24"/>
                <w:lang w:val="en-US" w:eastAsia="zh-CN"/>
              </w:rPr>
              <w:t>项目</w:t>
            </w:r>
            <w:r>
              <w:rPr>
                <w:rFonts w:hint="eastAsia" w:ascii="宋体" w:hAnsi="宋体" w:cs="宋体"/>
                <w:sz w:val="24"/>
              </w:rPr>
              <w:t>名称</w:t>
            </w:r>
          </w:p>
        </w:tc>
        <w:tc>
          <w:tcPr>
            <w:tcW w:w="1510"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cs="宋体"/>
                <w:sz w:val="24"/>
              </w:rPr>
            </w:pPr>
          </w:p>
        </w:tc>
        <w:tc>
          <w:tcPr>
            <w:tcW w:w="862"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eastAsia="宋体" w:cs="宋体"/>
                <w:sz w:val="24"/>
                <w:lang w:val="en-US" w:eastAsia="zh-CN"/>
              </w:rPr>
            </w:pPr>
            <w:r>
              <w:rPr>
                <w:rFonts w:hint="eastAsia" w:ascii="宋体" w:hAnsi="宋体" w:cs="宋体"/>
                <w:sz w:val="24"/>
                <w:lang w:val="en-US" w:eastAsia="zh-CN"/>
              </w:rPr>
              <w:t>合同单位</w:t>
            </w:r>
          </w:p>
        </w:tc>
        <w:tc>
          <w:tcPr>
            <w:tcW w:w="1635"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cs="宋体"/>
                <w:sz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710" w:hRule="atLeast"/>
          <w:jc w:val="center"/>
        </w:trPr>
        <w:tc>
          <w:tcPr>
            <w:tcW w:w="991"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cs="宋体"/>
                <w:sz w:val="24"/>
              </w:rPr>
            </w:pPr>
            <w:r>
              <w:rPr>
                <w:rFonts w:hint="eastAsia" w:ascii="宋体" w:hAnsi="宋体" w:cs="宋体"/>
                <w:sz w:val="24"/>
                <w:lang w:val="en-US" w:eastAsia="zh-CN"/>
              </w:rPr>
              <w:t>合同</w:t>
            </w:r>
            <w:r>
              <w:rPr>
                <w:rFonts w:hint="eastAsia" w:ascii="宋体" w:hAnsi="宋体" w:cs="宋体"/>
                <w:sz w:val="24"/>
              </w:rPr>
              <w:t>编号</w:t>
            </w:r>
          </w:p>
        </w:tc>
        <w:tc>
          <w:tcPr>
            <w:tcW w:w="1510"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cs="宋体"/>
                <w:sz w:val="24"/>
              </w:rPr>
            </w:pPr>
          </w:p>
        </w:tc>
        <w:tc>
          <w:tcPr>
            <w:tcW w:w="862"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eastAsia="宋体" w:cs="宋体"/>
                <w:sz w:val="24"/>
                <w:lang w:val="en-US" w:eastAsia="zh-CN"/>
              </w:rPr>
            </w:pPr>
            <w:r>
              <w:rPr>
                <w:rFonts w:hint="eastAsia" w:ascii="宋体" w:hAnsi="宋体" w:cs="宋体"/>
                <w:sz w:val="24"/>
                <w:lang w:val="en-US" w:eastAsia="zh-CN"/>
              </w:rPr>
              <w:t>验收阶段</w:t>
            </w:r>
          </w:p>
        </w:tc>
        <w:tc>
          <w:tcPr>
            <w:tcW w:w="1635"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cs="宋体"/>
                <w:sz w:val="24"/>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41" w:hRule="atLeast"/>
          <w:jc w:val="center"/>
        </w:trPr>
        <w:tc>
          <w:tcPr>
            <w:tcW w:w="5000" w:type="pct"/>
            <w:gridSpan w:val="4"/>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cs="宋体"/>
                <w:sz w:val="24"/>
              </w:rPr>
            </w:pPr>
            <w:r>
              <w:rPr>
                <w:rFonts w:hint="eastAsia" w:ascii="宋体" w:hAnsi="宋体" w:cs="宋体"/>
                <w:b w:val="0"/>
                <w:bCs w:val="0"/>
                <w:sz w:val="24"/>
                <w:szCs w:val="24"/>
              </w:rPr>
              <w:t>项目阶段详情</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226" w:hRule="atLeast"/>
          <w:jc w:val="center"/>
        </w:trPr>
        <w:tc>
          <w:tcPr>
            <w:tcW w:w="991" w:type="pct"/>
            <w:tcBorders>
              <w:tl2br w:val="nil"/>
              <w:tr2bl w:val="nil"/>
            </w:tcBorders>
            <w:vAlign w:val="center"/>
          </w:tcPr>
          <w:p>
            <w:pPr>
              <w:keepNext w:val="0"/>
              <w:keepLines w:val="0"/>
              <w:suppressLineNumbers w:val="0"/>
              <w:spacing w:before="0" w:beforeAutospacing="0" w:after="0" w:afterAutospacing="0"/>
              <w:ind w:left="0" w:right="0"/>
              <w:jc w:val="center"/>
              <w:rPr>
                <w:rFonts w:hint="eastAsia" w:ascii="宋体" w:hAnsi="宋体" w:cs="宋体"/>
                <w:sz w:val="24"/>
                <w:lang w:val="en-US" w:eastAsia="zh-CN"/>
              </w:rPr>
            </w:pPr>
            <w:r>
              <w:rPr>
                <w:rFonts w:hint="eastAsia" w:asciiTheme="minorEastAsia" w:hAnsiTheme="minorEastAsia"/>
                <w:sz w:val="24"/>
                <w:szCs w:val="24"/>
              </w:rPr>
              <w:t>项目阶段概况</w:t>
            </w:r>
          </w:p>
        </w:tc>
        <w:tc>
          <w:tcPr>
            <w:tcW w:w="4008" w:type="pct"/>
            <w:gridSpan w:val="3"/>
            <w:tcBorders>
              <w:tl2br w:val="nil"/>
              <w:tr2bl w:val="nil"/>
            </w:tcBorders>
            <w:vAlign w:val="center"/>
          </w:tcPr>
          <w:p>
            <w:pPr>
              <w:pStyle w:val="10"/>
              <w:keepNext w:val="0"/>
              <w:keepLines w:val="0"/>
              <w:suppressLineNumbers w:val="0"/>
              <w:adjustRightInd w:val="0"/>
              <w:snapToGrid w:val="0"/>
              <w:spacing w:before="0" w:beforeAutospacing="0" w:after="0" w:afterAutospacing="0" w:line="360" w:lineRule="auto"/>
              <w:ind w:left="0" w:right="0" w:firstLine="480" w:firstLineChars="200"/>
              <w:rPr>
                <w:rFonts w:hint="eastAsia" w:ascii="宋体" w:hAnsi="宋体" w:cs="宋体"/>
                <w:sz w:val="24"/>
                <w:lang w:val="en-GB"/>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2079" w:hRule="atLeast"/>
          <w:jc w:val="center"/>
        </w:trPr>
        <w:tc>
          <w:tcPr>
            <w:tcW w:w="991" w:type="pct"/>
            <w:tcBorders>
              <w:tl2br w:val="nil"/>
              <w:tr2bl w:val="nil"/>
            </w:tcBorders>
            <w:vAlign w:val="center"/>
          </w:tcPr>
          <w:p>
            <w:pPr>
              <w:keepNext w:val="0"/>
              <w:keepLines w:val="0"/>
              <w:suppressLineNumbers w:val="0"/>
              <w:adjustRightInd w:val="0"/>
              <w:snapToGrid w:val="0"/>
              <w:spacing w:before="0" w:beforeAutospacing="0" w:after="0" w:afterAutospacing="0"/>
              <w:ind w:left="0" w:right="0"/>
              <w:jc w:val="center"/>
              <w:rPr>
                <w:rFonts w:hint="eastAsia" w:asciiTheme="minorEastAsia" w:hAnsiTheme="minorEastAsia"/>
                <w:sz w:val="24"/>
                <w:szCs w:val="24"/>
                <w:lang w:eastAsia="zh-CN"/>
              </w:rPr>
            </w:pPr>
            <w:r>
              <w:rPr>
                <w:rFonts w:hint="eastAsia" w:asciiTheme="minorEastAsia" w:hAnsiTheme="minorEastAsia"/>
                <w:sz w:val="24"/>
                <w:szCs w:val="24"/>
                <w:lang w:eastAsia="zh-CN"/>
              </w:rPr>
              <w:t>完成情况及</w:t>
            </w:r>
          </w:p>
          <w:p>
            <w:pPr>
              <w:keepNext w:val="0"/>
              <w:keepLines w:val="0"/>
              <w:suppressLineNumbers w:val="0"/>
              <w:spacing w:before="0" w:beforeAutospacing="0" w:after="0" w:afterAutospacing="0" w:line="260" w:lineRule="exact"/>
              <w:ind w:left="0" w:right="0"/>
              <w:jc w:val="center"/>
              <w:rPr>
                <w:rFonts w:hint="eastAsia" w:ascii="宋体" w:hAnsi="宋体" w:cs="宋体"/>
                <w:sz w:val="24"/>
              </w:rPr>
            </w:pPr>
            <w:r>
              <w:rPr>
                <w:rFonts w:hint="eastAsia" w:asciiTheme="minorEastAsia" w:hAnsiTheme="minorEastAsia"/>
                <w:sz w:val="24"/>
                <w:szCs w:val="24"/>
              </w:rPr>
              <w:t>交付件名称</w:t>
            </w:r>
          </w:p>
        </w:tc>
        <w:tc>
          <w:tcPr>
            <w:tcW w:w="4008" w:type="pct"/>
            <w:gridSpan w:val="3"/>
            <w:tcBorders>
              <w:tl2br w:val="nil"/>
              <w:tr2bl w:val="nil"/>
            </w:tcBorders>
            <w:vAlign w:val="bottom"/>
          </w:tcPr>
          <w:p>
            <w:pPr>
              <w:pStyle w:val="10"/>
              <w:keepNext w:val="0"/>
              <w:keepLines w:val="0"/>
              <w:suppressLineNumbers w:val="0"/>
              <w:adjustRightInd w:val="0"/>
              <w:snapToGrid w:val="0"/>
              <w:spacing w:before="0" w:beforeAutospacing="0" w:after="0" w:afterAutospacing="0"/>
              <w:ind w:left="0" w:right="0" w:firstLine="4080" w:firstLineChars="1700"/>
              <w:jc w:val="right"/>
              <w:rPr>
                <w:rFonts w:hint="eastAsia" w:hAnsi="宋体" w:cs="宋体"/>
                <w:sz w:val="24"/>
                <w:lang w:val="en-US" w:eastAsia="zh-CN"/>
              </w:rPr>
            </w:pPr>
            <w:r>
              <w:rPr>
                <w:rFonts w:hint="eastAsia" w:ascii="宋体" w:hAnsi="宋体" w:cs="宋体"/>
                <w:sz w:val="24"/>
                <w:lang w:val="en-US" w:eastAsia="zh-CN"/>
              </w:rPr>
              <w:t xml:space="preserve">       </w:t>
            </w:r>
            <w:r>
              <w:rPr>
                <w:rFonts w:hint="eastAsia" w:hAnsi="宋体" w:cs="宋体"/>
                <w:sz w:val="24"/>
                <w:lang w:val="en-US" w:eastAsia="zh-CN"/>
              </w:rPr>
              <w:t xml:space="preserve"> </w:t>
            </w:r>
          </w:p>
          <w:p>
            <w:pPr>
              <w:pStyle w:val="10"/>
              <w:keepNext w:val="0"/>
              <w:keepLines w:val="0"/>
              <w:suppressLineNumbers w:val="0"/>
              <w:adjustRightInd w:val="0"/>
              <w:snapToGrid w:val="0"/>
              <w:spacing w:before="0" w:beforeAutospacing="0" w:after="0" w:afterAutospacing="0"/>
              <w:ind w:left="0" w:right="0" w:firstLine="4080" w:firstLineChars="1700"/>
              <w:jc w:val="right"/>
              <w:rPr>
                <w:rFonts w:hint="eastAsia" w:hAnsi="宋体" w:cs="宋体"/>
                <w:sz w:val="24"/>
                <w:lang w:val="en-US" w:eastAsia="zh-CN"/>
              </w:rPr>
            </w:pPr>
          </w:p>
          <w:p>
            <w:pPr>
              <w:pStyle w:val="10"/>
              <w:keepNext w:val="0"/>
              <w:keepLines w:val="0"/>
              <w:suppressLineNumbers w:val="0"/>
              <w:adjustRightInd w:val="0"/>
              <w:snapToGrid w:val="0"/>
              <w:spacing w:before="0" w:beforeAutospacing="0" w:after="0" w:afterAutospacing="0"/>
              <w:ind w:left="0" w:right="0" w:firstLine="4080" w:firstLineChars="1700"/>
              <w:jc w:val="right"/>
              <w:rPr>
                <w:rFonts w:hint="eastAsia" w:hAnsi="宋体" w:cs="宋体"/>
                <w:sz w:val="24"/>
                <w:lang w:val="en-US" w:eastAsia="zh-CN"/>
              </w:rPr>
            </w:pPr>
          </w:p>
          <w:p>
            <w:pPr>
              <w:pStyle w:val="10"/>
              <w:keepNext w:val="0"/>
              <w:keepLines w:val="0"/>
              <w:suppressLineNumbers w:val="0"/>
              <w:adjustRightInd w:val="0"/>
              <w:snapToGrid w:val="0"/>
              <w:spacing w:before="0" w:beforeAutospacing="0" w:after="0" w:afterAutospacing="0"/>
              <w:ind w:left="0" w:right="0" w:firstLine="3600" w:firstLineChars="1500"/>
              <w:jc w:val="both"/>
              <w:rPr>
                <w:rFonts w:hint="eastAsia" w:cs="宋体" w:asciiTheme="minorEastAsia" w:hAnsiTheme="minorEastAsia" w:eastAsiaTheme="minorEastAsia"/>
                <w:color w:val="000000"/>
                <w:sz w:val="24"/>
                <w:szCs w:val="24"/>
                <w:lang w:val="en-GB" w:eastAsia="zh-CN"/>
              </w:rPr>
            </w:pPr>
            <w:r>
              <w:rPr>
                <w:rFonts w:hint="eastAsia" w:cs="宋体" w:asciiTheme="minorEastAsia" w:hAnsiTheme="minorEastAsia" w:eastAsiaTheme="minorEastAsia"/>
                <w:color w:val="000000"/>
                <w:sz w:val="24"/>
                <w:szCs w:val="24"/>
                <w:lang w:val="en-GB" w:eastAsia="zh-CN"/>
              </w:rPr>
              <w:t>负责人签字:</w:t>
            </w:r>
          </w:p>
          <w:p>
            <w:pPr>
              <w:pStyle w:val="10"/>
              <w:keepNext w:val="0"/>
              <w:keepLines w:val="0"/>
              <w:suppressLineNumbers w:val="0"/>
              <w:adjustRightInd w:val="0"/>
              <w:snapToGrid w:val="0"/>
              <w:spacing w:before="0" w:beforeAutospacing="0" w:after="0" w:afterAutospacing="0" w:line="260" w:lineRule="exact"/>
              <w:ind w:left="0" w:right="0" w:firstLine="3600" w:firstLineChars="1500"/>
              <w:jc w:val="both"/>
              <w:rPr>
                <w:rFonts w:hint="eastAsia" w:cs="宋体" w:asciiTheme="minorEastAsia" w:hAnsiTheme="minorEastAsia" w:eastAsiaTheme="minorEastAsia"/>
                <w:color w:val="000000"/>
                <w:sz w:val="24"/>
                <w:szCs w:val="24"/>
                <w:lang w:val="en-GB" w:eastAsia="zh-CN"/>
              </w:rPr>
            </w:pPr>
            <w:r>
              <w:rPr>
                <w:rFonts w:hint="eastAsia" w:cs="宋体" w:asciiTheme="minorEastAsia" w:hAnsiTheme="minorEastAsia" w:eastAsiaTheme="minorEastAsia"/>
                <w:color w:val="000000"/>
                <w:sz w:val="24"/>
                <w:szCs w:val="24"/>
                <w:lang w:val="en-GB" w:eastAsia="zh-CN"/>
              </w:rPr>
              <w:t>合同单位公章：</w:t>
            </w:r>
          </w:p>
          <w:p>
            <w:pPr>
              <w:pStyle w:val="10"/>
              <w:keepNext w:val="0"/>
              <w:keepLines w:val="0"/>
              <w:suppressLineNumbers w:val="0"/>
              <w:adjustRightInd w:val="0"/>
              <w:snapToGrid w:val="0"/>
              <w:spacing w:before="0" w:beforeAutospacing="0" w:after="0" w:afterAutospacing="0" w:line="260" w:lineRule="exact"/>
              <w:ind w:left="0" w:right="0" w:firstLine="3600" w:firstLineChars="1500"/>
              <w:jc w:val="both"/>
              <w:rPr>
                <w:rFonts w:hint="eastAsia" w:cs="宋体" w:asciiTheme="minorEastAsia" w:hAnsiTheme="minorEastAsia" w:eastAsiaTheme="minorEastAsia"/>
                <w:color w:val="000000"/>
                <w:sz w:val="24"/>
                <w:szCs w:val="24"/>
                <w:lang w:val="en-GB" w:eastAsia="zh-CN"/>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cantSplit/>
          <w:trHeight w:val="1975" w:hRule="atLeast"/>
          <w:jc w:val="center"/>
        </w:trPr>
        <w:tc>
          <w:tcPr>
            <w:tcW w:w="991" w:type="pct"/>
            <w:tcBorders>
              <w:tl2br w:val="nil"/>
              <w:tr2bl w:val="nil"/>
            </w:tcBorders>
            <w:vAlign w:val="center"/>
          </w:tcPr>
          <w:p>
            <w:pPr>
              <w:keepNext w:val="0"/>
              <w:keepLines w:val="0"/>
              <w:suppressLineNumbers w:val="0"/>
              <w:spacing w:before="0" w:beforeAutospacing="0" w:after="0" w:afterAutospacing="0" w:line="260" w:lineRule="exact"/>
              <w:ind w:left="0" w:right="0"/>
              <w:jc w:val="center"/>
              <w:rPr>
                <w:rFonts w:hint="eastAsia" w:ascii="宋体" w:hAnsi="宋体" w:cs="宋体"/>
                <w:sz w:val="24"/>
                <w:lang w:val="en-US"/>
              </w:rPr>
            </w:pPr>
            <w:r>
              <w:rPr>
                <w:rFonts w:hint="eastAsia" w:ascii="宋体" w:hAnsi="宋体" w:cs="宋体"/>
                <w:sz w:val="24"/>
                <w:lang w:val="en-US" w:eastAsia="zh-CN"/>
              </w:rPr>
              <w:t>项目承担部门</w:t>
            </w:r>
          </w:p>
          <w:p>
            <w:pPr>
              <w:keepNext w:val="0"/>
              <w:keepLines w:val="0"/>
              <w:suppressLineNumbers w:val="0"/>
              <w:spacing w:before="0" w:beforeAutospacing="0" w:after="0" w:afterAutospacing="0" w:line="260" w:lineRule="exact"/>
              <w:ind w:left="0" w:right="0"/>
              <w:jc w:val="center"/>
              <w:rPr>
                <w:rFonts w:hint="eastAsia" w:ascii="宋体" w:hAnsi="宋体" w:cs="宋体"/>
                <w:sz w:val="24"/>
              </w:rPr>
            </w:pPr>
            <w:r>
              <w:rPr>
                <w:rFonts w:hint="eastAsia" w:ascii="宋体" w:hAnsi="宋体" w:cs="宋体"/>
                <w:sz w:val="24"/>
              </w:rPr>
              <w:t>验收意见</w:t>
            </w:r>
          </w:p>
        </w:tc>
        <w:tc>
          <w:tcPr>
            <w:tcW w:w="4008" w:type="pct"/>
            <w:gridSpan w:val="3"/>
            <w:tcBorders>
              <w:tl2br w:val="nil"/>
              <w:tr2bl w:val="nil"/>
            </w:tcBorders>
            <w:vAlign w:val="center"/>
          </w:tcPr>
          <w:p>
            <w:pPr>
              <w:keepNext w:val="0"/>
              <w:keepLines w:val="0"/>
              <w:suppressLineNumbers w:val="0"/>
              <w:spacing w:before="0" w:beforeAutospacing="0" w:after="0" w:afterAutospacing="0" w:line="260" w:lineRule="exact"/>
              <w:ind w:left="0" w:right="0"/>
              <w:jc w:val="both"/>
              <w:rPr>
                <w:rFonts w:hint="eastAsia" w:ascii="宋体" w:hAnsi="宋体" w:cs="宋体"/>
                <w:sz w:val="24"/>
              </w:rPr>
            </w:pPr>
          </w:p>
          <w:p>
            <w:pPr>
              <w:keepNext w:val="0"/>
              <w:keepLines w:val="0"/>
              <w:suppressLineNumbers w:val="0"/>
              <w:spacing w:before="0" w:beforeAutospacing="0" w:after="0" w:afterAutospacing="0" w:line="260" w:lineRule="exact"/>
              <w:ind w:left="0" w:right="0"/>
              <w:jc w:val="both"/>
              <w:rPr>
                <w:rFonts w:hint="eastAsia" w:ascii="宋体" w:hAnsi="宋体" w:cs="宋体"/>
                <w:sz w:val="24"/>
              </w:rPr>
            </w:pPr>
            <w:r>
              <w:rPr>
                <w:rFonts w:hint="eastAsia" w:ascii="宋体" w:hAnsi="宋体" w:cs="宋体"/>
                <w:sz w:val="24"/>
                <w:lang w:val="en-US" w:eastAsia="zh-CN"/>
              </w:rPr>
              <w:t>项目工程师</w:t>
            </w:r>
            <w:r>
              <w:rPr>
                <w:rFonts w:hint="eastAsia" w:ascii="宋体" w:hAnsi="宋体" w:cs="宋体"/>
                <w:sz w:val="24"/>
              </w:rPr>
              <w:t>验收意见:</w:t>
            </w:r>
          </w:p>
          <w:p>
            <w:pPr>
              <w:keepNext w:val="0"/>
              <w:keepLines w:val="0"/>
              <w:suppressLineNumbers w:val="0"/>
              <w:spacing w:before="0" w:beforeAutospacing="0" w:after="0" w:afterAutospacing="0" w:line="260" w:lineRule="exact"/>
              <w:ind w:left="0" w:right="0"/>
              <w:jc w:val="both"/>
              <w:rPr>
                <w:rFonts w:hint="eastAsia" w:ascii="宋体" w:hAnsi="宋体" w:cs="宋体"/>
                <w:sz w:val="24"/>
              </w:rPr>
            </w:pPr>
            <w:r>
              <w:rPr>
                <w:rFonts w:hint="eastAsia" w:ascii="宋体" w:hAnsi="宋体" w:cs="宋体"/>
                <w:sz w:val="24"/>
              </w:rPr>
              <w:t xml:space="preserve">签名:                                              </w:t>
            </w:r>
          </w:p>
          <w:p>
            <w:pPr>
              <w:keepNext w:val="0"/>
              <w:keepLines w:val="0"/>
              <w:suppressLineNumbers w:val="0"/>
              <w:spacing w:before="0" w:beforeAutospacing="0" w:after="0" w:afterAutospacing="0" w:line="260" w:lineRule="exact"/>
              <w:ind w:left="0" w:right="0"/>
              <w:jc w:val="both"/>
              <w:rPr>
                <w:rFonts w:hint="eastAsia" w:ascii="宋体" w:hAnsi="宋体" w:cs="宋体"/>
                <w:sz w:val="24"/>
              </w:rPr>
            </w:pPr>
          </w:p>
          <w:p>
            <w:pPr>
              <w:keepNext w:val="0"/>
              <w:keepLines w:val="0"/>
              <w:suppressLineNumbers w:val="0"/>
              <w:spacing w:before="0" w:beforeAutospacing="0" w:after="0" w:afterAutospacing="0" w:line="260" w:lineRule="exact"/>
              <w:ind w:left="0" w:right="0"/>
              <w:jc w:val="both"/>
              <w:rPr>
                <w:rFonts w:hint="eastAsia" w:ascii="宋体" w:hAnsi="宋体" w:cs="宋体"/>
                <w:sz w:val="24"/>
              </w:rPr>
            </w:pPr>
          </w:p>
          <w:p>
            <w:pPr>
              <w:keepNext w:val="0"/>
              <w:keepLines w:val="0"/>
              <w:suppressLineNumbers w:val="0"/>
              <w:spacing w:before="0" w:beforeAutospacing="0" w:after="0" w:afterAutospacing="0" w:line="260" w:lineRule="exact"/>
              <w:ind w:left="0" w:right="0"/>
              <w:jc w:val="center"/>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sz w:val="24"/>
              </w:rPr>
              <w:t>年    月    日</w:t>
            </w:r>
          </w:p>
          <w:p>
            <w:pPr>
              <w:keepNext w:val="0"/>
              <w:keepLines w:val="0"/>
              <w:suppressLineNumbers w:val="0"/>
              <w:spacing w:before="0" w:beforeAutospacing="0" w:after="0" w:afterAutospacing="0" w:line="260" w:lineRule="exact"/>
              <w:ind w:left="0" w:right="0"/>
              <w:jc w:val="both"/>
              <w:rPr>
                <w:rFonts w:hint="eastAsia" w:ascii="宋体" w:hAnsi="宋体" w:cs="宋体"/>
                <w:sz w:val="24"/>
              </w:rPr>
            </w:pPr>
          </w:p>
          <w:p>
            <w:pPr>
              <w:keepNext w:val="0"/>
              <w:keepLines w:val="0"/>
              <w:suppressLineNumbers w:val="0"/>
              <w:spacing w:before="0" w:beforeAutospacing="0" w:after="0" w:afterAutospacing="0"/>
              <w:ind w:left="0" w:right="0"/>
              <w:rPr>
                <w:rFonts w:hint="eastAsia" w:ascii="宋体" w:hAnsi="宋体" w:cs="宋体"/>
                <w:sz w:val="24"/>
              </w:rPr>
            </w:pPr>
            <w:r>
              <w:rPr>
                <w:rFonts w:hint="eastAsia" w:ascii="宋体" w:hAnsi="宋体" w:cs="宋体"/>
                <w:sz w:val="24"/>
                <w:lang w:val="en-US" w:eastAsia="zh-CN"/>
              </w:rPr>
              <w:t>项目负责人</w:t>
            </w:r>
            <w:r>
              <w:rPr>
                <w:rFonts w:hint="eastAsia" w:ascii="宋体" w:hAnsi="宋体" w:cs="宋体"/>
                <w:sz w:val="24"/>
              </w:rPr>
              <w:t>验收意见:</w:t>
            </w:r>
          </w:p>
          <w:p>
            <w:pPr>
              <w:keepNext w:val="0"/>
              <w:keepLines w:val="0"/>
              <w:suppressLineNumbers w:val="0"/>
              <w:spacing w:before="0" w:beforeAutospacing="0" w:after="0" w:afterAutospacing="0" w:line="260" w:lineRule="exact"/>
              <w:ind w:left="0" w:right="0"/>
              <w:jc w:val="both"/>
              <w:rPr>
                <w:rFonts w:hint="eastAsia" w:ascii="宋体" w:hAnsi="宋体" w:cs="宋体"/>
                <w:sz w:val="24"/>
                <w:lang w:val="en-US" w:eastAsia="zh-CN"/>
              </w:rPr>
            </w:pPr>
            <w:r>
              <w:rPr>
                <w:rFonts w:hint="eastAsia" w:ascii="宋体" w:hAnsi="宋体" w:cs="宋体"/>
                <w:sz w:val="24"/>
                <w:lang w:val="en-US" w:eastAsia="zh-CN"/>
              </w:rPr>
              <w:t xml:space="preserve">签名: </w:t>
            </w:r>
          </w:p>
          <w:p>
            <w:pPr>
              <w:pStyle w:val="7"/>
              <w:keepNext w:val="0"/>
              <w:keepLines w:val="0"/>
              <w:suppressLineNumbers w:val="0"/>
              <w:spacing w:beforeAutospacing="0" w:afterAutospacing="0"/>
              <w:ind w:left="0" w:right="0"/>
              <w:rPr>
                <w:rFonts w:hint="eastAsia" w:cs="宋体"/>
                <w:szCs w:val="24"/>
              </w:rPr>
            </w:pPr>
          </w:p>
          <w:p>
            <w:pPr>
              <w:keepNext w:val="0"/>
              <w:keepLines w:val="0"/>
              <w:suppressLineNumbers w:val="0"/>
              <w:spacing w:before="0" w:beforeAutospacing="0" w:after="0" w:afterAutospacing="0" w:line="260" w:lineRule="exact"/>
              <w:ind w:left="0" w:right="0"/>
              <w:jc w:val="center"/>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sz w:val="24"/>
              </w:rPr>
              <w:t>年    月    日</w:t>
            </w:r>
          </w:p>
          <w:p>
            <w:pPr>
              <w:keepNext w:val="0"/>
              <w:keepLines w:val="0"/>
              <w:suppressLineNumbers w:val="0"/>
              <w:spacing w:before="0" w:beforeAutospacing="0" w:after="0" w:afterAutospacing="0"/>
              <w:ind w:left="0" w:right="0"/>
              <w:rPr>
                <w:rFonts w:hint="eastAsia" w:ascii="宋体" w:hAnsi="宋体" w:cs="宋体"/>
                <w:sz w:val="24"/>
              </w:rPr>
            </w:pPr>
          </w:p>
          <w:p>
            <w:pPr>
              <w:keepNext w:val="0"/>
              <w:keepLines w:val="0"/>
              <w:suppressLineNumbers w:val="0"/>
              <w:spacing w:before="0" w:beforeAutospacing="0" w:after="0" w:afterAutospacing="0"/>
              <w:ind w:left="0" w:right="0"/>
              <w:rPr>
                <w:rFonts w:hint="eastAsia" w:ascii="宋体" w:hAnsi="宋体" w:cs="宋体"/>
                <w:sz w:val="24"/>
              </w:rPr>
            </w:pPr>
            <w:r>
              <w:rPr>
                <w:rFonts w:hint="eastAsia" w:ascii="宋体" w:hAnsi="宋体" w:cs="宋体"/>
                <w:sz w:val="24"/>
              </w:rPr>
              <w:t>部门</w:t>
            </w:r>
            <w:r>
              <w:rPr>
                <w:rFonts w:hint="eastAsia" w:ascii="宋体" w:hAnsi="宋体" w:cs="宋体"/>
                <w:sz w:val="24"/>
                <w:lang w:val="en-US" w:eastAsia="zh-CN"/>
              </w:rPr>
              <w:t>负责人</w:t>
            </w:r>
            <w:r>
              <w:rPr>
                <w:rFonts w:hint="eastAsia" w:ascii="宋体" w:hAnsi="宋体" w:cs="宋体"/>
                <w:sz w:val="24"/>
              </w:rPr>
              <w:t>验收意见:</w:t>
            </w:r>
          </w:p>
          <w:p>
            <w:pPr>
              <w:keepNext w:val="0"/>
              <w:keepLines w:val="0"/>
              <w:suppressLineNumbers w:val="0"/>
              <w:spacing w:before="0" w:beforeAutospacing="0" w:after="0" w:afterAutospacing="0"/>
              <w:ind w:left="0" w:right="0"/>
              <w:rPr>
                <w:rFonts w:hint="eastAsia" w:ascii="宋体" w:hAnsi="宋体" w:cs="宋体"/>
                <w:sz w:val="24"/>
                <w:lang w:val="en-US" w:eastAsia="zh-CN"/>
              </w:rPr>
            </w:pPr>
            <w:r>
              <w:rPr>
                <w:rFonts w:hint="eastAsia" w:ascii="宋体" w:hAnsi="宋体" w:cs="宋体"/>
                <w:sz w:val="24"/>
                <w:lang w:val="en-US" w:eastAsia="zh-CN"/>
              </w:rPr>
              <w:t xml:space="preserve">签名（盖章）:   </w:t>
            </w:r>
          </w:p>
          <w:p>
            <w:pPr>
              <w:keepNext w:val="0"/>
              <w:keepLines w:val="0"/>
              <w:suppressLineNumbers w:val="0"/>
              <w:spacing w:before="0" w:beforeAutospacing="0" w:after="0" w:afterAutospacing="0"/>
              <w:ind w:left="0" w:right="0"/>
              <w:rPr>
                <w:rFonts w:hint="eastAsia" w:ascii="宋体" w:hAnsi="宋体" w:cs="宋体"/>
                <w:sz w:val="24"/>
              </w:rPr>
            </w:pPr>
            <w:r>
              <w:rPr>
                <w:rFonts w:hint="eastAsia" w:ascii="宋体" w:hAnsi="宋体" w:cs="宋体"/>
                <w:sz w:val="24"/>
                <w:lang w:val="en-US" w:eastAsia="zh-CN"/>
              </w:rPr>
              <w:t xml:space="preserve">                                         年    月 </w:t>
            </w:r>
            <w:r>
              <w:rPr>
                <w:rFonts w:hint="eastAsia" w:ascii="宋体" w:hAnsi="宋体" w:cs="宋体"/>
                <w:sz w:val="24"/>
              </w:rPr>
              <w:t xml:space="preserve">   日</w:t>
            </w:r>
          </w:p>
        </w:tc>
      </w:tr>
    </w:tbl>
    <w:p>
      <w:pPr>
        <w:spacing w:line="260" w:lineRule="exact"/>
        <w:jc w:val="left"/>
        <w:rPr>
          <w:rFonts w:hint="eastAsia" w:ascii="宋体" w:hAnsi="宋体"/>
        </w:rPr>
      </w:pPr>
    </w:p>
    <w:p>
      <w:pPr>
        <w:adjustRightInd w:val="0"/>
        <w:snapToGrid w:val="0"/>
        <w:spacing w:line="360" w:lineRule="auto"/>
        <w:ind w:firstLine="420"/>
        <w:rPr>
          <w:rFonts w:hint="eastAsia" w:ascii="宋体" w:hAnsi="宋体" w:eastAsia="宋体" w:cs="宋体"/>
          <w:bCs/>
          <w:sz w:val="24"/>
        </w:rPr>
      </w:pPr>
    </w:p>
    <w:p>
      <w:pPr>
        <w:pStyle w:val="8"/>
        <w:rPr>
          <w:rFonts w:hint="eastAsia"/>
        </w:rPr>
      </w:pPr>
    </w:p>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2"/>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269240" cy="166370"/>
              <wp:effectExtent l="0" t="0" r="0" b="0"/>
              <wp:wrapNone/>
              <wp:docPr id="2" name="文本框 1"/>
              <wp:cNvGraphicFramePr/>
              <a:graphic xmlns:a="http://schemas.openxmlformats.org/drawingml/2006/main">
                <a:graphicData uri="http://schemas.microsoft.com/office/word/2010/wordprocessingShape">
                  <wps:wsp>
                    <wps:cNvSpPr/>
                    <wps:spPr>
                      <a:xfrm>
                        <a:off x="0" y="0"/>
                        <a:ext cx="269239" cy="166370"/>
                      </a:xfrm>
                      <a:prstGeom prst="rect">
                        <a:avLst/>
                      </a:prstGeom>
                      <a:ln>
                        <a:noFill/>
                      </a:ln>
                    </wps:spPr>
                    <wps:txbx>
                      <w:txbxContent>
                        <w:p>
                          <w:pPr>
                            <w:pStyle w:val="12"/>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10</w:t>
                          </w:r>
                          <w:r>
                            <w:rPr>
                              <w:rFonts w:hint="eastAsia" w:ascii="宋体" w:hAnsi="宋体" w:eastAsia="宋体" w:cs="宋体"/>
                              <w:sz w:val="21"/>
                              <w:szCs w:val="21"/>
                            </w:rPr>
                            <w:fldChar w:fldCharType="end"/>
                          </w:r>
                        </w:p>
                      </w:txbxContent>
                    </wps:txbx>
                    <wps:bodyPr vert="horz" wrap="square" lIns="0" tIns="0" rIns="0" bIns="0" anchor="t">
                      <a:noAutofit/>
                    </wps:bodyPr>
                  </wps:wsp>
                </a:graphicData>
              </a:graphic>
            </wp:anchor>
          </w:drawing>
        </mc:Choice>
        <mc:Fallback>
          <w:pict>
            <v:rect id="文本框 1" o:spid="_x0000_s1026" o:spt="1" style="position:absolute;left:0pt;margin-top:0pt;height:13.1pt;width:21.2pt;mso-position-horizontal:center;mso-position-horizontal-relative:margin;z-index:251660288;mso-width-relative:page;mso-height-relative:page;" filled="f" stroked="f" coordsize="21600,21600" o:gfxdata="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gTZw9UAAAADAQAADwAAAAAAAAABACAAAAAiAAAAZHJz&#10;L2Rvd25yZXYueG1sUEsBAhQAFAAAAAgAh07iQI/bY8POAQAAjwMAAA4AAAAAAAAAAQAgAAAAJAEA&#10;AGRycy9lMm9Eb2MueG1sUEsFBgAAAAAGAAYAWQEAAGQFAAAAAA==&#10;">
              <v:fill on="f" focussize="0,0"/>
              <v:stroke on="f"/>
              <v:imagedata o:title=""/>
              <o:lock v:ext="edit" aspectratio="f"/>
              <v:textbox inset="0mm,0mm,0mm,0mm">
                <w:txbxContent>
                  <w:p>
                    <w:pPr>
                      <w:pStyle w:val="12"/>
                      <w:rPr>
                        <w:rFonts w:hint="eastAsia" w:ascii="宋体" w:hAnsi="宋体" w:eastAsia="宋体" w:cs="宋体"/>
                        <w:sz w:val="21"/>
                        <w:szCs w:val="21"/>
                      </w:rPr>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10</w:t>
                    </w:r>
                    <w:r>
                      <w:rPr>
                        <w:rFonts w:hint="eastAsia" w:ascii="宋体" w:hAnsi="宋体" w:eastAsia="宋体" w:cs="宋体"/>
                        <w:sz w:val="21"/>
                        <w:szCs w:val="21"/>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F8C25E"/>
    <w:multiLevelType w:val="singleLevel"/>
    <w:tmpl w:val="AAF8C25E"/>
    <w:lvl w:ilvl="0" w:tentative="0">
      <w:start w:val="1"/>
      <w:numFmt w:val="decimal"/>
      <w:lvlText w:val="%1."/>
      <w:lvlJc w:val="left"/>
      <w:pPr>
        <w:ind w:left="425" w:hanging="425"/>
      </w:pPr>
      <w:rPr>
        <w:rFonts w:hint="default"/>
      </w:rPr>
    </w:lvl>
  </w:abstractNum>
  <w:abstractNum w:abstractNumId="1">
    <w:nsid w:val="D4455622"/>
    <w:multiLevelType w:val="singleLevel"/>
    <w:tmpl w:val="D4455622"/>
    <w:lvl w:ilvl="0" w:tentative="0">
      <w:start w:val="1"/>
      <w:numFmt w:val="decimal"/>
      <w:lvlText w:val="%1."/>
      <w:lvlJc w:val="left"/>
      <w:pPr>
        <w:ind w:left="425" w:hanging="425"/>
      </w:pPr>
      <w:rPr>
        <w:rFonts w:hint="default"/>
      </w:rPr>
    </w:lvl>
  </w:abstractNum>
  <w:abstractNum w:abstractNumId="2">
    <w:nsid w:val="F4D712CF"/>
    <w:multiLevelType w:val="singleLevel"/>
    <w:tmpl w:val="F4D712CF"/>
    <w:lvl w:ilvl="0" w:tentative="0">
      <w:start w:val="1"/>
      <w:numFmt w:val="decimal"/>
      <w:lvlText w:val="%1."/>
      <w:lvlJc w:val="left"/>
      <w:pPr>
        <w:ind w:left="425" w:hanging="425"/>
      </w:pPr>
      <w:rPr>
        <w:rFonts w:hint="default"/>
      </w:rPr>
    </w:lvl>
  </w:abstractNum>
  <w:abstractNum w:abstractNumId="3">
    <w:nsid w:val="FE8692EB"/>
    <w:multiLevelType w:val="singleLevel"/>
    <w:tmpl w:val="FE8692EB"/>
    <w:lvl w:ilvl="0" w:tentative="0">
      <w:start w:val="1"/>
      <w:numFmt w:val="decimal"/>
      <w:lvlText w:val="%1."/>
      <w:lvlJc w:val="left"/>
      <w:pPr>
        <w:ind w:left="425" w:hanging="425"/>
      </w:pPr>
      <w:rPr>
        <w:rFonts w:hint="default"/>
      </w:rPr>
    </w:lvl>
  </w:abstractNum>
  <w:abstractNum w:abstractNumId="4">
    <w:nsid w:val="3927C5F1"/>
    <w:multiLevelType w:val="singleLevel"/>
    <w:tmpl w:val="3927C5F1"/>
    <w:lvl w:ilvl="0" w:tentative="0">
      <w:start w:val="1"/>
      <w:numFmt w:val="decimal"/>
      <w:lvlText w:val="%1."/>
      <w:lvlJc w:val="left"/>
      <w:pPr>
        <w:ind w:left="425" w:hanging="425"/>
      </w:pPr>
      <w:rPr>
        <w:rFonts w:hint="default"/>
      </w:rPr>
    </w:lvl>
  </w:abstractNum>
  <w:abstractNum w:abstractNumId="5">
    <w:nsid w:val="3D7429CC"/>
    <w:multiLevelType w:val="singleLevel"/>
    <w:tmpl w:val="3D7429CC"/>
    <w:lvl w:ilvl="0" w:tentative="0">
      <w:start w:val="1"/>
      <w:numFmt w:val="decimal"/>
      <w:lvlText w:val="%1."/>
      <w:lvlJc w:val="left"/>
      <w:pPr>
        <w:ind w:left="415" w:hanging="425"/>
      </w:pPr>
      <w:rPr>
        <w:rFonts w:hint="default"/>
      </w:rPr>
    </w:lvl>
  </w:abstractNum>
  <w:abstractNum w:abstractNumId="6">
    <w:nsid w:val="4B4D0E38"/>
    <w:multiLevelType w:val="singleLevel"/>
    <w:tmpl w:val="4B4D0E38"/>
    <w:lvl w:ilvl="0" w:tentative="0">
      <w:start w:val="1"/>
      <w:numFmt w:val="decimal"/>
      <w:lvlText w:val="%1."/>
      <w:lvlJc w:val="left"/>
      <w:pPr>
        <w:ind w:left="425" w:hanging="425"/>
      </w:pPr>
      <w:rPr>
        <w:rFonts w:hint="default"/>
      </w:rPr>
    </w:lvl>
  </w:abstractNum>
  <w:abstractNum w:abstractNumId="7">
    <w:nsid w:val="7F4D6EFD"/>
    <w:multiLevelType w:val="singleLevel"/>
    <w:tmpl w:val="7F4D6EFD"/>
    <w:lvl w:ilvl="0" w:tentative="0">
      <w:start w:val="1"/>
      <w:numFmt w:val="decimal"/>
      <w:pStyle w:val="23"/>
      <w:lvlText w:val="%1."/>
      <w:lvlJc w:val="left"/>
      <w:pPr>
        <w:ind w:left="425" w:hanging="425"/>
      </w:pPr>
      <w:rPr>
        <w:rFonts w:hint="default"/>
      </w:rPr>
    </w:lvl>
  </w:abstractNum>
  <w:num w:numId="1">
    <w:abstractNumId w:val="7"/>
  </w:num>
  <w:num w:numId="2">
    <w:abstractNumId w:val="3"/>
  </w:num>
  <w:num w:numId="3">
    <w:abstractNumId w:val="6"/>
  </w:num>
  <w:num w:numId="4">
    <w:abstractNumId w:val="4"/>
  </w:num>
  <w:num w:numId="5">
    <w:abstractNumId w:val="5"/>
  </w:num>
  <w:num w:numId="6">
    <w:abstractNumId w:val="2"/>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dkZGQ3MGM3ZDVlNzQ2NTUxOWMwMTg5YjNjYTY5YTUifQ=="/>
  </w:docVars>
  <w:rsids>
    <w:rsidRoot w:val="009F6A57"/>
    <w:rsid w:val="00277080"/>
    <w:rsid w:val="002D284B"/>
    <w:rsid w:val="005C3820"/>
    <w:rsid w:val="00665294"/>
    <w:rsid w:val="00720715"/>
    <w:rsid w:val="008051E6"/>
    <w:rsid w:val="009F6A57"/>
    <w:rsid w:val="00F743EB"/>
    <w:rsid w:val="01802087"/>
    <w:rsid w:val="03342598"/>
    <w:rsid w:val="03A61854"/>
    <w:rsid w:val="03F55A09"/>
    <w:rsid w:val="045860DC"/>
    <w:rsid w:val="06770E4D"/>
    <w:rsid w:val="07417AA4"/>
    <w:rsid w:val="076F4081"/>
    <w:rsid w:val="08966387"/>
    <w:rsid w:val="08FB6ACC"/>
    <w:rsid w:val="0A282B82"/>
    <w:rsid w:val="0B2E7509"/>
    <w:rsid w:val="0B587392"/>
    <w:rsid w:val="0C245344"/>
    <w:rsid w:val="0D37118E"/>
    <w:rsid w:val="0D3C3F69"/>
    <w:rsid w:val="0D524167"/>
    <w:rsid w:val="0E543B9A"/>
    <w:rsid w:val="0E935DF8"/>
    <w:rsid w:val="105D1C75"/>
    <w:rsid w:val="10910883"/>
    <w:rsid w:val="10FD1EF0"/>
    <w:rsid w:val="11185EC0"/>
    <w:rsid w:val="12653C2C"/>
    <w:rsid w:val="13812972"/>
    <w:rsid w:val="13F9356A"/>
    <w:rsid w:val="14255513"/>
    <w:rsid w:val="14284D4F"/>
    <w:rsid w:val="14661DBB"/>
    <w:rsid w:val="1746164F"/>
    <w:rsid w:val="17AD27E8"/>
    <w:rsid w:val="180F5691"/>
    <w:rsid w:val="18116639"/>
    <w:rsid w:val="19212C4B"/>
    <w:rsid w:val="196835EF"/>
    <w:rsid w:val="1A49428D"/>
    <w:rsid w:val="1A807D07"/>
    <w:rsid w:val="1AFB1ADE"/>
    <w:rsid w:val="1BFC351F"/>
    <w:rsid w:val="1C1804BE"/>
    <w:rsid w:val="1CF93261"/>
    <w:rsid w:val="1D420B90"/>
    <w:rsid w:val="1DBE5E14"/>
    <w:rsid w:val="1E9004B2"/>
    <w:rsid w:val="1F081832"/>
    <w:rsid w:val="1F6A3FD3"/>
    <w:rsid w:val="1FC50AE2"/>
    <w:rsid w:val="1FE25607"/>
    <w:rsid w:val="203D0790"/>
    <w:rsid w:val="205056C0"/>
    <w:rsid w:val="20B42736"/>
    <w:rsid w:val="2184317C"/>
    <w:rsid w:val="2297614E"/>
    <w:rsid w:val="23247512"/>
    <w:rsid w:val="233B65CE"/>
    <w:rsid w:val="23420F86"/>
    <w:rsid w:val="237B1337"/>
    <w:rsid w:val="23CD2088"/>
    <w:rsid w:val="23DA0664"/>
    <w:rsid w:val="24294D1C"/>
    <w:rsid w:val="24C13E99"/>
    <w:rsid w:val="252D13CC"/>
    <w:rsid w:val="259D7460"/>
    <w:rsid w:val="25DE70C9"/>
    <w:rsid w:val="26B35DCE"/>
    <w:rsid w:val="27D66974"/>
    <w:rsid w:val="288D6BFC"/>
    <w:rsid w:val="2A750BB8"/>
    <w:rsid w:val="2AB71D55"/>
    <w:rsid w:val="2AE445CE"/>
    <w:rsid w:val="2B2B426A"/>
    <w:rsid w:val="2D68055C"/>
    <w:rsid w:val="2D93734D"/>
    <w:rsid w:val="2DF15B0F"/>
    <w:rsid w:val="2E21734D"/>
    <w:rsid w:val="2EAB429F"/>
    <w:rsid w:val="2EBC1693"/>
    <w:rsid w:val="2EEA1985"/>
    <w:rsid w:val="2EFF57A9"/>
    <w:rsid w:val="2F2123FA"/>
    <w:rsid w:val="2F444E21"/>
    <w:rsid w:val="2F7529B1"/>
    <w:rsid w:val="2FEC2F0D"/>
    <w:rsid w:val="30292DBB"/>
    <w:rsid w:val="30480523"/>
    <w:rsid w:val="32B30981"/>
    <w:rsid w:val="339B13BA"/>
    <w:rsid w:val="35960EC9"/>
    <w:rsid w:val="36C605ED"/>
    <w:rsid w:val="38085293"/>
    <w:rsid w:val="38FB4794"/>
    <w:rsid w:val="39CF25C6"/>
    <w:rsid w:val="39E723B7"/>
    <w:rsid w:val="3A803D8C"/>
    <w:rsid w:val="3B9E5839"/>
    <w:rsid w:val="3C756785"/>
    <w:rsid w:val="3D3F6C08"/>
    <w:rsid w:val="3D611881"/>
    <w:rsid w:val="3F730783"/>
    <w:rsid w:val="404A2495"/>
    <w:rsid w:val="40792881"/>
    <w:rsid w:val="40DA09A0"/>
    <w:rsid w:val="41371D0B"/>
    <w:rsid w:val="4176103E"/>
    <w:rsid w:val="41875415"/>
    <w:rsid w:val="43CD3386"/>
    <w:rsid w:val="451B7892"/>
    <w:rsid w:val="459911EB"/>
    <w:rsid w:val="45C939AC"/>
    <w:rsid w:val="46565401"/>
    <w:rsid w:val="46800A43"/>
    <w:rsid w:val="468A3DC6"/>
    <w:rsid w:val="472410B9"/>
    <w:rsid w:val="47580F9C"/>
    <w:rsid w:val="476F510E"/>
    <w:rsid w:val="47D269A8"/>
    <w:rsid w:val="49D40F08"/>
    <w:rsid w:val="4A15019B"/>
    <w:rsid w:val="4AA56185"/>
    <w:rsid w:val="4B5E57C9"/>
    <w:rsid w:val="4C012A5E"/>
    <w:rsid w:val="4C1F216E"/>
    <w:rsid w:val="4E491CF8"/>
    <w:rsid w:val="4E6F68C1"/>
    <w:rsid w:val="4F2F6F67"/>
    <w:rsid w:val="4F5515F6"/>
    <w:rsid w:val="504A7A90"/>
    <w:rsid w:val="5054095A"/>
    <w:rsid w:val="51F62284"/>
    <w:rsid w:val="523D74FE"/>
    <w:rsid w:val="54042262"/>
    <w:rsid w:val="54816D3E"/>
    <w:rsid w:val="54866F71"/>
    <w:rsid w:val="54DA32C1"/>
    <w:rsid w:val="554B09E5"/>
    <w:rsid w:val="56183FCE"/>
    <w:rsid w:val="561F25AC"/>
    <w:rsid w:val="568A1318"/>
    <w:rsid w:val="56CD6F6C"/>
    <w:rsid w:val="57157E03"/>
    <w:rsid w:val="581B3040"/>
    <w:rsid w:val="594402BF"/>
    <w:rsid w:val="5A4B3A33"/>
    <w:rsid w:val="5B235C95"/>
    <w:rsid w:val="5B880981"/>
    <w:rsid w:val="5C7C20BF"/>
    <w:rsid w:val="5D244B01"/>
    <w:rsid w:val="5DFA190D"/>
    <w:rsid w:val="5E1F6577"/>
    <w:rsid w:val="5E3F0130"/>
    <w:rsid w:val="5F097715"/>
    <w:rsid w:val="5F394DE3"/>
    <w:rsid w:val="5F4436AA"/>
    <w:rsid w:val="5F8D3F0F"/>
    <w:rsid w:val="5FEB081C"/>
    <w:rsid w:val="60464CD1"/>
    <w:rsid w:val="607D06D2"/>
    <w:rsid w:val="61281D72"/>
    <w:rsid w:val="61C11ADD"/>
    <w:rsid w:val="638B28E8"/>
    <w:rsid w:val="64657690"/>
    <w:rsid w:val="65741929"/>
    <w:rsid w:val="658F09AC"/>
    <w:rsid w:val="67223341"/>
    <w:rsid w:val="6A0C214B"/>
    <w:rsid w:val="6A30155D"/>
    <w:rsid w:val="6C490594"/>
    <w:rsid w:val="6CD45137"/>
    <w:rsid w:val="6D3F38CB"/>
    <w:rsid w:val="6D495EB5"/>
    <w:rsid w:val="6D977E99"/>
    <w:rsid w:val="6DC57F65"/>
    <w:rsid w:val="6DE211D7"/>
    <w:rsid w:val="6E98699D"/>
    <w:rsid w:val="6ECA4B37"/>
    <w:rsid w:val="6F801900"/>
    <w:rsid w:val="6F8B16CB"/>
    <w:rsid w:val="6F9D5C29"/>
    <w:rsid w:val="704F5F9A"/>
    <w:rsid w:val="70A00E07"/>
    <w:rsid w:val="70EC3E98"/>
    <w:rsid w:val="710C5F7D"/>
    <w:rsid w:val="7253189E"/>
    <w:rsid w:val="72C556EB"/>
    <w:rsid w:val="72FC41BD"/>
    <w:rsid w:val="748B448C"/>
    <w:rsid w:val="74A643ED"/>
    <w:rsid w:val="754E7354"/>
    <w:rsid w:val="765D5117"/>
    <w:rsid w:val="766778A1"/>
    <w:rsid w:val="77556255"/>
    <w:rsid w:val="776E666A"/>
    <w:rsid w:val="78037497"/>
    <w:rsid w:val="78852349"/>
    <w:rsid w:val="792B1296"/>
    <w:rsid w:val="793D7284"/>
    <w:rsid w:val="7A186697"/>
    <w:rsid w:val="7A417F22"/>
    <w:rsid w:val="7A9A52EC"/>
    <w:rsid w:val="7AA2343E"/>
    <w:rsid w:val="7B8A1FFF"/>
    <w:rsid w:val="7BAE00F8"/>
    <w:rsid w:val="7BBF55AB"/>
    <w:rsid w:val="7CFA6000"/>
    <w:rsid w:val="7D6F4574"/>
    <w:rsid w:val="7D7D2BE0"/>
    <w:rsid w:val="7F4114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line="360" w:lineRule="auto"/>
      <w:ind w:firstLine="643" w:firstLineChars="200"/>
      <w:outlineLvl w:val="0"/>
    </w:pPr>
    <w:rPr>
      <w:rFonts w:ascii="Times New Roman" w:hAnsi="Times New Roman"/>
      <w:b/>
      <w:kern w:val="44"/>
      <w:sz w:val="36"/>
    </w:rPr>
  </w:style>
  <w:style w:type="paragraph" w:styleId="4">
    <w:name w:val="heading 2"/>
    <w:basedOn w:val="1"/>
    <w:next w:val="1"/>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5">
    <w:name w:val="heading 3"/>
    <w:basedOn w:val="1"/>
    <w:next w:val="1"/>
    <w:qFormat/>
    <w:uiPriority w:val="0"/>
    <w:pPr>
      <w:keepNext/>
      <w:keepLines/>
      <w:spacing w:before="260" w:after="260" w:line="413" w:lineRule="auto"/>
      <w:outlineLvl w:val="2"/>
    </w:pPr>
    <w:rPr>
      <w:b/>
      <w:sz w:val="32"/>
    </w:rPr>
  </w:style>
  <w:style w:type="character" w:default="1" w:styleId="19">
    <w:name w:val="Default Paragraph Font"/>
    <w:semiHidden/>
    <w:unhideWhenUsed/>
    <w:qFormat/>
    <w:uiPriority w:val="1"/>
  </w:style>
  <w:style w:type="table" w:default="1" w:styleId="17">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toc 2"/>
    <w:basedOn w:val="1"/>
    <w:next w:val="1"/>
    <w:qFormat/>
    <w:uiPriority w:val="39"/>
    <w:pPr>
      <w:tabs>
        <w:tab w:val="right" w:leader="dot" w:pos="8302"/>
      </w:tabs>
      <w:snapToGrid w:val="0"/>
      <w:spacing w:line="360" w:lineRule="auto"/>
      <w:ind w:left="525" w:hanging="4"/>
    </w:pPr>
    <w:rPr>
      <w:sz w:val="24"/>
      <w:szCs w:val="20"/>
    </w:rPr>
  </w:style>
  <w:style w:type="paragraph" w:styleId="6">
    <w:name w:val="annotation text"/>
    <w:basedOn w:val="1"/>
    <w:qFormat/>
    <w:uiPriority w:val="0"/>
    <w:pPr>
      <w:jc w:val="left"/>
    </w:pPr>
  </w:style>
  <w:style w:type="paragraph" w:styleId="7">
    <w:name w:val="Body Text"/>
    <w:basedOn w:val="8"/>
    <w:next w:val="8"/>
    <w:qFormat/>
    <w:uiPriority w:val="0"/>
    <w:pPr>
      <w:jc w:val="center"/>
    </w:pPr>
    <w:rPr>
      <w:rFonts w:ascii="宋体" w:hAnsi="宋体"/>
      <w:sz w:val="24"/>
    </w:rPr>
  </w:style>
  <w:style w:type="paragraph" w:styleId="8">
    <w:name w:val="Title"/>
    <w:basedOn w:val="1"/>
    <w:next w:val="1"/>
    <w:qFormat/>
    <w:uiPriority w:val="0"/>
    <w:pPr>
      <w:spacing w:before="240" w:after="60"/>
      <w:jc w:val="center"/>
      <w:outlineLvl w:val="0"/>
    </w:pPr>
    <w:rPr>
      <w:rFonts w:ascii="Arial" w:hAnsi="Arial"/>
      <w:b/>
      <w:bCs/>
      <w:sz w:val="32"/>
      <w:szCs w:val="32"/>
    </w:rPr>
  </w:style>
  <w:style w:type="paragraph" w:styleId="9">
    <w:name w:val="Body Text Indent"/>
    <w:basedOn w:val="1"/>
    <w:qFormat/>
    <w:uiPriority w:val="0"/>
    <w:pPr>
      <w:spacing w:after="120"/>
      <w:ind w:left="420"/>
    </w:pPr>
  </w:style>
  <w:style w:type="paragraph" w:styleId="10">
    <w:name w:val="Plain Text"/>
    <w:basedOn w:val="1"/>
    <w:qFormat/>
    <w:uiPriority w:val="0"/>
    <w:rPr>
      <w:rFonts w:ascii="宋体" w:hAnsi="Courier New" w:cs="Courier New"/>
      <w:szCs w:val="21"/>
    </w:rPr>
  </w:style>
  <w:style w:type="paragraph" w:styleId="11">
    <w:name w:val="Balloon Text"/>
    <w:basedOn w:val="1"/>
    <w:link w:val="34"/>
    <w:qFormat/>
    <w:uiPriority w:val="0"/>
    <w:rPr>
      <w:sz w:val="18"/>
      <w:szCs w:val="18"/>
    </w:rPr>
  </w:style>
  <w:style w:type="paragraph" w:styleId="12">
    <w:name w:val="footer"/>
    <w:basedOn w:val="1"/>
    <w:qFormat/>
    <w:uiPriority w:val="0"/>
    <w:pPr>
      <w:tabs>
        <w:tab w:val="center" w:pos="4153"/>
        <w:tab w:val="right" w:pos="8306"/>
      </w:tabs>
      <w:snapToGrid w:val="0"/>
      <w:jc w:val="left"/>
    </w:pPr>
    <w:rPr>
      <w:sz w:val="18"/>
    </w:rPr>
  </w:style>
  <w:style w:type="paragraph" w:styleId="13">
    <w:name w:val="header"/>
    <w:basedOn w:val="1"/>
    <w:link w:val="36"/>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4">
    <w:name w:val="toc 1"/>
    <w:basedOn w:val="1"/>
    <w:next w:val="1"/>
    <w:qFormat/>
    <w:uiPriority w:val="39"/>
  </w:style>
  <w:style w:type="paragraph" w:styleId="15">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6">
    <w:name w:val="Body Text First Indent 2"/>
    <w:basedOn w:val="9"/>
    <w:qFormat/>
    <w:uiPriority w:val="0"/>
    <w:pPr>
      <w:ind w:firstLine="42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Hyperlink"/>
    <w:basedOn w:val="19"/>
    <w:qFormat/>
    <w:uiPriority w:val="99"/>
  </w:style>
  <w:style w:type="character" w:styleId="21">
    <w:name w:val="annotation reference"/>
    <w:basedOn w:val="19"/>
    <w:qFormat/>
    <w:uiPriority w:val="0"/>
    <w:rPr>
      <w:sz w:val="18"/>
      <w:szCs w:val="18"/>
    </w:rPr>
  </w:style>
  <w:style w:type="paragraph" w:customStyle="1" w:styleId="22">
    <w:name w:val="首行缩进"/>
    <w:basedOn w:val="1"/>
    <w:qFormat/>
    <w:uiPriority w:val="0"/>
    <w:pPr>
      <w:ind w:firstLine="480" w:firstLineChars="200"/>
    </w:pPr>
    <w:rPr>
      <w:lang w:val="zh-CN"/>
    </w:rPr>
  </w:style>
  <w:style w:type="paragraph" w:customStyle="1" w:styleId="23">
    <w:name w:val="标题1"/>
    <w:basedOn w:val="4"/>
    <w:next w:val="1"/>
    <w:qFormat/>
    <w:uiPriority w:val="0"/>
    <w:pPr>
      <w:numPr>
        <w:ilvl w:val="0"/>
        <w:numId w:val="1"/>
      </w:numPr>
    </w:pPr>
    <w:rPr>
      <w:rFonts w:hAnsi="黑体"/>
    </w:rPr>
  </w:style>
  <w:style w:type="paragraph" w:customStyle="1" w:styleId="24">
    <w:name w:val="首页项目名称"/>
    <w:link w:val="26"/>
    <w:qFormat/>
    <w:uiPriority w:val="0"/>
    <w:pPr>
      <w:jc w:val="center"/>
    </w:pPr>
    <w:rPr>
      <w:rFonts w:ascii="Times New Roman" w:hAnsi="Times New Roman" w:eastAsia="隶书" w:cs="Times New Roman"/>
      <w:sz w:val="52"/>
      <w:lang w:val="en-US" w:eastAsia="zh-CN" w:bidi="ar-SA"/>
    </w:rPr>
  </w:style>
  <w:style w:type="paragraph" w:customStyle="1" w:styleId="25">
    <w:name w:val="首页日期"/>
    <w:basedOn w:val="1"/>
    <w:link w:val="27"/>
    <w:qFormat/>
    <w:uiPriority w:val="0"/>
    <w:pPr>
      <w:jc w:val="center"/>
    </w:pPr>
    <w:rPr>
      <w:rFonts w:eastAsia="楷体"/>
      <w:sz w:val="32"/>
    </w:rPr>
  </w:style>
  <w:style w:type="character" w:customStyle="1" w:styleId="26">
    <w:name w:val="首页项目名称 Char"/>
    <w:link w:val="24"/>
    <w:qFormat/>
    <w:uiPriority w:val="0"/>
    <w:rPr>
      <w:rFonts w:ascii="Times New Roman" w:hAnsi="Times New Roman" w:eastAsia="隶书"/>
      <w:sz w:val="52"/>
    </w:rPr>
  </w:style>
  <w:style w:type="character" w:customStyle="1" w:styleId="27">
    <w:name w:val="首页日期 Char"/>
    <w:link w:val="25"/>
    <w:qFormat/>
    <w:uiPriority w:val="0"/>
    <w:rPr>
      <w:rFonts w:ascii="Times New Roman" w:hAnsi="Times New Roman" w:eastAsia="楷体"/>
      <w:sz w:val="32"/>
    </w:rPr>
  </w:style>
  <w:style w:type="paragraph" w:customStyle="1" w:styleId="28">
    <w:name w:val="一标题"/>
    <w:link w:val="29"/>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9">
    <w:name w:val="一标题 Char"/>
    <w:link w:val="28"/>
    <w:qFormat/>
    <w:uiPriority w:val="0"/>
    <w:rPr>
      <w:rFonts w:ascii="宋体" w:hAnsi="宋体" w:eastAsia="宋体" w:cs="Times New Roman"/>
      <w:b/>
      <w:sz w:val="24"/>
    </w:rPr>
  </w:style>
  <w:style w:type="paragraph" w:customStyle="1" w:styleId="30">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1">
    <w:name w:val="正文仿宋小四缩进"/>
    <w:basedOn w:val="1"/>
    <w:qFormat/>
    <w:uiPriority w:val="99"/>
    <w:pPr>
      <w:adjustRightInd w:val="0"/>
      <w:snapToGrid w:val="0"/>
      <w:spacing w:line="300" w:lineRule="auto"/>
      <w:ind w:firstLine="485" w:firstLineChars="202"/>
      <w:jc w:val="left"/>
    </w:pPr>
    <w:rPr>
      <w:rFonts w:eastAsia="仿宋_GB2312"/>
      <w:sz w:val="28"/>
      <w:szCs w:val="28"/>
    </w:rPr>
  </w:style>
  <w:style w:type="paragraph" w:styleId="32">
    <w:name w:val="List Paragraph"/>
    <w:basedOn w:val="1"/>
    <w:qFormat/>
    <w:uiPriority w:val="99"/>
    <w:pPr>
      <w:ind w:firstLine="420" w:firstLineChars="200"/>
    </w:pPr>
  </w:style>
  <w:style w:type="paragraph" w:customStyle="1" w:styleId="33">
    <w:name w:val="表格仿宋小四居中"/>
    <w:basedOn w:val="1"/>
    <w:qFormat/>
    <w:uiPriority w:val="99"/>
    <w:pPr>
      <w:framePr w:hSpace="180" w:wrap="around" w:vAnchor="text" w:hAnchor="page" w:x="1327" w:y="205"/>
      <w:jc w:val="center"/>
    </w:pPr>
    <w:rPr>
      <w:rFonts w:ascii="仿宋" w:hAnsi="仿宋" w:eastAsia="仿宋"/>
      <w:sz w:val="24"/>
    </w:rPr>
  </w:style>
  <w:style w:type="character" w:customStyle="1" w:styleId="34">
    <w:name w:val="批注框文本 字符"/>
    <w:basedOn w:val="19"/>
    <w:link w:val="11"/>
    <w:qFormat/>
    <w:uiPriority w:val="0"/>
    <w:rPr>
      <w:rFonts w:ascii="Times New Roman" w:hAnsi="Times New Roman"/>
      <w:kern w:val="2"/>
      <w:sz w:val="18"/>
      <w:szCs w:val="18"/>
    </w:rPr>
  </w:style>
  <w:style w:type="table" w:customStyle="1" w:styleId="35">
    <w:name w:val="网格型2"/>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6">
    <w:name w:val="页眉 字符"/>
    <w:link w:val="13"/>
    <w:qFormat/>
    <w:uiPriority w:val="0"/>
    <w:rPr>
      <w:rFonts w:ascii="Times New Roman" w:hAnsi="Times New Roman"/>
      <w:kern w:val="2"/>
      <w:sz w:val="18"/>
      <w:szCs w:val="24"/>
    </w:rPr>
  </w:style>
  <w:style w:type="paragraph" w:customStyle="1" w:styleId="37">
    <w:name w:val="列表段落2"/>
    <w:basedOn w:val="1"/>
    <w:qFormat/>
    <w:uiPriority w:val="99"/>
    <w:pPr>
      <w:ind w:firstLine="420"/>
    </w:pPr>
    <w:rPr>
      <w:rFonts w:ascii="Calibri" w:hAnsi="Calibri" w:cs="宋体"/>
      <w:szCs w:val="22"/>
    </w:rPr>
  </w:style>
  <w:style w:type="paragraph" w:customStyle="1" w:styleId="38">
    <w:name w:val="修订1"/>
    <w:qFormat/>
    <w:uiPriority w:val="99"/>
    <w:rPr>
      <w:rFonts w:ascii="Times New Roman" w:hAnsi="Times New Roman" w:eastAsia="宋体" w:cs="Times New Roman"/>
      <w:kern w:val="2"/>
      <w:sz w:val="21"/>
      <w:szCs w:val="24"/>
      <w:lang w:val="en-US" w:eastAsia="zh-CN" w:bidi="ar-SA"/>
    </w:rPr>
  </w:style>
  <w:style w:type="paragraph" w:customStyle="1" w:styleId="39">
    <w:name w:val="Revision_2482d670-ebac-4c55-9418-b08d22d292fe"/>
    <w:qFormat/>
    <w:uiPriority w:val="99"/>
    <w:rPr>
      <w:rFonts w:ascii="Times New Roman" w:hAnsi="Times New Roman" w:eastAsia="宋体" w:cs="Times New Roman"/>
      <w:kern w:val="2"/>
      <w:sz w:val="21"/>
      <w:szCs w:val="24"/>
      <w:lang w:val="en-US" w:eastAsia="zh-CN" w:bidi="ar-SA"/>
    </w:rPr>
  </w:style>
  <w:style w:type="paragraph" w:customStyle="1" w:styleId="40">
    <w:name w:val="_Style 13"/>
    <w:basedOn w:val="1"/>
    <w:uiPriority w:val="0"/>
    <w:pPr>
      <w:spacing w:before="120" w:beforeAutospacing="0" w:after="120" w:afterAutospacing="0" w:line="288" w:lineRule="auto"/>
      <w:ind w:left="0"/>
      <w:jc w:val="left"/>
    </w:pPr>
    <w:rPr>
      <w:rFonts w:hint="default" w:ascii="Arial" w:hAnsi="Arial" w:eastAsia="等线" w:cs="Arial"/>
      <w:kern w:val="0"/>
      <w:sz w:val="22"/>
      <w:szCs w:val="22"/>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3234</Words>
  <Characters>3445</Characters>
  <Lines>1</Lines>
  <Paragraphs>1</Paragraphs>
  <TotalTime>5</TotalTime>
  <ScaleCrop>false</ScaleCrop>
  <LinksUpToDate>false</LinksUpToDate>
  <CharactersWithSpaces>3474</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2021-09-03T03:17:00Z</dcterms:created>
  <dc:creator>shenpeiyi</dc:creator>
  <cp:lastModifiedBy>PC-HSFD-WenTing</cp:lastModifiedBy>
  <dcterms:modified xsi:type="dcterms:W3CDTF">2025-08-13T02:42:27Z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CFECD42FD6D0467FA97143FDFD0B3BED_13</vt:lpwstr>
  </property>
  <property fmtid="{D5CDD505-2E9C-101B-9397-08002B2CF9AE}" pid="4" name="GrammarlyDocumentId">
    <vt:lpwstr>2a43c814c2e40cf584cf37ba8197743a22dd02705183b02fd8c964bd82b8c9b3</vt:lpwstr>
  </property>
  <property fmtid="{D5CDD505-2E9C-101B-9397-08002B2CF9AE}" pid="5" name="KSOTemplateDocerSaveRecord">
    <vt:lpwstr>eyJoZGlkIjoiMjkwMTQ5MmE0ZWVjNGIyZTQ3ODI3YzNlYWU5ZDcyNGQiLCJ1c2VySWQiOiIxNTc1MDc3Njc1In0=</vt:lpwstr>
  </property>
</Properties>
</file>