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AE5D0">
      <w:pPr>
        <w:keepNext w:val="0"/>
        <w:keepLines w:val="0"/>
        <w:pageBreakBefore w:val="0"/>
        <w:widowControl w:val="0"/>
        <w:kinsoku/>
        <w:wordWrap/>
        <w:overflowPunct/>
        <w:topLinePunct w:val="0"/>
        <w:autoSpaceDE/>
        <w:autoSpaceDN/>
        <w:bidi w:val="0"/>
        <w:adjustRightInd/>
        <w:snapToGrid w:val="0"/>
        <w:spacing w:line="480" w:lineRule="auto"/>
        <w:jc w:val="center"/>
        <w:textAlignment w:val="auto"/>
        <w:rPr>
          <w:rFonts w:hint="eastAsia" w:ascii="宋体" w:hAnsi="宋体" w:eastAsia="宋体" w:cs="宋体"/>
          <w:b/>
          <w:bCs/>
          <w:sz w:val="36"/>
          <w:szCs w:val="40"/>
        </w:rPr>
      </w:pPr>
      <w:r>
        <w:rPr>
          <w:rFonts w:hint="eastAsia" w:ascii="宋体" w:hAnsi="宋体" w:eastAsia="宋体" w:cs="宋体"/>
          <w:b/>
          <w:bCs/>
          <w:sz w:val="36"/>
          <w:szCs w:val="40"/>
          <w:highlight w:val="none"/>
        </w:rPr>
        <w:t>云南电力试验研究院（集团）有限公司新能源快速接驳智能配电模块终端装置</w:t>
      </w:r>
      <w:r>
        <w:rPr>
          <w:rFonts w:hint="eastAsia" w:ascii="宋体" w:hAnsi="宋体" w:eastAsia="宋体" w:cs="宋体"/>
          <w:b/>
          <w:bCs/>
          <w:sz w:val="36"/>
          <w:szCs w:val="40"/>
        </w:rPr>
        <w:t>项目</w:t>
      </w:r>
      <w:r>
        <w:rPr>
          <w:rFonts w:hint="eastAsia" w:ascii="宋体" w:hAnsi="宋体" w:eastAsia="宋体" w:cs="宋体"/>
          <w:b/>
          <w:bCs/>
          <w:sz w:val="36"/>
          <w:szCs w:val="40"/>
          <w:lang w:val="en-US" w:eastAsia="zh-CN"/>
        </w:rPr>
        <w:t>技术</w:t>
      </w:r>
      <w:r>
        <w:rPr>
          <w:rFonts w:hint="eastAsia" w:ascii="宋体" w:hAnsi="宋体" w:eastAsia="宋体" w:cs="宋体"/>
          <w:b/>
          <w:bCs/>
          <w:sz w:val="36"/>
          <w:szCs w:val="40"/>
        </w:rPr>
        <w:t>服务零星采购技术规范书</w:t>
      </w:r>
    </w:p>
    <w:p w14:paraId="53623EC8">
      <w:pPr>
        <w:spacing w:line="360" w:lineRule="auto"/>
        <w:rPr>
          <w:rFonts w:hint="eastAsia" w:ascii="仿宋" w:hAnsi="仿宋" w:eastAsia="仿宋" w:cs="仿宋"/>
          <w:b/>
          <w:bCs/>
          <w:szCs w:val="21"/>
        </w:rPr>
      </w:pPr>
      <w:bookmarkStart w:id="0" w:name="_Toc441159752"/>
      <w:bookmarkEnd w:id="0"/>
      <w:r>
        <w:rPr>
          <w:rFonts w:hint="eastAsia" w:ascii="仿宋" w:hAnsi="仿宋" w:eastAsia="仿宋" w:cs="仿宋"/>
          <w:b/>
          <w:bCs/>
          <w:szCs w:val="21"/>
        </w:rPr>
        <w:t>一.项目概要</w:t>
      </w:r>
    </w:p>
    <w:p w14:paraId="3FFA1613">
      <w:pPr>
        <w:pStyle w:val="8"/>
        <w:adjustRightInd w:val="0"/>
        <w:snapToGrid w:val="0"/>
        <w:spacing w:after="0" w:line="360" w:lineRule="auto"/>
        <w:ind w:firstLine="420" w:firstLineChars="200"/>
        <w:rPr>
          <w:rFonts w:hint="default" w:ascii="仿宋" w:hAnsi="仿宋" w:eastAsia="仿宋" w:cs="仿宋"/>
          <w:szCs w:val="21"/>
          <w:lang w:val="en-US"/>
        </w:rPr>
      </w:pPr>
      <w:r>
        <w:rPr>
          <w:rFonts w:hint="eastAsia" w:ascii="仿宋" w:hAnsi="仿宋" w:eastAsia="仿宋" w:cs="仿宋"/>
          <w:kern w:val="2"/>
          <w:sz w:val="21"/>
          <w:szCs w:val="21"/>
          <w:lang w:val="en-US" w:eastAsia="zh-CN" w:bidi="ar-SA"/>
        </w:rPr>
        <w:t>云南电网配电规模随着城市化进程的加快以及新能源汽车等新型用电终端的增加，电力需求持续增长，对供电可靠性和稳定性提出了更高的要求。尤其昆明供电局配电网，配网体系建设早，辐射面不断扩展，大多数配电设备终端老化，间隔有限。传统配电系统在进行馈线回路升级改造时，往往需要停电作业。这不仅影响了用户的正常用电体验，也增加了昆明供电局的维护成本和时间成本。停电迁改作业带来的经济损失也不可估量，同时用电负荷增加对单个回路的馈线终端，用电压力增大 ，极易造成负荷跳闸，开关柜烧毁等事故。</w:t>
      </w:r>
    </w:p>
    <w:p w14:paraId="7D3D18FD">
      <w:pPr>
        <w:numPr>
          <w:ilvl w:val="0"/>
          <w:numId w:val="1"/>
        </w:numPr>
        <w:spacing w:line="360" w:lineRule="auto"/>
        <w:rPr>
          <w:rFonts w:hint="eastAsia" w:ascii="仿宋" w:hAnsi="仿宋" w:eastAsia="仿宋" w:cs="仿宋"/>
          <w:b/>
          <w:bCs/>
          <w:szCs w:val="21"/>
        </w:rPr>
      </w:pPr>
      <w:r>
        <w:rPr>
          <w:rFonts w:hint="eastAsia" w:ascii="仿宋" w:hAnsi="仿宋" w:eastAsia="仿宋" w:cs="仿宋"/>
          <w:b/>
          <w:bCs/>
          <w:szCs w:val="21"/>
        </w:rPr>
        <w:t>项目范围</w:t>
      </w:r>
    </w:p>
    <w:p w14:paraId="20F9F091">
      <w:pPr>
        <w:pStyle w:val="8"/>
        <w:adjustRightInd w:val="0"/>
        <w:snapToGrid w:val="0"/>
        <w:spacing w:after="0" w:line="360" w:lineRule="auto"/>
        <w:ind w:firstLine="420" w:firstLineChars="200"/>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本项目拟研发一款创新型新能源智能配电终端装置，旨在通过其独特的结构、空间设计和智能化技术特点，大幅减少甚至消除因配电终端设备升级或维护导致的停电现象，提高供电服务的质量与效率。</w:t>
      </w:r>
    </w:p>
    <w:p w14:paraId="697A11E2">
      <w:pPr>
        <w:pStyle w:val="8"/>
        <w:adjustRightInd w:val="0"/>
        <w:snapToGrid w:val="0"/>
        <w:spacing w:after="0" w:line="360" w:lineRule="auto"/>
        <w:ind w:firstLine="420" w:firstLineChars="200"/>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采用创新型新能源智能配终端结构设计，满足落地式、壁挂式应用场景。集成四大核心功能：进线智能断路器（可选负荷隔离开关及刀闸），应急电源快速环入、环出功能的标准接口，单极、三极断路器混装的馈线回路模块，以及带电热插拔速联母排系统，提供智能化计量终端装置接入与设计植入空间，让馈线回路升级改造时母排系统无需停电作业即可实现带电热插拔、安装，拆除作业。采用智能主进线断路器（可选负荷隔离开关及刀闸），支持主电路快速隔离，保障检修安全；内置标准化双路发电车快速接口，可实现应急电源环入、环出功能，实现无感停电功能；通过集成创新设计的多层母排速联系统，可在带电状态下完成馈线开关安装或升级，避免停电作业。</w:t>
      </w:r>
    </w:p>
    <w:p w14:paraId="7D97B369">
      <w:pPr>
        <w:spacing w:line="360" w:lineRule="auto"/>
        <w:rPr>
          <w:rFonts w:hint="eastAsia" w:ascii="仿宋" w:hAnsi="仿宋" w:eastAsia="仿宋" w:cs="仿宋"/>
          <w:b/>
          <w:bCs/>
          <w:szCs w:val="21"/>
        </w:rPr>
      </w:pPr>
      <w:r>
        <w:rPr>
          <w:rFonts w:hint="eastAsia" w:ascii="仿宋" w:hAnsi="仿宋" w:eastAsia="仿宋" w:cs="仿宋"/>
          <w:b/>
          <w:bCs/>
          <w:szCs w:val="21"/>
        </w:rPr>
        <w:t>三.项目技术要求</w:t>
      </w:r>
    </w:p>
    <w:p w14:paraId="3A214FFF">
      <w:pPr>
        <w:pStyle w:val="8"/>
        <w:adjustRightInd w:val="0"/>
        <w:snapToGrid w:val="0"/>
        <w:spacing w:after="0" w:line="360" w:lineRule="auto"/>
        <w:ind w:firstLine="420" w:firstLineChars="200"/>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1报价人应满足采购人要求，提供客观、公正的服务或专业服务意见，提供相应交付物。</w:t>
      </w:r>
    </w:p>
    <w:p w14:paraId="63DA8202">
      <w:pPr>
        <w:pStyle w:val="8"/>
        <w:adjustRightInd w:val="0"/>
        <w:snapToGrid w:val="0"/>
        <w:spacing w:after="0" w:line="360" w:lineRule="auto"/>
        <w:ind w:firstLine="420" w:firstLineChars="200"/>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2报价人应按各项工作时间要求提交相应交付物，延迟交付则按技术规范书相应条款处理。</w:t>
      </w:r>
    </w:p>
    <w:p w14:paraId="10819FF7">
      <w:pPr>
        <w:pStyle w:val="8"/>
        <w:adjustRightInd w:val="0"/>
        <w:snapToGrid w:val="0"/>
        <w:spacing w:after="0" w:line="360" w:lineRule="auto"/>
        <w:ind w:firstLine="420" w:firstLineChars="200"/>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3报价人应保证工作质量，因报价人疏忽、错漏重新出具的交付物不重复计算工作量，出现工作质量问题，报价人承担相应责任。</w:t>
      </w:r>
    </w:p>
    <w:p w14:paraId="5F21026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4采购服务工作依据包括但不限于《中国南方电网有限责任公司物资采购管理办法》、《中国南方电网有限责任公司科技创新管理规定》、</w:t>
      </w:r>
      <w:r>
        <w:rPr>
          <w:rFonts w:hint="default" w:ascii="仿宋" w:hAnsi="仿宋" w:eastAsia="仿宋" w:cs="仿宋"/>
          <w:b w:val="0"/>
          <w:bCs w:val="0"/>
          <w:kern w:val="2"/>
          <w:sz w:val="21"/>
          <w:szCs w:val="21"/>
          <w:lang w:val="en-US" w:eastAsia="zh-CN" w:bidi="ar-SA"/>
        </w:rPr>
        <w:t>GB/T 24621.1-2021</w:t>
      </w:r>
      <w:r>
        <w:rPr>
          <w:rFonts w:hint="eastAsia" w:ascii="仿宋" w:hAnsi="仿宋" w:eastAsia="仿宋" w:cs="仿宋"/>
          <w:b w:val="0"/>
          <w:bCs w:val="0"/>
          <w:kern w:val="2"/>
          <w:sz w:val="21"/>
          <w:szCs w:val="21"/>
          <w:lang w:val="en-US" w:eastAsia="zh-CN" w:bidi="ar-SA"/>
        </w:rPr>
        <w:t>,《低压成套开关设备和控制设备的电气安全应用指南第1部分：成套开关设备》、以及遵循以下设计标准规范：</w:t>
      </w:r>
    </w:p>
    <w:p w14:paraId="2D5B2117">
      <w:pPr>
        <w:bidi w:val="0"/>
        <w:rPr>
          <w:rFonts w:hint="eastAsia"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《电力工程电缆设计规范》GB50217</w:t>
      </w:r>
      <w:r>
        <w:rPr>
          <w:rFonts w:hint="eastAsia" w:ascii="仿宋" w:hAnsi="仿宋" w:eastAsia="仿宋" w:cs="仿宋"/>
          <w:b w:val="0"/>
          <w:bCs w:val="0"/>
          <w:kern w:val="2"/>
          <w:sz w:val="21"/>
          <w:szCs w:val="21"/>
          <w:lang w:val="en-US" w:eastAsia="zh-CN" w:bidi="ar-SA"/>
        </w:rPr>
        <w:t>；</w:t>
      </w:r>
    </w:p>
    <w:p w14:paraId="7776745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eastAsia"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《通用用电设备配电设计规范》GB50055</w:t>
      </w:r>
      <w:r>
        <w:rPr>
          <w:rFonts w:hint="eastAsia" w:ascii="仿宋" w:hAnsi="仿宋" w:eastAsia="仿宋" w:cs="仿宋"/>
          <w:b w:val="0"/>
          <w:bCs w:val="0"/>
          <w:kern w:val="2"/>
          <w:sz w:val="21"/>
          <w:szCs w:val="21"/>
          <w:lang w:val="en-US" w:eastAsia="zh-CN" w:bidi="ar-SA"/>
        </w:rPr>
        <w:t>；</w:t>
      </w:r>
    </w:p>
    <w:p w14:paraId="7D8E7A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《低压流体输送用焊接钢管》GB/T3091</w:t>
      </w:r>
      <w:r>
        <w:rPr>
          <w:rFonts w:hint="eastAsia" w:ascii="仿宋" w:hAnsi="仿宋" w:eastAsia="仿宋" w:cs="仿宋"/>
          <w:b w:val="0"/>
          <w:bCs w:val="0"/>
          <w:kern w:val="2"/>
          <w:sz w:val="21"/>
          <w:szCs w:val="21"/>
          <w:lang w:val="en-US" w:eastAsia="zh-CN" w:bidi="ar-SA"/>
        </w:rPr>
        <w:t>；</w:t>
      </w:r>
    </w:p>
    <w:p w14:paraId="5134AF6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《外壳防护等级（IP代码）》GB4208</w:t>
      </w:r>
      <w:r>
        <w:rPr>
          <w:rFonts w:hint="eastAsia" w:ascii="仿宋" w:hAnsi="仿宋" w:eastAsia="仿宋" w:cs="仿宋"/>
          <w:b w:val="0"/>
          <w:bCs w:val="0"/>
          <w:kern w:val="2"/>
          <w:sz w:val="21"/>
          <w:szCs w:val="21"/>
          <w:lang w:val="en-US" w:eastAsia="zh-CN" w:bidi="ar-SA"/>
        </w:rPr>
        <w:t>；</w:t>
      </w:r>
    </w:p>
    <w:p w14:paraId="4A89BC4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《剩余电流动作保护电器的一般要求》GB/Z6829</w:t>
      </w:r>
      <w:r>
        <w:rPr>
          <w:rFonts w:hint="eastAsia" w:ascii="仿宋" w:hAnsi="仿宋" w:eastAsia="仿宋" w:cs="仿宋"/>
          <w:b w:val="0"/>
          <w:bCs w:val="0"/>
          <w:kern w:val="2"/>
          <w:sz w:val="21"/>
          <w:szCs w:val="21"/>
          <w:lang w:val="en-US" w:eastAsia="zh-CN" w:bidi="ar-SA"/>
        </w:rPr>
        <w:t>；</w:t>
      </w:r>
    </w:p>
    <w:p w14:paraId="06D02A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《隔离变压器和安全隔离变压器  技术要求》GB13028</w:t>
      </w:r>
      <w:r>
        <w:rPr>
          <w:rFonts w:hint="eastAsia" w:ascii="仿宋" w:hAnsi="仿宋" w:eastAsia="仿宋" w:cs="仿宋"/>
          <w:b w:val="0"/>
          <w:bCs w:val="0"/>
          <w:kern w:val="2"/>
          <w:sz w:val="21"/>
          <w:szCs w:val="21"/>
          <w:lang w:val="en-US" w:eastAsia="zh-CN" w:bidi="ar-SA"/>
        </w:rPr>
        <w:t>；</w:t>
      </w:r>
    </w:p>
    <w:p w14:paraId="05E6BE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《建筑物电气装置第5部分：电气设备的选择和安装  第523节：布线系统 载流量》GB/T16895.15</w:t>
      </w:r>
      <w:r>
        <w:rPr>
          <w:rFonts w:hint="eastAsia" w:ascii="仿宋" w:hAnsi="仿宋" w:eastAsia="仿宋" w:cs="仿宋"/>
          <w:b w:val="0"/>
          <w:bCs w:val="0"/>
          <w:kern w:val="2"/>
          <w:sz w:val="21"/>
          <w:szCs w:val="21"/>
          <w:lang w:val="en-US" w:eastAsia="zh-CN" w:bidi="ar-SA"/>
        </w:rPr>
        <w:t>；</w:t>
      </w:r>
    </w:p>
    <w:p w14:paraId="610500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《建筑物电气装置第4-41部分：安全防护  电击防护》GB16895.21</w:t>
      </w:r>
      <w:r>
        <w:rPr>
          <w:rFonts w:hint="eastAsia" w:ascii="仿宋" w:hAnsi="仿宋" w:eastAsia="仿宋" w:cs="仿宋"/>
          <w:b w:val="0"/>
          <w:bCs w:val="0"/>
          <w:kern w:val="2"/>
          <w:sz w:val="21"/>
          <w:szCs w:val="21"/>
          <w:lang w:val="en-US" w:eastAsia="zh-CN" w:bidi="ar-SA"/>
        </w:rPr>
        <w:t>；</w:t>
      </w:r>
    </w:p>
    <w:p w14:paraId="266AFEF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《电击防护装置和设备的通用部分》GB/T17045</w:t>
      </w:r>
      <w:r>
        <w:rPr>
          <w:rFonts w:hint="eastAsia" w:ascii="仿宋" w:hAnsi="仿宋" w:eastAsia="仿宋" w:cs="仿宋"/>
          <w:b w:val="0"/>
          <w:bCs w:val="0"/>
          <w:kern w:val="2"/>
          <w:sz w:val="21"/>
          <w:szCs w:val="21"/>
          <w:lang w:val="en-US" w:eastAsia="zh-CN" w:bidi="ar-SA"/>
        </w:rPr>
        <w:t>；</w:t>
      </w:r>
    </w:p>
    <w:p w14:paraId="32288D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《电气安装用电缆槽管系统第1部分：通用要求》GB/T19215.1</w:t>
      </w:r>
      <w:r>
        <w:rPr>
          <w:rFonts w:hint="eastAsia" w:ascii="仿宋" w:hAnsi="仿宋" w:eastAsia="仿宋" w:cs="仿宋"/>
          <w:b w:val="0"/>
          <w:bCs w:val="0"/>
          <w:kern w:val="2"/>
          <w:sz w:val="21"/>
          <w:szCs w:val="21"/>
          <w:lang w:val="en-US" w:eastAsia="zh-CN" w:bidi="ar-SA"/>
        </w:rPr>
        <w:t>；</w:t>
      </w:r>
    </w:p>
    <w:p w14:paraId="2E236F7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《电气安装用电缆槽管系统第2部分：特殊要求第1节：用于安装在墙上或天花板上的电缆槽管系统》GB/T19215.2</w:t>
      </w:r>
      <w:r>
        <w:rPr>
          <w:rFonts w:hint="eastAsia" w:ascii="仿宋" w:hAnsi="仿宋" w:eastAsia="仿宋" w:cs="仿宋"/>
          <w:b w:val="0"/>
          <w:bCs w:val="0"/>
          <w:kern w:val="2"/>
          <w:sz w:val="21"/>
          <w:szCs w:val="21"/>
          <w:lang w:val="en-US" w:eastAsia="zh-CN" w:bidi="ar-SA"/>
        </w:rPr>
        <w:t>；</w:t>
      </w:r>
    </w:p>
    <w:p w14:paraId="626397A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50" w:afterAutospacing="0" w:line="17" w:lineRule="atLeast"/>
        <w:ind w:left="0" w:right="0" w:firstLine="0"/>
        <w:jc w:val="left"/>
        <w:rPr>
          <w:rFonts w:hint="default" w:ascii="仿宋" w:hAnsi="仿宋" w:eastAsia="仿宋" w:cs="仿宋"/>
          <w:b w:val="0"/>
          <w:bCs w:val="0"/>
          <w:kern w:val="2"/>
          <w:sz w:val="21"/>
          <w:szCs w:val="21"/>
          <w:lang w:val="en-US" w:eastAsia="zh-CN" w:bidi="ar-SA"/>
        </w:rPr>
      </w:pPr>
      <w:r>
        <w:rPr>
          <w:rFonts w:hint="default" w:ascii="仿宋" w:hAnsi="仿宋" w:eastAsia="仿宋" w:cs="仿宋"/>
          <w:b w:val="0"/>
          <w:bCs w:val="0"/>
          <w:kern w:val="2"/>
          <w:sz w:val="21"/>
          <w:szCs w:val="21"/>
          <w:lang w:val="en-US" w:eastAsia="zh-CN" w:bidi="ar-SA"/>
        </w:rPr>
        <w:t>《电气安装用导管系统 第1部分：通用要求》GB/T20041.1</w:t>
      </w:r>
      <w:r>
        <w:rPr>
          <w:rFonts w:hint="eastAsia" w:ascii="仿宋" w:hAnsi="仿宋" w:eastAsia="仿宋" w:cs="仿宋"/>
          <w:b w:val="0"/>
          <w:bCs w:val="0"/>
          <w:kern w:val="2"/>
          <w:sz w:val="21"/>
          <w:szCs w:val="21"/>
          <w:lang w:val="en-US" w:eastAsia="zh-CN" w:bidi="ar-SA"/>
        </w:rPr>
        <w:t>；</w:t>
      </w:r>
    </w:p>
    <w:p w14:paraId="775918AC">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仿宋" w:hAnsi="仿宋" w:eastAsia="仿宋" w:cs="仿宋"/>
          <w:kern w:val="2"/>
          <w:sz w:val="21"/>
          <w:szCs w:val="21"/>
          <w:lang w:val="en-US" w:eastAsia="zh-CN" w:bidi="ar-SA"/>
        </w:rPr>
      </w:pPr>
    </w:p>
    <w:p w14:paraId="7EFBC714">
      <w:pPr>
        <w:pStyle w:val="10"/>
        <w:spacing w:line="360" w:lineRule="auto"/>
        <w:ind w:left="0" w:leftChars="0" w:firstLine="0" w:firstLineChars="0"/>
        <w:rPr>
          <w:rFonts w:hint="eastAsia" w:ascii="仿宋" w:hAnsi="仿宋" w:eastAsia="仿宋" w:cs="仿宋"/>
          <w:b/>
          <w:bCs/>
          <w:szCs w:val="21"/>
        </w:rPr>
      </w:pPr>
      <w:r>
        <w:rPr>
          <w:rFonts w:hint="eastAsia" w:ascii="仿宋" w:hAnsi="仿宋" w:eastAsia="仿宋" w:cs="仿宋"/>
          <w:b/>
          <w:bCs/>
          <w:szCs w:val="21"/>
        </w:rPr>
        <w:t>3.2项目进度要求</w:t>
      </w:r>
    </w:p>
    <w:tbl>
      <w:tblPr>
        <w:tblStyle w:val="12"/>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664"/>
      </w:tblGrid>
      <w:tr w14:paraId="64E7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14:paraId="65D6EB20">
            <w:pPr>
              <w:pStyle w:val="15"/>
              <w:adjustRightInd/>
              <w:snapToGrid/>
              <w:spacing w:line="360" w:lineRule="auto"/>
              <w:ind w:firstLine="0" w:firstLineChars="0"/>
              <w:jc w:val="center"/>
              <w:rPr>
                <w:rFonts w:hint="eastAsia" w:ascii="仿宋" w:hAnsi="仿宋" w:eastAsia="仿宋" w:cs="仿宋"/>
                <w:b/>
                <w:szCs w:val="21"/>
              </w:rPr>
            </w:pPr>
            <w:r>
              <w:rPr>
                <w:rFonts w:hint="eastAsia" w:ascii="仿宋" w:hAnsi="仿宋" w:eastAsia="仿宋" w:cs="仿宋"/>
                <w:b/>
                <w:szCs w:val="21"/>
              </w:rPr>
              <w:t>时间</w:t>
            </w:r>
          </w:p>
        </w:tc>
        <w:tc>
          <w:tcPr>
            <w:tcW w:w="4664" w:type="dxa"/>
            <w:shd w:val="clear" w:color="auto" w:fill="D9D9D9"/>
            <w:vAlign w:val="center"/>
          </w:tcPr>
          <w:p w14:paraId="787CD987">
            <w:pPr>
              <w:pStyle w:val="15"/>
              <w:adjustRightInd/>
              <w:snapToGrid/>
              <w:spacing w:line="360" w:lineRule="auto"/>
              <w:ind w:firstLine="0" w:firstLineChars="0"/>
              <w:jc w:val="center"/>
              <w:rPr>
                <w:rFonts w:hint="eastAsia" w:ascii="仿宋" w:hAnsi="仿宋" w:eastAsia="仿宋" w:cs="仿宋"/>
                <w:b/>
                <w:szCs w:val="21"/>
              </w:rPr>
            </w:pPr>
            <w:r>
              <w:rPr>
                <w:rFonts w:hint="eastAsia" w:ascii="仿宋" w:hAnsi="仿宋" w:eastAsia="仿宋" w:cs="仿宋"/>
                <w:b/>
                <w:szCs w:val="21"/>
              </w:rPr>
              <w:t>主要工作内容</w:t>
            </w:r>
          </w:p>
        </w:tc>
      </w:tr>
      <w:tr w14:paraId="18DC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vAlign w:val="center"/>
          </w:tcPr>
          <w:p w14:paraId="258337DC">
            <w:pPr>
              <w:pStyle w:val="15"/>
              <w:adjustRightInd/>
              <w:snapToGrid/>
              <w:spacing w:line="360" w:lineRule="auto"/>
              <w:ind w:firstLine="0" w:firstLineChars="0"/>
              <w:jc w:val="center"/>
              <w:rPr>
                <w:rFonts w:hint="eastAsia" w:ascii="仿宋" w:hAnsi="仿宋" w:eastAsia="仿宋" w:cs="仿宋"/>
                <w:szCs w:val="21"/>
              </w:rPr>
            </w:pPr>
            <w:r>
              <w:rPr>
                <w:rFonts w:hint="eastAsia" w:ascii="仿宋" w:hAnsi="仿宋" w:eastAsia="仿宋" w:cs="仿宋"/>
                <w:kern w:val="0"/>
                <w:szCs w:val="21"/>
              </w:rPr>
              <w:t>中标通知书发布之日</w:t>
            </w:r>
            <w:r>
              <w:rPr>
                <w:rFonts w:hint="eastAsia" w:ascii="仿宋" w:hAnsi="仿宋" w:eastAsia="仿宋" w:cs="仿宋"/>
                <w:szCs w:val="21"/>
              </w:rPr>
              <w:t>起至成果转化类产品</w:t>
            </w:r>
            <w:r>
              <w:rPr>
                <w:rFonts w:hint="eastAsia" w:ascii="仿宋" w:hAnsi="仿宋" w:eastAsia="仿宋" w:cs="仿宋"/>
                <w:szCs w:val="21"/>
                <w:lang w:val="en-US" w:eastAsia="zh-CN"/>
              </w:rPr>
              <w:t>新能源快速接驳智能配电模块终端装置</w:t>
            </w:r>
            <w:r>
              <w:rPr>
                <w:rFonts w:hint="eastAsia" w:ascii="仿宋" w:hAnsi="仿宋" w:eastAsia="仿宋" w:cs="仿宋"/>
                <w:szCs w:val="21"/>
              </w:rPr>
              <w:t>项目结算完成止</w:t>
            </w:r>
          </w:p>
        </w:tc>
        <w:tc>
          <w:tcPr>
            <w:tcW w:w="4664" w:type="dxa"/>
            <w:vAlign w:val="center"/>
          </w:tcPr>
          <w:p w14:paraId="7383F177">
            <w:pPr>
              <w:pStyle w:val="17"/>
              <w:adjustRightInd w:val="0"/>
              <w:snapToGrid w:val="0"/>
              <w:spacing w:line="360" w:lineRule="auto"/>
              <w:ind w:firstLine="420" w:firstLineChars="200"/>
              <w:rPr>
                <w:rFonts w:hint="eastAsia" w:ascii="仿宋" w:hAnsi="仿宋" w:eastAsia="仿宋" w:cs="仿宋"/>
                <w:color w:val="auto"/>
                <w:kern w:val="0"/>
                <w:sz w:val="21"/>
                <w:szCs w:val="21"/>
                <w:lang w:val="en-US" w:eastAsia="zh-CN" w:bidi="ar-SA"/>
              </w:rPr>
            </w:pPr>
            <w:r>
              <w:rPr>
                <w:rFonts w:hint="eastAsia" w:ascii="仿宋" w:hAnsi="仿宋" w:eastAsia="仿宋" w:cs="仿宋"/>
                <w:color w:val="auto"/>
                <w:kern w:val="0"/>
                <w:sz w:val="21"/>
                <w:szCs w:val="21"/>
                <w:lang w:val="en-US" w:eastAsia="zh-CN" w:bidi="ar-SA"/>
              </w:rPr>
              <w:t>依托昆明供电局配网老旧城区改造及新能源充电庄扩容迁改等作业场景研发设计一款创新型新能源智能配电装置终端，装置设计智能计量模块接入与安装空间，具备落地式、壁挂式等安装使用场景。能够满足新能源充电桩及老旧小区配电终端扩容、迁改、智能化计量、故障查找、故障录波等。旨在通过其独特的结构和空间设计及智能化技术特点，大幅减少甚至消除因设备升级或维护导致的停电作业时间，在保障安全的前提下、实现快速扩容、带电插拔、安全专供等作业需求。提高供电服务的质量与效率。</w:t>
            </w:r>
          </w:p>
          <w:p w14:paraId="738BF85D">
            <w:pPr>
              <w:pStyle w:val="17"/>
              <w:adjustRightInd w:val="0"/>
              <w:snapToGrid w:val="0"/>
              <w:spacing w:line="360" w:lineRule="auto"/>
              <w:ind w:firstLine="420" w:firstLineChars="200"/>
              <w:rPr>
                <w:rFonts w:hint="eastAsia" w:ascii="仿宋" w:hAnsi="仿宋" w:eastAsia="仿宋" w:cs="仿宋"/>
                <w:color w:val="auto"/>
                <w:kern w:val="0"/>
                <w:sz w:val="21"/>
                <w:szCs w:val="21"/>
                <w:lang w:val="en-US" w:eastAsia="zh-CN" w:bidi="ar-SA"/>
              </w:rPr>
            </w:pPr>
            <w:r>
              <w:rPr>
                <w:rFonts w:hint="eastAsia" w:ascii="仿宋" w:hAnsi="仿宋" w:eastAsia="仿宋" w:cs="仿宋"/>
                <w:color w:val="auto"/>
                <w:kern w:val="0"/>
                <w:sz w:val="21"/>
                <w:szCs w:val="21"/>
                <w:lang w:val="en-US" w:eastAsia="zh-CN" w:bidi="ar-SA"/>
              </w:rPr>
              <w:t>采用创新型新能源智能配电装置终端结构设计，集成四大核心功能：进线智能断路器（可选负荷隔离开关及刀闸），应急电源快速环入、环出功能的标准接口，单极、三极断路器混装的馈线回路模块，以及多层母排速联系统，让馈线回路升级改造时母排系统无需停电作业的技术特点。智能主进线断路器（可选负荷隔离开关及刀闸），支持主电路快速隔离，保障检修安全；内置标准化双路发电车快速接口，可实现应急电源环入、环出功能，实现无感停电功能；通过集成创新设计的多层母排速联系统，可在带电状态下完成馈线开关安装或升级，避免停电作业。</w:t>
            </w:r>
          </w:p>
          <w:p w14:paraId="2F8F0BEF">
            <w:pPr>
              <w:pStyle w:val="15"/>
              <w:adjustRightInd/>
              <w:snapToGrid/>
              <w:spacing w:line="360" w:lineRule="auto"/>
              <w:ind w:firstLine="0" w:firstLineChars="0"/>
              <w:jc w:val="center"/>
              <w:rPr>
                <w:rFonts w:hint="eastAsia" w:ascii="仿宋" w:hAnsi="仿宋" w:eastAsia="仿宋" w:cs="仿宋"/>
                <w:szCs w:val="21"/>
                <w:lang w:eastAsia="zh-CN"/>
              </w:rPr>
            </w:pPr>
            <w:r>
              <w:rPr>
                <w:rFonts w:hint="eastAsia" w:ascii="仿宋" w:hAnsi="仿宋" w:eastAsia="仿宋" w:cs="仿宋"/>
                <w:szCs w:val="21"/>
                <w:lang w:eastAsia="zh-CN"/>
              </w:rPr>
              <w:t>。</w:t>
            </w:r>
          </w:p>
        </w:tc>
      </w:tr>
    </w:tbl>
    <w:p w14:paraId="4D8867A6">
      <w:pPr>
        <w:spacing w:line="360" w:lineRule="auto"/>
        <w:rPr>
          <w:rFonts w:hint="eastAsia" w:ascii="仿宋" w:hAnsi="仿宋" w:eastAsia="仿宋" w:cs="仿宋"/>
          <w:b/>
          <w:bCs/>
          <w:szCs w:val="21"/>
        </w:rPr>
      </w:pPr>
      <w:r>
        <w:rPr>
          <w:rFonts w:hint="eastAsia" w:ascii="仿宋" w:hAnsi="仿宋" w:eastAsia="仿宋" w:cs="仿宋"/>
          <w:b/>
          <w:bCs/>
          <w:szCs w:val="21"/>
        </w:rPr>
        <w:t>四.服务要求</w:t>
      </w:r>
    </w:p>
    <w:p w14:paraId="0C40C2E8">
      <w:pPr>
        <w:widowControl/>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b/>
          <w:bCs/>
          <w:kern w:val="0"/>
          <w:szCs w:val="21"/>
        </w:rPr>
        <w:t>4.1 质量要求：</w:t>
      </w:r>
    </w:p>
    <w:p w14:paraId="1793C762">
      <w:pPr>
        <w:widowControl/>
        <w:numPr>
          <w:ilvl w:val="0"/>
          <w:numId w:val="2"/>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报价人需严格按照采购人要求实施质量管理。</w:t>
      </w:r>
    </w:p>
    <w:p w14:paraId="5DF07B78">
      <w:pPr>
        <w:widowControl/>
        <w:numPr>
          <w:ilvl w:val="0"/>
          <w:numId w:val="2"/>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报价人需要有独立的质量保证人员来配合采购人开展工作，从而保证工作过程和项目的质量。</w:t>
      </w:r>
    </w:p>
    <w:p w14:paraId="028F496A">
      <w:pPr>
        <w:widowControl/>
        <w:numPr>
          <w:ilvl w:val="0"/>
          <w:numId w:val="2"/>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报价人须配合采购人进行质量监测和关键点的质量评估。</w:t>
      </w:r>
    </w:p>
    <w:p w14:paraId="53154326">
      <w:pPr>
        <w:widowControl/>
        <w:numPr>
          <w:ilvl w:val="0"/>
          <w:numId w:val="2"/>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报价人团队在项目实施过程中应给出具体的风险管控措施，识别项目风险。</w:t>
      </w:r>
    </w:p>
    <w:p w14:paraId="72F2FEE8">
      <w:pPr>
        <w:widowControl/>
        <w:numPr>
          <w:ilvl w:val="0"/>
          <w:numId w:val="2"/>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lang w:val="en-US" w:eastAsia="zh-CN"/>
        </w:rPr>
        <w:t>报价人应当具备CMMI五级能力成熟度证书资质；</w:t>
      </w:r>
    </w:p>
    <w:p w14:paraId="2B9AD600">
      <w:pPr>
        <w:widowControl/>
        <w:numPr>
          <w:ilvl w:val="0"/>
          <w:numId w:val="2"/>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lang w:val="en-US" w:eastAsia="zh-CN"/>
        </w:rPr>
        <w:t>报价人应当具备电网科技项目近三年3个200万以上项目研发经验和业绩。</w:t>
      </w:r>
    </w:p>
    <w:p w14:paraId="4D20200B">
      <w:pPr>
        <w:widowControl/>
        <w:numPr>
          <w:ilvl w:val="0"/>
          <w:numId w:val="2"/>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lang w:val="en-US" w:eastAsia="zh-CN"/>
        </w:rPr>
        <w:t>报价人应当具备一定的团队人员组成能力，项目负责人应当具备高级职称和PMP项目管理资质能力证书。</w:t>
      </w:r>
      <w:bookmarkStart w:id="20" w:name="_GoBack"/>
      <w:bookmarkEnd w:id="20"/>
    </w:p>
    <w:p w14:paraId="18541311">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4.2 进度要求：</w:t>
      </w:r>
    </w:p>
    <w:p w14:paraId="5C32D33E">
      <w:pPr>
        <w:widowControl/>
        <w:numPr>
          <w:ilvl w:val="0"/>
          <w:numId w:val="3"/>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报价人须严格按照</w:t>
      </w:r>
      <w:r>
        <w:rPr>
          <w:rFonts w:hint="eastAsia" w:ascii="仿宋" w:hAnsi="仿宋" w:eastAsia="仿宋" w:cs="仿宋"/>
          <w:szCs w:val="21"/>
        </w:rPr>
        <w:t>项目</w:t>
      </w:r>
      <w:r>
        <w:rPr>
          <w:rFonts w:hint="eastAsia" w:ascii="仿宋" w:hAnsi="仿宋" w:eastAsia="仿宋" w:cs="仿宋"/>
          <w:kern w:val="0"/>
          <w:szCs w:val="21"/>
        </w:rPr>
        <w:t>工期要求开展相关工作并提供详细进度计划表。</w:t>
      </w:r>
    </w:p>
    <w:p w14:paraId="17BFF5D3">
      <w:pPr>
        <w:widowControl/>
        <w:numPr>
          <w:ilvl w:val="0"/>
          <w:numId w:val="3"/>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报价人须严格按照项目里程碑开展工作。采购人将根据里程碑和里程碑产出物审核报价人工作。</w:t>
      </w:r>
    </w:p>
    <w:p w14:paraId="2F96F57B">
      <w:pPr>
        <w:widowControl/>
        <w:numPr>
          <w:ilvl w:val="0"/>
          <w:numId w:val="3"/>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若由于报价人自身原因导致项目进度滞后于项目里程碑计划，采购人可追究报价人责任，每逾期一日，应向采购人支付总中标金额的</w:t>
      </w:r>
      <w:r>
        <w:rPr>
          <w:rFonts w:hint="eastAsia" w:ascii="仿宋" w:hAnsi="仿宋" w:eastAsia="仿宋" w:cs="仿宋"/>
          <w:kern w:val="0"/>
          <w:szCs w:val="21"/>
          <w:u w:val="single"/>
        </w:rPr>
        <w:t xml:space="preserve"> 0.5 </w:t>
      </w:r>
      <w:r>
        <w:rPr>
          <w:rFonts w:hint="eastAsia" w:ascii="仿宋" w:hAnsi="仿宋" w:eastAsia="仿宋" w:cs="仿宋"/>
          <w:kern w:val="0"/>
          <w:szCs w:val="21"/>
        </w:rPr>
        <w:t>‰违约金。</w:t>
      </w:r>
    </w:p>
    <w:p w14:paraId="42128589">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4.3保密义务：</w:t>
      </w:r>
    </w:p>
    <w:p w14:paraId="08506C09">
      <w:pPr>
        <w:pStyle w:val="4"/>
        <w:ind w:firstLine="480" w:firstLineChars="200"/>
        <w:rPr>
          <w:rFonts w:hint="eastAsia" w:ascii="仿宋" w:hAnsi="仿宋" w:eastAsia="仿宋" w:cs="仿宋"/>
          <w:b/>
          <w:bCs/>
          <w:kern w:val="0"/>
          <w:szCs w:val="21"/>
        </w:rPr>
      </w:pPr>
      <w:r>
        <w:rPr>
          <w:rFonts w:hint="eastAsia" w:ascii="仿宋" w:hAnsi="仿宋" w:eastAsia="仿宋" w:cs="仿宋"/>
          <w:kern w:val="0"/>
          <w:szCs w:val="21"/>
        </w:rPr>
        <w:t>报价人应于中标通知书发布之日起7日内签订《保密协议》，保密协议见附件1。</w:t>
      </w:r>
    </w:p>
    <w:p w14:paraId="50143004">
      <w:pPr>
        <w:widowControl/>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b/>
          <w:bCs/>
          <w:kern w:val="0"/>
          <w:szCs w:val="21"/>
        </w:rPr>
        <w:t>4.4 标的物交付时间：</w:t>
      </w:r>
    </w:p>
    <w:p w14:paraId="06D69FDF">
      <w:pPr>
        <w:widowControl/>
        <w:numPr>
          <w:ilvl w:val="0"/>
          <w:numId w:val="4"/>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服务期限：中标通知书发布之日</w:t>
      </w:r>
      <w:r>
        <w:rPr>
          <w:rFonts w:hint="eastAsia" w:ascii="仿宋" w:hAnsi="仿宋" w:eastAsia="仿宋" w:cs="仿宋"/>
          <w:szCs w:val="21"/>
        </w:rPr>
        <w:t>起至成果转化类产品</w:t>
      </w:r>
      <w:r>
        <w:rPr>
          <w:rFonts w:hint="eastAsia" w:ascii="仿宋" w:hAnsi="仿宋" w:eastAsia="仿宋" w:cs="仿宋"/>
          <w:szCs w:val="21"/>
          <w:lang w:val="en-US" w:eastAsia="zh-CN"/>
        </w:rPr>
        <w:t>新</w:t>
      </w:r>
      <w:r>
        <w:rPr>
          <w:rFonts w:hint="eastAsia" w:ascii="仿宋" w:hAnsi="仿宋" w:eastAsia="仿宋" w:cs="仿宋"/>
          <w:szCs w:val="21"/>
        </w:rPr>
        <w:t>能源快速接驳智能配电模块终端装置项目</w:t>
      </w:r>
      <w:r>
        <w:rPr>
          <w:rFonts w:hint="eastAsia" w:ascii="仿宋" w:hAnsi="仿宋" w:eastAsia="仿宋" w:cs="仿宋"/>
          <w:szCs w:val="21"/>
          <w:lang w:val="en-US" w:eastAsia="zh-CN"/>
        </w:rPr>
        <w:t>验收</w:t>
      </w:r>
      <w:r>
        <w:rPr>
          <w:rFonts w:hint="eastAsia" w:ascii="仿宋" w:hAnsi="仿宋" w:eastAsia="仿宋" w:cs="仿宋"/>
          <w:szCs w:val="21"/>
        </w:rPr>
        <w:t>完成止</w:t>
      </w:r>
      <w:r>
        <w:rPr>
          <w:rFonts w:hint="eastAsia" w:ascii="仿宋" w:hAnsi="仿宋" w:eastAsia="仿宋" w:cs="仿宋"/>
          <w:kern w:val="0"/>
          <w:szCs w:val="21"/>
        </w:rPr>
        <w:t>。</w:t>
      </w:r>
    </w:p>
    <w:p w14:paraId="682667EA">
      <w:pPr>
        <w:widowControl/>
        <w:numPr>
          <w:ilvl w:val="0"/>
          <w:numId w:val="4"/>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如中标人逾期提供交付物，取消中标人中标资格，并依法追究其法律责任。</w:t>
      </w:r>
    </w:p>
    <w:p w14:paraId="3B1B545C">
      <w:pPr>
        <w:spacing w:line="360" w:lineRule="auto"/>
        <w:rPr>
          <w:rFonts w:hint="eastAsia" w:ascii="仿宋" w:hAnsi="仿宋" w:eastAsia="仿宋" w:cs="仿宋"/>
          <w:b/>
          <w:bCs/>
          <w:kern w:val="0"/>
          <w:szCs w:val="21"/>
        </w:rPr>
      </w:pPr>
      <w:r>
        <w:rPr>
          <w:rFonts w:hint="eastAsia" w:ascii="仿宋" w:hAnsi="仿宋" w:eastAsia="仿宋" w:cs="仿宋"/>
          <w:b/>
          <w:bCs/>
          <w:kern w:val="0"/>
          <w:szCs w:val="21"/>
        </w:rPr>
        <w:t>4.5 验收地点：</w:t>
      </w:r>
    </w:p>
    <w:p w14:paraId="41F5FF87">
      <w:pPr>
        <w:widowControl/>
        <w:adjustRightInd w:val="0"/>
        <w:snapToGrid w:val="0"/>
        <w:spacing w:line="360" w:lineRule="auto"/>
        <w:ind w:firstLine="420" w:firstLineChars="200"/>
        <w:jc w:val="left"/>
        <w:rPr>
          <w:rFonts w:hint="eastAsia" w:ascii="仿宋" w:hAnsi="仿宋" w:eastAsia="仿宋" w:cs="仿宋"/>
          <w:kern w:val="0"/>
          <w:szCs w:val="21"/>
        </w:rPr>
      </w:pPr>
      <w:r>
        <w:rPr>
          <w:rFonts w:hint="eastAsia" w:ascii="仿宋" w:hAnsi="仿宋" w:eastAsia="仿宋" w:cs="仿宋"/>
          <w:kern w:val="0"/>
          <w:szCs w:val="21"/>
        </w:rPr>
        <w:t xml:space="preserve">采购人指定地点。 </w:t>
      </w:r>
    </w:p>
    <w:p w14:paraId="68CF2EA5">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4.6 售后服务承诺：</w:t>
      </w:r>
    </w:p>
    <w:p w14:paraId="7AA76866">
      <w:pPr>
        <w:widowControl/>
        <w:numPr>
          <w:ilvl w:val="0"/>
          <w:numId w:val="5"/>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报价人在接到采购人工作安排通知后的</w:t>
      </w:r>
      <w:r>
        <w:rPr>
          <w:rFonts w:hint="eastAsia" w:ascii="仿宋" w:hAnsi="仿宋" w:eastAsia="仿宋" w:cs="仿宋"/>
          <w:kern w:val="0"/>
          <w:szCs w:val="21"/>
          <w:u w:val="single"/>
        </w:rPr>
        <w:t xml:space="preserve"> 24 </w:t>
      </w:r>
      <w:r>
        <w:rPr>
          <w:rFonts w:hint="eastAsia" w:ascii="仿宋" w:hAnsi="仿宋" w:eastAsia="仿宋" w:cs="仿宋"/>
          <w:kern w:val="0"/>
          <w:szCs w:val="21"/>
        </w:rPr>
        <w:t>小时内答复并处理问题。</w:t>
      </w:r>
    </w:p>
    <w:p w14:paraId="21712D93">
      <w:pPr>
        <w:widowControl/>
        <w:numPr>
          <w:ilvl w:val="0"/>
          <w:numId w:val="5"/>
        </w:numPr>
        <w:adjustRightInd w:val="0"/>
        <w:snapToGrid w:val="0"/>
        <w:spacing w:line="360" w:lineRule="auto"/>
        <w:jc w:val="left"/>
        <w:rPr>
          <w:rFonts w:hint="eastAsia" w:ascii="仿宋" w:hAnsi="仿宋" w:eastAsia="仿宋" w:cs="仿宋"/>
          <w:kern w:val="0"/>
          <w:szCs w:val="21"/>
        </w:rPr>
      </w:pPr>
      <w:r>
        <w:rPr>
          <w:rFonts w:hint="eastAsia" w:ascii="仿宋" w:hAnsi="仿宋" w:eastAsia="仿宋" w:cs="仿宋"/>
          <w:kern w:val="0"/>
          <w:szCs w:val="21"/>
        </w:rPr>
        <w:t>报价人应及时提供与本技术规范书有关的服务。</w:t>
      </w:r>
    </w:p>
    <w:p w14:paraId="3AB375B4">
      <w:pPr>
        <w:spacing w:line="360" w:lineRule="auto"/>
        <w:rPr>
          <w:rFonts w:hint="eastAsia" w:ascii="仿宋" w:hAnsi="仿宋" w:eastAsia="仿宋" w:cs="仿宋"/>
          <w:b/>
          <w:bCs/>
          <w:szCs w:val="21"/>
        </w:rPr>
      </w:pPr>
      <w:r>
        <w:rPr>
          <w:rFonts w:hint="eastAsia" w:ascii="仿宋" w:hAnsi="仿宋" w:eastAsia="仿宋" w:cs="仿宋"/>
          <w:b/>
          <w:bCs/>
          <w:szCs w:val="21"/>
        </w:rPr>
        <w:t>4.7 交付成果、验收</w:t>
      </w:r>
    </w:p>
    <w:p w14:paraId="1294C278">
      <w:pPr>
        <w:widowControl/>
        <w:adjustRightInd w:val="0"/>
        <w:snapToGrid w:val="0"/>
        <w:spacing w:line="360" w:lineRule="auto"/>
        <w:ind w:firstLine="420" w:firstLineChars="200"/>
        <w:jc w:val="left"/>
      </w:pPr>
      <w:r>
        <w:rPr>
          <w:rFonts w:hint="eastAsia" w:ascii="仿宋" w:hAnsi="仿宋" w:eastAsia="仿宋" w:cs="仿宋"/>
          <w:szCs w:val="21"/>
        </w:rPr>
        <w:t>报价人按采购人要求完成项目即达到验收条件，</w:t>
      </w:r>
      <w:r>
        <w:rPr>
          <w:rFonts w:hint="eastAsia" w:ascii="仿宋" w:hAnsi="仿宋" w:eastAsia="仿宋" w:cs="仿宋"/>
          <w:kern w:val="0"/>
          <w:szCs w:val="21"/>
        </w:rPr>
        <w:t>项目验收为技术规范书所要求的交付物提交给采购人完成。</w:t>
      </w:r>
    </w:p>
    <w:p w14:paraId="711F74CC">
      <w:pPr>
        <w:widowControl/>
        <w:adjustRightInd w:val="0"/>
        <w:snapToGrid w:val="0"/>
        <w:spacing w:line="360" w:lineRule="auto"/>
        <w:jc w:val="left"/>
        <w:rPr>
          <w:rFonts w:hint="eastAsia"/>
        </w:rPr>
      </w:pPr>
      <w:r>
        <w:rPr>
          <w:rFonts w:hint="eastAsia" w:ascii="仿宋" w:hAnsi="仿宋" w:eastAsia="仿宋" w:cs="仿宋"/>
          <w:b/>
          <w:bCs/>
          <w:kern w:val="0"/>
          <w:szCs w:val="21"/>
        </w:rPr>
        <w:t>4.8 采购清册及权重</w:t>
      </w:r>
    </w:p>
    <w:p w14:paraId="0D9CFEC6">
      <w:pPr>
        <w:widowControl/>
        <w:adjustRightInd w:val="0"/>
        <w:snapToGrid w:val="0"/>
        <w:spacing w:line="360" w:lineRule="auto"/>
        <w:ind w:firstLine="361" w:firstLineChars="200"/>
        <w:jc w:val="center"/>
        <w:rPr>
          <w:rFonts w:hint="eastAsia" w:ascii="仿宋" w:hAnsi="仿宋" w:eastAsia="仿宋" w:cs="仿宋"/>
          <w:b/>
          <w:bCs/>
          <w:sz w:val="18"/>
          <w:szCs w:val="18"/>
        </w:rPr>
      </w:pPr>
      <w:r>
        <w:rPr>
          <w:rFonts w:hint="eastAsia" w:ascii="仿宋" w:hAnsi="仿宋" w:eastAsia="仿宋" w:cs="仿宋"/>
          <w:b/>
          <w:bCs/>
          <w:kern w:val="0"/>
          <w:sz w:val="18"/>
          <w:szCs w:val="18"/>
        </w:rPr>
        <w:t>服务采购清册</w:t>
      </w:r>
    </w:p>
    <w:tbl>
      <w:tblPr>
        <w:tblStyle w:val="12"/>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497"/>
        <w:gridCol w:w="935"/>
        <w:gridCol w:w="1596"/>
        <w:gridCol w:w="1042"/>
      </w:tblGrid>
      <w:tr w14:paraId="231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14:paraId="5E841C3E">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序号</w:t>
            </w:r>
          </w:p>
        </w:tc>
        <w:tc>
          <w:tcPr>
            <w:tcW w:w="1983" w:type="dxa"/>
            <w:vAlign w:val="center"/>
          </w:tcPr>
          <w:p w14:paraId="6E56157E">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名称</w:t>
            </w:r>
          </w:p>
        </w:tc>
        <w:tc>
          <w:tcPr>
            <w:tcW w:w="1837" w:type="dxa"/>
            <w:vAlign w:val="center"/>
          </w:tcPr>
          <w:p w14:paraId="6DF84E49">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规格</w:t>
            </w:r>
          </w:p>
        </w:tc>
        <w:tc>
          <w:tcPr>
            <w:tcW w:w="497" w:type="dxa"/>
            <w:vAlign w:val="center"/>
          </w:tcPr>
          <w:p w14:paraId="18CA9971">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数量</w:t>
            </w:r>
          </w:p>
        </w:tc>
        <w:tc>
          <w:tcPr>
            <w:tcW w:w="935" w:type="dxa"/>
            <w:vAlign w:val="center"/>
          </w:tcPr>
          <w:p w14:paraId="4AA4FF23">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单位</w:t>
            </w:r>
          </w:p>
        </w:tc>
        <w:tc>
          <w:tcPr>
            <w:tcW w:w="1596" w:type="dxa"/>
            <w:vAlign w:val="center"/>
          </w:tcPr>
          <w:p w14:paraId="71626D3B">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最高限价（元）</w:t>
            </w:r>
          </w:p>
        </w:tc>
        <w:tc>
          <w:tcPr>
            <w:tcW w:w="1042" w:type="dxa"/>
            <w:vAlign w:val="center"/>
          </w:tcPr>
          <w:p w14:paraId="4AFF423E">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备   注</w:t>
            </w:r>
          </w:p>
        </w:tc>
      </w:tr>
      <w:tr w14:paraId="40CA8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14:paraId="2BF8A67E">
            <w:pPr>
              <w:numPr>
                <w:ilvl w:val="0"/>
                <w:numId w:val="6"/>
              </w:numPr>
              <w:autoSpaceDE w:val="0"/>
              <w:autoSpaceDN w:val="0"/>
              <w:adjustRightInd w:val="0"/>
              <w:spacing w:line="360" w:lineRule="auto"/>
              <w:jc w:val="center"/>
              <w:textAlignment w:val="baseline"/>
              <w:rPr>
                <w:rFonts w:hint="eastAsia" w:ascii="仿宋" w:hAnsi="仿宋" w:eastAsia="仿宋" w:cs="仿宋"/>
                <w:kern w:val="0"/>
                <w:sz w:val="18"/>
                <w:szCs w:val="18"/>
              </w:rPr>
            </w:pPr>
          </w:p>
        </w:tc>
        <w:tc>
          <w:tcPr>
            <w:tcW w:w="1983" w:type="dxa"/>
            <w:vAlign w:val="center"/>
          </w:tcPr>
          <w:p w14:paraId="380BB7F6">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新能源快速接驳智能配电模块终端装置</w:t>
            </w:r>
          </w:p>
        </w:tc>
        <w:tc>
          <w:tcPr>
            <w:tcW w:w="1837" w:type="dxa"/>
            <w:vAlign w:val="center"/>
          </w:tcPr>
          <w:p w14:paraId="5257F306">
            <w:pPr>
              <w:autoSpaceDE w:val="0"/>
              <w:autoSpaceDN w:val="0"/>
              <w:adjustRightInd w:val="0"/>
              <w:spacing w:line="360" w:lineRule="auto"/>
              <w:jc w:val="center"/>
              <w:textAlignment w:val="baseline"/>
              <w:rPr>
                <w:rFonts w:hint="eastAsia" w:ascii="仿宋" w:hAnsi="仿宋" w:eastAsia="仿宋" w:cs="仿宋"/>
                <w:sz w:val="18"/>
                <w:szCs w:val="18"/>
              </w:rPr>
            </w:pPr>
            <w:r>
              <w:rPr>
                <w:rFonts w:hint="eastAsia" w:ascii="仿宋" w:hAnsi="仿宋" w:eastAsia="仿宋" w:cs="仿宋"/>
                <w:sz w:val="18"/>
                <w:szCs w:val="18"/>
              </w:rPr>
              <w:t>/</w:t>
            </w:r>
          </w:p>
        </w:tc>
        <w:tc>
          <w:tcPr>
            <w:tcW w:w="497" w:type="dxa"/>
            <w:vAlign w:val="center"/>
          </w:tcPr>
          <w:p w14:paraId="1D6A33B4">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1</w:t>
            </w:r>
          </w:p>
        </w:tc>
        <w:tc>
          <w:tcPr>
            <w:tcW w:w="935" w:type="dxa"/>
            <w:vAlign w:val="center"/>
          </w:tcPr>
          <w:p w14:paraId="2A8DCEF8">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项</w:t>
            </w:r>
          </w:p>
        </w:tc>
        <w:tc>
          <w:tcPr>
            <w:tcW w:w="1596" w:type="dxa"/>
            <w:vAlign w:val="center"/>
          </w:tcPr>
          <w:p w14:paraId="43EE8ACB">
            <w:pPr>
              <w:autoSpaceDE w:val="0"/>
              <w:autoSpaceDN w:val="0"/>
              <w:adjustRightInd w:val="0"/>
              <w:spacing w:line="360" w:lineRule="auto"/>
              <w:jc w:val="center"/>
              <w:textAlignment w:val="baseline"/>
              <w:rPr>
                <w:rFonts w:hint="default" w:ascii="仿宋" w:hAnsi="仿宋" w:eastAsia="仿宋" w:cs="仿宋"/>
                <w:kern w:val="0"/>
                <w:sz w:val="18"/>
                <w:szCs w:val="18"/>
                <w:lang w:val="en-US" w:eastAsia="zh-CN"/>
              </w:rPr>
            </w:pPr>
            <w:r>
              <w:rPr>
                <w:rFonts w:hint="eastAsia" w:ascii="仿宋" w:hAnsi="仿宋" w:eastAsia="仿宋" w:cs="仿宋"/>
                <w:kern w:val="0"/>
                <w:sz w:val="18"/>
                <w:szCs w:val="18"/>
                <w:lang w:val="en-US" w:eastAsia="zh-CN"/>
              </w:rPr>
              <w:t>36000</w:t>
            </w:r>
          </w:p>
        </w:tc>
        <w:tc>
          <w:tcPr>
            <w:tcW w:w="1042" w:type="dxa"/>
            <w:vAlign w:val="center"/>
          </w:tcPr>
          <w:p w14:paraId="3B0006FB">
            <w:pPr>
              <w:autoSpaceDE w:val="0"/>
              <w:autoSpaceDN w:val="0"/>
              <w:adjustRightInd w:val="0"/>
              <w:spacing w:line="360" w:lineRule="auto"/>
              <w:jc w:val="center"/>
              <w:textAlignment w:val="baseline"/>
              <w:rPr>
                <w:rFonts w:hint="eastAsia" w:ascii="仿宋" w:hAnsi="仿宋" w:eastAsia="仿宋" w:cs="仿宋"/>
                <w:kern w:val="0"/>
                <w:sz w:val="18"/>
                <w:szCs w:val="18"/>
              </w:rPr>
            </w:pPr>
            <w:r>
              <w:rPr>
                <w:rFonts w:hint="eastAsia" w:ascii="仿宋" w:hAnsi="仿宋" w:eastAsia="仿宋" w:cs="仿宋"/>
                <w:kern w:val="0"/>
                <w:sz w:val="18"/>
                <w:szCs w:val="18"/>
              </w:rPr>
              <w:t>/</w:t>
            </w:r>
          </w:p>
        </w:tc>
      </w:tr>
    </w:tbl>
    <w:p w14:paraId="63AF0975">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五.管理人员为本项目的负责人。</w:t>
      </w:r>
    </w:p>
    <w:p w14:paraId="7AE437BC">
      <w:pPr>
        <w:widowControl/>
        <w:adjustRightInd w:val="0"/>
        <w:snapToGrid w:val="0"/>
        <w:spacing w:line="360" w:lineRule="auto"/>
        <w:jc w:val="left"/>
        <w:rPr>
          <w:rFonts w:hint="eastAsia" w:ascii="仿宋" w:hAnsi="仿宋" w:eastAsia="仿宋" w:cs="仿宋"/>
          <w:b/>
          <w:bCs/>
          <w:kern w:val="0"/>
          <w:szCs w:val="21"/>
        </w:rPr>
      </w:pPr>
      <w:r>
        <w:rPr>
          <w:rFonts w:hint="eastAsia" w:ascii="仿宋" w:hAnsi="仿宋" w:eastAsia="仿宋" w:cs="仿宋"/>
          <w:b/>
          <w:bCs/>
          <w:kern w:val="0"/>
          <w:szCs w:val="21"/>
        </w:rPr>
        <w:t>六.其他要求</w:t>
      </w:r>
    </w:p>
    <w:p w14:paraId="75041668">
      <w:pPr>
        <w:numPr>
          <w:ilvl w:val="0"/>
          <w:numId w:val="7"/>
        </w:numPr>
        <w:rPr>
          <w:rFonts w:hint="eastAsia" w:ascii="仿宋" w:hAnsi="仿宋" w:eastAsia="仿宋" w:cs="仿宋"/>
          <w:b/>
          <w:bCs/>
          <w:szCs w:val="21"/>
        </w:rPr>
      </w:pPr>
      <w:r>
        <w:rPr>
          <w:rFonts w:hint="eastAsia" w:ascii="仿宋" w:hAnsi="仿宋" w:eastAsia="仿宋" w:cs="仿宋"/>
          <w:b/>
          <w:bCs/>
          <w:szCs w:val="21"/>
        </w:rPr>
        <w:t>报价人需具备</w:t>
      </w:r>
      <w:r>
        <w:rPr>
          <w:rFonts w:ascii="仿宋" w:hAnsi="仿宋" w:eastAsia="仿宋" w:cs="仿宋"/>
          <w:b/>
          <w:bCs/>
          <w:szCs w:val="21"/>
        </w:rPr>
        <w:t>ISO9001</w:t>
      </w:r>
      <w:r>
        <w:rPr>
          <w:rFonts w:hint="eastAsia" w:ascii="仿宋" w:hAnsi="仿宋" w:eastAsia="仿宋" w:cs="仿宋"/>
          <w:b/>
          <w:bCs/>
          <w:szCs w:val="21"/>
        </w:rPr>
        <w:t>质量管理体系认证资质；</w:t>
      </w:r>
    </w:p>
    <w:p w14:paraId="19010CEA">
      <w:pPr>
        <w:spacing w:line="440" w:lineRule="exact"/>
        <w:jc w:val="left"/>
        <w:rPr>
          <w:rFonts w:hint="eastAsia" w:ascii="仿宋" w:hAnsi="仿宋" w:eastAsia="仿宋" w:cs="仿宋"/>
          <w:b/>
          <w:sz w:val="28"/>
          <w:szCs w:val="28"/>
        </w:rPr>
      </w:pPr>
      <w:r>
        <w:rPr>
          <w:rFonts w:hint="eastAsia" w:ascii="仿宋" w:hAnsi="仿宋" w:eastAsia="仿宋" w:cs="仿宋"/>
          <w:b/>
          <w:sz w:val="28"/>
          <w:szCs w:val="28"/>
        </w:rPr>
        <w:t>附件1：</w:t>
      </w:r>
    </w:p>
    <w:p w14:paraId="3F8564B9">
      <w:pPr>
        <w:spacing w:line="440" w:lineRule="exact"/>
        <w:ind w:firstLine="740" w:firstLineChars="168"/>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sz w:val="44"/>
          <w:szCs w:val="44"/>
        </w:rPr>
        <w:t>保密协议</w:t>
      </w:r>
    </w:p>
    <w:p w14:paraId="6F338202">
      <w:pPr>
        <w:widowControl/>
        <w:spacing w:line="360" w:lineRule="auto"/>
        <w:ind w:firstLine="480" w:firstLineChars="200"/>
        <w:jc w:val="left"/>
        <w:rPr>
          <w:rFonts w:hint="eastAsia" w:ascii="仿宋" w:hAnsi="仿宋" w:eastAsia="仿宋" w:cs="仿宋"/>
          <w:b/>
          <w:sz w:val="24"/>
          <w:szCs w:val="24"/>
          <w:u w:val="single"/>
        </w:rPr>
      </w:pPr>
      <w:r>
        <w:rPr>
          <w:rFonts w:hint="eastAsia" w:ascii="仿宋" w:hAnsi="仿宋" w:eastAsia="仿宋" w:cs="仿宋"/>
          <w:sz w:val="24"/>
          <w:szCs w:val="24"/>
        </w:rPr>
        <w:t>甲    方：</w:t>
      </w:r>
      <w:sdt>
        <w:sdtPr>
          <w:rPr>
            <w:rFonts w:hint="eastAsia" w:ascii="仿宋" w:hAnsi="仿宋" w:eastAsia="仿宋"/>
            <w:b/>
            <w:sz w:val="24"/>
            <w:szCs w:val="24"/>
            <w:u w:val="single"/>
          </w:rPr>
          <w:alias w:val="甲方当事人全称"/>
          <w:tag w:val="甲方当事人全称"/>
          <w:id w:val="147474913"/>
          <w:text/>
        </w:sdtPr>
        <w:sdtEndPr>
          <w:rPr>
            <w:rFonts w:hint="eastAsia" w:ascii="仿宋" w:hAnsi="仿宋" w:eastAsia="仿宋" w:cs="仿宋"/>
            <w:b/>
            <w:sz w:val="24"/>
            <w:szCs w:val="24"/>
            <w:u w:val="single"/>
          </w:rPr>
        </w:sdtEndPr>
        <w:sdtContent>
          <w:permStart w:id="0" w:edGrp="everyone"/>
          <w:r>
            <w:rPr>
              <w:rFonts w:hint="eastAsia" w:ascii="仿宋" w:hAnsi="仿宋" w:eastAsia="仿宋"/>
              <w:sz w:val="24"/>
              <w:szCs w:val="24"/>
              <w:u w:val="single"/>
            </w:rPr>
            <w:t xml:space="preserve">                   </w:t>
          </w:r>
          <w:permEnd w:id="0"/>
        </w:sdtContent>
      </w:sdt>
    </w:p>
    <w:p w14:paraId="09F99335">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法定代表人（负责人）：</w:t>
      </w:r>
      <w:permStart w:id="1" w:edGrp="everyone"/>
      <w:r>
        <w:rPr>
          <w:rFonts w:hint="eastAsia" w:ascii="仿宋" w:hAnsi="仿宋" w:eastAsia="仿宋"/>
          <w:sz w:val="24"/>
          <w:szCs w:val="24"/>
          <w:u w:val="single"/>
        </w:rPr>
        <w:t xml:space="preserve">                   </w:t>
      </w:r>
      <w:permEnd w:id="1"/>
    </w:p>
    <w:p w14:paraId="71B14536">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住 所 地：</w:t>
      </w:r>
      <w:sdt>
        <w:sdtPr>
          <w:rPr>
            <w:rFonts w:hint="eastAsia" w:ascii="仿宋" w:hAnsi="仿宋" w:eastAsia="仿宋" w:cs="仿宋"/>
            <w:sz w:val="24"/>
            <w:szCs w:val="24"/>
          </w:rPr>
          <w:alias w:val="甲方注册地址"/>
          <w:tag w:val="甲方注册地址"/>
          <w:id w:val="147474805"/>
          <w:text/>
        </w:sdtPr>
        <w:sdtEndPr>
          <w:rPr>
            <w:rFonts w:hint="eastAsia" w:ascii="仿宋" w:hAnsi="仿宋" w:eastAsia="仿宋" w:cs="仿宋"/>
            <w:sz w:val="24"/>
            <w:szCs w:val="24"/>
            <w:u w:val="single"/>
          </w:rPr>
        </w:sdtEndPr>
        <w:sdtContent>
          <w:permStart w:id="2" w:edGrp="everyone"/>
          <w:r>
            <w:rPr>
              <w:rFonts w:hint="eastAsia" w:ascii="仿宋" w:hAnsi="仿宋" w:eastAsia="仿宋"/>
              <w:sz w:val="24"/>
              <w:szCs w:val="24"/>
              <w:u w:val="single"/>
            </w:rPr>
            <w:t xml:space="preserve">                   </w:t>
          </w:r>
          <w:permEnd w:id="2"/>
        </w:sdtContent>
      </w:sdt>
    </w:p>
    <w:p w14:paraId="3BD144AC">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w:t>
      </w:r>
      <w:sdt>
        <w:sdtPr>
          <w:rPr>
            <w:rFonts w:hint="eastAsia" w:ascii="仿宋" w:hAnsi="仿宋" w:eastAsia="仿宋" w:cs="仿宋"/>
            <w:sz w:val="24"/>
            <w:szCs w:val="24"/>
          </w:rPr>
          <w:alias w:val="甲方联系人固定电话"/>
          <w:tag w:val="甲方联系人固定电话"/>
          <w:id w:val="147473290"/>
          <w:text/>
        </w:sdtPr>
        <w:sdtEndPr>
          <w:rPr>
            <w:rFonts w:hint="eastAsia" w:ascii="仿宋" w:hAnsi="仿宋" w:eastAsia="仿宋" w:cs="仿宋"/>
            <w:sz w:val="24"/>
            <w:szCs w:val="24"/>
            <w:u w:val="single"/>
          </w:rPr>
        </w:sdtEndPr>
        <w:sdtContent>
          <w:permStart w:id="3" w:edGrp="everyone"/>
          <w:r>
            <w:rPr>
              <w:rFonts w:hint="eastAsia" w:ascii="仿宋" w:hAnsi="仿宋" w:eastAsia="仿宋"/>
              <w:sz w:val="24"/>
              <w:szCs w:val="24"/>
              <w:u w:val="single"/>
            </w:rPr>
            <w:t xml:space="preserve">                   </w:t>
          </w:r>
          <w:permEnd w:id="3"/>
        </w:sdtContent>
      </w:sdt>
    </w:p>
    <w:p w14:paraId="1EEAFE9C">
      <w:pPr>
        <w:spacing w:line="550" w:lineRule="exact"/>
        <w:ind w:firstLine="480" w:firstLineChars="200"/>
        <w:rPr>
          <w:rFonts w:hint="eastAsia" w:ascii="仿宋" w:hAnsi="仿宋" w:eastAsia="仿宋"/>
          <w:sz w:val="24"/>
          <w:szCs w:val="24"/>
          <w:u w:val="single"/>
        </w:rPr>
      </w:pPr>
      <w:r>
        <w:rPr>
          <w:rFonts w:hint="eastAsia" w:ascii="仿宋" w:hAnsi="仿宋" w:eastAsia="仿宋"/>
          <w:sz w:val="24"/>
          <w:szCs w:val="24"/>
        </w:rPr>
        <w:t>传    真：</w:t>
      </w:r>
      <w:permStart w:id="4" w:edGrp="everyone"/>
      <w:r>
        <w:rPr>
          <w:rFonts w:hint="eastAsia" w:ascii="仿宋" w:hAnsi="仿宋" w:eastAsia="仿宋"/>
          <w:sz w:val="24"/>
          <w:szCs w:val="24"/>
          <w:u w:val="single"/>
        </w:rPr>
        <w:t xml:space="preserve">                   </w:t>
      </w:r>
      <w:permEnd w:id="4"/>
    </w:p>
    <w:p w14:paraId="69F134F0">
      <w:pPr>
        <w:widowControl/>
        <w:spacing w:line="360" w:lineRule="auto"/>
        <w:ind w:firstLine="480" w:firstLineChars="200"/>
        <w:jc w:val="left"/>
        <w:rPr>
          <w:rFonts w:hint="eastAsia" w:asciiTheme="minorEastAsia" w:hAnsiTheme="minorEastAsia" w:eastAsiaTheme="minorEastAsia" w:cstheme="minorEastAsia"/>
          <w:sz w:val="24"/>
          <w:szCs w:val="24"/>
          <w:u w:val="single"/>
          <w:shd w:val="pct10" w:color="auto" w:fill="FFFFFF"/>
        </w:rPr>
      </w:pPr>
      <w:r>
        <w:rPr>
          <w:rFonts w:hint="eastAsia" w:ascii="仿宋" w:hAnsi="仿宋" w:eastAsia="仿宋" w:cs="仿宋"/>
          <w:sz w:val="24"/>
          <w:szCs w:val="24"/>
        </w:rPr>
        <w:t>电子信箱：</w:t>
      </w:r>
      <w:permStart w:id="5" w:edGrp="everyone"/>
      <w:r>
        <w:rPr>
          <w:rFonts w:hint="eastAsia" w:ascii="仿宋" w:hAnsi="仿宋" w:eastAsia="仿宋"/>
          <w:sz w:val="24"/>
          <w:szCs w:val="24"/>
          <w:u w:val="single"/>
        </w:rPr>
        <w:t xml:space="preserve">                   </w:t>
      </w:r>
      <w:permEnd w:id="5"/>
      <w:sdt>
        <w:sdtPr>
          <w:rPr>
            <w:rFonts w:hint="eastAsia" w:ascii="仿宋" w:hAnsi="仿宋" w:eastAsia="仿宋" w:cs="仿宋"/>
            <w:sz w:val="24"/>
            <w:szCs w:val="24"/>
          </w:rPr>
          <w:alias w:val="甲方联系人电子邮箱"/>
          <w:tag w:val="甲方联系人电子邮箱"/>
          <w:id w:val="147473169"/>
          <w:text/>
        </w:sdtPr>
        <w:sdtEndPr>
          <w:rPr>
            <w:rFonts w:hint="eastAsia" w:asciiTheme="minorEastAsia" w:hAnsiTheme="minorEastAsia" w:eastAsiaTheme="minorEastAsia" w:cstheme="minorEastAsia"/>
            <w:sz w:val="24"/>
            <w:szCs w:val="24"/>
          </w:rPr>
        </w:sdtEndPr>
        <w:sdtContent/>
      </w:sdt>
    </w:p>
    <w:p w14:paraId="0347EB01">
      <w:pPr>
        <w:widowControl/>
        <w:spacing w:line="360" w:lineRule="auto"/>
        <w:ind w:firstLine="480" w:firstLineChars="200"/>
        <w:jc w:val="left"/>
        <w:rPr>
          <w:rFonts w:hint="eastAsia" w:ascii="仿宋" w:hAnsi="仿宋" w:eastAsia="仿宋" w:cs="仿宋"/>
          <w:sz w:val="24"/>
          <w:szCs w:val="24"/>
          <w:u w:val="single"/>
          <w:shd w:val="pct10" w:color="auto" w:fill="FFFFFF"/>
        </w:rPr>
      </w:pPr>
      <w:r>
        <w:rPr>
          <w:rFonts w:hint="eastAsia" w:ascii="仿宋" w:hAnsi="仿宋" w:eastAsia="仿宋" w:cs="仿宋"/>
          <w:sz w:val="24"/>
          <w:szCs w:val="24"/>
        </w:rPr>
        <w:t>通讯地址：</w:t>
      </w:r>
      <w:sdt>
        <w:sdtPr>
          <w:rPr>
            <w:rFonts w:hint="eastAsia" w:ascii="仿宋" w:hAnsi="仿宋" w:eastAsia="仿宋" w:cs="仿宋"/>
            <w:sz w:val="24"/>
            <w:szCs w:val="24"/>
          </w:rPr>
          <w:alias w:val="甲方办公通讯地址"/>
          <w:tag w:val="甲方办公通讯地址"/>
          <w:id w:val="147473545"/>
          <w:text/>
        </w:sdtPr>
        <w:sdtEndPr>
          <w:rPr>
            <w:rFonts w:hint="eastAsia" w:ascii="仿宋" w:hAnsi="仿宋" w:eastAsia="仿宋" w:cs="仿宋"/>
            <w:sz w:val="24"/>
            <w:szCs w:val="24"/>
            <w:u w:val="single"/>
          </w:rPr>
        </w:sdtEndPr>
        <w:sdtContent>
          <w:permStart w:id="6" w:edGrp="everyone"/>
          <w:r>
            <w:rPr>
              <w:rFonts w:hint="eastAsia" w:ascii="仿宋" w:hAnsi="仿宋" w:eastAsia="仿宋"/>
              <w:sz w:val="24"/>
              <w:szCs w:val="24"/>
              <w:u w:val="single"/>
            </w:rPr>
            <w:t xml:space="preserve">                   </w:t>
          </w:r>
          <w:permEnd w:id="6"/>
        </w:sdtContent>
      </w:sdt>
    </w:p>
    <w:p w14:paraId="1A2FE496">
      <w:pPr>
        <w:spacing w:line="550" w:lineRule="exact"/>
        <w:ind w:firstLine="480" w:firstLineChars="200"/>
        <w:rPr>
          <w:rFonts w:hint="eastAsia" w:ascii="仿宋" w:hAnsi="仿宋" w:eastAsia="仿宋"/>
          <w:sz w:val="24"/>
          <w:szCs w:val="24"/>
        </w:rPr>
      </w:pPr>
      <w:r>
        <w:rPr>
          <w:rFonts w:hint="eastAsia" w:ascii="仿宋" w:hAnsi="仿宋" w:eastAsia="仿宋"/>
          <w:sz w:val="24"/>
          <w:szCs w:val="24"/>
        </w:rPr>
        <w:t>邮政编码：</w:t>
      </w:r>
      <w:permStart w:id="7" w:edGrp="everyone"/>
      <w:r>
        <w:rPr>
          <w:rFonts w:hint="eastAsia" w:ascii="仿宋" w:hAnsi="仿宋" w:eastAsia="仿宋"/>
          <w:sz w:val="24"/>
          <w:szCs w:val="24"/>
          <w:u w:val="single"/>
        </w:rPr>
        <w:t xml:space="preserve">                   </w:t>
      </w:r>
      <w:permEnd w:id="7"/>
    </w:p>
    <w:p w14:paraId="69D4A736">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开户银行：</w:t>
      </w:r>
      <w:sdt>
        <w:sdtPr>
          <w:rPr>
            <w:rFonts w:hint="eastAsia" w:ascii="仿宋" w:hAnsi="仿宋" w:eastAsia="仿宋" w:cs="仿宋"/>
            <w:sz w:val="24"/>
            <w:szCs w:val="24"/>
          </w:rPr>
          <w:alias w:val="甲方开户银行名称"/>
          <w:tag w:val="甲方开户银行名称"/>
          <w:id w:val="147474557"/>
          <w:text/>
        </w:sdtPr>
        <w:sdtEndPr>
          <w:rPr>
            <w:rFonts w:hint="eastAsia" w:ascii="仿宋" w:hAnsi="仿宋" w:eastAsia="仿宋" w:cs="仿宋"/>
            <w:sz w:val="24"/>
            <w:szCs w:val="24"/>
            <w:u w:val="single"/>
          </w:rPr>
        </w:sdtEndPr>
        <w:sdtContent>
          <w:permStart w:id="8" w:edGrp="everyone"/>
          <w:r>
            <w:rPr>
              <w:rFonts w:hint="eastAsia" w:ascii="仿宋" w:hAnsi="仿宋" w:eastAsia="仿宋"/>
              <w:sz w:val="24"/>
              <w:szCs w:val="24"/>
              <w:u w:val="single"/>
            </w:rPr>
            <w:t xml:space="preserve">                   </w:t>
          </w:r>
          <w:permEnd w:id="8"/>
        </w:sdtContent>
      </w:sdt>
    </w:p>
    <w:p w14:paraId="0287AD19">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账    号：</w:t>
      </w:r>
      <w:sdt>
        <w:sdtPr>
          <w:rPr>
            <w:rFonts w:hint="eastAsia" w:ascii="仿宋" w:hAnsi="仿宋" w:eastAsia="仿宋" w:cs="仿宋"/>
            <w:sz w:val="24"/>
            <w:szCs w:val="24"/>
          </w:rPr>
          <w:alias w:val="甲方银行账号"/>
          <w:tag w:val="甲方银行账号"/>
          <w:id w:val="147473740"/>
          <w:text/>
        </w:sdtPr>
        <w:sdtEndPr>
          <w:rPr>
            <w:rFonts w:hint="eastAsia" w:ascii="仿宋" w:hAnsi="仿宋" w:eastAsia="仿宋" w:cs="仿宋"/>
            <w:sz w:val="24"/>
            <w:szCs w:val="24"/>
            <w:u w:val="single"/>
          </w:rPr>
        </w:sdtEndPr>
        <w:sdtContent>
          <w:permStart w:id="9" w:edGrp="everyone"/>
          <w:r>
            <w:rPr>
              <w:rFonts w:hint="eastAsia" w:ascii="仿宋" w:hAnsi="仿宋" w:eastAsia="仿宋"/>
              <w:sz w:val="24"/>
              <w:szCs w:val="24"/>
              <w:u w:val="single"/>
            </w:rPr>
            <w:t xml:space="preserve">                   </w:t>
          </w:r>
          <w:permEnd w:id="9"/>
        </w:sdtContent>
      </w:sdt>
    </w:p>
    <w:p w14:paraId="32541F95">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开户银行地址：</w:t>
      </w:r>
      <w:sdt>
        <w:sdtPr>
          <w:rPr>
            <w:rFonts w:hint="eastAsia" w:ascii="仿宋" w:hAnsi="仿宋" w:eastAsia="仿宋" w:cs="仿宋"/>
            <w:sz w:val="24"/>
            <w:szCs w:val="24"/>
          </w:rPr>
          <w:alias w:val="甲方开户银行名称"/>
          <w:tag w:val="甲方开户银行名称"/>
          <w:id w:val="147475850"/>
          <w:text/>
        </w:sdtPr>
        <w:sdtEndPr>
          <w:rPr>
            <w:rFonts w:hint="eastAsia" w:ascii="仿宋" w:hAnsi="仿宋" w:eastAsia="仿宋" w:cs="仿宋"/>
            <w:sz w:val="24"/>
            <w:szCs w:val="24"/>
            <w:u w:val="single"/>
          </w:rPr>
        </w:sdtEndPr>
        <w:sdtContent>
          <w:permStart w:id="10" w:edGrp="everyone"/>
          <w:r>
            <w:rPr>
              <w:rFonts w:hint="eastAsia" w:ascii="仿宋" w:hAnsi="仿宋" w:eastAsia="仿宋"/>
              <w:sz w:val="24"/>
              <w:szCs w:val="24"/>
              <w:u w:val="single"/>
            </w:rPr>
            <w:t xml:space="preserve">                   </w:t>
          </w:r>
          <w:permEnd w:id="10"/>
        </w:sdtContent>
      </w:sdt>
    </w:p>
    <w:p w14:paraId="56C288E9">
      <w:pPr>
        <w:pStyle w:val="4"/>
        <w:rPr>
          <w:sz w:val="24"/>
          <w:szCs w:val="24"/>
        </w:rPr>
      </w:pPr>
    </w:p>
    <w:p w14:paraId="5DB993D4">
      <w:pPr>
        <w:widowControl/>
        <w:spacing w:line="360" w:lineRule="auto"/>
        <w:ind w:firstLine="480" w:firstLineChars="200"/>
        <w:jc w:val="left"/>
        <w:rPr>
          <w:rFonts w:hint="eastAsia" w:ascii="仿宋" w:hAnsi="仿宋" w:eastAsia="仿宋" w:cs="仿宋"/>
          <w:b/>
          <w:sz w:val="24"/>
          <w:szCs w:val="24"/>
          <w:u w:val="single"/>
        </w:rPr>
      </w:pPr>
      <w:r>
        <w:rPr>
          <w:rFonts w:hint="eastAsia" w:ascii="仿宋" w:hAnsi="仿宋" w:eastAsia="仿宋" w:cs="仿宋"/>
          <w:sz w:val="24"/>
          <w:szCs w:val="24"/>
        </w:rPr>
        <w:t>乙    方：</w:t>
      </w:r>
      <w:sdt>
        <w:sdtPr>
          <w:rPr>
            <w:rFonts w:hint="eastAsia" w:ascii="仿宋" w:hAnsi="仿宋" w:eastAsia="仿宋"/>
            <w:b/>
            <w:sz w:val="24"/>
            <w:szCs w:val="24"/>
            <w:u w:val="single"/>
          </w:rPr>
          <w:alias w:val="甲方当事人全称"/>
          <w:tag w:val="甲方当事人全称"/>
          <w:id w:val="147469797"/>
          <w:text/>
        </w:sdtPr>
        <w:sdtEndPr>
          <w:rPr>
            <w:rFonts w:hint="eastAsia" w:ascii="仿宋" w:hAnsi="仿宋" w:eastAsia="仿宋" w:cs="仿宋"/>
            <w:b/>
            <w:sz w:val="24"/>
            <w:szCs w:val="24"/>
            <w:u w:val="single"/>
          </w:rPr>
        </w:sdtEndPr>
        <w:sdtContent>
          <w:permStart w:id="11" w:edGrp="everyone"/>
          <w:r>
            <w:rPr>
              <w:rFonts w:hint="eastAsia" w:ascii="仿宋" w:hAnsi="仿宋" w:eastAsia="仿宋"/>
              <w:sz w:val="24"/>
              <w:szCs w:val="24"/>
              <w:u w:val="single"/>
            </w:rPr>
            <w:t xml:space="preserve">                   </w:t>
          </w:r>
          <w:permEnd w:id="11"/>
        </w:sdtContent>
      </w:sdt>
    </w:p>
    <w:p w14:paraId="6CFBEEF6">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法定代表人（负责人）：</w:t>
      </w:r>
      <w:permStart w:id="12" w:edGrp="everyone"/>
      <w:r>
        <w:rPr>
          <w:rFonts w:hint="eastAsia" w:ascii="仿宋" w:hAnsi="仿宋" w:eastAsia="仿宋"/>
          <w:sz w:val="24"/>
          <w:szCs w:val="24"/>
          <w:u w:val="single"/>
        </w:rPr>
        <w:t xml:space="preserve">                   </w:t>
      </w:r>
      <w:permEnd w:id="12"/>
    </w:p>
    <w:p w14:paraId="68BCE388">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住 所 地：</w:t>
      </w:r>
      <w:sdt>
        <w:sdtPr>
          <w:rPr>
            <w:rFonts w:hint="eastAsia" w:ascii="仿宋" w:hAnsi="仿宋" w:eastAsia="仿宋" w:cs="仿宋"/>
            <w:sz w:val="24"/>
            <w:szCs w:val="24"/>
          </w:rPr>
          <w:alias w:val="甲方注册地址"/>
          <w:tag w:val="甲方注册地址"/>
          <w:id w:val="147475943"/>
          <w:text/>
        </w:sdtPr>
        <w:sdtEndPr>
          <w:rPr>
            <w:rFonts w:hint="eastAsia" w:ascii="仿宋" w:hAnsi="仿宋" w:eastAsia="仿宋" w:cs="仿宋"/>
            <w:sz w:val="24"/>
            <w:szCs w:val="24"/>
            <w:u w:val="single"/>
          </w:rPr>
        </w:sdtEndPr>
        <w:sdtContent>
          <w:permStart w:id="13" w:edGrp="everyone"/>
          <w:r>
            <w:rPr>
              <w:rFonts w:hint="eastAsia" w:ascii="仿宋" w:hAnsi="仿宋" w:eastAsia="仿宋"/>
              <w:sz w:val="24"/>
              <w:szCs w:val="24"/>
              <w:u w:val="single"/>
            </w:rPr>
            <w:t xml:space="preserve">                   </w:t>
          </w:r>
          <w:permEnd w:id="13"/>
        </w:sdtContent>
      </w:sdt>
    </w:p>
    <w:p w14:paraId="079DF80A">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w:t>
      </w:r>
      <w:sdt>
        <w:sdtPr>
          <w:rPr>
            <w:rFonts w:hint="eastAsia" w:ascii="仿宋" w:hAnsi="仿宋" w:eastAsia="仿宋" w:cs="仿宋"/>
            <w:sz w:val="24"/>
            <w:szCs w:val="24"/>
          </w:rPr>
          <w:alias w:val="甲方联系人固定电话"/>
          <w:tag w:val="甲方联系人固定电话"/>
          <w:id w:val="147465301"/>
          <w:text/>
        </w:sdtPr>
        <w:sdtEndPr>
          <w:rPr>
            <w:rFonts w:hint="eastAsia" w:ascii="仿宋" w:hAnsi="仿宋" w:eastAsia="仿宋" w:cs="仿宋"/>
            <w:sz w:val="24"/>
            <w:szCs w:val="24"/>
            <w:u w:val="single"/>
          </w:rPr>
        </w:sdtEndPr>
        <w:sdtContent>
          <w:permStart w:id="14" w:edGrp="everyone"/>
          <w:r>
            <w:rPr>
              <w:rFonts w:hint="eastAsia" w:ascii="仿宋" w:hAnsi="仿宋" w:eastAsia="仿宋"/>
              <w:sz w:val="24"/>
              <w:szCs w:val="24"/>
              <w:u w:val="single"/>
            </w:rPr>
            <w:t xml:space="preserve">                   </w:t>
          </w:r>
          <w:permEnd w:id="14"/>
        </w:sdtContent>
      </w:sdt>
    </w:p>
    <w:p w14:paraId="745834AE">
      <w:pPr>
        <w:spacing w:line="550" w:lineRule="exact"/>
        <w:ind w:firstLine="480" w:firstLineChars="200"/>
        <w:rPr>
          <w:rFonts w:hint="eastAsia" w:ascii="仿宋" w:hAnsi="仿宋" w:eastAsia="仿宋"/>
          <w:sz w:val="24"/>
          <w:szCs w:val="24"/>
          <w:u w:val="single"/>
        </w:rPr>
      </w:pPr>
      <w:r>
        <w:rPr>
          <w:rFonts w:hint="eastAsia" w:ascii="仿宋" w:hAnsi="仿宋" w:eastAsia="仿宋"/>
          <w:sz w:val="24"/>
          <w:szCs w:val="24"/>
        </w:rPr>
        <w:t>传    真：</w:t>
      </w:r>
      <w:permStart w:id="15" w:edGrp="everyone"/>
      <w:r>
        <w:rPr>
          <w:rFonts w:hint="eastAsia" w:ascii="仿宋" w:hAnsi="仿宋" w:eastAsia="仿宋"/>
          <w:sz w:val="24"/>
          <w:szCs w:val="24"/>
          <w:u w:val="single"/>
        </w:rPr>
        <w:t xml:space="preserve">                   </w:t>
      </w:r>
      <w:permEnd w:id="15"/>
    </w:p>
    <w:p w14:paraId="05AE8271">
      <w:pPr>
        <w:widowControl/>
        <w:spacing w:line="360" w:lineRule="auto"/>
        <w:ind w:firstLine="480" w:firstLineChars="200"/>
        <w:jc w:val="left"/>
        <w:rPr>
          <w:rFonts w:hint="eastAsia" w:asciiTheme="minorEastAsia" w:hAnsiTheme="minorEastAsia" w:eastAsiaTheme="minorEastAsia" w:cstheme="minorEastAsia"/>
          <w:sz w:val="24"/>
          <w:szCs w:val="24"/>
          <w:u w:val="single"/>
          <w:shd w:val="pct10" w:color="auto" w:fill="FFFFFF"/>
        </w:rPr>
      </w:pPr>
      <w:r>
        <w:rPr>
          <w:rFonts w:hint="eastAsia" w:ascii="仿宋" w:hAnsi="仿宋" w:eastAsia="仿宋" w:cs="仿宋"/>
          <w:sz w:val="24"/>
          <w:szCs w:val="24"/>
        </w:rPr>
        <w:t>电子信箱：</w:t>
      </w:r>
      <w:permStart w:id="16" w:edGrp="everyone"/>
      <w:r>
        <w:rPr>
          <w:rFonts w:hint="eastAsia" w:ascii="仿宋" w:hAnsi="仿宋" w:eastAsia="仿宋"/>
          <w:sz w:val="24"/>
          <w:szCs w:val="24"/>
          <w:u w:val="single"/>
        </w:rPr>
        <w:t xml:space="preserve">                   </w:t>
      </w:r>
      <w:permEnd w:id="16"/>
      <w:sdt>
        <w:sdtPr>
          <w:rPr>
            <w:rFonts w:hint="eastAsia" w:ascii="仿宋" w:hAnsi="仿宋" w:eastAsia="仿宋" w:cs="仿宋"/>
            <w:sz w:val="24"/>
            <w:szCs w:val="24"/>
          </w:rPr>
          <w:alias w:val="甲方联系人电子邮箱"/>
          <w:tag w:val="甲方联系人电子邮箱"/>
          <w:id w:val="147483642"/>
          <w:text/>
        </w:sdtPr>
        <w:sdtEndPr>
          <w:rPr>
            <w:rFonts w:hint="eastAsia" w:asciiTheme="minorEastAsia" w:hAnsiTheme="minorEastAsia" w:eastAsiaTheme="minorEastAsia" w:cstheme="minorEastAsia"/>
            <w:sz w:val="24"/>
            <w:szCs w:val="24"/>
          </w:rPr>
        </w:sdtEndPr>
        <w:sdtContent/>
      </w:sdt>
    </w:p>
    <w:p w14:paraId="109E87BA">
      <w:pPr>
        <w:widowControl/>
        <w:spacing w:line="360" w:lineRule="auto"/>
        <w:ind w:firstLine="480" w:firstLineChars="200"/>
        <w:jc w:val="left"/>
        <w:rPr>
          <w:rFonts w:hint="eastAsia" w:ascii="仿宋" w:hAnsi="仿宋" w:eastAsia="仿宋" w:cs="仿宋"/>
          <w:sz w:val="24"/>
          <w:szCs w:val="24"/>
          <w:u w:val="single"/>
          <w:shd w:val="pct10" w:color="auto" w:fill="FFFFFF"/>
        </w:rPr>
      </w:pPr>
      <w:r>
        <w:rPr>
          <w:rFonts w:hint="eastAsia" w:ascii="仿宋" w:hAnsi="仿宋" w:eastAsia="仿宋" w:cs="仿宋"/>
          <w:sz w:val="24"/>
          <w:szCs w:val="24"/>
        </w:rPr>
        <w:t>通讯地址：</w:t>
      </w:r>
      <w:sdt>
        <w:sdtPr>
          <w:rPr>
            <w:rFonts w:hint="eastAsia" w:ascii="仿宋" w:hAnsi="仿宋" w:eastAsia="仿宋" w:cs="仿宋"/>
            <w:sz w:val="24"/>
            <w:szCs w:val="24"/>
          </w:rPr>
          <w:alias w:val="甲方办公通讯地址"/>
          <w:tag w:val="甲方办公通讯地址"/>
          <w:id w:val="147456331"/>
          <w:text/>
        </w:sdtPr>
        <w:sdtEndPr>
          <w:rPr>
            <w:rFonts w:hint="eastAsia" w:ascii="仿宋" w:hAnsi="仿宋" w:eastAsia="仿宋" w:cs="仿宋"/>
            <w:sz w:val="24"/>
            <w:szCs w:val="24"/>
            <w:u w:val="single"/>
          </w:rPr>
        </w:sdtEndPr>
        <w:sdtContent>
          <w:permStart w:id="17" w:edGrp="everyone"/>
          <w:r>
            <w:rPr>
              <w:rFonts w:hint="eastAsia" w:ascii="仿宋" w:hAnsi="仿宋" w:eastAsia="仿宋"/>
              <w:sz w:val="24"/>
              <w:szCs w:val="24"/>
              <w:u w:val="single"/>
            </w:rPr>
            <w:t xml:space="preserve">                   </w:t>
          </w:r>
          <w:permEnd w:id="17"/>
        </w:sdtContent>
      </w:sdt>
    </w:p>
    <w:p w14:paraId="2E4B316D">
      <w:pPr>
        <w:spacing w:line="550" w:lineRule="exact"/>
        <w:ind w:firstLine="480" w:firstLineChars="200"/>
        <w:rPr>
          <w:rFonts w:hint="eastAsia" w:ascii="仿宋" w:hAnsi="仿宋" w:eastAsia="仿宋"/>
          <w:sz w:val="24"/>
          <w:szCs w:val="24"/>
        </w:rPr>
      </w:pPr>
      <w:r>
        <w:rPr>
          <w:rFonts w:hint="eastAsia" w:ascii="仿宋" w:hAnsi="仿宋" w:eastAsia="仿宋"/>
          <w:sz w:val="24"/>
          <w:szCs w:val="24"/>
        </w:rPr>
        <w:t>邮政编码：</w:t>
      </w:r>
      <w:permStart w:id="18" w:edGrp="everyone"/>
      <w:r>
        <w:rPr>
          <w:rFonts w:hint="eastAsia" w:ascii="仿宋" w:hAnsi="仿宋" w:eastAsia="仿宋"/>
          <w:sz w:val="24"/>
          <w:szCs w:val="24"/>
          <w:u w:val="single"/>
        </w:rPr>
        <w:t xml:space="preserve">                   </w:t>
      </w:r>
      <w:permEnd w:id="18"/>
    </w:p>
    <w:p w14:paraId="1D53BF09">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开户银行：</w:t>
      </w:r>
      <w:sdt>
        <w:sdtPr>
          <w:rPr>
            <w:rFonts w:hint="eastAsia" w:ascii="仿宋" w:hAnsi="仿宋" w:eastAsia="仿宋" w:cs="仿宋"/>
            <w:sz w:val="24"/>
            <w:szCs w:val="24"/>
          </w:rPr>
          <w:alias w:val="甲方开户银行名称"/>
          <w:tag w:val="甲方开户银行名称"/>
          <w:id w:val="147477865"/>
          <w:text/>
        </w:sdtPr>
        <w:sdtEndPr>
          <w:rPr>
            <w:rFonts w:hint="eastAsia" w:ascii="仿宋" w:hAnsi="仿宋" w:eastAsia="仿宋" w:cs="仿宋"/>
            <w:sz w:val="24"/>
            <w:szCs w:val="24"/>
            <w:u w:val="single"/>
          </w:rPr>
        </w:sdtEndPr>
        <w:sdtContent>
          <w:permStart w:id="19" w:edGrp="everyone"/>
          <w:r>
            <w:rPr>
              <w:rFonts w:hint="eastAsia" w:ascii="仿宋" w:hAnsi="仿宋" w:eastAsia="仿宋"/>
              <w:sz w:val="24"/>
              <w:szCs w:val="24"/>
              <w:u w:val="single"/>
            </w:rPr>
            <w:t xml:space="preserve">                   </w:t>
          </w:r>
          <w:permEnd w:id="19"/>
        </w:sdtContent>
      </w:sdt>
    </w:p>
    <w:p w14:paraId="3CF699C8">
      <w:pPr>
        <w:widowControl/>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sz w:val="24"/>
          <w:szCs w:val="24"/>
        </w:rPr>
        <w:t>账    号：</w:t>
      </w:r>
      <w:sdt>
        <w:sdtPr>
          <w:rPr>
            <w:rFonts w:hint="eastAsia" w:ascii="仿宋" w:hAnsi="仿宋" w:eastAsia="仿宋" w:cs="仿宋"/>
            <w:sz w:val="24"/>
            <w:szCs w:val="24"/>
          </w:rPr>
          <w:alias w:val="甲方银行账号"/>
          <w:tag w:val="甲方银行账号"/>
          <w:id w:val="147477104"/>
          <w:text/>
        </w:sdtPr>
        <w:sdtEndPr>
          <w:rPr>
            <w:rFonts w:hint="eastAsia" w:ascii="仿宋" w:hAnsi="仿宋" w:eastAsia="仿宋" w:cs="仿宋"/>
            <w:sz w:val="24"/>
            <w:szCs w:val="24"/>
            <w:u w:val="single"/>
          </w:rPr>
        </w:sdtEndPr>
        <w:sdtContent>
          <w:permStart w:id="20" w:edGrp="everyone"/>
          <w:r>
            <w:rPr>
              <w:rFonts w:hint="eastAsia" w:ascii="仿宋" w:hAnsi="仿宋" w:eastAsia="仿宋"/>
              <w:sz w:val="24"/>
              <w:szCs w:val="24"/>
              <w:u w:val="single"/>
            </w:rPr>
            <w:t xml:space="preserve">                   </w:t>
          </w:r>
          <w:permEnd w:id="20"/>
        </w:sdtContent>
      </w:sdt>
    </w:p>
    <w:p w14:paraId="2C0B04CF">
      <w:pPr>
        <w:rPr>
          <w:rFonts w:hint="eastAsia" w:ascii="仿宋" w:hAnsi="仿宋" w:eastAsia="仿宋"/>
          <w:sz w:val="28"/>
          <w:szCs w:val="28"/>
          <w:u w:val="single"/>
        </w:rPr>
      </w:pPr>
      <w:r>
        <w:rPr>
          <w:rFonts w:hint="eastAsia" w:ascii="仿宋" w:hAnsi="仿宋" w:eastAsia="仿宋" w:cs="仿宋"/>
          <w:sz w:val="24"/>
          <w:szCs w:val="24"/>
        </w:rPr>
        <w:t>开户银行地址：</w:t>
      </w:r>
      <w:sdt>
        <w:sdtPr>
          <w:rPr>
            <w:rFonts w:hint="eastAsia" w:ascii="仿宋" w:hAnsi="仿宋" w:eastAsia="仿宋" w:cs="仿宋"/>
            <w:sz w:val="24"/>
            <w:szCs w:val="24"/>
          </w:rPr>
          <w:alias w:val="甲方开户银行名称"/>
          <w:tag w:val="甲方开户银行名称"/>
          <w:id w:val="147459724"/>
          <w:text/>
        </w:sdtPr>
        <w:sdtEndPr>
          <w:rPr>
            <w:rFonts w:hint="eastAsia" w:ascii="仿宋" w:hAnsi="仿宋" w:eastAsia="仿宋" w:cs="仿宋"/>
            <w:sz w:val="28"/>
            <w:szCs w:val="28"/>
            <w:u w:val="single"/>
          </w:rPr>
        </w:sdtEndPr>
        <w:sdtContent>
          <w:permStart w:id="21" w:edGrp="everyone"/>
          <w:r>
            <w:rPr>
              <w:rFonts w:hint="eastAsia" w:ascii="仿宋" w:hAnsi="仿宋" w:eastAsia="仿宋"/>
              <w:sz w:val="24"/>
              <w:szCs w:val="24"/>
              <w:u w:val="single"/>
            </w:rPr>
            <w:t xml:space="preserve">                   </w:t>
          </w:r>
          <w:permEnd w:id="21"/>
        </w:sdtContent>
      </w:sdt>
      <w:r>
        <w:rPr>
          <w:rFonts w:hint="eastAsia" w:ascii="仿宋" w:hAnsi="仿宋" w:eastAsia="仿宋"/>
          <w:sz w:val="28"/>
          <w:szCs w:val="28"/>
          <w:u w:val="single"/>
        </w:rPr>
        <w:br w:type="page"/>
      </w:r>
    </w:p>
    <w:p w14:paraId="79F48DDF">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甲乙双方根据《中华人民共和国民法典》及其他法律、法规有关的规定，遵循平等、自愿、公平和诚实信用的原则，经友好协商，就乙方依甲方要求在完成</w:t>
      </w:r>
      <w:permStart w:id="22" w:edGrp="everyone"/>
      <w:r>
        <w:rPr>
          <w:rFonts w:hint="eastAsia" w:ascii="仿宋" w:hAnsi="仿宋" w:eastAsia="仿宋"/>
          <w:sz w:val="24"/>
          <w:szCs w:val="24"/>
          <w:u w:val="single"/>
        </w:rPr>
        <w:t xml:space="preserve">                                   </w:t>
      </w:r>
      <w:permEnd w:id="22"/>
      <w:r>
        <w:rPr>
          <w:rFonts w:hint="eastAsia" w:ascii="仿宋" w:hAnsi="仿宋" w:eastAsia="仿宋"/>
          <w:sz w:val="24"/>
          <w:szCs w:val="24"/>
        </w:rPr>
        <w:t>的相关工作（以下简称“相关工作”）中涉及的甲方有关信息、资料不被泄露，并防止上述信息、资料被滥用等事宜，达成如下协议，共同遵守：</w:t>
      </w:r>
    </w:p>
    <w:p w14:paraId="5F067539">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1.保密信息和资料</w:t>
      </w:r>
    </w:p>
    <w:p w14:paraId="2036A7C4">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本协议中的保密信息和资料是指在项目过程中，乙方从甲方（包括其母公司、子公司及其他关联方，客户等合作单位）获得的与项目有关或因项目产生的任何商业、市场、营销、经营、技术、数据、财务、客户、项目、最终报价、会议及决议、纪要、决定信息以及其他同等或类似性质的资料，无论以何种形式或载于何种载体，无论在披露时是否以口头、图像或以书面方式表明其具有保密性。本协议所指的保密信息和资料包括但不限于以下内容：</w:t>
      </w:r>
    </w:p>
    <w:p w14:paraId="27963C38">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1.1 乙方就相关工作的实施与甲方进行最终报价商谈、提供服务以及履行最终报价过程中所知悉、获取的甲方非公开的经营信息、技术信息、财务信息和其他需要保密的信息和资料。</w:t>
      </w:r>
    </w:p>
    <w:p w14:paraId="0FB30EE0">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1.2甲乙双方就实施相关工作形成的非公开的会议文件、纪要、决定以及往来的传真、信函、电子邮件等。</w:t>
      </w:r>
    </w:p>
    <w:p w14:paraId="1A51CA4D">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1.3其他</w:t>
      </w:r>
      <w:permStart w:id="23" w:edGrp="everyone"/>
      <w:r>
        <w:rPr>
          <w:rFonts w:hint="eastAsia" w:ascii="仿宋" w:hAnsi="仿宋" w:eastAsia="仿宋"/>
          <w:sz w:val="24"/>
          <w:szCs w:val="24"/>
          <w:u w:val="single"/>
        </w:rPr>
        <w:t xml:space="preserve">       </w:t>
      </w:r>
    </w:p>
    <w:permEnd w:id="23"/>
    <w:p w14:paraId="03E2069D">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2. 保密期限</w:t>
      </w:r>
    </w:p>
    <w:p w14:paraId="786ADF0A">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自本协议签订之日或乙方知悉、获取本协议第1条所涉有关信息、文件、资料之日起，至甲方书面放弃权利或相关保密信息解密之日止。</w:t>
      </w:r>
    </w:p>
    <w:p w14:paraId="1E2D5C68">
      <w:pPr>
        <w:spacing w:line="560" w:lineRule="exact"/>
        <w:ind w:firstLine="405" w:firstLineChars="168"/>
        <w:rPr>
          <w:rFonts w:hint="eastAsia" w:ascii="仿宋" w:hAnsi="仿宋" w:eastAsia="仿宋"/>
          <w:sz w:val="24"/>
          <w:szCs w:val="24"/>
        </w:rPr>
      </w:pPr>
      <w:r>
        <w:rPr>
          <w:rFonts w:hint="eastAsia" w:ascii="仿宋" w:hAnsi="仿宋" w:eastAsia="仿宋"/>
          <w:b/>
          <w:sz w:val="24"/>
          <w:szCs w:val="24"/>
        </w:rPr>
        <w:t>3. 保密人员范围</w:t>
      </w:r>
    </w:p>
    <w:p w14:paraId="0E4B0BA3">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乙方参与项目的直接或间接接触保密信息的人员（包括但不限于其管理人员、员工、雇员以及其他受乙方委托、聘用直接或间接接触保密信息的单位或人员）均应严格恪守保密义务，不应人员流动而免责。乙方参与项目的主要成员更换或增加人员须经甲方同意后方可进行。乙方参与项目的所有人员必须首先与乙方签订正式的保密协议或者向乙方出具《员工保密承诺书》，保证上述人员在知晓保密信息之前已经充分了解本协议的内容，保密安全性不得低于本协议要求且上述人员接受本协议条款的约束，确保上述人员承担保密责任的程度不低于本协议规定的程度。甲方有审查乙方与乙方人员遵守保密协议的权利，乙方在甲方提出需求后必须提交相关文件资料。</w:t>
      </w:r>
    </w:p>
    <w:p w14:paraId="74FC1F77">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4.甲方权利义务</w:t>
      </w:r>
    </w:p>
    <w:p w14:paraId="7E3EFDF8">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4.1 甲方应根据相关工作的实际需要，向乙方提供必要的信息和资料；</w:t>
      </w:r>
    </w:p>
    <w:p w14:paraId="7687BB55">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4.2 有权要求乙方按本协议约定承担保密责任；</w:t>
      </w:r>
    </w:p>
    <w:p w14:paraId="276CF52D">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4.3甲方向乙方提供信息、资料（包括但不限于纸质、邮件、传真、磁盘、光盘等形式），有权要求乙方予以书面确认。</w:t>
      </w:r>
    </w:p>
    <w:p w14:paraId="43C98199">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5.乙方权利义务</w:t>
      </w:r>
    </w:p>
    <w:p w14:paraId="01C5CB6D">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5.1 乙方了解、掌握的保密信息和资料，仅用于本协议约定的相关工作、参与本项目人员使用；</w:t>
      </w:r>
    </w:p>
    <w:p w14:paraId="217E5A69">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5.2 乙方对本协议约定需要保密的信息和资料，未经甲方书面同意不得提供给任何第三方（包括但不限于乙方的母公司、分支机构、子公司或委托顾问方、接受咨询方、其他关联方）；</w:t>
      </w:r>
    </w:p>
    <w:p w14:paraId="12EB9844">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5.3 乙方应妥善保管其掌握的保密信息和资料，未经甲方书面许可，乙方不得以任何形式对保密信息和资料进行复制或留存，乙方因工作成果归档除外；</w:t>
      </w:r>
    </w:p>
    <w:p w14:paraId="428AA1AF">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5.4 乙方应对保密信息和资料及乙方涉密人员制定相应的保密制度，应将从甲方得到的保密信息视同乙方内部的保密信息进行安全管理，采取相应的保密措施，确保本协议的履行；</w:t>
      </w:r>
    </w:p>
    <w:p w14:paraId="4C03B405">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 xml:space="preserve">5.5 在协议约定的保密期限内，乙方如发现有关保密信息和资料遗失或被泄露的，应及时通知甲方，并积极采取措施防止损害后果的发生； </w:t>
      </w:r>
    </w:p>
    <w:p w14:paraId="7FFAC8D5">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5.6 保密信息及利用保密信息所形成的工作成果，乙方及其相关人员应负保密责任，非经甲方书面同意，不得以任何方式就保密信息及工作成果之全部或部分泄漏、告知、复制、传播、或对外发表、或为自己及其他第三人使用。</w:t>
      </w:r>
    </w:p>
    <w:p w14:paraId="6D265C92">
      <w:pPr>
        <w:spacing w:line="560" w:lineRule="exact"/>
        <w:ind w:firstLine="403" w:firstLineChars="168"/>
        <w:rPr>
          <w:rFonts w:hint="eastAsia" w:ascii="仿宋" w:hAnsi="仿宋" w:eastAsia="仿宋"/>
          <w:bCs/>
          <w:sz w:val="24"/>
          <w:szCs w:val="24"/>
        </w:rPr>
      </w:pPr>
      <w:r>
        <w:rPr>
          <w:rFonts w:hint="eastAsia" w:ascii="仿宋" w:hAnsi="仿宋" w:eastAsia="仿宋"/>
          <w:bCs/>
          <w:sz w:val="24"/>
          <w:szCs w:val="24"/>
        </w:rPr>
        <w:t>5.7在甲方办公区域开展研究过程中，乙方应遵守甲方关于第三方人员管理规定要求，未经许可不得将信息资料带离办公场所。</w:t>
      </w:r>
    </w:p>
    <w:p w14:paraId="1FF74B5B">
      <w:pPr>
        <w:spacing w:line="560" w:lineRule="exact"/>
        <w:ind w:firstLine="403" w:firstLineChars="168"/>
        <w:rPr>
          <w:rFonts w:hint="eastAsia" w:ascii="仿宋" w:hAnsi="仿宋" w:eastAsia="仿宋"/>
          <w:bCs/>
          <w:sz w:val="24"/>
          <w:szCs w:val="24"/>
        </w:rPr>
      </w:pPr>
      <w:r>
        <w:rPr>
          <w:rFonts w:hint="eastAsia" w:ascii="仿宋" w:hAnsi="仿宋" w:eastAsia="仿宋"/>
          <w:bCs/>
          <w:sz w:val="24"/>
          <w:szCs w:val="24"/>
        </w:rPr>
        <w:t>5.8项目实施完成后，乙方应将甲方提供给乙方的所有资料和数据、本项目研究成果等信息资料移交甲方。</w:t>
      </w:r>
    </w:p>
    <w:p w14:paraId="30FD7FF9">
      <w:pPr>
        <w:spacing w:line="560" w:lineRule="exact"/>
        <w:ind w:firstLine="403" w:firstLineChars="168"/>
        <w:rPr>
          <w:rFonts w:hint="eastAsia" w:ascii="仿宋" w:hAnsi="仿宋" w:eastAsia="仿宋"/>
          <w:b/>
          <w:sz w:val="24"/>
          <w:szCs w:val="24"/>
        </w:rPr>
      </w:pPr>
      <w:r>
        <w:rPr>
          <w:rFonts w:hint="eastAsia" w:ascii="仿宋" w:hAnsi="仿宋" w:eastAsia="仿宋"/>
          <w:bCs/>
          <w:sz w:val="24"/>
          <w:szCs w:val="24"/>
        </w:rPr>
        <w:t>5.9</w:t>
      </w:r>
      <w:r>
        <w:rPr>
          <w:rFonts w:hint="eastAsia" w:ascii="仿宋" w:hAnsi="仿宋" w:eastAsia="仿宋"/>
          <w:sz w:val="24"/>
          <w:szCs w:val="24"/>
        </w:rPr>
        <w:t>其他</w:t>
      </w:r>
      <w:permStart w:id="24" w:edGrp="everyone"/>
      <w:r>
        <w:rPr>
          <w:rFonts w:hint="eastAsia" w:ascii="仿宋" w:hAnsi="仿宋" w:eastAsia="仿宋"/>
          <w:sz w:val="24"/>
          <w:szCs w:val="24"/>
          <w:u w:val="single"/>
        </w:rPr>
        <w:t xml:space="preserve">       </w:t>
      </w:r>
      <w:permEnd w:id="24"/>
    </w:p>
    <w:p w14:paraId="02E1563F">
      <w:pPr>
        <w:spacing w:line="560" w:lineRule="exact"/>
        <w:ind w:firstLine="405" w:firstLineChars="168"/>
        <w:rPr>
          <w:rFonts w:hint="eastAsia" w:ascii="仿宋" w:hAnsi="仿宋" w:eastAsia="仿宋"/>
          <w:b/>
          <w:sz w:val="24"/>
          <w:szCs w:val="24"/>
        </w:rPr>
      </w:pPr>
      <w:r>
        <w:rPr>
          <w:rFonts w:hint="eastAsia" w:ascii="仿宋" w:hAnsi="仿宋" w:eastAsia="仿宋"/>
          <w:b/>
          <w:sz w:val="24"/>
          <w:szCs w:val="24"/>
        </w:rPr>
        <w:t>6. 违约责任</w:t>
      </w:r>
    </w:p>
    <w:p w14:paraId="0CC276BE">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6.1 乙方未经甲方书面同意，擅自将本协议约定的保密信息和资料用于与相关工作无关的事务或擅自提供给第三方的，乙方应向甲方支付最终报价总价款的10%，并赔偿甲方由此造成的全部经济损失。甲方将按照中国南方电网有限责任公司及甲方相关规定，视违规情节对乙方的失信行为进行扣分。</w:t>
      </w:r>
    </w:p>
    <w:p w14:paraId="68DF7C89">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6.2 在本协议约定的保密期限内，因乙方原因导致保密信息和资料遗失、泄露或者以其他方式泄密的，乙方应向甲方支付总中标金额的</w:t>
      </w:r>
      <w:r>
        <w:rPr>
          <w:rFonts w:hint="eastAsia" w:ascii="仿宋" w:hAnsi="仿宋" w:eastAsia="仿宋"/>
          <w:sz w:val="24"/>
          <w:szCs w:val="24"/>
          <w:u w:val="single"/>
        </w:rPr>
        <w:t xml:space="preserve"> 10% </w:t>
      </w:r>
      <w:r>
        <w:rPr>
          <w:rFonts w:hint="eastAsia" w:ascii="仿宋" w:hAnsi="仿宋" w:eastAsia="仿宋"/>
          <w:sz w:val="24"/>
          <w:szCs w:val="24"/>
        </w:rPr>
        <w:t>，并赔偿甲方由此造成的全部经济损失。甲方将按照中国南方电网有限责任公司及甲方相关规定，视违规情节对乙方的失信行为进行扣分。</w:t>
      </w:r>
    </w:p>
    <w:p w14:paraId="30D63D7B">
      <w:pPr>
        <w:spacing w:line="560" w:lineRule="exact"/>
        <w:ind w:firstLine="480" w:firstLineChars="200"/>
        <w:rPr>
          <w:rFonts w:eastAsia="仿宋"/>
          <w:sz w:val="24"/>
          <w:szCs w:val="24"/>
        </w:rPr>
      </w:pPr>
      <w:r>
        <w:rPr>
          <w:rFonts w:hint="eastAsia" w:ascii="仿宋" w:hAnsi="仿宋" w:eastAsia="仿宋"/>
          <w:bCs/>
          <w:sz w:val="24"/>
          <w:szCs w:val="24"/>
        </w:rPr>
        <w:t>6.3</w:t>
      </w:r>
      <w:r>
        <w:rPr>
          <w:rFonts w:hint="eastAsia" w:ascii="仿宋" w:hAnsi="仿宋" w:eastAsia="仿宋"/>
          <w:sz w:val="24"/>
          <w:szCs w:val="24"/>
        </w:rPr>
        <w:t>其他</w:t>
      </w:r>
    </w:p>
    <w:p w14:paraId="2D8A95C1">
      <w:pPr>
        <w:adjustRightInd w:val="0"/>
        <w:snapToGrid w:val="0"/>
        <w:spacing w:line="560" w:lineRule="exact"/>
        <w:ind w:firstLine="405" w:firstLineChars="168"/>
        <w:rPr>
          <w:rFonts w:hint="eastAsia" w:ascii="仿宋" w:hAnsi="仿宋" w:eastAsia="仿宋"/>
          <w:b/>
          <w:sz w:val="24"/>
          <w:szCs w:val="24"/>
        </w:rPr>
      </w:pPr>
      <w:bookmarkStart w:id="1" w:name="_Toc131910041"/>
      <w:bookmarkStart w:id="2" w:name="_Toc162772753"/>
      <w:bookmarkStart w:id="3" w:name="_Toc136506175"/>
      <w:bookmarkStart w:id="4" w:name="_Toc381600808"/>
      <w:bookmarkStart w:id="5" w:name="_Toc371904379"/>
      <w:bookmarkStart w:id="6" w:name="_Toc381600299"/>
      <w:bookmarkStart w:id="7" w:name="_Toc381669544"/>
      <w:r>
        <w:rPr>
          <w:rFonts w:hint="eastAsia" w:ascii="仿宋" w:hAnsi="仿宋" w:eastAsia="仿宋"/>
          <w:b/>
          <w:sz w:val="24"/>
          <w:szCs w:val="24"/>
        </w:rPr>
        <w:t>7. 通知及送达</w:t>
      </w:r>
    </w:p>
    <w:p w14:paraId="0064370A">
      <w:pPr>
        <w:adjustRightInd w:val="0"/>
        <w:snapToGrid w:val="0"/>
        <w:spacing w:line="560" w:lineRule="exact"/>
        <w:ind w:firstLine="403" w:firstLineChars="168"/>
        <w:rPr>
          <w:rFonts w:hint="eastAsia" w:ascii="仿宋" w:hAnsi="仿宋" w:eastAsia="仿宋"/>
          <w:sz w:val="24"/>
          <w:szCs w:val="24"/>
        </w:rPr>
      </w:pPr>
      <w:r>
        <w:rPr>
          <w:rFonts w:hint="eastAsia" w:ascii="仿宋" w:hAnsi="仿宋" w:eastAsia="仿宋"/>
          <w:sz w:val="24"/>
          <w:szCs w:val="24"/>
        </w:rPr>
        <w:t>7.1 双方在履行本协议过程中发出的全部通知，均须采取书面形式，送达地址为双方在本协议上填写的地址。</w:t>
      </w:r>
    </w:p>
    <w:p w14:paraId="6579F4CE">
      <w:pPr>
        <w:adjustRightInd w:val="0"/>
        <w:snapToGrid w:val="0"/>
        <w:spacing w:line="560" w:lineRule="exact"/>
        <w:ind w:firstLine="403" w:firstLineChars="168"/>
        <w:rPr>
          <w:rFonts w:hint="eastAsia" w:ascii="仿宋" w:hAnsi="仿宋" w:eastAsia="仿宋"/>
          <w:sz w:val="24"/>
          <w:szCs w:val="24"/>
        </w:rPr>
      </w:pPr>
      <w:r>
        <w:rPr>
          <w:rFonts w:hint="eastAsia" w:ascii="仿宋" w:hAnsi="仿宋" w:eastAsia="仿宋"/>
          <w:sz w:val="24"/>
          <w:szCs w:val="24"/>
        </w:rPr>
        <w:t>7.2甲方为履行本协议的指定联系人为：</w:t>
      </w:r>
      <w:permStart w:id="25" w:edGrp="everyone"/>
      <w:r>
        <w:rPr>
          <w:rFonts w:hint="eastAsia" w:ascii="仿宋" w:hAnsi="仿宋" w:eastAsia="仿宋"/>
          <w:sz w:val="24"/>
          <w:szCs w:val="24"/>
          <w:u w:val="single"/>
        </w:rPr>
        <w:t xml:space="preserve">       </w:t>
      </w:r>
      <w:permEnd w:id="25"/>
      <w:r>
        <w:rPr>
          <w:rFonts w:hint="eastAsia" w:ascii="仿宋" w:hAnsi="仿宋" w:eastAsia="仿宋"/>
          <w:sz w:val="24"/>
          <w:szCs w:val="24"/>
        </w:rPr>
        <w:t>，联系电话为 ：</w:t>
      </w:r>
      <w:permStart w:id="26" w:edGrp="everyone"/>
      <w:r>
        <w:rPr>
          <w:rFonts w:hint="eastAsia" w:ascii="仿宋" w:hAnsi="仿宋" w:eastAsia="仿宋"/>
          <w:sz w:val="24"/>
          <w:szCs w:val="24"/>
          <w:u w:val="single"/>
        </w:rPr>
        <w:t xml:space="preserve">       </w:t>
      </w:r>
      <w:permEnd w:id="26"/>
      <w:r>
        <w:rPr>
          <w:rFonts w:hint="eastAsia" w:ascii="仿宋" w:hAnsi="仿宋" w:eastAsia="仿宋"/>
          <w:sz w:val="24"/>
          <w:szCs w:val="24"/>
        </w:rPr>
        <w:t>；乙方为履行本协议的指定联系人为：</w:t>
      </w:r>
      <w:permStart w:id="27" w:edGrp="everyone"/>
      <w:r>
        <w:rPr>
          <w:rFonts w:hint="eastAsia" w:ascii="仿宋" w:hAnsi="仿宋" w:eastAsia="仿宋"/>
          <w:sz w:val="24"/>
          <w:szCs w:val="24"/>
          <w:u w:val="single"/>
        </w:rPr>
        <w:t xml:space="preserve">       </w:t>
      </w:r>
      <w:permEnd w:id="27"/>
      <w:r>
        <w:rPr>
          <w:rFonts w:hint="eastAsia" w:ascii="仿宋" w:hAnsi="仿宋" w:eastAsia="仿宋"/>
          <w:sz w:val="24"/>
          <w:szCs w:val="24"/>
        </w:rPr>
        <w:t>，联系电话为：</w:t>
      </w:r>
      <w:sdt>
        <w:sdtPr>
          <w:rPr>
            <w:rFonts w:hint="eastAsia" w:ascii="仿宋" w:hAnsi="仿宋" w:eastAsia="仿宋"/>
            <w:sz w:val="24"/>
            <w:szCs w:val="24"/>
          </w:rPr>
          <w:alias w:val="乙方联系人固定电话"/>
          <w:tag w:val="乙方联系人固定电话"/>
          <w:id w:val="147482967"/>
          <w:placeholder>
            <w:docPart w:val="{90b22835-5b8d-46ef-b475-251d600a2af7}"/>
          </w:placeholder>
          <w:text/>
        </w:sdtPr>
        <w:sdtEndPr>
          <w:rPr>
            <w:rFonts w:hint="eastAsia" w:ascii="仿宋" w:hAnsi="仿宋" w:eastAsia="仿宋"/>
            <w:sz w:val="24"/>
            <w:szCs w:val="24"/>
            <w:u w:val="single"/>
          </w:rPr>
        </w:sdtEndPr>
        <w:sdtContent>
          <w:permStart w:id="28" w:edGrp="everyone"/>
          <w:r>
            <w:rPr>
              <w:rFonts w:hint="eastAsia" w:ascii="仿宋" w:hAnsi="仿宋" w:eastAsia="仿宋"/>
              <w:sz w:val="24"/>
              <w:szCs w:val="24"/>
              <w:u w:val="single"/>
            </w:rPr>
            <w:t xml:space="preserve">       </w:t>
          </w:r>
          <w:permEnd w:id="28"/>
        </w:sdtContent>
      </w:sdt>
      <w:r>
        <w:rPr>
          <w:rFonts w:hint="eastAsia" w:ascii="仿宋" w:hAnsi="仿宋" w:eastAsia="仿宋"/>
          <w:sz w:val="24"/>
          <w:szCs w:val="24"/>
        </w:rPr>
        <w:t>。</w:t>
      </w:r>
    </w:p>
    <w:p w14:paraId="3531E51F">
      <w:pPr>
        <w:spacing w:line="560" w:lineRule="exact"/>
        <w:ind w:firstLine="403" w:firstLineChars="168"/>
        <w:outlineLvl w:val="1"/>
        <w:rPr>
          <w:rFonts w:hint="eastAsia" w:ascii="仿宋" w:hAnsi="仿宋" w:eastAsia="仿宋"/>
          <w:sz w:val="24"/>
          <w:szCs w:val="24"/>
        </w:rPr>
      </w:pPr>
      <w:r>
        <w:rPr>
          <w:rFonts w:hint="eastAsia" w:ascii="仿宋" w:hAnsi="仿宋" w:eastAsia="仿宋"/>
          <w:sz w:val="24"/>
          <w:szCs w:val="24"/>
        </w:rPr>
        <w:t>7.3任何一方的地址或联系人发生变更时，须在变更前</w:t>
      </w:r>
      <w:permStart w:id="29" w:edGrp="everyone"/>
      <w:r>
        <w:rPr>
          <w:rFonts w:hint="eastAsia" w:ascii="仿宋" w:hAnsi="仿宋" w:eastAsia="仿宋"/>
          <w:sz w:val="24"/>
          <w:szCs w:val="24"/>
          <w:u w:val="single"/>
        </w:rPr>
        <w:t xml:space="preserve">       </w:t>
      </w:r>
      <w:permEnd w:id="29"/>
      <w:r>
        <w:rPr>
          <w:rFonts w:hint="eastAsia" w:ascii="仿宋" w:hAnsi="仿宋" w:eastAsia="仿宋"/>
          <w:sz w:val="24"/>
          <w:szCs w:val="24"/>
        </w:rPr>
        <w:t>日以书面形式通知对方。因迟延通知而造成的损失，由过错方承担责任。</w:t>
      </w:r>
    </w:p>
    <w:p w14:paraId="06C3D602">
      <w:pPr>
        <w:spacing w:line="560" w:lineRule="exact"/>
        <w:ind w:firstLine="405" w:firstLineChars="168"/>
        <w:outlineLvl w:val="1"/>
        <w:rPr>
          <w:rFonts w:hint="eastAsia" w:ascii="仿宋" w:hAnsi="仿宋" w:eastAsia="仿宋"/>
          <w:b/>
          <w:sz w:val="24"/>
          <w:szCs w:val="24"/>
        </w:rPr>
      </w:pPr>
      <w:r>
        <w:rPr>
          <w:rFonts w:hint="eastAsia" w:ascii="仿宋" w:hAnsi="仿宋" w:eastAsia="仿宋"/>
          <w:b/>
          <w:sz w:val="24"/>
          <w:szCs w:val="24"/>
        </w:rPr>
        <w:t>8. 争议的解决</w:t>
      </w:r>
      <w:bookmarkEnd w:id="1"/>
      <w:bookmarkEnd w:id="2"/>
      <w:bookmarkEnd w:id="3"/>
      <w:bookmarkEnd w:id="4"/>
      <w:bookmarkEnd w:id="5"/>
      <w:bookmarkEnd w:id="6"/>
      <w:bookmarkEnd w:id="7"/>
    </w:p>
    <w:p w14:paraId="04AC861A">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8.1</w:t>
      </w:r>
      <w:r>
        <w:rPr>
          <w:rFonts w:hint="eastAsia" w:ascii="仿宋" w:hAnsi="仿宋" w:eastAsia="仿宋"/>
          <w:sz w:val="24"/>
          <w:szCs w:val="24"/>
        </w:rPr>
        <w:t>本协议在履行过程中发生争议的，双方应友好协商解决，不能协商解决的，按以下第</w:t>
      </w:r>
      <w:permStart w:id="30" w:edGrp="everyone"/>
      <w:r>
        <w:rPr>
          <w:rFonts w:hint="eastAsia" w:ascii="仿宋" w:hAnsi="仿宋" w:eastAsia="仿宋"/>
          <w:sz w:val="24"/>
          <w:szCs w:val="24"/>
          <w:u w:val="single"/>
        </w:rPr>
        <w:t xml:space="preserve">       </w:t>
      </w:r>
      <w:permEnd w:id="30"/>
      <w:r>
        <w:rPr>
          <w:rFonts w:hint="eastAsia" w:ascii="仿宋" w:hAnsi="仿宋" w:eastAsia="仿宋"/>
          <w:sz w:val="24"/>
          <w:szCs w:val="24"/>
        </w:rPr>
        <w:t>种方式执行：</w:t>
      </w:r>
    </w:p>
    <w:p w14:paraId="7E812650">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（1）向</w:t>
      </w:r>
      <w:permStart w:id="31" w:edGrp="everyone"/>
      <w:r>
        <w:rPr>
          <w:rFonts w:hint="eastAsia" w:ascii="仿宋" w:hAnsi="仿宋" w:eastAsia="仿宋"/>
          <w:sz w:val="24"/>
          <w:szCs w:val="24"/>
          <w:u w:val="single"/>
        </w:rPr>
        <w:t xml:space="preserve">                </w:t>
      </w:r>
      <w:permEnd w:id="31"/>
      <w:r>
        <w:rPr>
          <w:rFonts w:hint="eastAsia" w:ascii="仿宋" w:hAnsi="仿宋" w:eastAsia="仿宋"/>
          <w:sz w:val="24"/>
          <w:szCs w:val="24"/>
        </w:rPr>
        <w:t>人民法院起诉。</w:t>
      </w:r>
    </w:p>
    <w:p w14:paraId="562EF40A">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（2）提交</w:t>
      </w:r>
      <w:permStart w:id="32" w:edGrp="everyone"/>
      <w:r>
        <w:rPr>
          <w:rFonts w:hint="eastAsia" w:ascii="仿宋" w:hAnsi="仿宋" w:eastAsia="仿宋"/>
          <w:sz w:val="24"/>
          <w:szCs w:val="24"/>
          <w:u w:val="single"/>
        </w:rPr>
        <w:t xml:space="preserve">                </w:t>
      </w:r>
      <w:permEnd w:id="32"/>
      <w:r>
        <w:rPr>
          <w:rFonts w:hint="eastAsia" w:ascii="仿宋" w:hAnsi="仿宋" w:eastAsia="仿宋"/>
          <w:sz w:val="24"/>
          <w:szCs w:val="24"/>
        </w:rPr>
        <w:t>仲裁委员会仲裁，按申请仲裁时该仲裁委员会有效的仲裁规则进行仲裁。</w:t>
      </w:r>
    </w:p>
    <w:p w14:paraId="2317F087">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w:t>
      </w:r>
      <w:r>
        <w:rPr>
          <w:rFonts w:hint="eastAsia" w:ascii="仿宋" w:hAnsi="仿宋" w:eastAsia="仿宋"/>
          <w:sz w:val="24"/>
          <w:szCs w:val="24"/>
        </w:rPr>
        <w:t>2双方确认司法机关可以通过以下任何一种或多种方式送达诉讼法律文书，送达时间以下述送达方式中最先送达的为准。</w:t>
      </w:r>
    </w:p>
    <w:p w14:paraId="246D11A6">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w:t>
      </w:r>
      <w:r>
        <w:rPr>
          <w:rFonts w:hint="eastAsia" w:ascii="仿宋" w:hAnsi="仿宋" w:eastAsia="仿宋"/>
          <w:sz w:val="24"/>
          <w:szCs w:val="24"/>
        </w:rPr>
        <w:t>2.1乙方确认以下任何方式均可送达：</w:t>
      </w:r>
    </w:p>
    <w:p w14:paraId="312A6E77">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1.手机短信送达，送达手机号码</w:t>
      </w:r>
      <w:permStart w:id="33" w:edGrp="everyone"/>
      <w:r>
        <w:rPr>
          <w:rFonts w:hint="eastAsia" w:ascii="仿宋" w:hAnsi="仿宋" w:eastAsia="仿宋"/>
          <w:sz w:val="24"/>
          <w:szCs w:val="24"/>
          <w:u w:val="single"/>
        </w:rPr>
        <w:t xml:space="preserve">                </w:t>
      </w:r>
      <w:permEnd w:id="33"/>
      <w:r>
        <w:rPr>
          <w:rFonts w:hint="eastAsia" w:ascii="仿宋" w:hAnsi="仿宋" w:eastAsia="仿宋"/>
          <w:sz w:val="24"/>
          <w:szCs w:val="24"/>
        </w:rPr>
        <w:t>，手机号码持有人</w:t>
      </w:r>
      <w:permStart w:id="34" w:edGrp="everyone"/>
      <w:r>
        <w:rPr>
          <w:rFonts w:hint="eastAsia" w:ascii="仿宋" w:hAnsi="仿宋" w:eastAsia="仿宋"/>
          <w:sz w:val="24"/>
          <w:szCs w:val="24"/>
          <w:u w:val="single"/>
        </w:rPr>
        <w:t xml:space="preserve">     </w:t>
      </w:r>
      <w:permEnd w:id="34"/>
      <w:r>
        <w:rPr>
          <w:rFonts w:hint="eastAsia" w:ascii="仿宋" w:hAnsi="仿宋" w:eastAsia="仿宋"/>
          <w:sz w:val="24"/>
          <w:szCs w:val="24"/>
        </w:rPr>
        <w:t>；</w:t>
      </w:r>
    </w:p>
    <w:p w14:paraId="4A6955B4">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2.电子邮件送达，电子邮箱为</w:t>
      </w:r>
      <w:permStart w:id="35" w:edGrp="everyone"/>
      <w:r>
        <w:rPr>
          <w:rFonts w:hint="eastAsia" w:ascii="仿宋" w:hAnsi="仿宋" w:eastAsia="仿宋"/>
          <w:sz w:val="24"/>
          <w:szCs w:val="24"/>
          <w:u w:val="single"/>
        </w:rPr>
        <w:t xml:space="preserve">                </w:t>
      </w:r>
      <w:permEnd w:id="35"/>
      <w:r>
        <w:rPr>
          <w:rFonts w:hint="eastAsia" w:ascii="仿宋" w:hAnsi="仿宋" w:eastAsia="仿宋"/>
          <w:sz w:val="24"/>
          <w:szCs w:val="24"/>
        </w:rPr>
        <w:t>，邮箱持有人</w:t>
      </w:r>
      <w:permStart w:id="36" w:edGrp="everyone"/>
      <w:r>
        <w:rPr>
          <w:rFonts w:hint="eastAsia" w:ascii="仿宋" w:hAnsi="仿宋" w:eastAsia="仿宋"/>
          <w:sz w:val="24"/>
          <w:szCs w:val="24"/>
          <w:u w:val="single"/>
        </w:rPr>
        <w:t xml:space="preserve">     </w:t>
      </w:r>
      <w:permEnd w:id="36"/>
      <w:r>
        <w:rPr>
          <w:rFonts w:hint="eastAsia" w:ascii="仿宋" w:hAnsi="仿宋" w:eastAsia="仿宋"/>
          <w:sz w:val="24"/>
          <w:szCs w:val="24"/>
        </w:rPr>
        <w:t>;</w:t>
      </w:r>
    </w:p>
    <w:p w14:paraId="79905EEE">
      <w:pPr>
        <w:snapToGrid w:val="0"/>
        <w:spacing w:line="520" w:lineRule="exact"/>
        <w:ind w:firstLine="480" w:firstLineChars="200"/>
        <w:rPr>
          <w:rFonts w:hint="eastAsia" w:ascii="仿宋" w:hAnsi="仿宋" w:eastAsia="仿宋"/>
          <w:sz w:val="24"/>
          <w:szCs w:val="24"/>
        </w:rPr>
      </w:pPr>
      <w:r>
        <w:rPr>
          <w:rFonts w:hint="eastAsia" w:ascii="仿宋" w:hAnsi="仿宋" w:eastAsia="仿宋"/>
          <w:sz w:val="24"/>
          <w:szCs w:val="24"/>
        </w:rPr>
        <w:t>3.邮寄送达，邮寄地址为</w:t>
      </w:r>
      <w:permStart w:id="37" w:edGrp="everyone"/>
      <w:r>
        <w:rPr>
          <w:rFonts w:hint="eastAsia" w:ascii="仿宋" w:hAnsi="仿宋" w:eastAsia="仿宋"/>
          <w:sz w:val="24"/>
          <w:szCs w:val="24"/>
          <w:u w:val="single"/>
        </w:rPr>
        <w:t xml:space="preserve">                </w:t>
      </w:r>
      <w:permEnd w:id="37"/>
      <w:r>
        <w:rPr>
          <w:rFonts w:hint="eastAsia" w:ascii="仿宋" w:hAnsi="仿宋" w:eastAsia="仿宋"/>
          <w:sz w:val="24"/>
          <w:szCs w:val="24"/>
        </w:rPr>
        <w:t>，收件人</w:t>
      </w:r>
      <w:permStart w:id="38" w:edGrp="everyone"/>
      <w:r>
        <w:rPr>
          <w:rFonts w:hint="eastAsia" w:ascii="仿宋" w:hAnsi="仿宋" w:eastAsia="仿宋"/>
          <w:sz w:val="24"/>
          <w:szCs w:val="24"/>
          <w:u w:val="single"/>
        </w:rPr>
        <w:t xml:space="preserve">           </w:t>
      </w:r>
      <w:permEnd w:id="38"/>
      <w:r>
        <w:rPr>
          <w:rFonts w:hint="eastAsia" w:ascii="仿宋" w:hAnsi="仿宋" w:eastAsia="仿宋"/>
          <w:sz w:val="24"/>
          <w:szCs w:val="24"/>
        </w:rPr>
        <w:t>，收件号码</w:t>
      </w:r>
      <w:permStart w:id="39" w:edGrp="everyone"/>
      <w:r>
        <w:rPr>
          <w:rFonts w:hint="eastAsia" w:ascii="仿宋" w:hAnsi="仿宋" w:eastAsia="仿宋"/>
          <w:sz w:val="24"/>
          <w:szCs w:val="24"/>
          <w:u w:val="single"/>
        </w:rPr>
        <w:t xml:space="preserve">                </w:t>
      </w:r>
      <w:permEnd w:id="39"/>
      <w:r>
        <w:rPr>
          <w:rFonts w:hint="eastAsia" w:ascii="仿宋" w:hAnsi="仿宋" w:eastAsia="仿宋"/>
          <w:sz w:val="24"/>
          <w:szCs w:val="24"/>
        </w:rPr>
        <w:t>。</w:t>
      </w:r>
    </w:p>
    <w:p w14:paraId="11FCE053">
      <w:pPr>
        <w:snapToGrid w:val="0"/>
        <w:spacing w:line="520" w:lineRule="exact"/>
        <w:ind w:firstLine="480" w:firstLineChars="200"/>
        <w:rPr>
          <w:rFonts w:hint="eastAsia" w:ascii="仿宋" w:hAnsi="仿宋" w:eastAsia="仿宋"/>
          <w:sz w:val="24"/>
          <w:szCs w:val="24"/>
        </w:rPr>
      </w:pPr>
      <w:r>
        <w:rPr>
          <w:rFonts w:ascii="仿宋" w:hAnsi="仿宋" w:eastAsia="仿宋"/>
          <w:sz w:val="24"/>
          <w:szCs w:val="24"/>
        </w:rPr>
        <w:t>8.</w:t>
      </w:r>
      <w:r>
        <w:rPr>
          <w:rFonts w:hint="eastAsia" w:ascii="仿宋" w:hAnsi="仿宋" w:eastAsia="仿宋"/>
          <w:sz w:val="24"/>
          <w:szCs w:val="24"/>
        </w:rPr>
        <w:t>2.2双方共同确认：上述送达方式适用于各个司法阶段，包括但不限于一审、二审、再审、执行以及督促程序。同时保证送达地址准确、有效，如果提供地址不确切，或者不及时书面告知变更后的地址，使法律文书无法送达或及时送达，自行承担由此产生的法律后果。</w:t>
      </w:r>
    </w:p>
    <w:p w14:paraId="1420AEA6">
      <w:pPr>
        <w:tabs>
          <w:tab w:val="left" w:pos="450"/>
        </w:tabs>
        <w:snapToGrid w:val="0"/>
        <w:spacing w:line="520" w:lineRule="exact"/>
        <w:rPr>
          <w:rFonts w:hint="eastAsia" w:ascii="仿宋" w:hAnsi="仿宋" w:eastAsia="仿宋"/>
          <w:sz w:val="24"/>
          <w:szCs w:val="24"/>
        </w:rPr>
      </w:pPr>
      <w:r>
        <w:rPr>
          <w:rFonts w:ascii="仿宋" w:hAnsi="仿宋" w:eastAsia="仿宋"/>
          <w:sz w:val="24"/>
          <w:szCs w:val="24"/>
        </w:rPr>
        <w:tab/>
      </w:r>
      <w:r>
        <w:rPr>
          <w:rFonts w:ascii="仿宋" w:hAnsi="仿宋" w:eastAsia="仿宋"/>
          <w:sz w:val="24"/>
          <w:szCs w:val="24"/>
        </w:rPr>
        <w:t>8.3</w:t>
      </w:r>
      <w:r>
        <w:rPr>
          <w:rFonts w:hint="eastAsia" w:ascii="仿宋" w:hAnsi="仿宋" w:eastAsia="仿宋"/>
          <w:sz w:val="24"/>
          <w:szCs w:val="24"/>
        </w:rPr>
        <w:t>因一方违反本协议导致诉讼、仲裁或其他争议处理程序的，违约方应向守约方承担另一方参加诉讼、仲裁或者其他争议处理程序而发生的律师费、公证费、鉴定费、保全保险费、调查取证费等费用。</w:t>
      </w:r>
    </w:p>
    <w:p w14:paraId="2BEECBB7">
      <w:pPr>
        <w:spacing w:line="560" w:lineRule="exact"/>
        <w:ind w:firstLine="405" w:firstLineChars="168"/>
        <w:outlineLvl w:val="1"/>
        <w:rPr>
          <w:rFonts w:hint="eastAsia" w:ascii="仿宋" w:hAnsi="仿宋" w:eastAsia="仿宋"/>
          <w:b/>
          <w:sz w:val="24"/>
          <w:szCs w:val="24"/>
        </w:rPr>
      </w:pPr>
      <w:bookmarkStart w:id="8" w:name="_Toc136506178"/>
      <w:bookmarkStart w:id="9" w:name="_Toc162772756"/>
      <w:bookmarkStart w:id="10" w:name="_Toc131910044"/>
      <w:bookmarkStart w:id="11" w:name="_Toc497127333"/>
      <w:r>
        <w:rPr>
          <w:rFonts w:hint="eastAsia" w:ascii="仿宋" w:hAnsi="仿宋" w:eastAsia="仿宋"/>
          <w:b/>
          <w:sz w:val="24"/>
          <w:szCs w:val="24"/>
        </w:rPr>
        <w:t>9. 最终报价生效</w:t>
      </w:r>
      <w:bookmarkEnd w:id="8"/>
      <w:bookmarkEnd w:id="9"/>
      <w:bookmarkEnd w:id="10"/>
      <w:bookmarkEnd w:id="11"/>
      <w:r>
        <w:rPr>
          <w:rFonts w:hint="eastAsia" w:ascii="仿宋" w:hAnsi="仿宋" w:eastAsia="仿宋"/>
          <w:b/>
          <w:sz w:val="24"/>
          <w:szCs w:val="24"/>
        </w:rPr>
        <w:t>及其他</w:t>
      </w:r>
    </w:p>
    <w:p w14:paraId="395137F7">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9.1 本协议一式</w:t>
      </w:r>
      <w:permStart w:id="40" w:edGrp="everyone"/>
      <w:r>
        <w:rPr>
          <w:rFonts w:hint="eastAsia" w:ascii="仿宋" w:hAnsi="仿宋" w:eastAsia="仿宋"/>
          <w:sz w:val="24"/>
          <w:szCs w:val="24"/>
          <w:u w:val="single"/>
        </w:rPr>
        <w:t xml:space="preserve"> 贰 </w:t>
      </w:r>
      <w:permEnd w:id="40"/>
      <w:r>
        <w:rPr>
          <w:rFonts w:hint="eastAsia" w:ascii="仿宋" w:hAnsi="仿宋" w:eastAsia="仿宋"/>
          <w:sz w:val="24"/>
          <w:szCs w:val="24"/>
        </w:rPr>
        <w:t>份，甲方持</w:t>
      </w:r>
      <w:permStart w:id="41" w:edGrp="everyone"/>
      <w:r>
        <w:rPr>
          <w:rFonts w:hint="eastAsia" w:ascii="仿宋" w:hAnsi="仿宋" w:eastAsia="仿宋"/>
          <w:sz w:val="24"/>
          <w:szCs w:val="24"/>
          <w:u w:val="single"/>
        </w:rPr>
        <w:t xml:space="preserve"> 壹 </w:t>
      </w:r>
      <w:permEnd w:id="41"/>
      <w:r>
        <w:rPr>
          <w:rFonts w:hint="eastAsia" w:ascii="仿宋" w:hAnsi="仿宋" w:eastAsia="仿宋"/>
          <w:sz w:val="24"/>
          <w:szCs w:val="24"/>
        </w:rPr>
        <w:t>份，乙方持</w:t>
      </w:r>
      <w:permStart w:id="42" w:edGrp="everyone"/>
      <w:r>
        <w:rPr>
          <w:rFonts w:hint="eastAsia" w:ascii="仿宋" w:hAnsi="仿宋" w:eastAsia="仿宋"/>
          <w:sz w:val="24"/>
          <w:szCs w:val="24"/>
          <w:u w:val="single"/>
        </w:rPr>
        <w:t xml:space="preserve"> 壹 </w:t>
      </w:r>
      <w:permEnd w:id="42"/>
      <w:r>
        <w:rPr>
          <w:rFonts w:hint="eastAsia" w:ascii="仿宋" w:hAnsi="仿宋" w:eastAsia="仿宋"/>
          <w:sz w:val="24"/>
          <w:szCs w:val="24"/>
        </w:rPr>
        <w:t>份，具有同等法律效力。</w:t>
      </w:r>
    </w:p>
    <w:p w14:paraId="5C350524">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9.2 本协议自甲乙双方签字盖章之日生效。</w:t>
      </w:r>
    </w:p>
    <w:p w14:paraId="3AEA283D">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9.3 本协议未尽事宜由双方协商解决或签订书面补充协议，补充协议与本协议具有同等法律效力，补充协议与本协议不一致的以补充协议为准。</w:t>
      </w:r>
    </w:p>
    <w:p w14:paraId="18DF1FA6">
      <w:pPr>
        <w:spacing w:line="560" w:lineRule="exact"/>
        <w:ind w:firstLine="403" w:firstLineChars="168"/>
        <w:rPr>
          <w:rFonts w:hint="eastAsia" w:ascii="仿宋" w:hAnsi="仿宋" w:eastAsia="仿宋"/>
          <w:sz w:val="24"/>
          <w:szCs w:val="24"/>
        </w:rPr>
      </w:pPr>
      <w:r>
        <w:rPr>
          <w:rFonts w:hint="eastAsia" w:ascii="仿宋" w:hAnsi="仿宋" w:eastAsia="仿宋"/>
          <w:sz w:val="24"/>
          <w:szCs w:val="24"/>
        </w:rPr>
        <w:t>9.4 本协议附件是本次采购的有效组成部分，与本协议具有同等法律效力。</w:t>
      </w:r>
    </w:p>
    <w:p w14:paraId="3E60BA4C">
      <w:pPr>
        <w:spacing w:line="560" w:lineRule="exact"/>
        <w:ind w:firstLine="403" w:firstLineChars="168"/>
        <w:outlineLvl w:val="1"/>
        <w:rPr>
          <w:rFonts w:hint="eastAsia" w:ascii="仿宋" w:hAnsi="仿宋" w:eastAsia="仿宋"/>
          <w:sz w:val="24"/>
          <w:szCs w:val="24"/>
        </w:rPr>
      </w:pPr>
      <w:bookmarkStart w:id="12" w:name="_Toc162772761"/>
      <w:bookmarkStart w:id="13" w:name="_Toc381669546"/>
      <w:bookmarkStart w:id="14" w:name="_Toc131910049"/>
      <w:bookmarkStart w:id="15" w:name="_Toc381600301"/>
      <w:bookmarkStart w:id="16" w:name="_Toc381600810"/>
      <w:bookmarkStart w:id="17" w:name="_Toc371904381"/>
      <w:bookmarkStart w:id="18" w:name="_Toc136506183"/>
      <w:bookmarkStart w:id="19" w:name="_Toc497127338"/>
      <w:r>
        <w:rPr>
          <w:rFonts w:hint="eastAsia" w:ascii="仿宋" w:hAnsi="仿宋" w:eastAsia="仿宋"/>
          <w:sz w:val="24"/>
          <w:szCs w:val="24"/>
        </w:rPr>
        <w:t>9.5其</w:t>
      </w:r>
      <w:bookmarkEnd w:id="12"/>
      <w:bookmarkEnd w:id="13"/>
      <w:bookmarkEnd w:id="14"/>
      <w:bookmarkEnd w:id="15"/>
      <w:bookmarkEnd w:id="16"/>
      <w:bookmarkEnd w:id="17"/>
      <w:bookmarkEnd w:id="18"/>
      <w:bookmarkEnd w:id="19"/>
      <w:r>
        <w:rPr>
          <w:rFonts w:hint="eastAsia" w:ascii="仿宋" w:hAnsi="仿宋" w:eastAsia="仿宋"/>
          <w:sz w:val="24"/>
          <w:szCs w:val="24"/>
        </w:rPr>
        <w:t>他约定事项：</w:t>
      </w:r>
      <w:permStart w:id="43" w:edGrp="everyone"/>
      <w:r>
        <w:rPr>
          <w:rFonts w:hint="eastAsia" w:ascii="仿宋" w:hAnsi="仿宋" w:eastAsia="仿宋"/>
          <w:sz w:val="24"/>
          <w:szCs w:val="24"/>
          <w:u w:val="single"/>
        </w:rPr>
        <w:t xml:space="preserve"> / </w:t>
      </w:r>
      <w:permEnd w:id="43"/>
      <w:r>
        <w:rPr>
          <w:rFonts w:hint="eastAsia" w:ascii="仿宋" w:hAnsi="仿宋" w:eastAsia="仿宋"/>
          <w:sz w:val="24"/>
          <w:szCs w:val="24"/>
        </w:rPr>
        <w:t>。</w:t>
      </w:r>
    </w:p>
    <w:p w14:paraId="55C1A659">
      <w:pPr>
        <w:rPr>
          <w:rFonts w:hint="eastAsia" w:ascii="仿宋" w:hAnsi="仿宋" w:eastAsia="仿宋"/>
          <w:sz w:val="24"/>
          <w:szCs w:val="24"/>
        </w:rPr>
      </w:pPr>
      <w:r>
        <w:rPr>
          <w:rFonts w:hint="eastAsia" w:ascii="仿宋" w:hAnsi="仿宋" w:eastAsia="仿宋"/>
          <w:sz w:val="24"/>
          <w:szCs w:val="24"/>
        </w:rPr>
        <w:br w:type="page"/>
      </w:r>
    </w:p>
    <w:p w14:paraId="02127AC5">
      <w:pPr>
        <w:spacing w:line="560" w:lineRule="exact"/>
        <w:ind w:firstLine="240" w:firstLineChars="100"/>
        <w:rPr>
          <w:rFonts w:hint="eastAsia" w:ascii="仿宋" w:hAnsi="仿宋" w:eastAsia="仿宋"/>
          <w:spacing w:val="4"/>
          <w:sz w:val="24"/>
          <w:szCs w:val="24"/>
        </w:rPr>
      </w:pPr>
      <w:r>
        <w:rPr>
          <w:rFonts w:hint="eastAsia" w:ascii="仿宋" w:hAnsi="仿宋" w:eastAsia="仿宋" w:cs="宋体"/>
          <w:sz w:val="24"/>
          <w:szCs w:val="24"/>
          <w:lang w:val="zh-CN"/>
        </w:rPr>
        <w:t>（签字页无正文）</w:t>
      </w:r>
    </w:p>
    <w:tbl>
      <w:tblPr>
        <w:tblStyle w:val="13"/>
        <w:tblpPr w:leftFromText="180" w:rightFromText="180" w:vertAnchor="text" w:horzAnchor="page" w:tblpX="1787" w:tblpY="601"/>
        <w:tblOverlap w:val="neve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4501E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3C1CEE55">
            <w:pPr>
              <w:pStyle w:val="16"/>
              <w:snapToGrid w:val="0"/>
              <w:spacing w:line="560" w:lineRule="atLeast"/>
              <w:rPr>
                <w:rFonts w:hint="eastAsia" w:ascii="仿宋" w:hAnsi="仿宋" w:eastAsia="仿宋"/>
                <w:b/>
                <w:bCs/>
                <w:sz w:val="24"/>
                <w:szCs w:val="24"/>
              </w:rPr>
            </w:pPr>
            <w:r>
              <w:rPr>
                <w:rFonts w:hint="eastAsia" w:ascii="仿宋" w:hAnsi="仿宋" w:eastAsia="仿宋"/>
                <w:b/>
                <w:bCs/>
                <w:sz w:val="24"/>
                <w:szCs w:val="24"/>
              </w:rPr>
              <w:t>甲 方（盖章）</w:t>
            </w:r>
            <w:r>
              <w:rPr>
                <w:rFonts w:hint="eastAsia" w:ascii="仿宋" w:hAnsi="仿宋" w:eastAsia="仿宋"/>
                <w:sz w:val="24"/>
                <w:szCs w:val="24"/>
              </w:rPr>
              <w:t>：</w:t>
            </w:r>
          </w:p>
        </w:tc>
      </w:tr>
      <w:tr w14:paraId="6EE52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6BF91438">
            <w:pPr>
              <w:pStyle w:val="16"/>
              <w:snapToGrid w:val="0"/>
              <w:spacing w:line="560" w:lineRule="atLeast"/>
              <w:rPr>
                <w:rFonts w:hint="eastAsia" w:ascii="仿宋" w:hAnsi="仿宋" w:eastAsia="仿宋"/>
                <w:b/>
                <w:bCs/>
                <w:sz w:val="24"/>
                <w:szCs w:val="24"/>
              </w:rPr>
            </w:pPr>
            <w:r>
              <w:rPr>
                <w:rFonts w:hint="eastAsia" w:ascii="仿宋" w:hAnsi="仿宋" w:eastAsia="仿宋"/>
                <w:sz w:val="24"/>
                <w:szCs w:val="24"/>
              </w:rPr>
              <w:t>法定代表人：</w:t>
            </w:r>
          </w:p>
        </w:tc>
      </w:tr>
      <w:tr w14:paraId="4A1FB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7BAD0792">
            <w:pPr>
              <w:pStyle w:val="16"/>
              <w:snapToGrid w:val="0"/>
              <w:spacing w:line="560" w:lineRule="atLeast"/>
              <w:rPr>
                <w:rFonts w:hint="eastAsia" w:ascii="仿宋" w:hAnsi="仿宋" w:eastAsia="仿宋"/>
                <w:b/>
                <w:bCs/>
                <w:sz w:val="24"/>
                <w:szCs w:val="24"/>
              </w:rPr>
            </w:pPr>
            <w:r>
              <w:rPr>
                <w:rFonts w:hint="eastAsia" w:ascii="仿宋" w:hAnsi="仿宋" w:eastAsia="仿宋"/>
                <w:sz w:val="24"/>
                <w:szCs w:val="24"/>
              </w:rPr>
              <w:t>委托代理人：</w:t>
            </w:r>
            <w:permStart w:id="44" w:edGrp="everyone"/>
            <w:permEnd w:id="44"/>
          </w:p>
        </w:tc>
      </w:tr>
      <w:tr w14:paraId="5DB61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7D9FC4DD">
            <w:pPr>
              <w:pStyle w:val="16"/>
              <w:snapToGrid w:val="0"/>
              <w:spacing w:line="560" w:lineRule="atLeast"/>
              <w:ind w:firstLine="560"/>
              <w:jc w:val="right"/>
              <w:rPr>
                <w:rFonts w:hint="eastAsia" w:ascii="仿宋" w:hAnsi="仿宋" w:eastAsia="仿宋"/>
                <w:b/>
                <w:bCs/>
                <w:sz w:val="24"/>
                <w:szCs w:val="24"/>
              </w:rPr>
            </w:pPr>
            <w:permStart w:id="45" w:edGrp="everyone"/>
            <w:r>
              <w:rPr>
                <w:rFonts w:hint="eastAsia" w:ascii="仿宋" w:hAnsi="仿宋" w:eastAsia="仿宋"/>
                <w:sz w:val="24"/>
                <w:szCs w:val="24"/>
              </w:rPr>
              <w:t xml:space="preserve"> 年 月日</w:t>
            </w:r>
            <w:permEnd w:id="45"/>
          </w:p>
        </w:tc>
      </w:tr>
      <w:tr w14:paraId="20967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29D6E0E2">
            <w:pPr>
              <w:pStyle w:val="16"/>
              <w:snapToGrid w:val="0"/>
              <w:spacing w:line="560" w:lineRule="atLeast"/>
              <w:rPr>
                <w:rFonts w:hint="eastAsia" w:ascii="仿宋" w:hAnsi="仿宋" w:eastAsia="仿宋"/>
                <w:b/>
                <w:bCs/>
                <w:sz w:val="24"/>
                <w:szCs w:val="24"/>
              </w:rPr>
            </w:pPr>
            <w:r>
              <w:rPr>
                <w:rFonts w:hint="eastAsia" w:ascii="仿宋" w:hAnsi="仿宋" w:eastAsia="仿宋"/>
                <w:b/>
                <w:bCs/>
                <w:sz w:val="24"/>
                <w:szCs w:val="24"/>
              </w:rPr>
              <w:t>乙 方（盖章）</w:t>
            </w:r>
            <w:r>
              <w:rPr>
                <w:rFonts w:hint="eastAsia" w:ascii="仿宋" w:hAnsi="仿宋" w:eastAsia="仿宋"/>
                <w:sz w:val="24"/>
                <w:szCs w:val="24"/>
              </w:rPr>
              <w:t>：</w:t>
            </w:r>
          </w:p>
        </w:tc>
      </w:tr>
      <w:tr w14:paraId="22E1C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7B1AE750">
            <w:pPr>
              <w:pStyle w:val="16"/>
              <w:snapToGrid w:val="0"/>
              <w:spacing w:line="560" w:lineRule="atLeast"/>
              <w:rPr>
                <w:rFonts w:hint="eastAsia" w:ascii="仿宋" w:hAnsi="仿宋" w:eastAsia="仿宋"/>
                <w:b/>
                <w:bCs/>
                <w:sz w:val="24"/>
                <w:szCs w:val="24"/>
              </w:rPr>
            </w:pPr>
            <w:r>
              <w:rPr>
                <w:rFonts w:hint="eastAsia" w:ascii="仿宋" w:hAnsi="仿宋" w:eastAsia="仿宋"/>
                <w:sz w:val="24"/>
                <w:szCs w:val="24"/>
              </w:rPr>
              <w:t>法定代表人：</w:t>
            </w:r>
          </w:p>
        </w:tc>
      </w:tr>
      <w:tr w14:paraId="7DAF9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2F6C5943">
            <w:pPr>
              <w:pStyle w:val="16"/>
              <w:snapToGrid w:val="0"/>
              <w:spacing w:line="560" w:lineRule="atLeast"/>
              <w:rPr>
                <w:rFonts w:hint="eastAsia" w:ascii="仿宋" w:hAnsi="仿宋" w:eastAsia="仿宋"/>
                <w:b/>
                <w:bCs/>
                <w:sz w:val="24"/>
                <w:szCs w:val="24"/>
              </w:rPr>
            </w:pPr>
            <w:r>
              <w:rPr>
                <w:rFonts w:hint="eastAsia" w:ascii="仿宋" w:hAnsi="仿宋" w:eastAsia="仿宋"/>
                <w:sz w:val="24"/>
                <w:szCs w:val="24"/>
              </w:rPr>
              <w:t>委托代理人：</w:t>
            </w:r>
            <w:permStart w:id="46" w:edGrp="everyone"/>
            <w:permEnd w:id="46"/>
          </w:p>
        </w:tc>
      </w:tr>
      <w:tr w14:paraId="08D10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0A3280F3">
            <w:pPr>
              <w:pStyle w:val="16"/>
              <w:snapToGrid w:val="0"/>
              <w:spacing w:line="560" w:lineRule="atLeast"/>
              <w:ind w:firstLine="560"/>
              <w:jc w:val="right"/>
              <w:rPr>
                <w:rFonts w:hint="eastAsia" w:ascii="仿宋" w:hAnsi="仿宋" w:eastAsia="仿宋"/>
                <w:b/>
                <w:bCs/>
                <w:sz w:val="24"/>
                <w:szCs w:val="24"/>
              </w:rPr>
            </w:pPr>
            <w:permStart w:id="47" w:edGrp="everyone"/>
            <w:r>
              <w:rPr>
                <w:rFonts w:hint="eastAsia" w:ascii="仿宋" w:hAnsi="仿宋" w:eastAsia="仿宋"/>
                <w:sz w:val="24"/>
                <w:szCs w:val="24"/>
              </w:rPr>
              <w:t xml:space="preserve"> 年 月 日</w:t>
            </w:r>
            <w:permEnd w:id="47"/>
          </w:p>
        </w:tc>
      </w:tr>
    </w:tbl>
    <w:p w14:paraId="4744D2A9">
      <w:pPr>
        <w:rPr>
          <w:sz w:val="24"/>
          <w:szCs w:val="24"/>
        </w:rPr>
      </w:pPr>
    </w:p>
    <w:p w14:paraId="3929075C">
      <w:pPr>
        <w:pStyle w:val="4"/>
        <w:rPr>
          <w:sz w:val="24"/>
          <w:szCs w:val="24"/>
        </w:rPr>
      </w:pPr>
    </w:p>
    <w:p w14:paraId="1F93F018">
      <w:pPr>
        <w:rPr>
          <w:rFonts w:hint="eastAsia" w:eastAsia="宋体"/>
          <w:lang w:eastAsia="zh-CN"/>
        </w:rPr>
      </w:pPr>
    </w:p>
    <w:sectPr>
      <w:footerReference r:id="rId3"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ED432">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BC819D">
                          <w:pPr>
                            <w:pStyle w:val="7"/>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rPr>
                            <w:t>7</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BBC819D">
                    <w:pPr>
                      <w:pStyle w:val="7"/>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rPr>
                      <w:t>7</w:t>
                    </w:r>
                    <w: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99E399"/>
    <w:multiLevelType w:val="singleLevel"/>
    <w:tmpl w:val="9399E399"/>
    <w:lvl w:ilvl="0" w:tentative="0">
      <w:start w:val="1"/>
      <w:numFmt w:val="decimal"/>
      <w:lvlText w:val="(%1)"/>
      <w:lvlJc w:val="left"/>
      <w:pPr>
        <w:ind w:left="425" w:hanging="425"/>
      </w:pPr>
      <w:rPr>
        <w:rFonts w:hint="default"/>
      </w:rPr>
    </w:lvl>
  </w:abstractNum>
  <w:abstractNum w:abstractNumId="1">
    <w:nsid w:val="A13E48A6"/>
    <w:multiLevelType w:val="singleLevel"/>
    <w:tmpl w:val="A13E48A6"/>
    <w:lvl w:ilvl="0" w:tentative="0">
      <w:start w:val="1"/>
      <w:numFmt w:val="decimal"/>
      <w:lvlText w:val="(%1)"/>
      <w:lvlJc w:val="left"/>
      <w:pPr>
        <w:ind w:left="425" w:hanging="425"/>
      </w:pPr>
      <w:rPr>
        <w:rFonts w:hint="default"/>
      </w:rPr>
    </w:lvl>
  </w:abstractNum>
  <w:abstractNum w:abstractNumId="2">
    <w:nsid w:val="A908C841"/>
    <w:multiLevelType w:val="singleLevel"/>
    <w:tmpl w:val="A908C841"/>
    <w:lvl w:ilvl="0" w:tentative="0">
      <w:start w:val="1"/>
      <w:numFmt w:val="decimal"/>
      <w:lvlText w:val="(%1)"/>
      <w:lvlJc w:val="left"/>
      <w:pPr>
        <w:ind w:left="425" w:hanging="425"/>
      </w:pPr>
      <w:rPr>
        <w:rFonts w:hint="default"/>
      </w:rPr>
    </w:lvl>
  </w:abstractNum>
  <w:abstractNum w:abstractNumId="3">
    <w:nsid w:val="B185F0AE"/>
    <w:multiLevelType w:val="singleLevel"/>
    <w:tmpl w:val="B185F0AE"/>
    <w:lvl w:ilvl="0" w:tentative="0">
      <w:start w:val="2"/>
      <w:numFmt w:val="chineseCounting"/>
      <w:lvlText w:val="%1."/>
      <w:lvlJc w:val="left"/>
      <w:pPr>
        <w:tabs>
          <w:tab w:val="left" w:pos="312"/>
        </w:tabs>
      </w:pPr>
      <w:rPr>
        <w:rFonts w:hint="eastAsia"/>
      </w:rPr>
    </w:lvl>
  </w:abstractNum>
  <w:abstractNum w:abstractNumId="4">
    <w:nsid w:val="E574A3D7"/>
    <w:multiLevelType w:val="singleLevel"/>
    <w:tmpl w:val="E574A3D7"/>
    <w:lvl w:ilvl="0" w:tentative="0">
      <w:start w:val="1"/>
      <w:numFmt w:val="decimal"/>
      <w:lvlText w:val="%1."/>
      <w:lvlJc w:val="left"/>
      <w:pPr>
        <w:ind w:left="425" w:hanging="425"/>
      </w:pPr>
      <w:rPr>
        <w:rFonts w:hint="default"/>
      </w:rPr>
    </w:lvl>
  </w:abstractNum>
  <w:abstractNum w:abstractNumId="5">
    <w:nsid w:val="FAFBD6D4"/>
    <w:multiLevelType w:val="singleLevel"/>
    <w:tmpl w:val="FAFBD6D4"/>
    <w:lvl w:ilvl="0" w:tentative="0">
      <w:start w:val="1"/>
      <w:numFmt w:val="decimal"/>
      <w:lvlText w:val="%1."/>
      <w:lvlJc w:val="left"/>
      <w:pPr>
        <w:ind w:left="425" w:hanging="425"/>
      </w:pPr>
      <w:rPr>
        <w:rFonts w:hint="default"/>
      </w:rPr>
    </w:lvl>
  </w:abstractNum>
  <w:abstractNum w:abstractNumId="6">
    <w:nsid w:val="0C4555FD"/>
    <w:multiLevelType w:val="singleLevel"/>
    <w:tmpl w:val="0C4555FD"/>
    <w:lvl w:ilvl="0" w:tentative="0">
      <w:start w:val="1"/>
      <w:numFmt w:val="decimal"/>
      <w:lvlText w:val="(%1)"/>
      <w:lvlJc w:val="left"/>
      <w:pPr>
        <w:ind w:left="425" w:hanging="425"/>
      </w:pPr>
      <w:rPr>
        <w:rFonts w:hint="default"/>
      </w:rPr>
    </w:lvl>
  </w:abstractNum>
  <w:num w:numId="1">
    <w:abstractNumId w:val="3"/>
  </w:num>
  <w:num w:numId="2">
    <w:abstractNumId w:val="6"/>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11545A"/>
    <w:rsid w:val="0FAA39AB"/>
    <w:rsid w:val="1DB11FB7"/>
    <w:rsid w:val="20745A2E"/>
    <w:rsid w:val="212808A3"/>
    <w:rsid w:val="240B6371"/>
    <w:rsid w:val="3211545A"/>
    <w:rsid w:val="40D87ABB"/>
    <w:rsid w:val="42554B5E"/>
    <w:rsid w:val="568B7456"/>
    <w:rsid w:val="56FE5539"/>
    <w:rsid w:val="6887223D"/>
    <w:rsid w:val="6F154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宋体"/>
      <w:b/>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before="50" w:beforeLines="50" w:after="50" w:afterLines="50"/>
    </w:pPr>
    <w:rPr>
      <w:rFonts w:ascii="宋体" w:hAnsi="宋体"/>
      <w:color w:val="000000"/>
      <w:kern w:val="0"/>
      <w:sz w:val="24"/>
    </w:rPr>
  </w:style>
  <w:style w:type="paragraph" w:styleId="5">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6">
    <w:name w:val="Body Text Indent"/>
    <w:basedOn w:val="1"/>
    <w:next w:val="1"/>
    <w:qFormat/>
    <w:uiPriority w:val="0"/>
    <w:pPr>
      <w:spacing w:after="120"/>
      <w:ind w:left="420"/>
    </w:p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Body Text 2"/>
    <w:basedOn w:val="1"/>
    <w:qFormat/>
    <w:uiPriority w:val="0"/>
    <w:pPr>
      <w:spacing w:after="120" w:line="480" w:lineRule="auto"/>
    </w:p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6"/>
    <w:next w:val="11"/>
    <w:qFormat/>
    <w:uiPriority w:val="0"/>
    <w:pPr>
      <w:ind w:left="200" w:leftChars="200" w:firstLine="420" w:firstLineChars="200"/>
    </w:pPr>
  </w:style>
  <w:style w:type="paragraph" w:customStyle="1" w:styleId="11">
    <w:name w:val="正文内容"/>
    <w:basedOn w:val="1"/>
    <w:qFormat/>
    <w:uiPriority w:val="0"/>
    <w:pPr>
      <w:ind w:firstLine="200" w:firstLineChars="200"/>
      <w:jc w:val="left"/>
    </w:pPr>
    <w:rPr>
      <w:rFonts w:ascii="Times New Roman" w:hAnsi="Times New Roman" w:eastAsia="仿宋_GB2312"/>
      <w:sz w:val="24"/>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GEDI正文样式"/>
    <w:basedOn w:val="1"/>
    <w:qFormat/>
    <w:uiPriority w:val="0"/>
    <w:pPr>
      <w:adjustRightInd w:val="0"/>
      <w:snapToGrid w:val="0"/>
      <w:spacing w:line="480" w:lineRule="atLeast"/>
      <w:ind w:firstLine="480" w:firstLineChars="200"/>
    </w:pPr>
    <w:rPr>
      <w:szCs w:val="24"/>
    </w:rPr>
  </w:style>
  <w:style w:type="paragraph" w:customStyle="1" w:styleId="16">
    <w:name w:val="p0"/>
    <w:basedOn w:val="1"/>
    <w:qFormat/>
    <w:uiPriority w:val="0"/>
    <w:pPr>
      <w:widowControl/>
    </w:pPr>
    <w:rPr>
      <w:rFonts w:ascii="Times New Roman" w:hAnsi="Times New Roman"/>
      <w:kern w:val="0"/>
      <w:szCs w:val="21"/>
    </w:rPr>
  </w:style>
  <w:style w:type="paragraph" w:customStyle="1" w:styleId="17">
    <w:name w:val="正文 A"/>
    <w:qFormat/>
    <w:uiPriority w:val="0"/>
    <w:pPr>
      <w:widowControl w:val="0"/>
      <w:jc w:val="both"/>
    </w:pPr>
    <w:rPr>
      <w:rFonts w:ascii="Arial Unicode MS" w:hAnsi="Arial Unicode MS" w:eastAsia="Arial Unicode MS" w:cs="Arial Unicode MS"/>
      <w:color w:val="000000"/>
      <w:sz w:val="22"/>
      <w:szCs w:val="22"/>
      <w:u w:color="000000"/>
      <w:lang w:val="zh-TW" w:eastAsia="zh-TW" w:bidi="ar-SA"/>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0b22835-5b8d-46ef-b475-251d600a2af7}"/>
        <w:style w:val=""/>
        <w:category>
          <w:name w:val="常规"/>
          <w:gallery w:val="placeholder"/>
        </w:category>
        <w:types>
          <w:type w:val="bbPlcHdr"/>
        </w:types>
        <w:behaviors>
          <w:behavior w:val="content"/>
        </w:behaviors>
        <w:description w:val=""/>
        <w:guid w:val="{90b22835-5b8d-46ef-b475-251d600a2af7}"/>
      </w:docPartPr>
      <w:docPartBody>
        <w:p w14:paraId="1738341D">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1034</Words>
  <Characters>1087</Characters>
  <Lines>0</Lines>
  <Paragraphs>0</Paragraphs>
  <TotalTime>59</TotalTime>
  <ScaleCrop>false</ScaleCrop>
  <LinksUpToDate>false</LinksUpToDate>
  <CharactersWithSpaces>1091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2025-07-16T16:21:00Z</dcterms:created>
  <dc:creator>贵子8889</dc:creator>
  <cp:lastModifiedBy>贵子8889</cp:lastModifiedBy>
  <dcterms:modified xsi:type="dcterms:W3CDTF">2025-09-05T05:33:20Z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E1B7E6FFBD804D5391DA2EBED5A1521C_13</vt:lpwstr>
  </property>
  <property fmtid="{D5CDD505-2E9C-101B-9397-08002B2CF9AE}" pid="4" name="KSOTemplateDocerSaveRecord">
    <vt:lpwstr>eyJoZGlkIjoiN2NmMTQ2N2FlYjE5ZmE3MWE5NGE3M2NlY2I4ZmMyYzIiLCJ1c2VySWQiOiIyMDc1NDQwMjUifQ==</vt:lpwstr>
  </property>
</Properties>
</file>