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BCF729">
      <w:pPr>
        <w:adjustRightInd w:val="0"/>
        <w:snapToGrid w:val="0"/>
        <w:rPr>
          <w:rFonts w:hint="default" w:ascii="Times New Roman" w:hAnsi="Times New Roman" w:cs="Times New Roman"/>
          <w:sz w:val="28"/>
          <w:szCs w:val="36"/>
        </w:rPr>
      </w:pPr>
      <w:r>
        <w:rPr>
          <w:rFonts w:hint="default" w:ascii="Times New Roman" w:hAnsi="Times New Roman" w:eastAsia="黑体" w:cs="Times New Roman"/>
          <w:b/>
          <w:sz w:val="52"/>
        </w:rPr>
        <w:drawing>
          <wp:anchor distT="0" distB="0" distL="114300" distR="114300" simplePos="0" relativeHeight="251659264" behindDoc="0" locked="0" layoutInCell="1" allowOverlap="1">
            <wp:simplePos x="0" y="0"/>
            <wp:positionH relativeFrom="column">
              <wp:posOffset>-1158875</wp:posOffset>
            </wp:positionH>
            <wp:positionV relativeFrom="paragraph">
              <wp:posOffset>-1047115</wp:posOffset>
            </wp:positionV>
            <wp:extent cx="7609840" cy="2552700"/>
            <wp:effectExtent l="0" t="0" r="10160" b="0"/>
            <wp:wrapNone/>
            <wp:docPr id="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7"/>
                    <pic:cNvPicPr>
                      <a:picLocks noChangeAspect="1"/>
                    </pic:cNvPicPr>
                  </pic:nvPicPr>
                  <pic:blipFill>
                    <a:blip r:embed="rId6"/>
                    <a:stretch>
                      <a:fillRect/>
                    </a:stretch>
                  </pic:blipFill>
                  <pic:spPr>
                    <a:xfrm>
                      <a:off x="0" y="0"/>
                      <a:ext cx="7609840" cy="2552700"/>
                    </a:xfrm>
                    <a:prstGeom prst="rect">
                      <a:avLst/>
                    </a:prstGeom>
                    <a:noFill/>
                    <a:ln>
                      <a:noFill/>
                    </a:ln>
                  </pic:spPr>
                </pic:pic>
              </a:graphicData>
            </a:graphic>
          </wp:anchor>
        </w:drawing>
      </w:r>
      <w:r>
        <w:rPr>
          <w:rFonts w:hint="default" w:ascii="Times New Roman" w:hAnsi="Times New Roman" w:eastAsia="黑体" w:cs="Times New Roman"/>
          <w:b/>
          <w:sz w:val="52"/>
        </w:rPr>
        <w:pict>
          <v:shape id="_x0000_s2054" o:spid="_x0000_s2054" o:spt="75" type="#_x0000_t75" style="position:absolute;left:0pt;margin-left:64.3pt;margin-top:131.45pt;height:40.9pt;width:198.4pt;mso-position-horizontal-relative:page;mso-position-vertical-relative:page;z-index:251660288;mso-width-relative:page;mso-height-relative:page;" o:ole="t" filled="f" o:preferrelative="t" stroked="f" coordsize="21600,21600">
            <v:path/>
            <v:fill on="f" focussize="0,0"/>
            <v:stroke on="f" joinstyle="miter"/>
            <v:imagedata r:id="rId8" o:title=""/>
            <o:lock v:ext="edit" aspectratio="f"/>
          </v:shape>
          <o:OLEObject Type="Embed" ProgID="PBrush" ShapeID="_x0000_s2054" DrawAspect="Content" ObjectID="_1468075725" r:id="rId7">
            <o:LockedField>false</o:LockedField>
          </o:OLEObject>
        </w:pict>
      </w:r>
    </w:p>
    <w:p w14:paraId="2F8A27CB">
      <w:pPr>
        <w:adjustRightInd w:val="0"/>
        <w:snapToGrid w:val="0"/>
        <w:rPr>
          <w:rFonts w:hint="default" w:ascii="Times New Roman" w:hAnsi="Times New Roman" w:cs="Times New Roman"/>
          <w:sz w:val="28"/>
          <w:szCs w:val="36"/>
        </w:rPr>
      </w:pPr>
    </w:p>
    <w:p w14:paraId="1E13F25A">
      <w:pPr>
        <w:adjustRightInd w:val="0"/>
        <w:snapToGrid w:val="0"/>
        <w:rPr>
          <w:rFonts w:hint="default" w:ascii="Times New Roman" w:hAnsi="Times New Roman" w:cs="Times New Roman"/>
          <w:sz w:val="28"/>
          <w:szCs w:val="36"/>
        </w:rPr>
      </w:pPr>
    </w:p>
    <w:p w14:paraId="3BE455A4">
      <w:pPr>
        <w:adjustRightInd w:val="0"/>
        <w:snapToGrid w:val="0"/>
        <w:rPr>
          <w:rFonts w:hint="default" w:ascii="Times New Roman" w:hAnsi="Times New Roman" w:cs="Times New Roman"/>
          <w:sz w:val="28"/>
          <w:szCs w:val="36"/>
        </w:rPr>
      </w:pPr>
    </w:p>
    <w:p w14:paraId="769884AC">
      <w:pPr>
        <w:adjustRightInd w:val="0"/>
        <w:snapToGrid w:val="0"/>
        <w:rPr>
          <w:rFonts w:hint="default" w:ascii="Times New Roman" w:hAnsi="Times New Roman" w:cs="Times New Roman"/>
          <w:sz w:val="28"/>
          <w:szCs w:val="36"/>
        </w:rPr>
      </w:pPr>
    </w:p>
    <w:p w14:paraId="23FC8416">
      <w:pPr>
        <w:adjustRightInd w:val="0"/>
        <w:snapToGrid w:val="0"/>
        <w:rPr>
          <w:rFonts w:hint="default" w:ascii="Times New Roman" w:hAnsi="Times New Roman" w:cs="Times New Roman"/>
          <w:sz w:val="28"/>
          <w:szCs w:val="36"/>
        </w:rPr>
      </w:pPr>
    </w:p>
    <w:p w14:paraId="04082A24">
      <w:pPr>
        <w:adjustRightInd w:val="0"/>
        <w:snapToGrid w:val="0"/>
        <w:rPr>
          <w:rFonts w:hint="default" w:ascii="Times New Roman" w:hAnsi="Times New Roman" w:cs="Times New Roman"/>
          <w:sz w:val="28"/>
          <w:szCs w:val="36"/>
        </w:rPr>
      </w:pPr>
    </w:p>
    <w:p w14:paraId="4F1DEBFA">
      <w:pPr>
        <w:adjustRightInd w:val="0"/>
        <w:snapToGrid w:val="0"/>
        <w:rPr>
          <w:rFonts w:hint="default" w:ascii="Times New Roman" w:hAnsi="Times New Roman" w:cs="Times New Roman"/>
          <w:sz w:val="28"/>
          <w:szCs w:val="36"/>
        </w:rPr>
      </w:pPr>
    </w:p>
    <w:p w14:paraId="0532D2D6">
      <w:pPr>
        <w:adjustRightInd w:val="0"/>
        <w:snapToGrid w:val="0"/>
        <w:jc w:val="center"/>
        <w:rPr>
          <w:rFonts w:hint="eastAsia" w:ascii="Times New Roman" w:hAnsi="Times New Roman" w:eastAsia="黑体" w:cs="Times New Roman"/>
          <w:b/>
          <w:sz w:val="52"/>
          <w:lang w:val="en-US" w:eastAsia="zh-CN"/>
        </w:rPr>
      </w:pPr>
      <w:r>
        <w:rPr>
          <w:rFonts w:hint="default" w:ascii="Times New Roman" w:hAnsi="Times New Roman" w:eastAsia="黑体" w:cs="Times New Roman"/>
          <w:b/>
          <w:sz w:val="52"/>
        </w:rPr>
        <w:t>基于多主体共建的精品工程建设体系研究与实践</w:t>
      </w:r>
      <w:r>
        <w:rPr>
          <w:rFonts w:hint="eastAsia" w:ascii="Times New Roman" w:hAnsi="Times New Roman" w:eastAsia="黑体" w:cs="Times New Roman"/>
          <w:b/>
          <w:sz w:val="52"/>
          <w:lang w:val="en-US" w:eastAsia="zh-CN"/>
        </w:rPr>
        <w:t>项目</w:t>
      </w:r>
    </w:p>
    <w:p w14:paraId="714381F8">
      <w:pPr>
        <w:adjustRightInd w:val="0"/>
        <w:snapToGrid w:val="0"/>
        <w:jc w:val="center"/>
        <w:rPr>
          <w:rFonts w:hint="default" w:ascii="Times New Roman" w:hAnsi="Times New Roman" w:eastAsia="黑体" w:cs="Times New Roman"/>
          <w:b/>
          <w:sz w:val="52"/>
        </w:rPr>
      </w:pPr>
      <w:r>
        <w:rPr>
          <w:rFonts w:hint="default" w:ascii="Times New Roman" w:hAnsi="Times New Roman" w:eastAsia="黑体" w:cs="Times New Roman"/>
          <w:b/>
          <w:sz w:val="52"/>
        </w:rPr>
        <w:t>技术规范书</w:t>
      </w:r>
    </w:p>
    <w:p w14:paraId="15723B3F">
      <w:pPr>
        <w:adjustRightInd w:val="0"/>
        <w:snapToGrid w:val="0"/>
        <w:rPr>
          <w:rFonts w:hint="default" w:ascii="Times New Roman" w:hAnsi="Times New Roman" w:cs="Times New Roman"/>
          <w:sz w:val="28"/>
          <w:szCs w:val="36"/>
        </w:rPr>
      </w:pPr>
    </w:p>
    <w:p w14:paraId="330C1B51">
      <w:pPr>
        <w:adjustRightInd w:val="0"/>
        <w:snapToGrid w:val="0"/>
        <w:rPr>
          <w:rFonts w:hint="default" w:ascii="Times New Roman" w:hAnsi="Times New Roman" w:cs="Times New Roman"/>
          <w:sz w:val="28"/>
          <w:szCs w:val="36"/>
        </w:rPr>
      </w:pPr>
    </w:p>
    <w:p w14:paraId="4FEBE645">
      <w:pPr>
        <w:adjustRightInd w:val="0"/>
        <w:snapToGrid w:val="0"/>
        <w:rPr>
          <w:rFonts w:hint="default" w:ascii="Times New Roman" w:hAnsi="Times New Roman" w:cs="Times New Roman"/>
          <w:sz w:val="28"/>
          <w:szCs w:val="36"/>
        </w:rPr>
      </w:pPr>
    </w:p>
    <w:p w14:paraId="634C82D0">
      <w:pPr>
        <w:adjustRightInd w:val="0"/>
        <w:snapToGrid w:val="0"/>
        <w:rPr>
          <w:rFonts w:hint="default" w:ascii="Times New Roman" w:hAnsi="Times New Roman" w:cs="Times New Roman"/>
          <w:sz w:val="28"/>
          <w:szCs w:val="36"/>
        </w:rPr>
      </w:pPr>
    </w:p>
    <w:p w14:paraId="382F1387">
      <w:pPr>
        <w:adjustRightInd w:val="0"/>
        <w:snapToGrid w:val="0"/>
        <w:rPr>
          <w:rFonts w:hint="default" w:ascii="Times New Roman" w:hAnsi="Times New Roman" w:cs="Times New Roman"/>
          <w:sz w:val="28"/>
          <w:szCs w:val="36"/>
        </w:rPr>
      </w:pPr>
    </w:p>
    <w:p w14:paraId="386A3379">
      <w:pPr>
        <w:adjustRightInd w:val="0"/>
        <w:snapToGrid w:val="0"/>
        <w:rPr>
          <w:rFonts w:hint="default" w:ascii="Times New Roman" w:hAnsi="Times New Roman" w:cs="Times New Roman"/>
          <w:sz w:val="28"/>
          <w:szCs w:val="36"/>
        </w:rPr>
      </w:pPr>
    </w:p>
    <w:p w14:paraId="7FD5CEC2">
      <w:pPr>
        <w:adjustRightInd w:val="0"/>
        <w:snapToGrid w:val="0"/>
        <w:rPr>
          <w:rFonts w:hint="default" w:ascii="Times New Roman" w:hAnsi="Times New Roman" w:cs="Times New Roman"/>
          <w:sz w:val="28"/>
          <w:szCs w:val="36"/>
        </w:rPr>
      </w:pPr>
    </w:p>
    <w:p w14:paraId="292847D8">
      <w:pPr>
        <w:adjustRightInd w:val="0"/>
        <w:snapToGrid w:val="0"/>
        <w:rPr>
          <w:rFonts w:hint="default" w:ascii="Times New Roman" w:hAnsi="Times New Roman" w:cs="Times New Roman"/>
          <w:sz w:val="28"/>
          <w:szCs w:val="36"/>
        </w:rPr>
      </w:pPr>
    </w:p>
    <w:p w14:paraId="73624A72">
      <w:pPr>
        <w:adjustRightInd w:val="0"/>
        <w:snapToGrid w:val="0"/>
        <w:rPr>
          <w:rFonts w:hint="default" w:ascii="Times New Roman" w:hAnsi="Times New Roman" w:cs="Times New Roman"/>
          <w:sz w:val="28"/>
          <w:szCs w:val="36"/>
        </w:rPr>
      </w:pPr>
    </w:p>
    <w:p w14:paraId="6EED55A5">
      <w:pPr>
        <w:adjustRightInd w:val="0"/>
        <w:snapToGrid w:val="0"/>
        <w:rPr>
          <w:rFonts w:hint="default" w:ascii="Times New Roman" w:hAnsi="Times New Roman" w:cs="Times New Roman"/>
          <w:sz w:val="28"/>
          <w:szCs w:val="36"/>
        </w:rPr>
      </w:pPr>
    </w:p>
    <w:p w14:paraId="2D84DF8F">
      <w:pPr>
        <w:adjustRightInd w:val="0"/>
        <w:snapToGrid w:val="0"/>
        <w:rPr>
          <w:rFonts w:hint="default" w:ascii="Times New Roman" w:hAnsi="Times New Roman" w:cs="Times New Roman"/>
          <w:sz w:val="28"/>
          <w:szCs w:val="36"/>
        </w:rPr>
      </w:pPr>
    </w:p>
    <w:p w14:paraId="309F94F0">
      <w:pPr>
        <w:adjustRightInd w:val="0"/>
        <w:snapToGrid w:val="0"/>
        <w:jc w:val="center"/>
        <w:rPr>
          <w:rFonts w:hint="default" w:ascii="Times New Roman" w:hAnsi="Times New Roman" w:eastAsia="黑体" w:cs="Times New Roman"/>
          <w:sz w:val="32"/>
          <w:szCs w:val="32"/>
        </w:rPr>
      </w:pPr>
      <w:r>
        <w:rPr>
          <w:rFonts w:hint="default" w:ascii="Times New Roman" w:hAnsi="Times New Roman" w:eastAsia="黑体" w:cs="Times New Roman"/>
          <w:sz w:val="32"/>
          <w:szCs w:val="32"/>
        </w:rPr>
        <w:t>中国南方电网超高压输电公司</w:t>
      </w:r>
    </w:p>
    <w:p w14:paraId="2C660561">
      <w:pPr>
        <w:adjustRightInd w:val="0"/>
        <w:snapToGrid w:val="0"/>
        <w:jc w:val="center"/>
        <w:rPr>
          <w:rFonts w:hint="default" w:ascii="Times New Roman" w:hAnsi="Times New Roman" w:eastAsia="黑体" w:cs="Times New Roman"/>
          <w:sz w:val="32"/>
          <w:szCs w:val="32"/>
        </w:rPr>
      </w:pPr>
      <w:r>
        <w:rPr>
          <w:rFonts w:hint="default" w:ascii="Times New Roman" w:hAnsi="Times New Roman" w:eastAsia="黑体" w:cs="Times New Roman"/>
          <w:sz w:val="32"/>
          <w:szCs w:val="32"/>
        </w:rPr>
        <w:t>202</w:t>
      </w:r>
      <w:r>
        <w:rPr>
          <w:rFonts w:hint="default" w:ascii="Times New Roman" w:hAnsi="Times New Roman" w:eastAsia="黑体" w:cs="Times New Roman"/>
          <w:sz w:val="32"/>
          <w:szCs w:val="32"/>
          <w:lang w:val="en-US" w:eastAsia="zh-CN"/>
        </w:rPr>
        <w:t>5</w:t>
      </w:r>
      <w:r>
        <w:rPr>
          <w:rFonts w:hint="default" w:ascii="Times New Roman" w:hAnsi="Times New Roman" w:eastAsia="黑体" w:cs="Times New Roman"/>
          <w:sz w:val="32"/>
          <w:szCs w:val="32"/>
        </w:rPr>
        <w:t>年</w:t>
      </w:r>
      <w:r>
        <w:rPr>
          <w:rFonts w:hint="default" w:ascii="Times New Roman" w:hAnsi="Times New Roman" w:eastAsia="黑体" w:cs="Times New Roman"/>
          <w:sz w:val="32"/>
          <w:szCs w:val="32"/>
          <w:lang w:val="en-US" w:eastAsia="zh-CN"/>
        </w:rPr>
        <w:t>3</w:t>
      </w:r>
      <w:r>
        <w:rPr>
          <w:rFonts w:hint="default" w:ascii="Times New Roman" w:hAnsi="Times New Roman" w:eastAsia="黑体" w:cs="Times New Roman"/>
          <w:sz w:val="32"/>
          <w:szCs w:val="32"/>
        </w:rPr>
        <w:t>月</w:t>
      </w:r>
    </w:p>
    <w:p w14:paraId="1A53E1DB">
      <w:pPr>
        <w:adjustRightInd w:val="0"/>
        <w:snapToGrid w:val="0"/>
        <w:jc w:val="center"/>
        <w:rPr>
          <w:rFonts w:hint="default" w:ascii="Times New Roman" w:hAnsi="Times New Roman" w:eastAsia="黑体" w:cs="Times New Roman"/>
          <w:sz w:val="32"/>
          <w:szCs w:val="32"/>
        </w:rPr>
        <w:sectPr>
          <w:pgSz w:w="11906" w:h="16838"/>
          <w:pgMar w:top="1440" w:right="1800" w:bottom="1440" w:left="1800" w:header="851" w:footer="992" w:gutter="0"/>
          <w:cols w:space="425" w:num="1"/>
          <w:docGrid w:type="lines" w:linePitch="312" w:charSpace="0"/>
        </w:sectPr>
      </w:pPr>
    </w:p>
    <w:p w14:paraId="66DA8DF1">
      <w:pPr>
        <w:snapToGrid w:val="0"/>
        <w:spacing w:before="120"/>
        <w:rPr>
          <w:rFonts w:hint="default" w:ascii="Times New Roman" w:hAnsi="Times New Roman" w:eastAsia="黑体" w:cs="Times New Roman"/>
          <w:b/>
          <w:bCs/>
          <w:sz w:val="28"/>
          <w:szCs w:val="28"/>
        </w:rPr>
      </w:pPr>
      <w:r>
        <w:rPr>
          <w:rFonts w:hint="default" w:ascii="Times New Roman" w:hAnsi="Times New Roman" w:eastAsia="黑体" w:cs="Times New Roman"/>
          <w:b/>
          <w:bCs/>
          <w:sz w:val="28"/>
          <w:szCs w:val="36"/>
        </w:rPr>
        <w:t>1 总则</w:t>
      </w:r>
    </w:p>
    <w:p w14:paraId="19943F70">
      <w:pPr>
        <w:rPr>
          <w:rFonts w:hint="default" w:ascii="Times New Roman" w:hAnsi="Times New Roman" w:cs="Times New Roman" w:eastAsiaTheme="minorEastAsia"/>
          <w:sz w:val="24"/>
        </w:rPr>
      </w:pPr>
      <w:r>
        <w:rPr>
          <w:rFonts w:hint="default" w:ascii="Times New Roman" w:hAnsi="Times New Roman" w:cs="Times New Roman" w:eastAsiaTheme="minorEastAsia"/>
          <w:sz w:val="24"/>
        </w:rPr>
        <w:t>1.1 本技术规范书适用于《</w:t>
      </w:r>
      <w:r>
        <w:rPr>
          <w:rFonts w:hint="default" w:ascii="Times New Roman" w:hAnsi="Times New Roman" w:cs="Times New Roman"/>
          <w:sz w:val="24"/>
        </w:rPr>
        <w:t>基于多主体共建的精品工程建设体系研究与实践</w:t>
      </w:r>
      <w:r>
        <w:rPr>
          <w:rFonts w:hint="default" w:ascii="Times New Roman" w:hAnsi="Times New Roman" w:cs="Times New Roman" w:eastAsiaTheme="minorEastAsia"/>
          <w:sz w:val="24"/>
        </w:rPr>
        <w:t>》管理创新项目，提出</w:t>
      </w:r>
      <w:r>
        <w:rPr>
          <w:rFonts w:hint="default" w:ascii="Times New Roman" w:hAnsi="Times New Roman" w:cs="Times New Roman" w:eastAsiaTheme="minorEastAsia"/>
          <w:sz w:val="24"/>
          <w:lang w:val="en-US" w:eastAsia="zh-CN"/>
        </w:rPr>
        <w:t>超高压公司</w:t>
      </w:r>
      <w:r>
        <w:rPr>
          <w:rFonts w:hint="default" w:ascii="Times New Roman" w:hAnsi="Times New Roman" w:cs="Times New Roman"/>
          <w:sz w:val="24"/>
        </w:rPr>
        <w:t>基于多主体共建的精品工程建设体系</w:t>
      </w:r>
      <w:r>
        <w:rPr>
          <w:rFonts w:hint="eastAsia" w:ascii="Times New Roman" w:hAnsi="Times New Roman" w:cs="Times New Roman"/>
          <w:sz w:val="24"/>
          <w:lang w:val="en-US" w:eastAsia="zh-CN"/>
        </w:rPr>
        <w:t>研究</w:t>
      </w:r>
      <w:r>
        <w:rPr>
          <w:rFonts w:hint="default" w:ascii="Times New Roman" w:hAnsi="Times New Roman" w:cs="Times New Roman" w:eastAsiaTheme="minorEastAsia"/>
          <w:sz w:val="24"/>
        </w:rPr>
        <w:t>的技术要求。投标方应针对自身特点，根据本技术规范书所描述的具体要求，提供完整的解决方案。</w:t>
      </w:r>
    </w:p>
    <w:p w14:paraId="1ACD70B5">
      <w:pPr>
        <w:rPr>
          <w:rFonts w:hint="default" w:ascii="Times New Roman" w:hAnsi="Times New Roman" w:cs="Times New Roman" w:eastAsiaTheme="minorEastAsia"/>
          <w:sz w:val="24"/>
        </w:rPr>
      </w:pPr>
      <w:r>
        <w:rPr>
          <w:rFonts w:hint="default" w:ascii="Times New Roman" w:hAnsi="Times New Roman" w:cs="Times New Roman" w:eastAsiaTheme="minorEastAsia"/>
          <w:sz w:val="24"/>
        </w:rPr>
        <w:t>1.2 本技术规范书提出的是最低限度的技术要求，投标方应保证提供符合本技术规范书和相关国际、国内标准的优质管理咨询服务。对国家有关安全、环保等强制性标准，必须满足其要求。如果规范书所使用的标准与投标方所执行的标准不一致时，按较高标准执行。</w:t>
      </w:r>
    </w:p>
    <w:p w14:paraId="0A0ACC1A">
      <w:pPr>
        <w:rPr>
          <w:rFonts w:hint="default" w:ascii="Times New Roman" w:hAnsi="Times New Roman" w:cs="Times New Roman" w:eastAsiaTheme="minorEastAsia"/>
          <w:sz w:val="24"/>
        </w:rPr>
      </w:pPr>
      <w:r>
        <w:rPr>
          <w:rFonts w:hint="default" w:ascii="Times New Roman" w:hAnsi="Times New Roman" w:cs="Times New Roman" w:eastAsiaTheme="minorEastAsia"/>
          <w:sz w:val="24"/>
        </w:rPr>
        <w:t>1.3 任何与本技术规范书或标准的偏差只有在得到招标方的书面批准后方能认可。</w:t>
      </w:r>
    </w:p>
    <w:p w14:paraId="48F7C682">
      <w:pPr>
        <w:rPr>
          <w:rFonts w:hint="default" w:ascii="Times New Roman" w:hAnsi="Times New Roman" w:cs="Times New Roman" w:eastAsiaTheme="minorEastAsia"/>
          <w:sz w:val="24"/>
        </w:rPr>
      </w:pPr>
      <w:r>
        <w:rPr>
          <w:rFonts w:hint="default" w:ascii="Times New Roman" w:hAnsi="Times New Roman" w:cs="Times New Roman" w:eastAsiaTheme="minorEastAsia"/>
          <w:sz w:val="24"/>
        </w:rPr>
        <w:t>1.4 在合同签订之后，招标方有权提出因规范标准和规程变化而产生的一些补充要求，具体项目及内容由双方共同商定。</w:t>
      </w:r>
    </w:p>
    <w:p w14:paraId="3031A017">
      <w:pPr>
        <w:rPr>
          <w:rFonts w:hint="default" w:ascii="Times New Roman" w:hAnsi="Times New Roman" w:cs="Times New Roman" w:eastAsiaTheme="minorEastAsia"/>
          <w:sz w:val="24"/>
        </w:rPr>
      </w:pPr>
      <w:r>
        <w:rPr>
          <w:rFonts w:hint="default" w:ascii="Times New Roman" w:hAnsi="Times New Roman" w:cs="Times New Roman" w:eastAsiaTheme="minorEastAsia"/>
          <w:sz w:val="24"/>
        </w:rPr>
        <w:t>1.5 投标人编制应标文件时，可以提出不同的建议方案，但建议方案必须满足但不限于本技术规范书所阐述的全部要求，应标文件要求文字详细、数据准确、表述及图示清晰明确，具有针对性。</w:t>
      </w:r>
    </w:p>
    <w:p w14:paraId="52DBF173">
      <w:pPr>
        <w:rPr>
          <w:rFonts w:hint="default" w:ascii="Times New Roman" w:hAnsi="Times New Roman" w:cs="Times New Roman" w:eastAsiaTheme="minorEastAsia"/>
          <w:sz w:val="24"/>
        </w:rPr>
      </w:pPr>
      <w:r>
        <w:rPr>
          <w:rFonts w:hint="default" w:ascii="Times New Roman" w:hAnsi="Times New Roman" w:cs="Times New Roman" w:eastAsiaTheme="minorEastAsia"/>
          <w:sz w:val="24"/>
        </w:rPr>
        <w:t>1.6 本技术规范书仅提出基本的技术需求，不保证对一切技术细节做出规定，也不保证已充分引述有关标准和技术条文，投标方须根据需求目标提供进一步具体的可满足要求的服务内容。</w:t>
      </w:r>
    </w:p>
    <w:p w14:paraId="262FF882">
      <w:pPr>
        <w:rPr>
          <w:rFonts w:hint="default" w:ascii="Times New Roman" w:hAnsi="Times New Roman" w:cs="Times New Roman" w:eastAsiaTheme="minorEastAsia"/>
          <w:sz w:val="24"/>
        </w:rPr>
      </w:pPr>
      <w:r>
        <w:rPr>
          <w:rFonts w:hint="default" w:ascii="Times New Roman" w:hAnsi="Times New Roman" w:cs="Times New Roman" w:eastAsiaTheme="minorEastAsia"/>
          <w:sz w:val="24"/>
        </w:rPr>
        <w:t>1.7 投标方在应标文件中应如实反映与本技术规范书的技术差异。如果投标方没有提出技术差异，招标方即认为投标方所提供的服务完全满足本技术规范书的要求，在执行合同的过程中，招标方发现投标方提供的服务与其应标技术规范书的条文存在差异，招标方有权利要求中止合同。</w:t>
      </w:r>
    </w:p>
    <w:p w14:paraId="03E06C94">
      <w:pPr>
        <w:rPr>
          <w:rFonts w:hint="default" w:ascii="Times New Roman" w:hAnsi="Times New Roman" w:cs="Times New Roman" w:eastAsiaTheme="minorEastAsia"/>
          <w:sz w:val="24"/>
        </w:rPr>
      </w:pPr>
      <w:r>
        <w:rPr>
          <w:rFonts w:hint="default" w:ascii="Times New Roman" w:hAnsi="Times New Roman" w:cs="Times New Roman" w:eastAsiaTheme="minorEastAsia"/>
          <w:sz w:val="24"/>
        </w:rPr>
        <w:t>1.8 投标方应充分理解本技术规范书并按本技术规范书的具体条款、格式要求填写应标的技术文件，如发现应标的技术文件条款、格式不符合本技术规范书的要求，则认为应标不严肃，在评标时将有不同程度的扣分。</w:t>
      </w:r>
    </w:p>
    <w:p w14:paraId="65DD9C21">
      <w:pPr>
        <w:rPr>
          <w:rFonts w:hint="default" w:ascii="Times New Roman" w:hAnsi="Times New Roman" w:cs="Times New Roman" w:eastAsiaTheme="minorEastAsia"/>
          <w:sz w:val="24"/>
        </w:rPr>
      </w:pPr>
      <w:r>
        <w:rPr>
          <w:rFonts w:hint="default" w:ascii="Times New Roman" w:hAnsi="Times New Roman" w:cs="Times New Roman" w:eastAsiaTheme="minorEastAsia"/>
          <w:sz w:val="24"/>
        </w:rPr>
        <w:t>1.9 本技术规范书未尽事宜，由招标方与投标方双方协商确定。</w:t>
      </w:r>
    </w:p>
    <w:p w14:paraId="140F3FB5">
      <w:pPr>
        <w:snapToGrid w:val="0"/>
        <w:spacing w:before="120"/>
        <w:rPr>
          <w:rFonts w:hint="default" w:ascii="Times New Roman" w:hAnsi="Times New Roman" w:eastAsia="黑体" w:cs="Times New Roman"/>
          <w:b/>
          <w:bCs/>
          <w:sz w:val="28"/>
          <w:szCs w:val="36"/>
        </w:rPr>
      </w:pPr>
      <w:bookmarkStart w:id="0" w:name="_Toc26376"/>
      <w:bookmarkStart w:id="1" w:name="_Toc155114607"/>
      <w:bookmarkStart w:id="2" w:name="_Toc241911995"/>
      <w:r>
        <w:rPr>
          <w:rFonts w:hint="default" w:ascii="Times New Roman" w:hAnsi="Times New Roman" w:eastAsia="黑体" w:cs="Times New Roman"/>
          <w:b/>
          <w:bCs/>
          <w:sz w:val="28"/>
          <w:szCs w:val="36"/>
        </w:rPr>
        <w:t xml:space="preserve">2 </w:t>
      </w:r>
      <w:bookmarkEnd w:id="0"/>
      <w:bookmarkStart w:id="3" w:name="_Toc531004210"/>
      <w:bookmarkStart w:id="4" w:name="_Toc531004264"/>
      <w:bookmarkStart w:id="5" w:name="_Toc441483964"/>
      <w:r>
        <w:rPr>
          <w:rFonts w:hint="default" w:ascii="Times New Roman" w:hAnsi="Times New Roman" w:eastAsia="黑体" w:cs="Times New Roman"/>
          <w:b/>
          <w:bCs/>
          <w:sz w:val="28"/>
          <w:szCs w:val="36"/>
        </w:rPr>
        <w:t>项目有关内容</w:t>
      </w:r>
      <w:bookmarkEnd w:id="3"/>
      <w:bookmarkEnd w:id="4"/>
      <w:bookmarkEnd w:id="5"/>
    </w:p>
    <w:p w14:paraId="67E331B3">
      <w:pPr>
        <w:rPr>
          <w:rFonts w:hint="default" w:ascii="Times New Roman" w:hAnsi="Times New Roman" w:cs="Times New Roman" w:eastAsiaTheme="minorEastAsia"/>
          <w:sz w:val="24"/>
        </w:rPr>
      </w:pPr>
      <w:r>
        <w:rPr>
          <w:rFonts w:hint="default" w:ascii="Times New Roman" w:hAnsi="Times New Roman" w:cs="Times New Roman" w:eastAsiaTheme="minorEastAsia"/>
          <w:sz w:val="24"/>
        </w:rPr>
        <w:t>2.1项目背景</w:t>
      </w:r>
    </w:p>
    <w:bookmarkEnd w:id="1"/>
    <w:bookmarkEnd w:id="2"/>
    <w:p w14:paraId="76B41245">
      <w:pPr>
        <w:keepNext w:val="0"/>
        <w:keepLines w:val="0"/>
        <w:pageBreakBefore w:val="0"/>
        <w:widowControl w:val="0"/>
        <w:kinsoku/>
        <w:wordWrap/>
        <w:overflowPunct/>
        <w:topLinePunct w:val="0"/>
        <w:autoSpaceDE/>
        <w:autoSpaceDN/>
        <w:bidi w:val="0"/>
        <w:adjustRightInd/>
        <w:snapToGrid w:val="0"/>
        <w:spacing w:before="120"/>
        <w:ind w:firstLine="480" w:firstLineChars="200"/>
        <w:textAlignment w:val="auto"/>
        <w:rPr>
          <w:rFonts w:hint="default" w:ascii="Times New Roman" w:hAnsi="Times New Roman" w:cs="Times New Roman"/>
          <w:sz w:val="24"/>
        </w:rPr>
      </w:pPr>
      <w:r>
        <w:rPr>
          <w:rFonts w:hint="default" w:ascii="Times New Roman" w:hAnsi="Times New Roman" w:cs="Times New Roman"/>
          <w:sz w:val="24"/>
        </w:rPr>
        <w:t>网公司结合党中央关于高质量发展的要求，提出要加快探索发展新质生产力的南网路径，以战略赛道的绝对优势塑造系统全局的发展优势，要进一步优化西电东送、扩大北电南送、拓展跨境互送。</w:t>
      </w:r>
    </w:p>
    <w:p w14:paraId="46314B84">
      <w:pPr>
        <w:keepNext w:val="0"/>
        <w:keepLines w:val="0"/>
        <w:pageBreakBefore w:val="0"/>
        <w:widowControl w:val="0"/>
        <w:kinsoku/>
        <w:wordWrap/>
        <w:overflowPunct/>
        <w:topLinePunct w:val="0"/>
        <w:autoSpaceDE/>
        <w:autoSpaceDN/>
        <w:bidi w:val="0"/>
        <w:adjustRightInd/>
        <w:snapToGrid w:val="0"/>
        <w:spacing w:before="120"/>
        <w:ind w:firstLine="480" w:firstLineChars="200"/>
        <w:textAlignment w:val="auto"/>
        <w:rPr>
          <w:rFonts w:hint="default" w:ascii="Times New Roman" w:hAnsi="Times New Roman" w:cs="Times New Roman"/>
          <w:sz w:val="24"/>
        </w:rPr>
      </w:pPr>
      <w:r>
        <w:rPr>
          <w:rFonts w:hint="default" w:ascii="Times New Roman" w:hAnsi="Times New Roman" w:cs="Times New Roman"/>
          <w:sz w:val="24"/>
        </w:rPr>
        <w:t>在全面融入和服务区域协调发展的战略背景下，超高压公司藏粤、青桂、藏滇粤、藏桂粤、三山岛海上风电、海南至广东第三回通道等五个大型工程建设全面加速推进，南网、国网首次联合建设藏粤直流工程，多主体合资共建模式下的决策流程与机制、建设标准等问题进一步凸显，多主体共建电网工程的合资公司，在治理体制上，由于不同公司合资联建，存在管理体系不健全、决策流程不规范、权力责任不清晰、信息沟通不流畅、协同管理不充分等管理短板；在工程管理上，由于工程建设主体不同，存在管理模式不统一，执行标准不一致、信息沟通不对等矛盾。</w:t>
      </w:r>
    </w:p>
    <w:p w14:paraId="58BC7D20">
      <w:pPr>
        <w:keepNext w:val="0"/>
        <w:keepLines w:val="0"/>
        <w:pageBreakBefore w:val="0"/>
        <w:widowControl w:val="0"/>
        <w:kinsoku/>
        <w:wordWrap/>
        <w:overflowPunct/>
        <w:topLinePunct w:val="0"/>
        <w:autoSpaceDE/>
        <w:autoSpaceDN/>
        <w:bidi w:val="0"/>
        <w:adjustRightInd/>
        <w:snapToGrid w:val="0"/>
        <w:spacing w:before="120"/>
        <w:ind w:firstLine="480" w:firstLineChars="200"/>
        <w:textAlignment w:val="auto"/>
        <w:rPr>
          <w:rFonts w:hint="default" w:ascii="Times New Roman" w:hAnsi="Times New Roman" w:cs="Times New Roman"/>
          <w:sz w:val="24"/>
        </w:rPr>
      </w:pPr>
      <w:r>
        <w:rPr>
          <w:rFonts w:hint="default" w:ascii="Times New Roman" w:hAnsi="Times New Roman" w:cs="Times New Roman"/>
          <w:sz w:val="24"/>
        </w:rPr>
        <w:t>在上述背景下，南网超高压公司在承建非自有资产项目，仍存在以下突出管理转型矛盾亟待解决，一是亟需开展对承建非自有资产项目的现代化企业治理机制进行深层次研究，探索研究合资公司的管理模式，明确南网超高压公司与合资公司之间的权责关系、业务委托方式、考核管理、资源协同等重要边界，规范决策流程，优化资源配置、强化信息共享和利益协调。二是亟需探索多主体共建电网基建工程建设管理模式的构建，建立共建主体协同机制，制定统一的项目管理策略，建立统一的项目执行标准，落实一个“共建精品工程”目标，构建不同建设管理单位执行“一套策略、一个标准、一个目标”的电网工程基建项目管理体系。三是根据超前适度的原则，在未来公司战略蓝图中，探索构建海上柔直、国际工程等非公司资产工程管理模式。</w:t>
      </w:r>
    </w:p>
    <w:p w14:paraId="3F8E0572">
      <w:pPr>
        <w:keepNext w:val="0"/>
        <w:keepLines w:val="0"/>
        <w:pageBreakBefore w:val="0"/>
        <w:widowControl w:val="0"/>
        <w:kinsoku/>
        <w:wordWrap/>
        <w:overflowPunct/>
        <w:topLinePunct w:val="0"/>
        <w:autoSpaceDE/>
        <w:autoSpaceDN/>
        <w:bidi w:val="0"/>
        <w:adjustRightInd/>
        <w:snapToGrid w:val="0"/>
        <w:spacing w:before="120"/>
        <w:ind w:firstLine="480" w:firstLineChars="200"/>
        <w:textAlignment w:val="auto"/>
        <w:rPr>
          <w:rFonts w:hint="default" w:ascii="Times New Roman" w:hAnsi="Times New Roman" w:cs="Times New Roman"/>
          <w:sz w:val="24"/>
        </w:rPr>
      </w:pPr>
      <w:r>
        <w:rPr>
          <w:rFonts w:hint="default" w:ascii="Times New Roman" w:hAnsi="Times New Roman" w:cs="Times New Roman"/>
          <w:sz w:val="24"/>
        </w:rPr>
        <w:t>本项目计划围绕多主体合资共建模式下工程管理问题，构建完备的管理体系以及统一的共建工程管理模式，明确权责划分，规范决策流程，优化资源配置、强化信息共享，打造为贯彻新发展理念、推动形成高质量发展的电网工程基建项目新典范。</w:t>
      </w:r>
    </w:p>
    <w:p w14:paraId="16E87DA9">
      <w:pPr>
        <w:snapToGrid w:val="0"/>
        <w:spacing w:before="120"/>
        <w:rPr>
          <w:rFonts w:hint="default" w:ascii="Times New Roman" w:hAnsi="Times New Roman" w:eastAsia="黑体" w:cs="Times New Roman"/>
          <w:b/>
          <w:bCs/>
          <w:sz w:val="28"/>
          <w:szCs w:val="36"/>
        </w:rPr>
      </w:pPr>
      <w:r>
        <w:rPr>
          <w:rFonts w:hint="default" w:ascii="Times New Roman" w:hAnsi="Times New Roman" w:eastAsia="黑体" w:cs="Times New Roman"/>
          <w:b/>
          <w:bCs/>
          <w:sz w:val="28"/>
          <w:szCs w:val="36"/>
        </w:rPr>
        <w:t>3 应遵循的主要标准</w:t>
      </w:r>
    </w:p>
    <w:p w14:paraId="4AEE7618">
      <w:pPr>
        <w:adjustRightInd w:val="0"/>
        <w:snapToGrid w:val="0"/>
        <w:rPr>
          <w:rFonts w:hint="default" w:ascii="Times New Roman" w:hAnsi="Times New Roman" w:cs="Times New Roman" w:eastAsiaTheme="minorEastAsia"/>
          <w:sz w:val="24"/>
        </w:rPr>
      </w:pPr>
      <w:bookmarkStart w:id="6" w:name="_Toc155114612"/>
      <w:bookmarkStart w:id="7" w:name="_Toc455543289"/>
      <w:bookmarkStart w:id="8" w:name="_Toc482581219"/>
      <w:bookmarkStart w:id="9" w:name="_Toc457986926"/>
      <w:bookmarkStart w:id="10" w:name="_Toc448828694"/>
      <w:bookmarkStart w:id="11" w:name="_Toc459534976"/>
      <w:bookmarkStart w:id="12" w:name="_Toc457979127"/>
      <w:bookmarkStart w:id="13" w:name="_Toc114253693"/>
      <w:bookmarkStart w:id="14" w:name="_Toc241912000"/>
      <w:bookmarkStart w:id="15" w:name="_Toc146182538"/>
      <w:bookmarkStart w:id="16" w:name="_Toc455373921"/>
      <w:r>
        <w:rPr>
          <w:rFonts w:hint="default" w:ascii="Times New Roman" w:hAnsi="Times New Roman" w:cs="Times New Roman" w:eastAsiaTheme="minorEastAsia"/>
          <w:sz w:val="24"/>
        </w:rPr>
        <w:t>3.1 除本规范书特殊规定外，投标方所提供的服务均按规定的标准和规程的最新版本执行。如果这些标准内容有矛盾时，应按最高标准的条款执行或按双方商定的标准执行。如果投标方选用本规范书规定以外的标准时，则需提交替换标准供审查和分析。仅在投标方已证明替换标准相当或优于规范书规定的标准，并从招标方处获得书面的认可才能使用。提交供审查的标准应为中文或英文版本。</w:t>
      </w:r>
    </w:p>
    <w:p w14:paraId="3015530E">
      <w:pPr>
        <w:adjustRightInd w:val="0"/>
        <w:snapToGrid w:val="0"/>
        <w:rPr>
          <w:rFonts w:hint="default" w:ascii="Times New Roman" w:hAnsi="Times New Roman" w:cs="Times New Roman" w:eastAsiaTheme="minorEastAsia"/>
          <w:sz w:val="24"/>
        </w:rPr>
      </w:pPr>
      <w:r>
        <w:rPr>
          <w:rFonts w:hint="default" w:ascii="Times New Roman" w:hAnsi="Times New Roman" w:cs="Times New Roman" w:eastAsiaTheme="minorEastAsia"/>
          <w:sz w:val="24"/>
        </w:rPr>
        <w:t>3.2 主要引用标准如下：</w:t>
      </w:r>
    </w:p>
    <w:p w14:paraId="64B3A8B6">
      <w:pPr>
        <w:tabs>
          <w:tab w:val="left" w:pos="2100"/>
        </w:tabs>
        <w:adjustRightInd w:val="0"/>
        <w:snapToGrid w:val="0"/>
        <w:ind w:left="2340" w:leftChars="200" w:hanging="1920" w:hangingChars="800"/>
        <w:rPr>
          <w:rFonts w:hint="default" w:ascii="Times New Roman" w:hAnsi="Times New Roman" w:cs="Times New Roman" w:eastAsiaTheme="minorEastAsia"/>
          <w:color w:val="000000" w:themeColor="text1"/>
          <w:sz w:val="24"/>
          <w14:textFill>
            <w14:solidFill>
              <w14:schemeClr w14:val="tx1"/>
            </w14:solidFill>
          </w14:textFill>
        </w:rPr>
      </w:pPr>
      <w:r>
        <w:rPr>
          <w:rFonts w:hint="default" w:ascii="Times New Roman" w:hAnsi="Times New Roman" w:cs="Times New Roman" w:eastAsiaTheme="minorEastAsia"/>
          <w:color w:val="000000" w:themeColor="text1"/>
          <w:sz w:val="24"/>
          <w14:textFill>
            <w14:solidFill>
              <w14:schemeClr w14:val="tx1"/>
            </w14:solidFill>
          </w14:textFill>
        </w:rPr>
        <w:t>《中国南方电网有限责任公司管理创新工作管理办法》</w:t>
      </w:r>
    </w:p>
    <w:p w14:paraId="58E6B843">
      <w:pPr>
        <w:tabs>
          <w:tab w:val="left" w:pos="2100"/>
        </w:tabs>
        <w:adjustRightInd w:val="0"/>
        <w:snapToGrid w:val="0"/>
        <w:ind w:left="2340" w:leftChars="200" w:hanging="1920" w:hangingChars="800"/>
        <w:rPr>
          <w:rFonts w:hint="default" w:ascii="Times New Roman" w:hAnsi="Times New Roman" w:cs="Times New Roman" w:eastAsiaTheme="minorEastAsia"/>
          <w:color w:val="000000" w:themeColor="text1"/>
          <w:sz w:val="24"/>
          <w14:textFill>
            <w14:solidFill>
              <w14:schemeClr w14:val="tx1"/>
            </w14:solidFill>
          </w14:textFill>
        </w:rPr>
      </w:pPr>
      <w:r>
        <w:rPr>
          <w:rFonts w:hint="default" w:ascii="Times New Roman" w:hAnsi="Times New Roman" w:cs="Times New Roman" w:eastAsiaTheme="minorEastAsia"/>
          <w:color w:val="000000" w:themeColor="text1"/>
          <w:sz w:val="24"/>
          <w14:textFill>
            <w14:solidFill>
              <w14:schemeClr w14:val="tx1"/>
            </w14:solidFill>
          </w14:textFill>
        </w:rPr>
        <w:t>《超高压输电公司创新项目管理细则》</w:t>
      </w:r>
    </w:p>
    <w:p w14:paraId="14D7D865">
      <w:pPr>
        <w:tabs>
          <w:tab w:val="left" w:pos="2100"/>
        </w:tabs>
        <w:adjustRightInd w:val="0"/>
        <w:snapToGrid w:val="0"/>
        <w:ind w:left="2340" w:leftChars="200" w:hanging="1920" w:hangingChars="800"/>
        <w:rPr>
          <w:rFonts w:hint="default" w:ascii="Times New Roman" w:hAnsi="Times New Roman" w:cs="Times New Roman" w:eastAsiaTheme="minorEastAsia"/>
          <w:color w:val="000000" w:themeColor="text1"/>
          <w:sz w:val="24"/>
          <w14:textFill>
            <w14:solidFill>
              <w14:schemeClr w14:val="tx1"/>
            </w14:solidFill>
          </w14:textFill>
        </w:rPr>
      </w:pPr>
      <w:r>
        <w:rPr>
          <w:rFonts w:hint="default" w:ascii="Times New Roman" w:hAnsi="Times New Roman" w:cs="Times New Roman" w:eastAsiaTheme="minorEastAsia"/>
          <w:color w:val="000000" w:themeColor="text1"/>
          <w:sz w:val="24"/>
          <w14:textFill>
            <w14:solidFill>
              <w14:schemeClr w14:val="tx1"/>
            </w14:solidFill>
          </w14:textFill>
        </w:rPr>
        <w:t>《超高压输电公司管理类项目管理业务指导书（试行）》</w:t>
      </w:r>
    </w:p>
    <w:p w14:paraId="539DE28F">
      <w:pPr>
        <w:snapToGrid w:val="0"/>
        <w:spacing w:before="120"/>
        <w:rPr>
          <w:rFonts w:hint="default" w:ascii="Times New Roman" w:hAnsi="Times New Roman" w:eastAsia="黑体" w:cs="Times New Roman"/>
          <w:b/>
          <w:bCs/>
          <w:sz w:val="28"/>
          <w:szCs w:val="36"/>
        </w:rPr>
      </w:pPr>
      <w:bookmarkStart w:id="17" w:name="_Toc39753345"/>
      <w:bookmarkStart w:id="18" w:name="_Toc39754002"/>
      <w:bookmarkStart w:id="19" w:name="_Toc22304904"/>
      <w:bookmarkStart w:id="20" w:name="_Toc384340984"/>
      <w:bookmarkStart w:id="21" w:name="_Toc282993253"/>
      <w:bookmarkStart w:id="22" w:name="_Toc32408"/>
      <w:r>
        <w:rPr>
          <w:rFonts w:hint="default" w:ascii="Times New Roman" w:hAnsi="Times New Roman" w:eastAsia="黑体" w:cs="Times New Roman"/>
          <w:b/>
          <w:bCs/>
          <w:sz w:val="28"/>
          <w:szCs w:val="36"/>
        </w:rPr>
        <w:t>4 技术要求</w:t>
      </w:r>
      <w:bookmarkEnd w:id="17"/>
      <w:bookmarkEnd w:id="18"/>
      <w:bookmarkEnd w:id="19"/>
      <w:bookmarkEnd w:id="20"/>
      <w:bookmarkEnd w:id="21"/>
      <w:bookmarkEnd w:id="22"/>
    </w:p>
    <w:p w14:paraId="0403B981">
      <w:pPr>
        <w:adjustRightInd w:val="0"/>
        <w:snapToGrid w:val="0"/>
        <w:rPr>
          <w:rFonts w:hint="default" w:ascii="Times New Roman" w:hAnsi="Times New Roman" w:cs="Times New Roman" w:eastAsiaTheme="minorEastAsia"/>
          <w:sz w:val="24"/>
        </w:rPr>
      </w:pPr>
      <w:r>
        <w:rPr>
          <w:rFonts w:hint="default" w:ascii="Times New Roman" w:hAnsi="Times New Roman" w:cs="Times New Roman"/>
          <w:sz w:val="24"/>
        </w:rPr>
        <w:t>4.1 研究要求。按照</w:t>
      </w:r>
      <w:r>
        <w:rPr>
          <w:rFonts w:hint="default" w:ascii="Times New Roman" w:hAnsi="Times New Roman" w:cs="Times New Roman" w:eastAsiaTheme="minorEastAsia"/>
          <w:sz w:val="24"/>
        </w:rPr>
        <w:t>Q/CSG2152002-2023《中国南方电网有限责任公司管理创新工作管理办法》，开展本项目研究任务。</w:t>
      </w:r>
    </w:p>
    <w:p w14:paraId="7820316F">
      <w:pPr>
        <w:adjustRightInd w:val="0"/>
        <w:snapToGrid w:val="0"/>
        <w:rPr>
          <w:rFonts w:hint="default" w:ascii="Times New Roman" w:hAnsi="Times New Roman" w:cs="Times New Roman"/>
          <w:sz w:val="24"/>
        </w:rPr>
      </w:pPr>
      <w:r>
        <w:rPr>
          <w:rFonts w:hint="default" w:ascii="Times New Roman" w:hAnsi="Times New Roman" w:cs="Times New Roman"/>
          <w:sz w:val="24"/>
        </w:rPr>
        <w:t>4.2 研究内容。主要项目内容按照以下工作内容及要求开展：</w:t>
      </w:r>
    </w:p>
    <w:tbl>
      <w:tblPr>
        <w:tblStyle w:val="10"/>
        <w:tblW w:w="85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5"/>
        <w:gridCol w:w="3403"/>
        <w:gridCol w:w="2268"/>
        <w:gridCol w:w="2034"/>
      </w:tblGrid>
      <w:tr w14:paraId="7D203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5" w:type="dxa"/>
            <w:vAlign w:val="center"/>
          </w:tcPr>
          <w:p w14:paraId="404E934B">
            <w:pPr>
              <w:spacing w:line="240" w:lineRule="auto"/>
              <w:jc w:val="center"/>
              <w:rPr>
                <w:rFonts w:hint="eastAsia" w:ascii="仿宋_GB2312" w:hAnsi="仿宋_GB2312" w:eastAsia="仿宋_GB2312" w:cs="仿宋_GB2312"/>
                <w:b/>
                <w:bCs/>
                <w:szCs w:val="21"/>
              </w:rPr>
            </w:pPr>
            <w:r>
              <w:rPr>
                <w:rFonts w:hint="eastAsia" w:ascii="仿宋_GB2312" w:hAnsi="仿宋_GB2312" w:eastAsia="仿宋_GB2312" w:cs="仿宋_GB2312"/>
                <w:b/>
                <w:bCs/>
                <w:szCs w:val="21"/>
              </w:rPr>
              <w:t>序号</w:t>
            </w:r>
          </w:p>
        </w:tc>
        <w:tc>
          <w:tcPr>
            <w:tcW w:w="3403" w:type="dxa"/>
            <w:vAlign w:val="center"/>
          </w:tcPr>
          <w:p w14:paraId="3F2E6E65">
            <w:pPr>
              <w:spacing w:line="240" w:lineRule="auto"/>
              <w:jc w:val="center"/>
              <w:rPr>
                <w:rFonts w:hint="eastAsia" w:ascii="仿宋_GB2312" w:hAnsi="仿宋_GB2312" w:eastAsia="仿宋_GB2312" w:cs="仿宋_GB2312"/>
                <w:b/>
                <w:bCs/>
                <w:szCs w:val="21"/>
              </w:rPr>
            </w:pPr>
            <w:r>
              <w:rPr>
                <w:rFonts w:hint="eastAsia" w:ascii="仿宋_GB2312" w:hAnsi="仿宋_GB2312" w:eastAsia="仿宋_GB2312" w:cs="仿宋_GB2312"/>
                <w:b/>
                <w:bCs/>
                <w:szCs w:val="21"/>
              </w:rPr>
              <w:t>主要项目内容</w:t>
            </w:r>
          </w:p>
        </w:tc>
        <w:tc>
          <w:tcPr>
            <w:tcW w:w="2268" w:type="dxa"/>
            <w:vAlign w:val="center"/>
          </w:tcPr>
          <w:p w14:paraId="76DF411A">
            <w:pPr>
              <w:spacing w:line="240" w:lineRule="auto"/>
              <w:jc w:val="center"/>
              <w:rPr>
                <w:rFonts w:hint="eastAsia" w:ascii="仿宋_GB2312" w:hAnsi="仿宋_GB2312" w:eastAsia="仿宋_GB2312" w:cs="仿宋_GB2312"/>
                <w:b/>
                <w:bCs/>
                <w:szCs w:val="21"/>
              </w:rPr>
            </w:pPr>
            <w:r>
              <w:rPr>
                <w:rFonts w:hint="eastAsia" w:ascii="仿宋_GB2312" w:hAnsi="仿宋_GB2312" w:eastAsia="仿宋_GB2312" w:cs="仿宋_GB2312"/>
                <w:b/>
                <w:bCs/>
                <w:szCs w:val="21"/>
              </w:rPr>
              <w:t>交付物</w:t>
            </w:r>
          </w:p>
        </w:tc>
        <w:tc>
          <w:tcPr>
            <w:tcW w:w="2034" w:type="dxa"/>
            <w:vAlign w:val="center"/>
          </w:tcPr>
          <w:p w14:paraId="5CB05A25">
            <w:pPr>
              <w:spacing w:line="240" w:lineRule="auto"/>
              <w:jc w:val="center"/>
              <w:rPr>
                <w:rFonts w:hint="eastAsia" w:ascii="仿宋_GB2312" w:hAnsi="仿宋_GB2312" w:eastAsia="仿宋_GB2312" w:cs="仿宋_GB2312"/>
                <w:b/>
                <w:bCs/>
                <w:szCs w:val="21"/>
              </w:rPr>
            </w:pPr>
            <w:r>
              <w:rPr>
                <w:rFonts w:hint="eastAsia" w:ascii="仿宋_GB2312" w:hAnsi="仿宋_GB2312" w:eastAsia="仿宋_GB2312" w:cs="仿宋_GB2312"/>
                <w:b/>
                <w:bCs/>
                <w:szCs w:val="21"/>
              </w:rPr>
              <w:t>时间要求</w:t>
            </w:r>
          </w:p>
        </w:tc>
      </w:tr>
      <w:tr w14:paraId="4CA91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5" w:type="dxa"/>
            <w:vAlign w:val="center"/>
          </w:tcPr>
          <w:p w14:paraId="6B7026A0">
            <w:pPr>
              <w:spacing w:line="240" w:lineRule="auto"/>
              <w:jc w:val="center"/>
              <w:rPr>
                <w:rFonts w:hint="eastAsia" w:ascii="仿宋_GB2312" w:hAnsi="仿宋_GB2312" w:eastAsia="仿宋_GB2312" w:cs="仿宋_GB2312"/>
                <w:szCs w:val="21"/>
              </w:rPr>
            </w:pPr>
            <w:r>
              <w:rPr>
                <w:rFonts w:hint="eastAsia" w:ascii="仿宋_GB2312" w:hAnsi="仿宋_GB2312" w:eastAsia="仿宋_GB2312" w:cs="仿宋_GB2312"/>
                <w:szCs w:val="21"/>
              </w:rPr>
              <w:t>1</w:t>
            </w:r>
          </w:p>
        </w:tc>
        <w:tc>
          <w:tcPr>
            <w:tcW w:w="3403" w:type="dxa"/>
            <w:vAlign w:val="center"/>
          </w:tcPr>
          <w:p w14:paraId="7C1148DE">
            <w:pPr>
              <w:spacing w:line="240" w:lineRule="auto"/>
              <w:jc w:val="both"/>
              <w:rPr>
                <w:rFonts w:hint="eastAsia" w:ascii="仿宋_GB2312" w:hAnsi="仿宋_GB2312" w:eastAsia="仿宋_GB2312" w:cs="仿宋_GB2312"/>
                <w:szCs w:val="21"/>
              </w:rPr>
            </w:pPr>
            <w:r>
              <w:rPr>
                <w:rFonts w:hint="eastAsia" w:ascii="仿宋_GB2312" w:hAnsi="仿宋_GB2312" w:eastAsia="仿宋_GB2312" w:cs="仿宋_GB2312"/>
                <w:szCs w:val="21"/>
                <w:lang w:val="en-US" w:eastAsia="zh-CN"/>
              </w:rPr>
              <w:t>调研分析。调研</w:t>
            </w:r>
            <w:r>
              <w:rPr>
                <w:rFonts w:hint="eastAsia" w:ascii="仿宋_GB2312" w:hAnsi="仿宋_GB2312" w:eastAsia="仿宋_GB2312" w:cs="仿宋_GB2312"/>
                <w:szCs w:val="21"/>
              </w:rPr>
              <w:t>多主体共建电网工程的合资公司构建完善的治理机制和不同工程管理模式深度融合的需求。</w:t>
            </w:r>
          </w:p>
        </w:tc>
        <w:tc>
          <w:tcPr>
            <w:tcW w:w="2268" w:type="dxa"/>
            <w:vAlign w:val="center"/>
          </w:tcPr>
          <w:p w14:paraId="4EFCBCBF">
            <w:pPr>
              <w:spacing w:line="240" w:lineRule="auto"/>
              <w:jc w:val="left"/>
              <w:rPr>
                <w:rFonts w:hint="eastAsia" w:ascii="仿宋_GB2312" w:hAnsi="仿宋_GB2312" w:eastAsia="仿宋_GB2312" w:cs="仿宋_GB2312"/>
                <w:szCs w:val="21"/>
              </w:rPr>
            </w:pPr>
            <w:r>
              <w:rPr>
                <w:rFonts w:hint="eastAsia" w:ascii="仿宋_GB2312" w:hAnsi="仿宋_GB2312" w:eastAsia="仿宋_GB2312" w:cs="仿宋_GB2312"/>
                <w:szCs w:val="21"/>
              </w:rPr>
              <w:t>调研分析报告</w:t>
            </w:r>
            <w:r>
              <w:rPr>
                <w:rFonts w:hint="eastAsia" w:ascii="Times New Roman" w:hAnsi="Times New Roman" w:eastAsia="仿宋_GB2312" w:cs="Times New Roman"/>
                <w:color w:val="auto"/>
                <w:sz w:val="21"/>
                <w:szCs w:val="21"/>
                <w:highlight w:val="none"/>
                <w:lang w:eastAsia="zh-CN"/>
              </w:rPr>
              <w:t>（</w:t>
            </w:r>
            <w:r>
              <w:rPr>
                <w:rFonts w:hint="eastAsia" w:ascii="Times New Roman" w:hAnsi="Times New Roman" w:eastAsia="仿宋_GB2312" w:cs="Times New Roman"/>
                <w:color w:val="auto"/>
                <w:sz w:val="21"/>
                <w:szCs w:val="21"/>
                <w:highlight w:val="none"/>
                <w:lang w:val="en-US" w:eastAsia="zh-CN"/>
              </w:rPr>
              <w:t>交付标准：word版报告</w:t>
            </w:r>
            <w:r>
              <w:rPr>
                <w:rFonts w:hint="eastAsia" w:ascii="Times New Roman" w:hAnsi="Times New Roman" w:eastAsia="仿宋_GB2312" w:cs="Times New Roman"/>
                <w:color w:val="auto"/>
                <w:sz w:val="21"/>
                <w:szCs w:val="21"/>
                <w:highlight w:val="none"/>
                <w:lang w:eastAsia="zh-CN"/>
              </w:rPr>
              <w:t>）</w:t>
            </w:r>
          </w:p>
        </w:tc>
        <w:tc>
          <w:tcPr>
            <w:tcW w:w="2034" w:type="dxa"/>
            <w:vAlign w:val="center"/>
          </w:tcPr>
          <w:p w14:paraId="6A96BC21">
            <w:pPr>
              <w:spacing w:line="240" w:lineRule="auto"/>
              <w:jc w:val="center"/>
              <w:rPr>
                <w:rFonts w:hint="eastAsia" w:ascii="仿宋_GB2312" w:hAnsi="仿宋_GB2312" w:eastAsia="仿宋_GB2312" w:cs="仿宋_GB2312"/>
              </w:rPr>
            </w:pPr>
            <w:r>
              <w:rPr>
                <w:rFonts w:hint="eastAsia" w:ascii="仿宋_GB2312" w:hAnsi="仿宋_GB2312" w:eastAsia="仿宋_GB2312" w:cs="仿宋_GB2312"/>
                <w:highlight w:val="yellow"/>
              </w:rPr>
              <w:t>合同签订后</w:t>
            </w:r>
            <w:r>
              <w:rPr>
                <w:rFonts w:hint="eastAsia" w:ascii="仿宋_GB2312" w:hAnsi="仿宋_GB2312" w:eastAsia="仿宋_GB2312" w:cs="仿宋_GB2312"/>
                <w:highlight w:val="yellow"/>
                <w:lang w:val="en-US" w:eastAsia="zh-CN"/>
              </w:rPr>
              <w:t>3</w:t>
            </w:r>
            <w:r>
              <w:rPr>
                <w:rFonts w:hint="eastAsia" w:ascii="仿宋_GB2312" w:hAnsi="仿宋_GB2312" w:eastAsia="仿宋_GB2312" w:cs="仿宋_GB2312"/>
                <w:highlight w:val="yellow"/>
              </w:rPr>
              <w:t>个月</w:t>
            </w:r>
          </w:p>
        </w:tc>
      </w:tr>
      <w:tr w14:paraId="67076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5" w:type="dxa"/>
            <w:vAlign w:val="center"/>
          </w:tcPr>
          <w:p w14:paraId="49616919">
            <w:pPr>
              <w:spacing w:line="240" w:lineRule="auto"/>
              <w:jc w:val="center"/>
              <w:rPr>
                <w:rFonts w:hint="eastAsia" w:ascii="仿宋_GB2312" w:hAnsi="仿宋_GB2312" w:eastAsia="仿宋_GB2312" w:cs="仿宋_GB2312"/>
                <w:szCs w:val="21"/>
              </w:rPr>
            </w:pPr>
            <w:r>
              <w:rPr>
                <w:rFonts w:hint="eastAsia" w:ascii="仿宋_GB2312" w:hAnsi="仿宋_GB2312" w:eastAsia="仿宋_GB2312" w:cs="仿宋_GB2312"/>
                <w:szCs w:val="21"/>
              </w:rPr>
              <w:t>2</w:t>
            </w:r>
          </w:p>
        </w:tc>
        <w:tc>
          <w:tcPr>
            <w:tcW w:w="3403" w:type="dxa"/>
            <w:vAlign w:val="center"/>
          </w:tcPr>
          <w:p w14:paraId="7843BD4F">
            <w:pPr>
              <w:spacing w:line="240" w:lineRule="auto"/>
              <w:jc w:val="both"/>
              <w:rPr>
                <w:rFonts w:hint="eastAsia" w:ascii="仿宋_GB2312" w:hAnsi="仿宋_GB2312" w:eastAsia="仿宋_GB2312" w:cs="仿宋_GB2312"/>
                <w:szCs w:val="21"/>
              </w:rPr>
            </w:pPr>
            <w:r>
              <w:rPr>
                <w:rFonts w:hint="eastAsia" w:ascii="仿宋_GB2312" w:hAnsi="仿宋_GB2312" w:eastAsia="仿宋_GB2312" w:cs="仿宋_GB2312"/>
                <w:szCs w:val="21"/>
              </w:rPr>
              <w:t>合资项目公司的现代化企业治理机制的建设。基于跨经营区直流输电工程共建为背景，围绕“管理职能全面覆盖、管理运转科学规范、体系载体深度融合、管理体系高效运转”的总体要求，“多元参与、协同发展、信息共享、利益共享”的管理理念，对合资项目公司现代化企业治理机制进行深层次研究。</w:t>
            </w:r>
          </w:p>
        </w:tc>
        <w:tc>
          <w:tcPr>
            <w:tcW w:w="2268" w:type="dxa"/>
            <w:vAlign w:val="center"/>
          </w:tcPr>
          <w:p w14:paraId="7B29DFDE">
            <w:pPr>
              <w:spacing w:line="240" w:lineRule="auto"/>
              <w:jc w:val="both"/>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rPr>
              <w:t>合资项目公司的现代化企业治理机制</w:t>
            </w:r>
            <w:r>
              <w:rPr>
                <w:rFonts w:hint="eastAsia" w:ascii="仿宋_GB2312" w:hAnsi="仿宋_GB2312" w:eastAsia="仿宋_GB2312" w:cs="仿宋_GB2312"/>
                <w:szCs w:val="21"/>
                <w:lang w:val="en-US" w:eastAsia="zh-CN"/>
              </w:rPr>
              <w:t>建设文件1份</w:t>
            </w:r>
            <w:r>
              <w:rPr>
                <w:rFonts w:hint="eastAsia" w:ascii="Times New Roman" w:hAnsi="Times New Roman" w:eastAsia="仿宋_GB2312" w:cs="Times New Roman"/>
                <w:color w:val="auto"/>
                <w:sz w:val="21"/>
                <w:szCs w:val="21"/>
                <w:highlight w:val="none"/>
                <w:lang w:eastAsia="zh-CN"/>
              </w:rPr>
              <w:t>（</w:t>
            </w:r>
            <w:r>
              <w:rPr>
                <w:rFonts w:hint="eastAsia" w:ascii="Times New Roman" w:hAnsi="Times New Roman" w:eastAsia="仿宋_GB2312" w:cs="Times New Roman"/>
                <w:color w:val="auto"/>
                <w:sz w:val="21"/>
                <w:szCs w:val="21"/>
                <w:highlight w:val="none"/>
                <w:lang w:val="en-US" w:eastAsia="zh-CN"/>
              </w:rPr>
              <w:t>交付标准：word版报告</w:t>
            </w:r>
            <w:r>
              <w:rPr>
                <w:rFonts w:hint="eastAsia" w:ascii="Times New Roman" w:hAnsi="Times New Roman" w:eastAsia="仿宋_GB2312" w:cs="Times New Roman"/>
                <w:color w:val="auto"/>
                <w:sz w:val="21"/>
                <w:szCs w:val="21"/>
                <w:highlight w:val="none"/>
                <w:lang w:eastAsia="zh-CN"/>
              </w:rPr>
              <w:t>）</w:t>
            </w:r>
          </w:p>
        </w:tc>
        <w:tc>
          <w:tcPr>
            <w:tcW w:w="2034" w:type="dxa"/>
            <w:vAlign w:val="center"/>
          </w:tcPr>
          <w:p w14:paraId="42033CB1">
            <w:pPr>
              <w:spacing w:line="240" w:lineRule="auto"/>
              <w:jc w:val="center"/>
              <w:rPr>
                <w:rFonts w:hint="eastAsia" w:ascii="仿宋_GB2312" w:hAnsi="仿宋_GB2312" w:eastAsia="仿宋_GB2312" w:cs="仿宋_GB2312"/>
              </w:rPr>
            </w:pPr>
            <w:r>
              <w:rPr>
                <w:rFonts w:hint="eastAsia" w:ascii="仿宋_GB2312" w:hAnsi="仿宋_GB2312" w:eastAsia="仿宋_GB2312" w:cs="仿宋_GB2312"/>
                <w:highlight w:val="yellow"/>
              </w:rPr>
              <w:t>合同签订后</w:t>
            </w:r>
            <w:r>
              <w:rPr>
                <w:rFonts w:hint="eastAsia" w:ascii="仿宋_GB2312" w:hAnsi="仿宋_GB2312" w:eastAsia="仿宋_GB2312" w:cs="仿宋_GB2312"/>
                <w:highlight w:val="yellow"/>
                <w:lang w:val="en-US" w:eastAsia="zh-CN"/>
              </w:rPr>
              <w:t>12</w:t>
            </w:r>
            <w:r>
              <w:rPr>
                <w:rFonts w:hint="eastAsia" w:ascii="仿宋_GB2312" w:hAnsi="仿宋_GB2312" w:eastAsia="仿宋_GB2312" w:cs="仿宋_GB2312"/>
                <w:highlight w:val="yellow"/>
              </w:rPr>
              <w:t>个月</w:t>
            </w:r>
          </w:p>
        </w:tc>
      </w:tr>
      <w:tr w14:paraId="3EC70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5" w:type="dxa"/>
            <w:vAlign w:val="center"/>
          </w:tcPr>
          <w:p w14:paraId="1BCD860F">
            <w:pPr>
              <w:spacing w:line="240" w:lineRule="auto"/>
              <w:jc w:val="center"/>
              <w:rPr>
                <w:rFonts w:hint="eastAsia" w:ascii="仿宋_GB2312" w:hAnsi="仿宋_GB2312" w:eastAsia="仿宋_GB2312" w:cs="仿宋_GB2312"/>
                <w:szCs w:val="21"/>
              </w:rPr>
            </w:pPr>
            <w:r>
              <w:rPr>
                <w:rFonts w:hint="eastAsia" w:ascii="仿宋_GB2312" w:hAnsi="仿宋_GB2312" w:eastAsia="仿宋_GB2312" w:cs="仿宋_GB2312"/>
                <w:szCs w:val="21"/>
              </w:rPr>
              <w:t>3</w:t>
            </w:r>
          </w:p>
        </w:tc>
        <w:tc>
          <w:tcPr>
            <w:tcW w:w="3403" w:type="dxa"/>
            <w:vAlign w:val="center"/>
          </w:tcPr>
          <w:p w14:paraId="455180C1">
            <w:pPr>
              <w:spacing w:line="240" w:lineRule="auto"/>
              <w:jc w:val="both"/>
              <w:rPr>
                <w:rFonts w:hint="eastAsia" w:ascii="仿宋_GB2312" w:hAnsi="仿宋_GB2312" w:eastAsia="仿宋_GB2312" w:cs="仿宋_GB2312"/>
                <w:szCs w:val="21"/>
              </w:rPr>
            </w:pPr>
            <w:r>
              <w:rPr>
                <w:rFonts w:hint="eastAsia" w:ascii="仿宋_GB2312" w:hAnsi="仿宋_GB2312" w:eastAsia="仿宋_GB2312" w:cs="仿宋_GB2312"/>
                <w:szCs w:val="21"/>
              </w:rPr>
              <w:t>多主体共建电网基建工程建设管理模式的构建。基于跨经营区直流输电工程共建为背景，以“共建精品工程”为目标，应用数字化与协同管理理念、推动精益管理、加强风险管控等创新手段，不断优化管理流程，探索多主体共建电网基建工程建设管理模式。</w:t>
            </w:r>
          </w:p>
        </w:tc>
        <w:tc>
          <w:tcPr>
            <w:tcW w:w="2268" w:type="dxa"/>
            <w:vAlign w:val="center"/>
          </w:tcPr>
          <w:p w14:paraId="7569B55B">
            <w:pPr>
              <w:spacing w:line="240" w:lineRule="auto"/>
              <w:jc w:val="both"/>
              <w:rPr>
                <w:rFonts w:hint="eastAsia" w:ascii="Times New Roman" w:hAnsi="Times New Roman" w:eastAsia="仿宋_GB2312" w:cs="Times New Roman"/>
                <w:color w:val="auto"/>
                <w:sz w:val="21"/>
                <w:szCs w:val="21"/>
                <w:highlight w:val="none"/>
                <w:lang w:eastAsia="zh-CN"/>
              </w:rPr>
            </w:pPr>
            <w:r>
              <w:rPr>
                <w:rFonts w:hint="eastAsia" w:ascii="仿宋_GB2312" w:hAnsi="仿宋_GB2312" w:eastAsia="仿宋_GB2312" w:cs="仿宋_GB2312"/>
                <w:szCs w:val="21"/>
                <w:lang w:val="en-US" w:eastAsia="zh-CN"/>
              </w:rPr>
              <w:t>1、</w:t>
            </w:r>
            <w:r>
              <w:rPr>
                <w:rFonts w:hint="eastAsia" w:ascii="仿宋_GB2312" w:hAnsi="仿宋_GB2312" w:eastAsia="仿宋_GB2312" w:cs="仿宋_GB2312"/>
                <w:szCs w:val="21"/>
              </w:rPr>
              <w:t>多主体共建电网基建工程建设管理模式</w:t>
            </w:r>
            <w:r>
              <w:rPr>
                <w:rFonts w:hint="eastAsia" w:ascii="仿宋_GB2312" w:hAnsi="仿宋_GB2312" w:eastAsia="仿宋_GB2312" w:cs="仿宋_GB2312"/>
                <w:szCs w:val="21"/>
                <w:lang w:val="en-US" w:eastAsia="zh-CN"/>
              </w:rPr>
              <w:t>1份；</w:t>
            </w:r>
            <w:r>
              <w:rPr>
                <w:rFonts w:hint="eastAsia" w:ascii="Times New Roman" w:hAnsi="Times New Roman" w:eastAsia="仿宋_GB2312" w:cs="Times New Roman"/>
                <w:color w:val="auto"/>
                <w:sz w:val="21"/>
                <w:szCs w:val="21"/>
                <w:highlight w:val="none"/>
                <w:lang w:eastAsia="zh-CN"/>
              </w:rPr>
              <w:t>（</w:t>
            </w:r>
            <w:r>
              <w:rPr>
                <w:rFonts w:hint="eastAsia" w:ascii="Times New Roman" w:hAnsi="Times New Roman" w:eastAsia="仿宋_GB2312" w:cs="Times New Roman"/>
                <w:color w:val="auto"/>
                <w:sz w:val="21"/>
                <w:szCs w:val="21"/>
                <w:highlight w:val="none"/>
                <w:lang w:val="en-US" w:eastAsia="zh-CN"/>
              </w:rPr>
              <w:t>交付标准：word版报告</w:t>
            </w:r>
            <w:r>
              <w:rPr>
                <w:rFonts w:hint="eastAsia" w:ascii="Times New Roman" w:hAnsi="Times New Roman" w:eastAsia="仿宋_GB2312" w:cs="Times New Roman"/>
                <w:color w:val="auto"/>
                <w:sz w:val="21"/>
                <w:szCs w:val="21"/>
                <w:highlight w:val="none"/>
                <w:lang w:eastAsia="zh-CN"/>
              </w:rPr>
              <w:t>）</w:t>
            </w:r>
          </w:p>
          <w:p w14:paraId="7C459A88">
            <w:pPr>
              <w:spacing w:line="240" w:lineRule="auto"/>
              <w:jc w:val="both"/>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2、协助打造数字化项目管控平台（提供指导性管理意见），提供可视化基建要素执行评价及资源配置优化模型，指导基建业务和协同建设管理资源配置，推动信息共享、数据互通，实现精益管理。（</w:t>
            </w:r>
            <w:r>
              <w:rPr>
                <w:rFonts w:hint="eastAsia" w:ascii="Times New Roman" w:hAnsi="Times New Roman" w:eastAsia="仿宋_GB2312" w:cs="Times New Roman"/>
                <w:color w:val="auto"/>
                <w:sz w:val="21"/>
                <w:szCs w:val="21"/>
                <w:highlight w:val="none"/>
                <w:lang w:val="en-US" w:eastAsia="zh-CN"/>
              </w:rPr>
              <w:t>交付标准：管理指导、平台搭建指导</w:t>
            </w:r>
            <w:r>
              <w:rPr>
                <w:rFonts w:hint="eastAsia" w:ascii="仿宋_GB2312" w:hAnsi="仿宋_GB2312" w:eastAsia="仿宋_GB2312" w:cs="仿宋_GB2312"/>
                <w:lang w:val="en-US" w:eastAsia="zh-CN"/>
              </w:rPr>
              <w:t>）</w:t>
            </w:r>
          </w:p>
        </w:tc>
        <w:tc>
          <w:tcPr>
            <w:tcW w:w="2034" w:type="dxa"/>
            <w:vAlign w:val="center"/>
          </w:tcPr>
          <w:p w14:paraId="2771968A">
            <w:pPr>
              <w:spacing w:line="240" w:lineRule="auto"/>
              <w:jc w:val="center"/>
              <w:rPr>
                <w:rFonts w:hint="eastAsia" w:ascii="仿宋_GB2312" w:hAnsi="仿宋_GB2312" w:eastAsia="仿宋_GB2312" w:cs="仿宋_GB2312"/>
              </w:rPr>
            </w:pPr>
            <w:r>
              <w:rPr>
                <w:rFonts w:hint="eastAsia" w:ascii="仿宋_GB2312" w:hAnsi="仿宋_GB2312" w:eastAsia="仿宋_GB2312" w:cs="仿宋_GB2312"/>
                <w:highlight w:val="yellow"/>
              </w:rPr>
              <w:t>合同签订后</w:t>
            </w:r>
            <w:r>
              <w:rPr>
                <w:rFonts w:hint="eastAsia" w:ascii="仿宋_GB2312" w:hAnsi="仿宋_GB2312" w:eastAsia="仿宋_GB2312" w:cs="仿宋_GB2312"/>
                <w:highlight w:val="yellow"/>
                <w:lang w:val="en-US" w:eastAsia="zh-CN"/>
              </w:rPr>
              <w:t>20</w:t>
            </w:r>
            <w:r>
              <w:rPr>
                <w:rFonts w:hint="eastAsia" w:ascii="仿宋_GB2312" w:hAnsi="仿宋_GB2312" w:eastAsia="仿宋_GB2312" w:cs="仿宋_GB2312"/>
                <w:highlight w:val="yellow"/>
              </w:rPr>
              <w:t>个月</w:t>
            </w:r>
          </w:p>
        </w:tc>
      </w:tr>
      <w:tr w14:paraId="44399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5" w:type="dxa"/>
            <w:vAlign w:val="center"/>
          </w:tcPr>
          <w:p w14:paraId="797D636F">
            <w:pPr>
              <w:spacing w:line="240" w:lineRule="auto"/>
              <w:jc w:val="center"/>
              <w:rPr>
                <w:rFonts w:hint="eastAsia" w:ascii="仿宋_GB2312" w:hAnsi="仿宋_GB2312" w:eastAsia="仿宋_GB2312" w:cs="仿宋_GB2312"/>
                <w:szCs w:val="21"/>
              </w:rPr>
            </w:pPr>
            <w:r>
              <w:rPr>
                <w:rFonts w:hint="eastAsia" w:ascii="仿宋_GB2312" w:hAnsi="仿宋_GB2312" w:eastAsia="仿宋_GB2312" w:cs="仿宋_GB2312"/>
                <w:szCs w:val="21"/>
              </w:rPr>
              <w:t>4</w:t>
            </w:r>
          </w:p>
        </w:tc>
        <w:tc>
          <w:tcPr>
            <w:tcW w:w="3403" w:type="dxa"/>
            <w:vAlign w:val="center"/>
          </w:tcPr>
          <w:p w14:paraId="773E561E">
            <w:pPr>
              <w:spacing w:line="240" w:lineRule="auto"/>
              <w:jc w:val="both"/>
              <w:rPr>
                <w:rFonts w:hint="eastAsia" w:ascii="仿宋_GB2312" w:hAnsi="仿宋_GB2312" w:eastAsia="仿宋_GB2312" w:cs="仿宋_GB2312"/>
                <w:szCs w:val="21"/>
              </w:rPr>
            </w:pPr>
            <w:r>
              <w:rPr>
                <w:rFonts w:hint="eastAsia" w:ascii="仿宋_GB2312" w:hAnsi="仿宋_GB2312" w:eastAsia="仿宋_GB2312" w:cs="仿宋_GB2312"/>
                <w:szCs w:val="21"/>
              </w:rPr>
              <w:t>海上柔直、国际工程等非公司资产基建项目现代化管理模式的探索。在推广应用合资共建管理模式的基础上，融合网内外电源、电网、海上风电等工程成功的管理经验，探索构建海上柔直、国际工程等非公司资产工程管理模式。</w:t>
            </w:r>
          </w:p>
        </w:tc>
        <w:tc>
          <w:tcPr>
            <w:tcW w:w="2268" w:type="dxa"/>
            <w:vAlign w:val="center"/>
          </w:tcPr>
          <w:p w14:paraId="5190B09C">
            <w:pPr>
              <w:spacing w:line="240" w:lineRule="auto"/>
              <w:jc w:val="both"/>
              <w:rPr>
                <w:rFonts w:hint="eastAsia" w:ascii="Times New Roman" w:hAnsi="Times New Roman" w:eastAsia="仿宋_GB2312" w:cs="Times New Roman"/>
                <w:color w:val="auto"/>
                <w:sz w:val="21"/>
                <w:szCs w:val="21"/>
                <w:highlight w:val="none"/>
                <w:lang w:eastAsia="zh-CN"/>
              </w:rPr>
            </w:pPr>
            <w:r>
              <w:rPr>
                <w:rFonts w:hint="eastAsia" w:ascii="仿宋_GB2312" w:hAnsi="仿宋_GB2312" w:eastAsia="仿宋_GB2312" w:cs="仿宋_GB2312"/>
                <w:szCs w:val="21"/>
              </w:rPr>
              <w:t>构建海上柔直、国际工程等非公司资产工程管理模式</w:t>
            </w:r>
            <w:r>
              <w:rPr>
                <w:rFonts w:hint="eastAsia" w:ascii="仿宋_GB2312" w:hAnsi="仿宋_GB2312" w:eastAsia="仿宋_GB2312" w:cs="仿宋_GB2312"/>
                <w:szCs w:val="21"/>
                <w:lang w:val="en-US" w:eastAsia="zh-CN"/>
              </w:rPr>
              <w:t>；</w:t>
            </w:r>
            <w:r>
              <w:rPr>
                <w:rFonts w:hint="eastAsia" w:ascii="Times New Roman" w:hAnsi="Times New Roman" w:eastAsia="仿宋_GB2312" w:cs="Times New Roman"/>
                <w:color w:val="auto"/>
                <w:sz w:val="21"/>
                <w:szCs w:val="21"/>
                <w:highlight w:val="none"/>
                <w:lang w:eastAsia="zh-CN"/>
              </w:rPr>
              <w:t>（</w:t>
            </w:r>
            <w:r>
              <w:rPr>
                <w:rFonts w:hint="eastAsia" w:ascii="Times New Roman" w:hAnsi="Times New Roman" w:eastAsia="仿宋_GB2312" w:cs="Times New Roman"/>
                <w:color w:val="auto"/>
                <w:sz w:val="21"/>
                <w:szCs w:val="21"/>
                <w:highlight w:val="none"/>
                <w:lang w:val="en-US" w:eastAsia="zh-CN"/>
              </w:rPr>
              <w:t>交付标准：word版报告</w:t>
            </w:r>
            <w:r>
              <w:rPr>
                <w:rFonts w:hint="eastAsia" w:ascii="Times New Roman" w:hAnsi="Times New Roman" w:eastAsia="仿宋_GB2312" w:cs="Times New Roman"/>
                <w:color w:val="auto"/>
                <w:sz w:val="21"/>
                <w:szCs w:val="21"/>
                <w:highlight w:val="none"/>
                <w:lang w:eastAsia="zh-CN"/>
              </w:rPr>
              <w:t>）</w:t>
            </w:r>
          </w:p>
          <w:p w14:paraId="1A86BB35">
            <w:pPr>
              <w:spacing w:line="240" w:lineRule="auto"/>
              <w:jc w:val="both"/>
              <w:rPr>
                <w:rFonts w:hint="default" w:ascii="Times New Roman" w:hAnsi="Times New Roman" w:eastAsia="仿宋_GB2312" w:cs="Times New Roman"/>
                <w:color w:val="auto"/>
                <w:sz w:val="21"/>
                <w:szCs w:val="21"/>
                <w:highlight w:val="none"/>
                <w:lang w:val="en-US" w:eastAsia="zh-CN"/>
              </w:rPr>
            </w:pPr>
          </w:p>
          <w:p w14:paraId="4961BC7B">
            <w:pPr>
              <w:pStyle w:val="2"/>
              <w:jc w:val="both"/>
              <w:rPr>
                <w:rFonts w:hint="eastAsia"/>
                <w:lang w:val="en-US" w:eastAsia="zh-CN"/>
              </w:rPr>
            </w:pPr>
          </w:p>
          <w:p w14:paraId="2A42CFAD">
            <w:pPr>
              <w:spacing w:line="240" w:lineRule="auto"/>
              <w:jc w:val="both"/>
              <w:rPr>
                <w:rFonts w:hint="default" w:eastAsia="仿宋_GB2312"/>
                <w:lang w:val="en-US" w:eastAsia="zh-CN"/>
              </w:rPr>
            </w:pPr>
          </w:p>
        </w:tc>
        <w:tc>
          <w:tcPr>
            <w:tcW w:w="2034" w:type="dxa"/>
            <w:vAlign w:val="center"/>
          </w:tcPr>
          <w:p w14:paraId="5DBC650E">
            <w:pPr>
              <w:spacing w:line="240" w:lineRule="auto"/>
              <w:jc w:val="center"/>
              <w:rPr>
                <w:rFonts w:hint="eastAsia" w:ascii="仿宋_GB2312" w:hAnsi="仿宋_GB2312" w:eastAsia="仿宋_GB2312" w:cs="仿宋_GB2312"/>
              </w:rPr>
            </w:pPr>
            <w:r>
              <w:rPr>
                <w:rFonts w:hint="eastAsia" w:ascii="仿宋_GB2312" w:hAnsi="仿宋_GB2312" w:eastAsia="仿宋_GB2312" w:cs="仿宋_GB2312"/>
                <w:highlight w:val="yellow"/>
              </w:rPr>
              <w:t>合同签订后</w:t>
            </w:r>
            <w:r>
              <w:rPr>
                <w:rFonts w:hint="eastAsia" w:ascii="仿宋_GB2312" w:hAnsi="仿宋_GB2312" w:eastAsia="仿宋_GB2312" w:cs="仿宋_GB2312"/>
                <w:highlight w:val="yellow"/>
                <w:lang w:val="en-US" w:eastAsia="zh-CN"/>
              </w:rPr>
              <w:t>24</w:t>
            </w:r>
            <w:r>
              <w:rPr>
                <w:rFonts w:hint="eastAsia" w:ascii="仿宋_GB2312" w:hAnsi="仿宋_GB2312" w:eastAsia="仿宋_GB2312" w:cs="仿宋_GB2312"/>
                <w:highlight w:val="yellow"/>
              </w:rPr>
              <w:t>个月</w:t>
            </w:r>
          </w:p>
        </w:tc>
      </w:tr>
      <w:tr w14:paraId="6D59C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5" w:type="dxa"/>
            <w:vAlign w:val="center"/>
          </w:tcPr>
          <w:p w14:paraId="663DD86D">
            <w:pPr>
              <w:spacing w:line="240" w:lineRule="auto"/>
              <w:jc w:val="center"/>
              <w:rPr>
                <w:rFonts w:hint="default" w:ascii="仿宋_GB2312" w:hAnsi="仿宋_GB2312" w:eastAsia="仿宋_GB2312" w:cs="仿宋_GB2312"/>
                <w:szCs w:val="21"/>
                <w:highlight w:val="none"/>
                <w:lang w:val="en-US" w:eastAsia="zh-CN"/>
              </w:rPr>
            </w:pPr>
            <w:r>
              <w:rPr>
                <w:rFonts w:hint="eastAsia" w:ascii="仿宋_GB2312" w:hAnsi="仿宋_GB2312" w:eastAsia="仿宋_GB2312" w:cs="仿宋_GB2312"/>
                <w:szCs w:val="21"/>
                <w:highlight w:val="none"/>
                <w:lang w:val="en-US" w:eastAsia="zh-CN"/>
              </w:rPr>
              <w:t>5</w:t>
            </w:r>
          </w:p>
        </w:tc>
        <w:tc>
          <w:tcPr>
            <w:tcW w:w="3403" w:type="dxa"/>
            <w:vAlign w:val="center"/>
          </w:tcPr>
          <w:p w14:paraId="1D24351E">
            <w:pPr>
              <w:spacing w:line="240" w:lineRule="auto"/>
              <w:jc w:val="both"/>
              <w:rPr>
                <w:rFonts w:hint="default" w:ascii="仿宋_GB2312" w:hAnsi="仿宋_GB2312" w:eastAsia="仿宋_GB2312" w:cs="仿宋_GB2312"/>
                <w:szCs w:val="21"/>
                <w:highlight w:val="none"/>
                <w:lang w:val="en-US" w:eastAsia="zh-CN"/>
              </w:rPr>
            </w:pPr>
            <w:r>
              <w:rPr>
                <w:rFonts w:hint="eastAsia" w:ascii="仿宋_GB2312" w:hAnsi="仿宋_GB2312" w:eastAsia="仿宋_GB2312" w:cs="仿宋_GB2312"/>
                <w:szCs w:val="21"/>
                <w:highlight w:val="none"/>
                <w:lang w:val="en-US" w:eastAsia="zh-CN"/>
              </w:rPr>
              <w:t>基于ESG理念的现代基建项目管理体系研究。全面融入ESG理念，依托跨省区输电通道建设，聚焦工程建设质量、安全、技术、进度、造价、合法合规等管理要素，探索构建一套以ESG为价值引导的现代基建管理体系。</w:t>
            </w:r>
          </w:p>
        </w:tc>
        <w:tc>
          <w:tcPr>
            <w:tcW w:w="2268" w:type="dxa"/>
            <w:vAlign w:val="center"/>
          </w:tcPr>
          <w:p w14:paraId="285D549C">
            <w:pPr>
              <w:spacing w:line="240" w:lineRule="auto"/>
              <w:jc w:val="both"/>
              <w:rPr>
                <w:rFonts w:hint="eastAsia" w:ascii="Times New Roman" w:hAnsi="Times New Roman" w:eastAsia="仿宋_GB2312" w:cs="Times New Roman"/>
                <w:color w:val="auto"/>
                <w:sz w:val="21"/>
                <w:szCs w:val="21"/>
                <w:highlight w:val="none"/>
                <w:lang w:eastAsia="zh-CN"/>
              </w:rPr>
            </w:pPr>
            <w:r>
              <w:rPr>
                <w:rFonts w:hint="eastAsia" w:ascii="仿宋_GB2312" w:hAnsi="仿宋_GB2312" w:eastAsia="仿宋_GB2312" w:cs="仿宋_GB2312"/>
                <w:szCs w:val="21"/>
                <w:highlight w:val="none"/>
                <w:lang w:val="en-US" w:eastAsia="zh-CN"/>
              </w:rPr>
              <w:t>基于ESG理念的现代基建项目管理体系</w:t>
            </w:r>
            <w:r>
              <w:rPr>
                <w:rFonts w:hint="eastAsia" w:ascii="Times New Roman" w:hAnsi="Times New Roman" w:eastAsia="仿宋_GB2312" w:cs="Times New Roman"/>
                <w:color w:val="auto"/>
                <w:sz w:val="21"/>
                <w:szCs w:val="21"/>
                <w:highlight w:val="none"/>
                <w:lang w:eastAsia="zh-CN"/>
              </w:rPr>
              <w:t>（</w:t>
            </w:r>
            <w:r>
              <w:rPr>
                <w:rFonts w:hint="eastAsia" w:ascii="Times New Roman" w:hAnsi="Times New Roman" w:eastAsia="仿宋_GB2312" w:cs="Times New Roman"/>
                <w:color w:val="auto"/>
                <w:sz w:val="21"/>
                <w:szCs w:val="21"/>
                <w:highlight w:val="none"/>
                <w:lang w:val="en-US" w:eastAsia="zh-CN"/>
              </w:rPr>
              <w:t>交付标准：word版报告</w:t>
            </w:r>
            <w:r>
              <w:rPr>
                <w:rFonts w:hint="eastAsia" w:ascii="Times New Roman" w:hAnsi="Times New Roman" w:eastAsia="仿宋_GB2312" w:cs="Times New Roman"/>
                <w:color w:val="auto"/>
                <w:sz w:val="21"/>
                <w:szCs w:val="21"/>
                <w:highlight w:val="none"/>
                <w:lang w:eastAsia="zh-CN"/>
              </w:rPr>
              <w:t>）</w:t>
            </w:r>
          </w:p>
          <w:p w14:paraId="388C02B2">
            <w:pPr>
              <w:spacing w:line="240" w:lineRule="auto"/>
              <w:jc w:val="both"/>
              <w:rPr>
                <w:rFonts w:hint="default" w:ascii="Times New Roman" w:hAnsi="Times New Roman" w:eastAsia="仿宋_GB2312" w:cs="Times New Roman"/>
                <w:color w:val="auto"/>
                <w:sz w:val="21"/>
                <w:szCs w:val="21"/>
                <w:highlight w:val="none"/>
                <w:lang w:val="en-US" w:eastAsia="zh-CN"/>
              </w:rPr>
            </w:pPr>
          </w:p>
          <w:p w14:paraId="756132B0">
            <w:pPr>
              <w:spacing w:line="240" w:lineRule="auto"/>
              <w:jc w:val="both"/>
              <w:rPr>
                <w:rFonts w:hint="eastAsia" w:ascii="仿宋_GB2312" w:hAnsi="仿宋_GB2312" w:eastAsia="仿宋_GB2312" w:cs="仿宋_GB2312"/>
                <w:szCs w:val="21"/>
                <w:highlight w:val="none"/>
                <w:lang w:val="en-US" w:eastAsia="zh-CN"/>
              </w:rPr>
            </w:pPr>
          </w:p>
        </w:tc>
        <w:tc>
          <w:tcPr>
            <w:tcW w:w="2034" w:type="dxa"/>
            <w:vAlign w:val="center"/>
          </w:tcPr>
          <w:p w14:paraId="142902E3">
            <w:pPr>
              <w:spacing w:line="240" w:lineRule="auto"/>
              <w:jc w:val="center"/>
              <w:rPr>
                <w:rFonts w:hint="eastAsia" w:ascii="仿宋_GB2312" w:hAnsi="仿宋_GB2312" w:eastAsia="仿宋_GB2312" w:cs="仿宋_GB2312"/>
                <w:highlight w:val="none"/>
              </w:rPr>
            </w:pPr>
            <w:r>
              <w:rPr>
                <w:rFonts w:hint="eastAsia" w:ascii="仿宋_GB2312" w:hAnsi="仿宋_GB2312" w:eastAsia="仿宋_GB2312" w:cs="仿宋_GB2312"/>
                <w:highlight w:val="yellow"/>
              </w:rPr>
              <w:t>合同签订后</w:t>
            </w:r>
            <w:r>
              <w:rPr>
                <w:rFonts w:hint="eastAsia" w:ascii="仿宋_GB2312" w:hAnsi="仿宋_GB2312" w:eastAsia="仿宋_GB2312" w:cs="仿宋_GB2312"/>
                <w:highlight w:val="yellow"/>
                <w:lang w:val="en-US" w:eastAsia="zh-CN"/>
              </w:rPr>
              <w:t>3</w:t>
            </w:r>
            <w:r>
              <w:rPr>
                <w:rFonts w:hint="eastAsia" w:ascii="仿宋_GB2312" w:hAnsi="仿宋_GB2312" w:eastAsia="仿宋_GB2312" w:cs="仿宋_GB2312"/>
                <w:highlight w:val="yellow"/>
              </w:rPr>
              <w:t>个月</w:t>
            </w:r>
          </w:p>
        </w:tc>
      </w:tr>
      <w:tr w14:paraId="7E53E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5" w:type="dxa"/>
            <w:vAlign w:val="center"/>
          </w:tcPr>
          <w:p w14:paraId="46B5E0F3">
            <w:pPr>
              <w:spacing w:line="240" w:lineRule="auto"/>
              <w:jc w:val="center"/>
              <w:rPr>
                <w:rFonts w:hint="default"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6</w:t>
            </w:r>
          </w:p>
        </w:tc>
        <w:tc>
          <w:tcPr>
            <w:tcW w:w="3403" w:type="dxa"/>
            <w:vAlign w:val="center"/>
          </w:tcPr>
          <w:p w14:paraId="198F6562">
            <w:pPr>
              <w:spacing w:line="240" w:lineRule="auto"/>
              <w:jc w:val="both"/>
              <w:rPr>
                <w:rFonts w:hint="default"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结题验收</w:t>
            </w:r>
          </w:p>
        </w:tc>
        <w:tc>
          <w:tcPr>
            <w:tcW w:w="2268" w:type="dxa"/>
            <w:vAlign w:val="center"/>
          </w:tcPr>
          <w:p w14:paraId="4694F84E">
            <w:pPr>
              <w:spacing w:line="240" w:lineRule="auto"/>
              <w:jc w:val="both"/>
              <w:rPr>
                <w:rFonts w:hint="default"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1、基于多主体共建的精品工程建设体系研究与实践政策建议1份；</w:t>
            </w:r>
            <w:r>
              <w:rPr>
                <w:rFonts w:hint="eastAsia" w:ascii="Times New Roman" w:hAnsi="Times New Roman" w:eastAsia="仿宋_GB2312" w:cs="Times New Roman"/>
                <w:color w:val="auto"/>
                <w:sz w:val="21"/>
                <w:szCs w:val="21"/>
                <w:highlight w:val="none"/>
                <w:lang w:eastAsia="zh-CN"/>
              </w:rPr>
              <w:t>（</w:t>
            </w:r>
            <w:r>
              <w:rPr>
                <w:rFonts w:hint="eastAsia" w:ascii="Times New Roman" w:hAnsi="Times New Roman" w:eastAsia="仿宋_GB2312" w:cs="Times New Roman"/>
                <w:color w:val="auto"/>
                <w:sz w:val="21"/>
                <w:szCs w:val="21"/>
                <w:highlight w:val="none"/>
                <w:lang w:val="en-US" w:eastAsia="zh-CN"/>
              </w:rPr>
              <w:t>交付标准：word版文件</w:t>
            </w:r>
            <w:r>
              <w:rPr>
                <w:rFonts w:hint="eastAsia" w:ascii="Times New Roman" w:hAnsi="Times New Roman" w:eastAsia="仿宋_GB2312" w:cs="Times New Roman"/>
                <w:color w:val="auto"/>
                <w:sz w:val="21"/>
                <w:szCs w:val="21"/>
                <w:highlight w:val="none"/>
                <w:lang w:eastAsia="zh-CN"/>
              </w:rPr>
              <w:t>）</w:t>
            </w:r>
          </w:p>
          <w:p w14:paraId="72CBF12C">
            <w:pPr>
              <w:spacing w:line="240" w:lineRule="auto"/>
              <w:jc w:val="both"/>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2、中文核心或EI检索论文2篇；（交付标准：须取得录用通知）</w:t>
            </w:r>
          </w:p>
          <w:p w14:paraId="11A3C5DF">
            <w:pPr>
              <w:spacing w:line="240" w:lineRule="auto"/>
              <w:jc w:val="both"/>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3、</w:t>
            </w:r>
            <w:r>
              <w:rPr>
                <w:rFonts w:hint="eastAsia" w:ascii="仿宋_GB2312" w:hAnsi="仿宋_GB2312" w:eastAsia="仿宋_GB2312" w:cs="仿宋_GB2312"/>
                <w:szCs w:val="21"/>
              </w:rPr>
              <w:t>基于多主体共建的精品工程建设体系研究与实践</w:t>
            </w:r>
            <w:r>
              <w:rPr>
                <w:rFonts w:hint="eastAsia" w:ascii="仿宋_GB2312" w:hAnsi="仿宋_GB2312" w:eastAsia="仿宋_GB2312" w:cs="仿宋_GB2312"/>
                <w:szCs w:val="21"/>
                <w:lang w:val="en-US" w:eastAsia="zh-CN"/>
              </w:rPr>
              <w:t>成果成品稿印刷版本30 册（交付标准：含封面及项目主要研究成果、展示内容等）</w:t>
            </w:r>
          </w:p>
        </w:tc>
        <w:tc>
          <w:tcPr>
            <w:tcW w:w="2034" w:type="dxa"/>
            <w:vAlign w:val="center"/>
          </w:tcPr>
          <w:p w14:paraId="6DC2C50C">
            <w:pPr>
              <w:spacing w:line="240" w:lineRule="auto"/>
              <w:jc w:val="center"/>
              <w:rPr>
                <w:rFonts w:hint="eastAsia" w:ascii="仿宋_GB2312" w:hAnsi="仿宋_GB2312" w:eastAsia="仿宋_GB2312" w:cs="仿宋_GB2312"/>
              </w:rPr>
            </w:pPr>
            <w:r>
              <w:rPr>
                <w:rFonts w:hint="eastAsia" w:ascii="仿宋_GB2312" w:hAnsi="仿宋_GB2312" w:eastAsia="仿宋_GB2312" w:cs="仿宋_GB2312"/>
                <w:highlight w:val="red"/>
              </w:rPr>
              <w:t>合同签订后</w:t>
            </w:r>
            <w:r>
              <w:rPr>
                <w:rFonts w:hint="eastAsia" w:ascii="仿宋_GB2312" w:hAnsi="仿宋_GB2312" w:eastAsia="仿宋_GB2312" w:cs="仿宋_GB2312"/>
                <w:highlight w:val="red"/>
                <w:lang w:val="en-US" w:eastAsia="zh-CN"/>
              </w:rPr>
              <w:t>24</w:t>
            </w:r>
            <w:r>
              <w:rPr>
                <w:rFonts w:hint="eastAsia" w:ascii="仿宋_GB2312" w:hAnsi="仿宋_GB2312" w:eastAsia="仿宋_GB2312" w:cs="仿宋_GB2312"/>
                <w:highlight w:val="red"/>
              </w:rPr>
              <w:t>个月</w:t>
            </w:r>
          </w:p>
        </w:tc>
      </w:tr>
    </w:tbl>
    <w:p w14:paraId="1CCCE26A">
      <w:pPr>
        <w:rPr>
          <w:rFonts w:hint="default" w:ascii="Times New Roman" w:hAnsi="Times New Roman" w:cs="Times New Roman"/>
          <w:color w:val="000000"/>
          <w:sz w:val="24"/>
        </w:rPr>
      </w:pPr>
    </w:p>
    <w:p w14:paraId="06039762">
      <w:pPr>
        <w:rPr>
          <w:rFonts w:hint="default" w:ascii="Times New Roman" w:hAnsi="Times New Roman" w:cs="Times New Roman"/>
          <w:color w:val="000000"/>
          <w:sz w:val="24"/>
        </w:rPr>
      </w:pPr>
      <w:r>
        <w:rPr>
          <w:rFonts w:hint="default" w:ascii="Times New Roman" w:hAnsi="Times New Roman" w:cs="Times New Roman"/>
          <w:color w:val="000000"/>
          <w:sz w:val="24"/>
        </w:rPr>
        <w:t>4.3 项目组织。</w:t>
      </w:r>
      <w:r>
        <w:rPr>
          <w:rFonts w:hint="default" w:ascii="Times New Roman" w:hAnsi="Times New Roman" w:cs="Times New Roman"/>
          <w:sz w:val="24"/>
        </w:rPr>
        <w:t>投标方需成立项目组，项目组成员不得少于5人，成员均为大学本科及以上学历，具备良好的专业背景和经验，其中至少包含2名高级研究人员（主要为副教授、副研究员、高级工程师、PMP项目管理师及以上级别研究人员），2名其他研究人员（含中初级研究人员等其他研究人员）。投标方需安排两名人员，在现场办公时间不少于</w:t>
      </w:r>
      <w:r>
        <w:rPr>
          <w:rFonts w:hint="eastAsia" w:ascii="Times New Roman" w:hAnsi="Times New Roman" w:cs="Times New Roman"/>
          <w:sz w:val="24"/>
          <w:lang w:val="en-US" w:eastAsia="zh-CN"/>
        </w:rPr>
        <w:t>120</w:t>
      </w:r>
      <w:r>
        <w:rPr>
          <w:rFonts w:hint="default" w:ascii="Times New Roman" w:hAnsi="Times New Roman" w:cs="Times New Roman"/>
          <w:sz w:val="24"/>
        </w:rPr>
        <w:t>个工作日。投标方提供名单和咨询经历，在与招标方协商的基础上确定，确保人员稳定。更换项目组成员的替代人选及更换时机需经双方协商认可，并保证工作的连续性和工作质量。</w:t>
      </w:r>
    </w:p>
    <w:bookmarkEnd w:id="6"/>
    <w:bookmarkEnd w:id="7"/>
    <w:bookmarkEnd w:id="8"/>
    <w:bookmarkEnd w:id="9"/>
    <w:bookmarkEnd w:id="10"/>
    <w:bookmarkEnd w:id="11"/>
    <w:bookmarkEnd w:id="12"/>
    <w:bookmarkEnd w:id="13"/>
    <w:bookmarkEnd w:id="14"/>
    <w:bookmarkEnd w:id="15"/>
    <w:bookmarkEnd w:id="16"/>
    <w:p w14:paraId="1CA8DEB7">
      <w:pPr>
        <w:rPr>
          <w:rFonts w:hint="default" w:ascii="Times New Roman" w:hAnsi="Times New Roman" w:cs="Times New Roman"/>
          <w:sz w:val="24"/>
        </w:rPr>
      </w:pPr>
      <w:bookmarkStart w:id="23" w:name="_Toc20013"/>
      <w:r>
        <w:rPr>
          <w:rFonts w:hint="default" w:ascii="Times New Roman" w:hAnsi="Times New Roman" w:cs="Times New Roman"/>
          <w:sz w:val="24"/>
        </w:rPr>
        <w:t>4.4 研究成果。</w:t>
      </w:r>
      <w:bookmarkEnd w:id="23"/>
      <w:r>
        <w:rPr>
          <w:rFonts w:hint="default" w:ascii="Times New Roman" w:hAnsi="Times New Roman" w:cs="Times New Roman"/>
          <w:sz w:val="24"/>
        </w:rPr>
        <w:t>通过项目实施，制定符合超高压实际，具有电网行业特点的管理体系文件，包含但不限于方案、计划、制度或指引等。投标方提供的图纸、资料、文件应使用国家法定单位制即国际单位制，语言为中文。资料的组织结构清晰、逻辑性强。资料内容要正确、准确、一致、清晰、完整。</w:t>
      </w:r>
      <w:bookmarkStart w:id="24" w:name="_Toc309805604"/>
      <w:bookmarkStart w:id="25" w:name="_Toc312827040"/>
      <w:bookmarkStart w:id="26" w:name="_Toc309593209"/>
      <w:bookmarkStart w:id="27" w:name="_Toc531004215"/>
      <w:bookmarkStart w:id="28" w:name="_Toc531004269"/>
      <w:bookmarkStart w:id="29" w:name="_Toc309593280"/>
      <w:bookmarkStart w:id="30" w:name="_Toc441483969"/>
      <w:bookmarkStart w:id="31" w:name="_Toc18633"/>
    </w:p>
    <w:p w14:paraId="5A5D031D">
      <w:pPr>
        <w:pStyle w:val="5"/>
        <w:rPr>
          <w:rFonts w:hint="default" w:ascii="Times New Roman" w:hAnsi="Times New Roman" w:cs="Times New Roman"/>
          <w:sz w:val="24"/>
        </w:rPr>
      </w:pPr>
      <w:r>
        <w:rPr>
          <w:rFonts w:hint="default" w:ascii="Times New Roman" w:hAnsi="Times New Roman" w:cs="Times New Roman"/>
          <w:sz w:val="24"/>
          <w:szCs w:val="24"/>
        </w:rPr>
        <w:t>4.5 技术服务其它要求。</w:t>
      </w:r>
      <w:r>
        <w:rPr>
          <w:rFonts w:hint="default" w:ascii="Times New Roman" w:hAnsi="Times New Roman" w:cs="Times New Roman"/>
          <w:sz w:val="24"/>
        </w:rPr>
        <w:t>除上述工作量范围以外，投标方负责组织项目评审会议、中期评审、项目相关协调会或研讨会，并负责内外部专家专家咨询费</w:t>
      </w:r>
      <w:r>
        <w:rPr>
          <w:rFonts w:hint="eastAsia" w:ascii="Times New Roman" w:hAnsi="Times New Roman" w:cs="Times New Roman"/>
          <w:sz w:val="24"/>
          <w:lang w:eastAsia="zh-CN"/>
        </w:rPr>
        <w:t>、</w:t>
      </w:r>
      <w:r>
        <w:rPr>
          <w:rFonts w:hint="default" w:ascii="Times New Roman" w:hAnsi="Times New Roman" w:cs="Times New Roman"/>
          <w:sz w:val="24"/>
        </w:rPr>
        <w:t>会务及会议费用</w:t>
      </w:r>
      <w:r>
        <w:rPr>
          <w:rFonts w:hint="eastAsia" w:ascii="Times New Roman" w:hAnsi="Times New Roman" w:cs="Times New Roman"/>
          <w:sz w:val="24"/>
          <w:lang w:eastAsia="zh-CN"/>
        </w:rPr>
        <w:t>，以及其他项目查验相关组织工作</w:t>
      </w:r>
      <w:r>
        <w:rPr>
          <w:rFonts w:hint="default" w:ascii="Times New Roman" w:hAnsi="Times New Roman" w:cs="Times New Roman"/>
          <w:sz w:val="24"/>
        </w:rPr>
        <w:t>。项目在研究周期过半时应组织中期检查中期检查完成后形成中期检查报告，项目中期评审邀请南方电网公司系统内外部专家（原则上具有副高级及以上职称，总人数不少于 5 人）进行评审。原则上项目验收评审应该依据项目类型和特点，采用函审、实地考察、会议评审、网络评审等方式，邀请南方电网公司系统内外部专家（原则上具有副高级及以上职称，包括</w:t>
      </w:r>
      <w:r>
        <w:rPr>
          <w:rFonts w:hint="eastAsia" w:ascii="Times New Roman" w:hAnsi="Times New Roman" w:cs="Times New Roman"/>
          <w:sz w:val="24"/>
          <w:lang w:val="en-US" w:eastAsia="zh-CN"/>
        </w:rPr>
        <w:t>1</w:t>
      </w:r>
      <w:r>
        <w:rPr>
          <w:rFonts w:hint="default" w:ascii="Times New Roman" w:hAnsi="Times New Roman" w:cs="Times New Roman"/>
          <w:sz w:val="24"/>
        </w:rPr>
        <w:t>名财务专家，总人数不少于</w:t>
      </w:r>
      <w:r>
        <w:rPr>
          <w:rFonts w:hint="eastAsia" w:ascii="Times New Roman" w:hAnsi="Times New Roman" w:cs="Times New Roman"/>
          <w:sz w:val="24"/>
          <w:lang w:val="en-US" w:eastAsia="zh-CN"/>
        </w:rPr>
        <w:t>7</w:t>
      </w:r>
      <w:r>
        <w:rPr>
          <w:rFonts w:hint="default" w:ascii="Times New Roman" w:hAnsi="Times New Roman" w:cs="Times New Roman"/>
          <w:sz w:val="24"/>
        </w:rPr>
        <w:t>人）进行评审验收。</w:t>
      </w:r>
    </w:p>
    <w:p w14:paraId="7E09C4F9">
      <w:pPr>
        <w:autoSpaceDN w:val="0"/>
        <w:rPr>
          <w:rFonts w:hint="default" w:ascii="Times New Roman" w:hAnsi="Times New Roman" w:cs="Times New Roman"/>
          <w:sz w:val="24"/>
          <w:szCs w:val="21"/>
        </w:rPr>
      </w:pPr>
      <w:r>
        <w:rPr>
          <w:rFonts w:hint="default" w:ascii="Times New Roman" w:hAnsi="Times New Roman" w:cs="Times New Roman"/>
          <w:sz w:val="24"/>
        </w:rPr>
        <w:t xml:space="preserve">4.6 </w:t>
      </w:r>
      <w:r>
        <w:rPr>
          <w:rFonts w:hint="default" w:ascii="Times New Roman" w:hAnsi="Times New Roman" w:cs="Times New Roman"/>
          <w:sz w:val="24"/>
          <w:szCs w:val="21"/>
        </w:rPr>
        <w:t>为保证投标方有效进行技术服务工作，招标方提供与项目有关的技术资料，并协助投标方协调项目实施过程中所需解决的事项。</w:t>
      </w:r>
    </w:p>
    <w:p w14:paraId="30370E0B">
      <w:pPr>
        <w:pStyle w:val="5"/>
        <w:rPr>
          <w:rFonts w:hint="default" w:ascii="Times New Roman" w:hAnsi="Times New Roman" w:cs="Times New Roman"/>
          <w:sz w:val="24"/>
        </w:rPr>
      </w:pPr>
      <w:r>
        <w:rPr>
          <w:rFonts w:hint="default" w:ascii="Times New Roman" w:hAnsi="Times New Roman" w:cs="Times New Roman"/>
          <w:sz w:val="24"/>
          <w:szCs w:val="24"/>
        </w:rPr>
        <w:t>4.7双</w:t>
      </w:r>
      <w:r>
        <w:rPr>
          <w:rFonts w:hint="default" w:ascii="Times New Roman" w:hAnsi="Times New Roman" w:cs="Times New Roman"/>
          <w:sz w:val="24"/>
        </w:rPr>
        <w:t>方确定，在项目进行期内，双方均指定项目联系人。项目联系人承担以下责任：</w:t>
      </w:r>
    </w:p>
    <w:p w14:paraId="1D238586">
      <w:pPr>
        <w:pStyle w:val="5"/>
        <w:ind w:left="465"/>
        <w:rPr>
          <w:rFonts w:hint="default" w:ascii="Times New Roman" w:hAnsi="Times New Roman" w:cs="Times New Roman"/>
          <w:sz w:val="24"/>
        </w:rPr>
      </w:pPr>
      <w:r>
        <w:rPr>
          <w:rFonts w:hint="default" w:ascii="Times New Roman" w:hAnsi="Times New Roman" w:cs="Times New Roman"/>
          <w:sz w:val="24"/>
        </w:rPr>
        <w:t>（1）沟通项目所需资料的收集。</w:t>
      </w:r>
    </w:p>
    <w:p w14:paraId="07E98E41">
      <w:pPr>
        <w:pStyle w:val="5"/>
        <w:ind w:firstLine="480" w:firstLineChars="200"/>
        <w:rPr>
          <w:rFonts w:hint="default" w:ascii="Times New Roman" w:hAnsi="Times New Roman" w:cs="Times New Roman"/>
          <w:sz w:val="24"/>
        </w:rPr>
      </w:pPr>
      <w:r>
        <w:rPr>
          <w:rFonts w:hint="default" w:ascii="Times New Roman" w:hAnsi="Times New Roman" w:cs="Times New Roman"/>
          <w:sz w:val="24"/>
        </w:rPr>
        <w:t>（2）沟通项目进度信息。</w:t>
      </w:r>
    </w:p>
    <w:p w14:paraId="36B4AE0D">
      <w:pPr>
        <w:pStyle w:val="5"/>
        <w:ind w:left="465"/>
        <w:rPr>
          <w:rFonts w:hint="default" w:ascii="Times New Roman" w:hAnsi="Times New Roman" w:cs="Times New Roman"/>
          <w:sz w:val="24"/>
        </w:rPr>
      </w:pPr>
      <w:r>
        <w:rPr>
          <w:rFonts w:hint="default" w:ascii="Times New Roman" w:hAnsi="Times New Roman" w:cs="Times New Roman"/>
          <w:sz w:val="24"/>
        </w:rPr>
        <w:t>（3）协商解决项目执行过程中遇到的问题。</w:t>
      </w:r>
    </w:p>
    <w:p w14:paraId="619F630B">
      <w:pPr>
        <w:pStyle w:val="5"/>
        <w:ind w:firstLine="480" w:firstLineChars="200"/>
        <w:rPr>
          <w:rFonts w:hint="default" w:ascii="Times New Roman" w:hAnsi="Times New Roman" w:cs="Times New Roman"/>
          <w:sz w:val="24"/>
          <w:szCs w:val="24"/>
        </w:rPr>
      </w:pPr>
      <w:r>
        <w:rPr>
          <w:rFonts w:hint="default" w:ascii="Times New Roman" w:hAnsi="Times New Roman" w:cs="Times New Roman"/>
          <w:sz w:val="24"/>
        </w:rPr>
        <w:t>一方变更项目联系人的，应当及时以书面形式通知另一方。未及时通知并影响项目进行或造成损失的，应承担相应的责任。</w:t>
      </w:r>
    </w:p>
    <w:p w14:paraId="53D832C8">
      <w:pPr>
        <w:pStyle w:val="5"/>
        <w:rPr>
          <w:rFonts w:hint="default" w:ascii="Times New Roman" w:hAnsi="Times New Roman" w:cs="Times New Roman"/>
          <w:sz w:val="24"/>
        </w:rPr>
      </w:pPr>
      <w:r>
        <w:rPr>
          <w:rFonts w:hint="default" w:ascii="Times New Roman" w:hAnsi="Times New Roman" w:cs="Times New Roman"/>
          <w:sz w:val="24"/>
          <w:szCs w:val="24"/>
        </w:rPr>
        <w:t>4.8双</w:t>
      </w:r>
      <w:r>
        <w:rPr>
          <w:rFonts w:hint="default" w:ascii="Times New Roman" w:hAnsi="Times New Roman" w:cs="Times New Roman"/>
          <w:sz w:val="24"/>
        </w:rPr>
        <w:t>方确定项目有关保密义务如下：</w:t>
      </w:r>
    </w:p>
    <w:p w14:paraId="3BF0FD86">
      <w:pPr>
        <w:pStyle w:val="5"/>
        <w:ind w:firstLine="240"/>
        <w:rPr>
          <w:rFonts w:hint="default" w:ascii="Times New Roman" w:hAnsi="Times New Roman" w:cs="Times New Roman"/>
          <w:sz w:val="24"/>
        </w:rPr>
      </w:pPr>
      <w:r>
        <w:rPr>
          <w:rFonts w:hint="default" w:ascii="Times New Roman" w:hAnsi="Times New Roman" w:cs="Times New Roman"/>
          <w:sz w:val="24"/>
        </w:rPr>
        <w:t xml:space="preserve">    招标方：</w:t>
      </w:r>
    </w:p>
    <w:p w14:paraId="40854290">
      <w:pPr>
        <w:pStyle w:val="5"/>
        <w:ind w:firstLine="720" w:firstLineChars="300"/>
        <w:rPr>
          <w:rFonts w:hint="default" w:ascii="Times New Roman" w:hAnsi="Times New Roman" w:cs="Times New Roman"/>
          <w:sz w:val="24"/>
        </w:rPr>
      </w:pPr>
      <w:r>
        <w:rPr>
          <w:rFonts w:hint="default" w:ascii="Times New Roman" w:hAnsi="Times New Roman" w:cs="Times New Roman"/>
          <w:sz w:val="24"/>
        </w:rPr>
        <w:t>（1）保密内容（包括技术信息和经营信息）：过程所有文件。</w:t>
      </w:r>
    </w:p>
    <w:p w14:paraId="45A95892">
      <w:pPr>
        <w:pStyle w:val="5"/>
        <w:ind w:firstLine="720" w:firstLineChars="300"/>
        <w:rPr>
          <w:rFonts w:hint="default" w:ascii="Times New Roman" w:hAnsi="Times New Roman" w:cs="Times New Roman"/>
          <w:sz w:val="24"/>
        </w:rPr>
      </w:pPr>
      <w:r>
        <w:rPr>
          <w:rFonts w:hint="default" w:ascii="Times New Roman" w:hAnsi="Times New Roman" w:cs="Times New Roman"/>
          <w:sz w:val="24"/>
        </w:rPr>
        <w:t>（2）涉密人员范围：参与技术服务工作人员。</w:t>
      </w:r>
    </w:p>
    <w:p w14:paraId="229B84D6">
      <w:pPr>
        <w:pStyle w:val="5"/>
        <w:ind w:firstLine="720" w:firstLineChars="300"/>
        <w:rPr>
          <w:rFonts w:hint="default" w:ascii="Times New Roman" w:hAnsi="Times New Roman" w:cs="Times New Roman"/>
          <w:sz w:val="24"/>
        </w:rPr>
      </w:pPr>
      <w:r>
        <w:rPr>
          <w:rFonts w:hint="default" w:ascii="Times New Roman" w:hAnsi="Times New Roman" w:cs="Times New Roman"/>
          <w:sz w:val="24"/>
        </w:rPr>
        <w:t>（3）保密期限：本项目有效期及期满后5年内。</w:t>
      </w:r>
    </w:p>
    <w:p w14:paraId="481F03B5">
      <w:pPr>
        <w:pStyle w:val="5"/>
        <w:ind w:firstLine="720" w:firstLineChars="300"/>
        <w:rPr>
          <w:rFonts w:hint="default" w:ascii="Times New Roman" w:hAnsi="Times New Roman" w:cs="Times New Roman"/>
          <w:sz w:val="24"/>
        </w:rPr>
      </w:pPr>
      <w:r>
        <w:rPr>
          <w:rFonts w:hint="default" w:ascii="Times New Roman" w:hAnsi="Times New Roman" w:cs="Times New Roman"/>
          <w:sz w:val="24"/>
        </w:rPr>
        <w:t>（4）泄密责任：承担法律责任并赔偿由此给投标方造成的损失。</w:t>
      </w:r>
    </w:p>
    <w:p w14:paraId="3537985B">
      <w:pPr>
        <w:pStyle w:val="5"/>
        <w:ind w:firstLine="240"/>
        <w:rPr>
          <w:rFonts w:hint="default" w:ascii="Times New Roman" w:hAnsi="Times New Roman" w:cs="Times New Roman"/>
          <w:sz w:val="24"/>
        </w:rPr>
      </w:pPr>
      <w:r>
        <w:rPr>
          <w:rFonts w:hint="default" w:ascii="Times New Roman" w:hAnsi="Times New Roman" w:cs="Times New Roman"/>
          <w:sz w:val="24"/>
        </w:rPr>
        <w:t xml:space="preserve">    投标方：  </w:t>
      </w:r>
    </w:p>
    <w:p w14:paraId="105928AE">
      <w:pPr>
        <w:pStyle w:val="5"/>
        <w:ind w:firstLine="720" w:firstLineChars="300"/>
        <w:rPr>
          <w:rFonts w:hint="default" w:ascii="Times New Roman" w:hAnsi="Times New Roman" w:cs="Times New Roman"/>
          <w:sz w:val="24"/>
        </w:rPr>
      </w:pPr>
      <w:r>
        <w:rPr>
          <w:rFonts w:hint="default" w:ascii="Times New Roman" w:hAnsi="Times New Roman" w:cs="Times New Roman"/>
          <w:sz w:val="24"/>
        </w:rPr>
        <w:t>（1）保密内容（包括技术信息和经营信息）：过程所有文件。</w:t>
      </w:r>
    </w:p>
    <w:p w14:paraId="1B498792">
      <w:pPr>
        <w:pStyle w:val="5"/>
        <w:ind w:firstLine="720" w:firstLineChars="300"/>
        <w:rPr>
          <w:rFonts w:hint="default" w:ascii="Times New Roman" w:hAnsi="Times New Roman" w:cs="Times New Roman"/>
          <w:sz w:val="24"/>
        </w:rPr>
      </w:pPr>
      <w:r>
        <w:rPr>
          <w:rFonts w:hint="default" w:ascii="Times New Roman" w:hAnsi="Times New Roman" w:cs="Times New Roman"/>
          <w:sz w:val="24"/>
        </w:rPr>
        <w:t>（2）涉密人员范围：参与技术服务工作人员。</w:t>
      </w:r>
    </w:p>
    <w:p w14:paraId="24411EF4">
      <w:pPr>
        <w:pStyle w:val="5"/>
        <w:ind w:firstLine="720" w:firstLineChars="300"/>
        <w:rPr>
          <w:rFonts w:hint="default" w:ascii="Times New Roman" w:hAnsi="Times New Roman" w:cs="Times New Roman"/>
          <w:sz w:val="24"/>
        </w:rPr>
      </w:pPr>
      <w:r>
        <w:rPr>
          <w:rFonts w:hint="default" w:ascii="Times New Roman" w:hAnsi="Times New Roman" w:cs="Times New Roman"/>
          <w:sz w:val="24"/>
        </w:rPr>
        <w:t>（3）保密期限：本项目有效期及期满后5年内。</w:t>
      </w:r>
    </w:p>
    <w:p w14:paraId="1ACBA0BE">
      <w:pPr>
        <w:pStyle w:val="5"/>
        <w:ind w:firstLine="720" w:firstLineChars="300"/>
        <w:rPr>
          <w:rFonts w:hint="default" w:ascii="Times New Roman" w:hAnsi="Times New Roman" w:cs="Times New Roman"/>
          <w:sz w:val="24"/>
        </w:rPr>
      </w:pPr>
      <w:r>
        <w:rPr>
          <w:rFonts w:hint="default" w:ascii="Times New Roman" w:hAnsi="Times New Roman" w:cs="Times New Roman"/>
          <w:sz w:val="24"/>
        </w:rPr>
        <w:t>（4）泄密责任：承担法律责任并赔偿由此给招标方造成的损失。</w:t>
      </w:r>
    </w:p>
    <w:p w14:paraId="37826685">
      <w:pPr>
        <w:pStyle w:val="5"/>
        <w:rPr>
          <w:rFonts w:hint="default" w:ascii="Times New Roman" w:hAnsi="Times New Roman" w:cs="Times New Roman"/>
          <w:sz w:val="24"/>
          <w:highlight w:val="yellow"/>
        </w:rPr>
      </w:pPr>
      <w:r>
        <w:rPr>
          <w:rFonts w:hint="default" w:ascii="Times New Roman" w:hAnsi="Times New Roman" w:cs="Times New Roman"/>
          <w:sz w:val="24"/>
          <w:szCs w:val="24"/>
          <w:highlight w:val="yellow"/>
        </w:rPr>
        <w:t>4.</w:t>
      </w:r>
      <w:r>
        <w:rPr>
          <w:rFonts w:hint="eastAsia" w:ascii="Times New Roman" w:hAnsi="Times New Roman" w:cs="Times New Roman"/>
          <w:sz w:val="24"/>
          <w:szCs w:val="24"/>
          <w:highlight w:val="yellow"/>
          <w:lang w:val="en-US" w:eastAsia="zh-CN"/>
        </w:rPr>
        <w:t>9 服务时间：合同签订后两年。</w:t>
      </w:r>
    </w:p>
    <w:p w14:paraId="17CD6B80">
      <w:pPr>
        <w:snapToGrid w:val="0"/>
        <w:spacing w:before="120"/>
        <w:rPr>
          <w:rFonts w:hint="default" w:ascii="Times New Roman" w:hAnsi="Times New Roman" w:eastAsia="黑体" w:cs="Times New Roman"/>
          <w:b/>
          <w:bCs/>
          <w:sz w:val="28"/>
          <w:szCs w:val="36"/>
        </w:rPr>
      </w:pPr>
      <w:r>
        <w:rPr>
          <w:rFonts w:hint="default" w:ascii="Times New Roman" w:hAnsi="Times New Roman" w:eastAsia="黑体" w:cs="Times New Roman"/>
          <w:b/>
          <w:bCs/>
          <w:sz w:val="28"/>
          <w:szCs w:val="36"/>
        </w:rPr>
        <w:t>5.项目验收</w:t>
      </w:r>
      <w:bookmarkEnd w:id="24"/>
      <w:bookmarkEnd w:id="25"/>
      <w:bookmarkEnd w:id="26"/>
      <w:bookmarkEnd w:id="27"/>
      <w:bookmarkEnd w:id="28"/>
      <w:bookmarkEnd w:id="29"/>
      <w:bookmarkEnd w:id="30"/>
    </w:p>
    <w:p w14:paraId="3169A242">
      <w:pPr>
        <w:rPr>
          <w:rFonts w:hint="default" w:ascii="Times New Roman" w:hAnsi="Times New Roman" w:cs="Times New Roman"/>
          <w:sz w:val="24"/>
        </w:rPr>
      </w:pPr>
      <w:r>
        <w:rPr>
          <w:rFonts w:hint="default" w:ascii="Times New Roman" w:hAnsi="Times New Roman" w:cs="Times New Roman"/>
          <w:sz w:val="24"/>
        </w:rPr>
        <w:t>5.1项目验收。投标方在自评具备验收条件后提出验收申请，招标方在收到验收申请后组织专家对所有项目材料和相关成果进行评审，开展项目验收。验收按照招标方制定的验收方案具体实施，方案将包括验收项目、验收目的、验收标准、验收人员等。项目验收后，验收人员将根据实际情况提出验收报告，如若有需要整改的内容，投标方在验收后应主动配合招标方严格按照整改意见进行整改完善。</w:t>
      </w:r>
    </w:p>
    <w:p w14:paraId="244C12F4">
      <w:pPr>
        <w:snapToGrid w:val="0"/>
        <w:spacing w:before="120"/>
        <w:rPr>
          <w:rFonts w:hint="default" w:ascii="Times New Roman" w:hAnsi="Times New Roman" w:eastAsia="黑体" w:cs="Times New Roman"/>
          <w:b/>
          <w:bCs/>
          <w:sz w:val="28"/>
          <w:szCs w:val="36"/>
        </w:rPr>
      </w:pPr>
      <w:r>
        <w:rPr>
          <w:rFonts w:hint="default" w:ascii="Times New Roman" w:hAnsi="Times New Roman" w:eastAsia="黑体" w:cs="Times New Roman"/>
          <w:b/>
          <w:bCs/>
          <w:sz w:val="28"/>
          <w:szCs w:val="36"/>
        </w:rPr>
        <w:t>6 其他要求</w:t>
      </w:r>
      <w:bookmarkEnd w:id="31"/>
    </w:p>
    <w:p w14:paraId="7160889D">
      <w:pPr>
        <w:rPr>
          <w:rFonts w:hint="default" w:ascii="Times New Roman" w:hAnsi="Times New Roman" w:cs="Times New Roman"/>
          <w:sz w:val="24"/>
        </w:rPr>
      </w:pPr>
      <w:r>
        <w:rPr>
          <w:rFonts w:hint="default" w:ascii="Times New Roman" w:hAnsi="Times New Roman" w:cs="Times New Roman"/>
          <w:sz w:val="24"/>
        </w:rPr>
        <w:t>6.1 进度控制以投标方向招标方提交的报告为考核依据，按期执行、推进相应工作，保障任务最终完成的时间节点。</w:t>
      </w:r>
    </w:p>
    <w:p w14:paraId="25AF17CA">
      <w:pPr>
        <w:rPr>
          <w:rFonts w:hint="default" w:ascii="Times New Roman" w:hAnsi="Times New Roman" w:cs="Times New Roman"/>
          <w:sz w:val="24"/>
        </w:rPr>
      </w:pPr>
      <w:r>
        <w:rPr>
          <w:rFonts w:hint="default" w:ascii="Times New Roman" w:hAnsi="Times New Roman" w:cs="Times New Roman"/>
          <w:sz w:val="24"/>
        </w:rPr>
        <w:t>6.2 招标方有义务协助投标方开展相关沟通协调工作，但投标方须按照本技术规范书第二部分服务范围及要求的时间节点，完成各项工作。</w:t>
      </w:r>
    </w:p>
    <w:p w14:paraId="1FC3BDED">
      <w:pPr>
        <w:rPr>
          <w:rFonts w:hint="default" w:ascii="Times New Roman" w:hAnsi="Times New Roman" w:cs="Times New Roman"/>
          <w:sz w:val="24"/>
        </w:rPr>
      </w:pPr>
      <w:r>
        <w:rPr>
          <w:rFonts w:hint="default" w:ascii="Times New Roman" w:hAnsi="Times New Roman" w:cs="Times New Roman"/>
          <w:sz w:val="24"/>
        </w:rPr>
        <w:t>6.3 投标方应按照工作方案及计划，明晰组织结构，明确责任人，成立专业团队，加紧开展工作。</w:t>
      </w:r>
    </w:p>
    <w:p w14:paraId="1B17BBDF">
      <w:pPr>
        <w:rPr>
          <w:rFonts w:hint="default" w:ascii="Times New Roman" w:hAnsi="Times New Roman" w:cs="Times New Roman"/>
          <w:sz w:val="24"/>
        </w:rPr>
      </w:pPr>
      <w:r>
        <w:rPr>
          <w:rFonts w:hint="default" w:ascii="Times New Roman" w:hAnsi="Times New Roman" w:cs="Times New Roman"/>
          <w:sz w:val="24"/>
        </w:rPr>
        <w:t>6.4 工作过程中出现报告质量与完整性不足的情况，投标方应负责辅导更正。</w:t>
      </w:r>
    </w:p>
    <w:p w14:paraId="60DE71C3">
      <w:pPr>
        <w:rPr>
          <w:rFonts w:hint="default" w:ascii="Times New Roman" w:hAnsi="Times New Roman" w:cs="Times New Roman"/>
          <w:sz w:val="24"/>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w:altName w:val="Arial"/>
    <w:panose1 w:val="020B0604020202020204"/>
    <w:charset w:val="00"/>
    <w:family w:val="auto"/>
    <w:pitch w:val="default"/>
    <w:sig w:usb0="00000000" w:usb1="00000000" w:usb2="00000000" w:usb3="00000000" w:csb0="00000000" w:csb1="00000000"/>
  </w:font>
  <w:font w:name="仿宋_GB2312">
    <w:panose1 w:val="02010609030101010101"/>
    <w:charset w:val="86"/>
    <w:family w:val="auto"/>
    <w:pitch w:val="default"/>
    <w:sig w:usb0="00000001"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0"/>
    <w:multiLevelType w:val="multilevel"/>
    <w:tmpl w:val="00000010"/>
    <w:lvl w:ilvl="0" w:tentative="0">
      <w:start w:val="1"/>
      <w:numFmt w:val="decimal"/>
      <w:pStyle w:val="3"/>
      <w:suff w:val="space"/>
      <w:lvlText w:val="%1."/>
      <w:lvlJc w:val="left"/>
      <w:pPr>
        <w:ind w:left="480" w:firstLine="0"/>
      </w:pPr>
      <w:rPr>
        <w:rFonts w:hint="eastAsia"/>
      </w:rPr>
    </w:lvl>
    <w:lvl w:ilvl="1" w:tentative="0">
      <w:start w:val="1"/>
      <w:numFmt w:val="decimal"/>
      <w:lvlText w:val="%1.%2."/>
      <w:lvlJc w:val="left"/>
      <w:pPr>
        <w:ind w:left="480" w:firstLine="0"/>
      </w:pPr>
      <w:rPr>
        <w:rFonts w:hint="eastAsia"/>
      </w:rPr>
    </w:lvl>
    <w:lvl w:ilvl="2" w:tentative="0">
      <w:start w:val="1"/>
      <w:numFmt w:val="decimal"/>
      <w:lvlText w:val="%1.%2.%3."/>
      <w:lvlJc w:val="left"/>
      <w:pPr>
        <w:ind w:left="480" w:firstLine="0"/>
      </w:pPr>
      <w:rPr>
        <w:rFonts w:hint="eastAsia"/>
      </w:rPr>
    </w:lvl>
    <w:lvl w:ilvl="3" w:tentative="0">
      <w:start w:val="1"/>
      <w:numFmt w:val="decimal"/>
      <w:lvlText w:val="%1.%2.%3.%4."/>
      <w:lvlJc w:val="left"/>
      <w:pPr>
        <w:ind w:left="480" w:firstLine="0"/>
      </w:pPr>
      <w:rPr>
        <w:rFonts w:hint="eastAsia"/>
      </w:rPr>
    </w:lvl>
    <w:lvl w:ilvl="4" w:tentative="0">
      <w:start w:val="1"/>
      <w:numFmt w:val="decimal"/>
      <w:lvlText w:val="%1.%2.%3.%4.%5."/>
      <w:lvlJc w:val="left"/>
      <w:pPr>
        <w:ind w:left="480" w:firstLine="0"/>
      </w:pPr>
      <w:rPr>
        <w:rFonts w:hint="eastAsia"/>
      </w:rPr>
    </w:lvl>
    <w:lvl w:ilvl="5" w:tentative="0">
      <w:start w:val="1"/>
      <w:numFmt w:val="decimal"/>
      <w:lvlText w:val="%1.%2.%3.%4.%5.%6."/>
      <w:lvlJc w:val="left"/>
      <w:pPr>
        <w:ind w:left="480" w:firstLine="0"/>
      </w:pPr>
      <w:rPr>
        <w:rFonts w:hint="eastAsia"/>
      </w:rPr>
    </w:lvl>
    <w:lvl w:ilvl="6" w:tentative="0">
      <w:start w:val="1"/>
      <w:numFmt w:val="decimal"/>
      <w:lvlText w:val="%1.%2.%3.%4.%5.%6.%7."/>
      <w:lvlJc w:val="left"/>
      <w:pPr>
        <w:ind w:left="480" w:firstLine="0"/>
      </w:pPr>
      <w:rPr>
        <w:rFonts w:hint="eastAsia"/>
      </w:rPr>
    </w:lvl>
    <w:lvl w:ilvl="7" w:tentative="0">
      <w:start w:val="1"/>
      <w:numFmt w:val="decimal"/>
      <w:lvlText w:val="%1.%2.%3.%4.%5.%6.%7.%8."/>
      <w:lvlJc w:val="left"/>
      <w:pPr>
        <w:ind w:left="480" w:firstLine="0"/>
      </w:pPr>
      <w:rPr>
        <w:rFonts w:hint="eastAsia"/>
      </w:rPr>
    </w:lvl>
    <w:lvl w:ilvl="8" w:tentative="0">
      <w:start w:val="1"/>
      <w:numFmt w:val="decimal"/>
      <w:lvlText w:val="%1.%2.%3.%4.%5.%6.%7.%8.%9."/>
      <w:lvlJc w:val="left"/>
      <w:pPr>
        <w:ind w:left="48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7"/>
  <w:doNotDisplayPageBoundaries w:val="1"/>
  <w:embedSystemFonts/>
  <w:documentProtection w:enforcement="0"/>
  <w:defaultTabStop w:val="420"/>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ljYTRjNDAwYmIxNTUxMzYwNWZjOGVjNzhjMmNiNGYifQ=="/>
    <w:docVar w:name="KSO_WPS_MARK_KEY" w:val="d8c2494a-917d-458a-8fc8-613114da08d3"/>
  </w:docVars>
  <w:rsids>
    <w:rsidRoot w:val="191A5617"/>
    <w:rsid w:val="00467DC3"/>
    <w:rsid w:val="004A4752"/>
    <w:rsid w:val="00602BA4"/>
    <w:rsid w:val="00740A97"/>
    <w:rsid w:val="008407AC"/>
    <w:rsid w:val="00972FF9"/>
    <w:rsid w:val="0098301D"/>
    <w:rsid w:val="00B76140"/>
    <w:rsid w:val="00CA3628"/>
    <w:rsid w:val="00CC1C57"/>
    <w:rsid w:val="00F15D6E"/>
    <w:rsid w:val="014B431E"/>
    <w:rsid w:val="028B7FA8"/>
    <w:rsid w:val="03270E48"/>
    <w:rsid w:val="04340829"/>
    <w:rsid w:val="074F685D"/>
    <w:rsid w:val="09881FEE"/>
    <w:rsid w:val="0A466E8E"/>
    <w:rsid w:val="0CA05D46"/>
    <w:rsid w:val="0D467007"/>
    <w:rsid w:val="0F966A31"/>
    <w:rsid w:val="10550F6F"/>
    <w:rsid w:val="166F3EB8"/>
    <w:rsid w:val="184024FE"/>
    <w:rsid w:val="191A5617"/>
    <w:rsid w:val="19DE30F1"/>
    <w:rsid w:val="1F0B512B"/>
    <w:rsid w:val="1F8A11CF"/>
    <w:rsid w:val="22431066"/>
    <w:rsid w:val="23D05B4F"/>
    <w:rsid w:val="27FA20BD"/>
    <w:rsid w:val="28E1337C"/>
    <w:rsid w:val="2C4C628B"/>
    <w:rsid w:val="2C754088"/>
    <w:rsid w:val="2DB575CA"/>
    <w:rsid w:val="2F8649A3"/>
    <w:rsid w:val="30936BC2"/>
    <w:rsid w:val="319B592F"/>
    <w:rsid w:val="31AC73CC"/>
    <w:rsid w:val="33F27DDD"/>
    <w:rsid w:val="349E4A65"/>
    <w:rsid w:val="36515C79"/>
    <w:rsid w:val="368F70D6"/>
    <w:rsid w:val="373C54BB"/>
    <w:rsid w:val="3B4F326E"/>
    <w:rsid w:val="3C9C6335"/>
    <w:rsid w:val="42C6746E"/>
    <w:rsid w:val="42EE5CD4"/>
    <w:rsid w:val="45D97826"/>
    <w:rsid w:val="45F20916"/>
    <w:rsid w:val="47E3475B"/>
    <w:rsid w:val="480D531F"/>
    <w:rsid w:val="48736764"/>
    <w:rsid w:val="48D82303"/>
    <w:rsid w:val="49CC536E"/>
    <w:rsid w:val="4D3F13B6"/>
    <w:rsid w:val="4DFF75F2"/>
    <w:rsid w:val="51B61FAC"/>
    <w:rsid w:val="52420D12"/>
    <w:rsid w:val="542F6FEF"/>
    <w:rsid w:val="56061A78"/>
    <w:rsid w:val="5B187842"/>
    <w:rsid w:val="5D194C90"/>
    <w:rsid w:val="61B755C1"/>
    <w:rsid w:val="62DB3950"/>
    <w:rsid w:val="637B25C6"/>
    <w:rsid w:val="63D72C4E"/>
    <w:rsid w:val="6E0D4401"/>
    <w:rsid w:val="6E7C4BBB"/>
    <w:rsid w:val="6F0C449D"/>
    <w:rsid w:val="6F664872"/>
    <w:rsid w:val="6F942155"/>
    <w:rsid w:val="74366DF1"/>
    <w:rsid w:val="74F35D39"/>
    <w:rsid w:val="75083064"/>
    <w:rsid w:val="765D6045"/>
    <w:rsid w:val="7D5140B3"/>
    <w:rsid w:val="7F0236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pPr>
    <w:rPr>
      <w:rFonts w:ascii="Calibri" w:hAnsi="Calibri" w:eastAsia="宋体" w:cs="Times New Roman"/>
      <w:kern w:val="2"/>
      <w:sz w:val="21"/>
      <w:szCs w:val="24"/>
      <w:lang w:val="en-US" w:eastAsia="zh-CN" w:bidi="ar-SA"/>
    </w:rPr>
  </w:style>
  <w:style w:type="paragraph" w:styleId="3">
    <w:name w:val="heading 1"/>
    <w:basedOn w:val="1"/>
    <w:next w:val="1"/>
    <w:qFormat/>
    <w:uiPriority w:val="0"/>
    <w:pPr>
      <w:keepNext/>
      <w:numPr>
        <w:ilvl w:val="0"/>
        <w:numId w:val="1"/>
      </w:numPr>
      <w:spacing w:before="100" w:beforeLines="100" w:after="50" w:afterLines="50"/>
      <w:outlineLvl w:val="0"/>
    </w:pPr>
    <w:rPr>
      <w:rFonts w:ascii="宋体" w:hAnsi="宋体"/>
      <w:b/>
      <w:bCs/>
      <w:kern w:val="24"/>
      <w:sz w:val="30"/>
      <w:u w:color="000000"/>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toc 2"/>
    <w:basedOn w:val="1"/>
    <w:next w:val="1"/>
    <w:unhideWhenUsed/>
    <w:qFormat/>
    <w:uiPriority w:val="39"/>
    <w:pPr>
      <w:widowControl/>
      <w:spacing w:after="100" w:line="259" w:lineRule="auto"/>
      <w:ind w:left="220"/>
    </w:pPr>
    <w:rPr>
      <w:kern w:val="0"/>
      <w:sz w:val="22"/>
    </w:rPr>
  </w:style>
  <w:style w:type="paragraph" w:styleId="4">
    <w:name w:val="annotation text"/>
    <w:basedOn w:val="1"/>
    <w:qFormat/>
    <w:uiPriority w:val="0"/>
    <w:pPr>
      <w:jc w:val="left"/>
    </w:pPr>
  </w:style>
  <w:style w:type="paragraph" w:styleId="5">
    <w:name w:val="Plain Text"/>
    <w:basedOn w:val="1"/>
    <w:qFormat/>
    <w:uiPriority w:val="0"/>
    <w:rPr>
      <w:rFonts w:ascii="宋体" w:hAnsi="Courier New"/>
      <w:szCs w:val="21"/>
    </w:rPr>
  </w:style>
  <w:style w:type="paragraph" w:styleId="6">
    <w:name w:val="footer"/>
    <w:basedOn w:val="1"/>
    <w:qFormat/>
    <w:uiPriority w:val="99"/>
    <w:pPr>
      <w:tabs>
        <w:tab w:val="center" w:pos="4153"/>
        <w:tab w:val="right" w:pos="8306"/>
      </w:tabs>
      <w:snapToGrid w:val="0"/>
    </w:pPr>
    <w:rPr>
      <w:sz w:val="18"/>
      <w:szCs w:val="18"/>
    </w:rPr>
  </w:style>
  <w:style w:type="paragraph" w:styleId="7">
    <w:name w:val="header"/>
    <w:basedOn w:val="1"/>
    <w:link w:val="50"/>
    <w:qFormat/>
    <w:uiPriority w:val="0"/>
    <w:pPr>
      <w:tabs>
        <w:tab w:val="center" w:pos="4153"/>
        <w:tab w:val="right" w:pos="8306"/>
      </w:tabs>
      <w:snapToGrid w:val="0"/>
      <w:spacing w:line="240" w:lineRule="auto"/>
      <w:jc w:val="center"/>
    </w:pPr>
    <w:rPr>
      <w:sz w:val="18"/>
      <w:szCs w:val="18"/>
    </w:rPr>
  </w:style>
  <w:style w:type="paragraph" w:styleId="8">
    <w:name w:val="Title"/>
    <w:basedOn w:val="1"/>
    <w:next w:val="1"/>
    <w:qFormat/>
    <w:uiPriority w:val="99"/>
    <w:pPr>
      <w:spacing w:before="240" w:after="60"/>
      <w:jc w:val="center"/>
      <w:outlineLvl w:val="0"/>
    </w:pPr>
    <w:rPr>
      <w:rFonts w:ascii="Arial" w:hAnsi="Arial"/>
      <w:b/>
      <w:bCs/>
      <w:sz w:val="32"/>
      <w:szCs w:val="32"/>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0"/>
    <w:rPr>
      <w:b/>
      <w:bCs/>
    </w:rPr>
  </w:style>
  <w:style w:type="character" w:styleId="13">
    <w:name w:val="FollowedHyperlink"/>
    <w:basedOn w:val="11"/>
    <w:qFormat/>
    <w:uiPriority w:val="0"/>
    <w:rPr>
      <w:color w:val="696969"/>
      <w:u w:val="none"/>
    </w:rPr>
  </w:style>
  <w:style w:type="character" w:styleId="14">
    <w:name w:val="Emphasis"/>
    <w:basedOn w:val="11"/>
    <w:qFormat/>
    <w:uiPriority w:val="0"/>
    <w:rPr>
      <w:b/>
      <w:bCs/>
    </w:rPr>
  </w:style>
  <w:style w:type="character" w:styleId="15">
    <w:name w:val="HTML Definition"/>
    <w:basedOn w:val="11"/>
    <w:qFormat/>
    <w:uiPriority w:val="0"/>
  </w:style>
  <w:style w:type="character" w:styleId="16">
    <w:name w:val="HTML Variable"/>
    <w:basedOn w:val="11"/>
    <w:qFormat/>
    <w:uiPriority w:val="0"/>
  </w:style>
  <w:style w:type="character" w:styleId="17">
    <w:name w:val="Hyperlink"/>
    <w:basedOn w:val="11"/>
    <w:qFormat/>
    <w:uiPriority w:val="0"/>
    <w:rPr>
      <w:color w:val="696969"/>
      <w:u w:val="none"/>
    </w:rPr>
  </w:style>
  <w:style w:type="character" w:styleId="18">
    <w:name w:val="HTML Code"/>
    <w:basedOn w:val="11"/>
    <w:qFormat/>
    <w:uiPriority w:val="0"/>
    <w:rPr>
      <w:rFonts w:ascii="Courier New" w:hAnsi="Courier New"/>
      <w:sz w:val="20"/>
    </w:rPr>
  </w:style>
  <w:style w:type="character" w:styleId="19">
    <w:name w:val="HTML Cite"/>
    <w:basedOn w:val="11"/>
    <w:qFormat/>
    <w:uiPriority w:val="0"/>
    <w:rPr>
      <w:rFonts w:ascii="Helvetica" w:hAnsi="Helvetica" w:eastAsia="Helvetica" w:cs="Helvetica"/>
      <w:sz w:val="19"/>
      <w:szCs w:val="19"/>
    </w:rPr>
  </w:style>
  <w:style w:type="character" w:styleId="20">
    <w:name w:val="HTML Keyboard"/>
    <w:basedOn w:val="11"/>
    <w:qFormat/>
    <w:uiPriority w:val="0"/>
    <w:rPr>
      <w:rFonts w:ascii="Courier New" w:hAnsi="Courier New"/>
      <w:sz w:val="20"/>
    </w:rPr>
  </w:style>
  <w:style w:type="character" w:styleId="21">
    <w:name w:val="HTML Sample"/>
    <w:basedOn w:val="11"/>
    <w:qFormat/>
    <w:uiPriority w:val="0"/>
    <w:rPr>
      <w:rFonts w:ascii="Courier New" w:hAnsi="Courier New"/>
    </w:rPr>
  </w:style>
  <w:style w:type="character" w:customStyle="1" w:styleId="22">
    <w:name w:val="hover2"/>
    <w:basedOn w:val="11"/>
    <w:qFormat/>
    <w:uiPriority w:val="0"/>
    <w:rPr>
      <w:color w:val="333333"/>
      <w:u w:val="single"/>
    </w:rPr>
  </w:style>
  <w:style w:type="paragraph" w:customStyle="1" w:styleId="23">
    <w:name w:val="ZHR标题2"/>
    <w:qFormat/>
    <w:uiPriority w:val="0"/>
    <w:pPr>
      <w:spacing w:before="50" w:beforeLines="50" w:after="50" w:afterLines="50" w:line="360" w:lineRule="auto"/>
      <w:outlineLvl w:val="1"/>
    </w:pPr>
    <w:rPr>
      <w:rFonts w:ascii="Times New Roman" w:hAnsi="Times New Roman" w:eastAsia="宋体" w:cs="Times New Roman"/>
      <w:b/>
      <w:kern w:val="2"/>
      <w:sz w:val="24"/>
      <w:szCs w:val="24"/>
      <w:lang w:val="en-US" w:eastAsia="zh-CN" w:bidi="ar-SA"/>
    </w:rPr>
  </w:style>
  <w:style w:type="character" w:customStyle="1" w:styleId="24">
    <w:name w:val="after8"/>
    <w:basedOn w:val="11"/>
    <w:qFormat/>
    <w:uiPriority w:val="0"/>
    <w:rPr>
      <w:bdr w:val="dashed" w:color="auto" w:sz="48" w:space="0"/>
    </w:rPr>
  </w:style>
  <w:style w:type="character" w:customStyle="1" w:styleId="25">
    <w:name w:val="after9"/>
    <w:basedOn w:val="11"/>
    <w:qFormat/>
    <w:uiPriority w:val="0"/>
  </w:style>
  <w:style w:type="character" w:customStyle="1" w:styleId="26">
    <w:name w:val="hover52"/>
    <w:basedOn w:val="11"/>
    <w:qFormat/>
    <w:uiPriority w:val="0"/>
  </w:style>
  <w:style w:type="character" w:customStyle="1" w:styleId="27">
    <w:name w:val="hover53"/>
    <w:basedOn w:val="11"/>
    <w:qFormat/>
    <w:uiPriority w:val="0"/>
    <w:rPr>
      <w:shd w:val="clear" w:color="auto" w:fill="2590FF"/>
    </w:rPr>
  </w:style>
  <w:style w:type="character" w:customStyle="1" w:styleId="28">
    <w:name w:val="hover54"/>
    <w:basedOn w:val="11"/>
    <w:qFormat/>
    <w:uiPriority w:val="0"/>
    <w:rPr>
      <w:color w:val="4285F4"/>
    </w:rPr>
  </w:style>
  <w:style w:type="character" w:customStyle="1" w:styleId="29">
    <w:name w:val="hover55"/>
    <w:basedOn w:val="11"/>
    <w:qFormat/>
    <w:uiPriority w:val="0"/>
    <w:rPr>
      <w:color w:val="2590FF"/>
      <w:u w:val="none"/>
    </w:rPr>
  </w:style>
  <w:style w:type="character" w:customStyle="1" w:styleId="30">
    <w:name w:val="hover56"/>
    <w:basedOn w:val="11"/>
    <w:qFormat/>
    <w:uiPriority w:val="0"/>
    <w:rPr>
      <w:color w:val="2590FF"/>
    </w:rPr>
  </w:style>
  <w:style w:type="character" w:customStyle="1" w:styleId="31">
    <w:name w:val="hover57"/>
    <w:basedOn w:val="11"/>
    <w:qFormat/>
    <w:uiPriority w:val="0"/>
    <w:rPr>
      <w:color w:val="1A85D7"/>
    </w:rPr>
  </w:style>
  <w:style w:type="character" w:customStyle="1" w:styleId="32">
    <w:name w:val="empty"/>
    <w:basedOn w:val="11"/>
    <w:qFormat/>
    <w:uiPriority w:val="0"/>
  </w:style>
  <w:style w:type="character" w:customStyle="1" w:styleId="33">
    <w:name w:val="before"/>
    <w:basedOn w:val="11"/>
    <w:qFormat/>
    <w:uiPriority w:val="0"/>
    <w:rPr>
      <w:bdr w:val="single" w:color="auto" w:sz="48" w:space="0"/>
    </w:rPr>
  </w:style>
  <w:style w:type="character" w:customStyle="1" w:styleId="34">
    <w:name w:val="before1"/>
    <w:basedOn w:val="11"/>
    <w:qFormat/>
    <w:uiPriority w:val="0"/>
    <w:rPr>
      <w:shd w:val="clear" w:color="auto" w:fill="D8D8D8"/>
    </w:rPr>
  </w:style>
  <w:style w:type="character" w:customStyle="1" w:styleId="35">
    <w:name w:val="credit"/>
    <w:basedOn w:val="11"/>
    <w:qFormat/>
    <w:uiPriority w:val="0"/>
    <w:rPr>
      <w:sz w:val="18"/>
      <w:szCs w:val="18"/>
    </w:rPr>
  </w:style>
  <w:style w:type="character" w:customStyle="1" w:styleId="36">
    <w:name w:val="last-child1"/>
    <w:basedOn w:val="11"/>
    <w:qFormat/>
    <w:uiPriority w:val="0"/>
  </w:style>
  <w:style w:type="character" w:customStyle="1" w:styleId="37">
    <w:name w:val="active"/>
    <w:basedOn w:val="11"/>
    <w:qFormat/>
    <w:uiPriority w:val="0"/>
    <w:rPr>
      <w:color w:val="4285F4"/>
      <w:bdr w:val="single" w:color="4285F4" w:sz="6" w:space="0"/>
    </w:rPr>
  </w:style>
  <w:style w:type="character" w:customStyle="1" w:styleId="38">
    <w:name w:val="lui-classic-hidden"/>
    <w:basedOn w:val="11"/>
    <w:qFormat/>
    <w:uiPriority w:val="0"/>
    <w:rPr>
      <w:vanish/>
    </w:rPr>
  </w:style>
  <w:style w:type="character" w:customStyle="1" w:styleId="39">
    <w:name w:val="radio-label"/>
    <w:basedOn w:val="11"/>
    <w:qFormat/>
    <w:uiPriority w:val="0"/>
    <w:rPr>
      <w:sz w:val="24"/>
      <w:szCs w:val="24"/>
    </w:rPr>
  </w:style>
  <w:style w:type="character" w:customStyle="1" w:styleId="40">
    <w:name w:val="first-child"/>
    <w:basedOn w:val="11"/>
    <w:qFormat/>
    <w:uiPriority w:val="0"/>
  </w:style>
  <w:style w:type="character" w:customStyle="1" w:styleId="41">
    <w:name w:val="after"/>
    <w:basedOn w:val="11"/>
    <w:qFormat/>
    <w:uiPriority w:val="0"/>
    <w:rPr>
      <w:bdr w:val="dashed" w:color="auto" w:sz="48" w:space="0"/>
    </w:rPr>
  </w:style>
  <w:style w:type="character" w:customStyle="1" w:styleId="42">
    <w:name w:val="after1"/>
    <w:basedOn w:val="11"/>
    <w:qFormat/>
    <w:uiPriority w:val="0"/>
  </w:style>
  <w:style w:type="character" w:customStyle="1" w:styleId="43">
    <w:name w:val="hover"/>
    <w:basedOn w:val="11"/>
    <w:qFormat/>
    <w:uiPriority w:val="0"/>
    <w:rPr>
      <w:shd w:val="clear" w:color="auto" w:fill="2590FF"/>
    </w:rPr>
  </w:style>
  <w:style w:type="character" w:customStyle="1" w:styleId="44">
    <w:name w:val="hover1"/>
    <w:basedOn w:val="11"/>
    <w:qFormat/>
    <w:uiPriority w:val="0"/>
  </w:style>
  <w:style w:type="character" w:customStyle="1" w:styleId="45">
    <w:name w:val="hover3"/>
    <w:basedOn w:val="11"/>
    <w:qFormat/>
    <w:uiPriority w:val="0"/>
    <w:rPr>
      <w:color w:val="2590FF"/>
    </w:rPr>
  </w:style>
  <w:style w:type="character" w:customStyle="1" w:styleId="46">
    <w:name w:val="hover4"/>
    <w:basedOn w:val="11"/>
    <w:qFormat/>
    <w:uiPriority w:val="0"/>
    <w:rPr>
      <w:color w:val="2590FF"/>
      <w:u w:val="none"/>
    </w:rPr>
  </w:style>
  <w:style w:type="character" w:customStyle="1" w:styleId="47">
    <w:name w:val="hover5"/>
    <w:basedOn w:val="11"/>
    <w:qFormat/>
    <w:uiPriority w:val="0"/>
    <w:rPr>
      <w:color w:val="1A85D7"/>
    </w:rPr>
  </w:style>
  <w:style w:type="character" w:customStyle="1" w:styleId="48">
    <w:name w:val="last-child"/>
    <w:basedOn w:val="11"/>
    <w:qFormat/>
    <w:uiPriority w:val="0"/>
  </w:style>
  <w:style w:type="character" w:customStyle="1" w:styleId="49">
    <w:name w:val="active2"/>
    <w:basedOn w:val="11"/>
    <w:qFormat/>
    <w:uiPriority w:val="0"/>
    <w:rPr>
      <w:color w:val="4285F4"/>
      <w:bdr w:val="single" w:color="4285F4" w:sz="6" w:space="0"/>
    </w:rPr>
  </w:style>
  <w:style w:type="character" w:customStyle="1" w:styleId="50">
    <w:name w:val="页眉 字符"/>
    <w:basedOn w:val="11"/>
    <w:link w:val="7"/>
    <w:qFormat/>
    <w:uiPriority w:val="0"/>
    <w:rPr>
      <w:rFonts w:ascii="Calibri" w:hAnsi="Calibri"/>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png"/><Relationship Id="rId7" Type="http://schemas.openxmlformats.org/officeDocument/2006/relationships/oleObject" Target="embeddings/oleObject1.bin"/><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2054"/>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2555</Words>
  <Characters>2617</Characters>
  <Lines>26</Lines>
  <Paragraphs>7</Paragraphs>
  <TotalTime>23</TotalTime>
  <ScaleCrop>false</ScaleCrop>
  <LinksUpToDate>false</LinksUpToDate>
  <CharactersWithSpaces>2634</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2022-11-15T02:45:00Z</dcterms:created>
  <dc:creator>chenzhuo</dc:creator>
  <cp:lastModifiedBy>Mr李宁</cp:lastModifiedBy>
  <dcterms:modified xsi:type="dcterms:W3CDTF">2025-09-12T02:12:45Z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6534033E25D6444DAE32DCE67DE1643B_13</vt:lpwstr>
  </property>
  <property fmtid="{D5CDD505-2E9C-101B-9397-08002B2CF9AE}" pid="4" name="KSOTemplateDocerSaveRecord">
    <vt:lpwstr>eyJoZGlkIjoiMTk1MTY1OTdhOGViOTVlZDZlZjAxYWQzMTNlOGRmNmMiLCJ1c2VySWQiOiIyMjMxODg5ODYifQ==</vt:lpwstr>
  </property>
</Properties>
</file>