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lear" w:pos="3240"/>
        </w:tabs>
        <w:topLinePunct w:val="0"/>
        <w:spacing w:line="360" w:lineRule="auto"/>
        <w:ind w:firstLine="0"/>
        <w:jc w:val="center"/>
        <w:rPr>
          <w:rFonts w:hint="eastAsia" w:ascii="Times New Roman" w:hAnsi="宋体" w:eastAsia="宋体" w:cs="Times New Roman"/>
          <w:b/>
          <w:color w:val="auto"/>
          <w:sz w:val="48"/>
          <w:szCs w:val="48"/>
        </w:rPr>
      </w:pPr>
      <w:r>
        <w:rPr>
          <w:rFonts w:eastAsia="宋体"/>
          <w:b/>
          <w:color w:val="auto"/>
          <w:sz w:val="44"/>
          <w:szCs w:val="44"/>
        </w:rPr>
        <w:drawing>
          <wp:anchor distT="0" distB="0" distL="114300" distR="114300" simplePos="0" relativeHeight="251659264" behindDoc="1" locked="0" layoutInCell="1" allowOverlap="1">
            <wp:simplePos x="0" y="0"/>
            <wp:positionH relativeFrom="column">
              <wp:posOffset>-828040</wp:posOffset>
            </wp:positionH>
            <wp:positionV relativeFrom="paragraph">
              <wp:posOffset>-1183005</wp:posOffset>
            </wp:positionV>
            <wp:extent cx="7556500" cy="2319655"/>
            <wp:effectExtent l="0" t="0" r="2540" b="12065"/>
            <wp:wrapTight wrapText="bothSides">
              <wp:wrapPolygon>
                <wp:start x="0" y="0"/>
                <wp:lineTo x="0" y="21429"/>
                <wp:lineTo x="21564" y="21429"/>
                <wp:lineTo x="21564" y="0"/>
                <wp:lineTo x="0" y="0"/>
              </wp:wrapPolygon>
            </wp:wrapTight>
            <wp:docPr id="5"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模板-3"/>
                    <pic:cNvPicPr>
                      <a:picLocks noChangeAspect="1"/>
                    </pic:cNvPicPr>
                  </pic:nvPicPr>
                  <pic:blipFill>
                    <a:blip r:embed="rId12"/>
                    <a:stretch>
                      <a:fillRect/>
                    </a:stretch>
                  </pic:blipFill>
                  <pic:spPr>
                    <a:xfrm>
                      <a:off x="0" y="0"/>
                      <a:ext cx="7556500" cy="2319655"/>
                    </a:xfrm>
                    <a:prstGeom prst="rect">
                      <a:avLst/>
                    </a:prstGeom>
                    <a:noFill/>
                    <a:ln>
                      <a:noFill/>
                    </a:ln>
                  </pic:spPr>
                </pic:pic>
              </a:graphicData>
            </a:graphic>
          </wp:anchor>
        </w:drawing>
      </w:r>
    </w:p>
    <w:p>
      <w:pPr>
        <w:tabs>
          <w:tab w:val="clear" w:pos="3240"/>
        </w:tabs>
        <w:topLinePunct w:val="0"/>
        <w:spacing w:line="360" w:lineRule="auto"/>
        <w:ind w:firstLine="0"/>
        <w:jc w:val="center"/>
        <w:rPr>
          <w:rFonts w:hint="eastAsia" w:hAnsi="宋体" w:eastAsia="宋体"/>
          <w:b/>
          <w:color w:val="auto"/>
          <w:sz w:val="48"/>
          <w:szCs w:val="48"/>
          <w:lang w:val="en-US" w:eastAsia="zh-CN"/>
        </w:rPr>
      </w:pPr>
      <w:r>
        <w:rPr>
          <w:rFonts w:hint="eastAsia" w:hAnsi="宋体" w:eastAsia="宋体"/>
          <w:b/>
          <w:color w:val="auto"/>
          <w:sz w:val="48"/>
          <w:szCs w:val="48"/>
          <w:lang w:val="en-US" w:eastAsia="zh-CN"/>
        </w:rPr>
        <w:t>南方电网互联网服务有限公司2025-2026年数字化建设监理技术服务项目</w:t>
      </w:r>
    </w:p>
    <w:p>
      <w:pPr>
        <w:tabs>
          <w:tab w:val="clear" w:pos="3240"/>
        </w:tabs>
        <w:topLinePunct w:val="0"/>
        <w:spacing w:line="360" w:lineRule="auto"/>
        <w:ind w:firstLine="0"/>
        <w:jc w:val="center"/>
        <w:rPr>
          <w:rFonts w:eastAsia="宋体"/>
          <w:b/>
          <w:color w:val="auto"/>
          <w:sz w:val="48"/>
          <w:szCs w:val="48"/>
        </w:rPr>
      </w:pPr>
      <w:r>
        <w:rPr>
          <w:rFonts w:hAnsi="宋体" w:eastAsia="宋体"/>
          <w:b/>
          <w:color w:val="auto"/>
          <w:sz w:val="48"/>
          <w:szCs w:val="48"/>
        </w:rPr>
        <w:t>技术规范书</w:t>
      </w:r>
    </w:p>
    <w:p>
      <w:pPr>
        <w:tabs>
          <w:tab w:val="clear" w:pos="3240"/>
        </w:tabs>
        <w:topLinePunct w:val="0"/>
        <w:spacing w:line="360" w:lineRule="auto"/>
        <w:ind w:firstLine="984" w:firstLineChars="350"/>
        <w:rPr>
          <w:rFonts w:eastAsia="宋体"/>
          <w:b/>
          <w:color w:val="auto"/>
          <w:sz w:val="28"/>
          <w:szCs w:val="28"/>
        </w:rPr>
      </w:pPr>
    </w:p>
    <w:p>
      <w:pPr>
        <w:tabs>
          <w:tab w:val="clear" w:pos="3240"/>
        </w:tabs>
        <w:topLinePunct w:val="0"/>
        <w:spacing w:line="360" w:lineRule="auto"/>
        <w:ind w:firstLine="984" w:firstLineChars="350"/>
        <w:rPr>
          <w:rFonts w:eastAsia="宋体"/>
          <w:b/>
          <w:color w:val="auto"/>
          <w:sz w:val="28"/>
          <w:szCs w:val="28"/>
        </w:rPr>
      </w:pPr>
    </w:p>
    <w:p>
      <w:pPr>
        <w:tabs>
          <w:tab w:val="clear" w:pos="3240"/>
        </w:tabs>
        <w:topLinePunct w:val="0"/>
        <w:spacing w:line="360" w:lineRule="auto"/>
        <w:ind w:firstLine="984" w:firstLineChars="350"/>
        <w:rPr>
          <w:rFonts w:eastAsia="宋体"/>
          <w:b/>
          <w:color w:val="auto"/>
          <w:sz w:val="28"/>
          <w:szCs w:val="28"/>
        </w:rPr>
      </w:pPr>
    </w:p>
    <w:p>
      <w:pPr>
        <w:tabs>
          <w:tab w:val="clear" w:pos="3240"/>
        </w:tabs>
        <w:topLinePunct w:val="0"/>
        <w:spacing w:line="360" w:lineRule="auto"/>
        <w:ind w:firstLine="984" w:firstLineChars="350"/>
        <w:rPr>
          <w:rFonts w:eastAsia="宋体"/>
          <w:b/>
          <w:color w:val="auto"/>
          <w:sz w:val="28"/>
          <w:szCs w:val="28"/>
        </w:rPr>
      </w:pPr>
    </w:p>
    <w:p>
      <w:pPr>
        <w:spacing w:before="480" w:beforeLines="200" w:line="360" w:lineRule="auto"/>
        <w:ind w:firstLine="599" w:firstLineChars="199"/>
        <w:rPr>
          <w:rFonts w:eastAsia="宋体"/>
          <w:b/>
          <w:color w:val="auto"/>
          <w:szCs w:val="30"/>
        </w:rPr>
      </w:pPr>
      <w:r>
        <w:rPr>
          <w:rFonts w:eastAsia="宋体"/>
          <w:b/>
          <w:color w:val="auto"/>
          <w:szCs w:val="30"/>
        </w:rPr>
        <w:t xml:space="preserve">        </w:t>
      </w:r>
    </w:p>
    <w:p>
      <w:pPr>
        <w:spacing w:before="480" w:beforeLines="200" w:line="360" w:lineRule="auto"/>
        <w:ind w:firstLine="599" w:firstLineChars="199"/>
        <w:rPr>
          <w:rFonts w:hint="eastAsia" w:eastAsia="宋体"/>
          <w:b/>
          <w:color w:val="auto"/>
          <w:szCs w:val="30"/>
        </w:rPr>
      </w:pPr>
    </w:p>
    <w:p>
      <w:pPr>
        <w:spacing w:before="480" w:beforeLines="200" w:line="360" w:lineRule="auto"/>
        <w:ind w:firstLine="599" w:firstLineChars="199"/>
        <w:rPr>
          <w:rFonts w:hint="eastAsia" w:eastAsia="宋体"/>
          <w:b/>
          <w:color w:val="auto"/>
          <w:szCs w:val="30"/>
        </w:rPr>
      </w:pPr>
    </w:p>
    <w:p>
      <w:pPr>
        <w:tabs>
          <w:tab w:val="clear" w:pos="3240"/>
        </w:tabs>
        <w:topLinePunct w:val="0"/>
        <w:spacing w:line="360" w:lineRule="auto"/>
        <w:ind w:firstLine="2249" w:firstLineChars="800"/>
        <w:rPr>
          <w:rFonts w:eastAsia="宋体"/>
          <w:b/>
          <w:color w:val="auto"/>
          <w:sz w:val="28"/>
          <w:szCs w:val="28"/>
        </w:rPr>
      </w:pPr>
    </w:p>
    <w:p>
      <w:pPr>
        <w:spacing w:line="360" w:lineRule="auto"/>
        <w:ind w:firstLine="0"/>
        <w:jc w:val="center"/>
        <w:rPr>
          <w:rFonts w:eastAsia="宋体"/>
          <w:color w:val="auto"/>
          <w:sz w:val="24"/>
          <w:szCs w:val="24"/>
        </w:rPr>
      </w:pPr>
    </w:p>
    <w:p>
      <w:pPr>
        <w:spacing w:line="360" w:lineRule="auto"/>
        <w:ind w:firstLine="0"/>
        <w:jc w:val="center"/>
        <w:rPr>
          <w:rFonts w:hint="eastAsia" w:eastAsia="宋体"/>
          <w:color w:val="auto"/>
          <w:sz w:val="32"/>
          <w:szCs w:val="32"/>
          <w:lang w:val="en-US" w:eastAsia="zh-CN"/>
        </w:rPr>
      </w:pPr>
      <w:bookmarkStart w:id="0" w:name="_Toc154226342"/>
      <w:bookmarkStart w:id="1" w:name="_Toc167273041"/>
      <w:r>
        <w:rPr>
          <w:rFonts w:hint="eastAsia" w:eastAsia="宋体"/>
          <w:color w:val="auto"/>
          <w:sz w:val="32"/>
          <w:szCs w:val="32"/>
          <w:lang w:val="en-US" w:eastAsia="zh-CN"/>
        </w:rPr>
        <w:t>南方电网互联网服务有限公司</w:t>
      </w:r>
    </w:p>
    <w:p>
      <w:pPr>
        <w:spacing w:line="360" w:lineRule="auto"/>
        <w:ind w:firstLine="0"/>
        <w:jc w:val="center"/>
        <w:rPr>
          <w:rFonts w:eastAsia="宋体"/>
          <w:b/>
          <w:bCs/>
          <w:color w:val="auto"/>
          <w:spacing w:val="30"/>
        </w:rPr>
        <w:sectPr>
          <w:footerReference r:id="rId9" w:type="first"/>
          <w:headerReference r:id="rId5" w:type="default"/>
          <w:footerReference r:id="rId7" w:type="default"/>
          <w:headerReference r:id="rId6" w:type="even"/>
          <w:footerReference r:id="rId8" w:type="even"/>
          <w:pgSz w:w="11907" w:h="16840"/>
          <w:pgMar w:top="1871" w:right="1304" w:bottom="1701" w:left="1304" w:header="850" w:footer="567" w:gutter="0"/>
          <w:pgNumType w:fmt="decimal"/>
          <w:cols w:space="720" w:num="1"/>
          <w:docGrid w:linePitch="286" w:charSpace="0"/>
        </w:sectPr>
      </w:pPr>
      <w:r>
        <w:rPr>
          <w:rFonts w:eastAsia="宋体"/>
          <w:color w:val="auto"/>
          <w:sz w:val="32"/>
          <w:szCs w:val="32"/>
        </w:rPr>
        <w:t>202</w:t>
      </w:r>
      <w:r>
        <w:rPr>
          <w:rFonts w:hint="eastAsia" w:eastAsia="宋体"/>
          <w:color w:val="auto"/>
          <w:sz w:val="32"/>
          <w:szCs w:val="32"/>
          <w:lang w:val="en-US" w:eastAsia="zh-CN"/>
        </w:rPr>
        <w:t>5</w:t>
      </w:r>
      <w:r>
        <w:rPr>
          <w:rFonts w:hAnsi="宋体" w:eastAsia="宋体"/>
          <w:color w:val="auto"/>
          <w:sz w:val="32"/>
          <w:szCs w:val="32"/>
        </w:rPr>
        <w:t>年</w:t>
      </w:r>
      <w:r>
        <w:rPr>
          <w:rFonts w:hint="eastAsia" w:hAnsi="宋体" w:eastAsia="宋体"/>
          <w:color w:val="auto"/>
          <w:sz w:val="32"/>
          <w:szCs w:val="32"/>
          <w:lang w:val="en-US" w:eastAsia="zh-CN"/>
        </w:rPr>
        <w:t>7</w:t>
      </w:r>
      <w:r>
        <w:rPr>
          <w:rFonts w:hAnsi="宋体" w:eastAsia="宋体"/>
          <w:color w:val="auto"/>
          <w:sz w:val="32"/>
          <w:szCs w:val="32"/>
        </w:rPr>
        <w:t>月</w:t>
      </w:r>
    </w:p>
    <w:p>
      <w:pPr>
        <w:pStyle w:val="2"/>
        <w:spacing w:line="360" w:lineRule="auto"/>
        <w:rPr>
          <w:b/>
          <w:color w:val="auto"/>
          <w:sz w:val="36"/>
          <w:szCs w:val="36"/>
        </w:rPr>
      </w:pPr>
      <w:bookmarkStart w:id="2" w:name="_Toc349747260"/>
      <w:r>
        <w:rPr>
          <w:rFonts w:hAnsi="宋体"/>
          <w:b/>
          <w:color w:val="auto"/>
          <w:sz w:val="36"/>
          <w:szCs w:val="36"/>
        </w:rPr>
        <w:t>一</w:t>
      </w:r>
      <w:r>
        <w:rPr>
          <w:b/>
          <w:color w:val="auto"/>
          <w:sz w:val="36"/>
          <w:szCs w:val="36"/>
        </w:rPr>
        <w:t xml:space="preserve">  </w:t>
      </w:r>
      <w:r>
        <w:rPr>
          <w:rFonts w:hAnsi="宋体"/>
          <w:b/>
          <w:color w:val="auto"/>
          <w:sz w:val="36"/>
          <w:szCs w:val="36"/>
        </w:rPr>
        <w:t>总</w:t>
      </w:r>
      <w:r>
        <w:rPr>
          <w:b/>
          <w:color w:val="auto"/>
          <w:sz w:val="36"/>
          <w:szCs w:val="36"/>
        </w:rPr>
        <w:t xml:space="preserve">   </w:t>
      </w:r>
      <w:r>
        <w:rPr>
          <w:rFonts w:hAnsi="宋体"/>
          <w:b/>
          <w:color w:val="auto"/>
          <w:sz w:val="36"/>
          <w:szCs w:val="36"/>
        </w:rPr>
        <w:t>则</w:t>
      </w:r>
      <w:bookmarkEnd w:id="0"/>
      <w:bookmarkEnd w:id="1"/>
      <w:bookmarkEnd w:id="2"/>
    </w:p>
    <w:p>
      <w:pPr>
        <w:pStyle w:val="4"/>
        <w:spacing w:before="0" w:after="0" w:line="360" w:lineRule="auto"/>
        <w:rPr>
          <w:color w:val="auto"/>
        </w:rPr>
      </w:pPr>
      <w:r>
        <w:rPr>
          <w:color w:val="auto"/>
        </w:rPr>
        <w:t xml:space="preserve">1.1 </w:t>
      </w:r>
      <w:r>
        <w:rPr>
          <w:rFonts w:hAnsi="宋体"/>
          <w:color w:val="auto"/>
        </w:rPr>
        <w:t>概</w:t>
      </w:r>
      <w:r>
        <w:rPr>
          <w:color w:val="auto"/>
        </w:rPr>
        <w:t xml:space="preserve"> </w:t>
      </w:r>
      <w:r>
        <w:rPr>
          <w:rFonts w:hAnsi="宋体"/>
          <w:color w:val="auto"/>
        </w:rPr>
        <w:t>述</w:t>
      </w:r>
    </w:p>
    <w:p>
      <w:pPr>
        <w:pStyle w:val="14"/>
        <w:numPr>
          <w:ilvl w:val="0"/>
          <w:numId w:val="0"/>
        </w:numPr>
        <w:spacing w:line="360" w:lineRule="auto"/>
        <w:ind w:firstLine="480" w:firstLineChars="200"/>
        <w:rPr>
          <w:rFonts w:hint="eastAsia" w:ascii="宋体" w:hAnsi="宋体" w:eastAsia="宋体" w:cs="宋体"/>
          <w:color w:val="auto"/>
          <w:szCs w:val="24"/>
        </w:rPr>
      </w:pPr>
      <w:bookmarkStart w:id="3" w:name="_Toc239276525"/>
      <w:bookmarkStart w:id="4" w:name="_Toc205354768"/>
      <w:r>
        <w:rPr>
          <w:rFonts w:hint="eastAsia" w:ascii="宋体" w:hAnsi="宋体" w:eastAsia="宋体" w:cs="宋体"/>
          <w:color w:val="auto"/>
          <w:szCs w:val="24"/>
          <w:lang w:val="en-US" w:eastAsia="zh-CN"/>
        </w:rPr>
        <w:t>1.1.1</w:t>
      </w:r>
      <w:r>
        <w:rPr>
          <w:rFonts w:hint="eastAsia" w:ascii="宋体" w:hAnsi="宋体" w:eastAsia="宋体" w:cs="宋体"/>
          <w:color w:val="auto"/>
          <w:szCs w:val="24"/>
        </w:rPr>
        <w:t xml:space="preserve"> 本技术规范书提出</w:t>
      </w:r>
      <w:r>
        <w:rPr>
          <w:rFonts w:hint="eastAsia" w:ascii="宋体" w:hAnsi="宋体" w:eastAsia="宋体" w:cs="宋体"/>
          <w:color w:val="auto"/>
          <w:szCs w:val="24"/>
          <w:lang w:val="en-US" w:eastAsia="zh-CN"/>
        </w:rPr>
        <w:t>了《南方电网互联网服务有限公司2025-2026年数字化建设监理技术服务项目》</w:t>
      </w:r>
      <w:r>
        <w:rPr>
          <w:rFonts w:hint="eastAsia" w:ascii="宋体" w:hAnsi="宋体" w:eastAsia="宋体" w:cs="宋体"/>
          <w:color w:val="auto"/>
          <w:szCs w:val="24"/>
        </w:rPr>
        <w:t>的</w:t>
      </w:r>
      <w:r>
        <w:rPr>
          <w:rFonts w:hint="eastAsia" w:ascii="宋体" w:hAnsi="宋体" w:cs="宋体"/>
          <w:color w:val="auto"/>
          <w:szCs w:val="24"/>
          <w:lang w:val="en-US" w:eastAsia="zh-CN"/>
        </w:rPr>
        <w:t>服务</w:t>
      </w:r>
      <w:r>
        <w:rPr>
          <w:rFonts w:hint="eastAsia" w:ascii="宋体" w:hAnsi="宋体" w:eastAsia="宋体" w:cs="宋体"/>
          <w:color w:val="auto"/>
          <w:szCs w:val="24"/>
        </w:rPr>
        <w:t>方面的技术要求。</w:t>
      </w:r>
    </w:p>
    <w:p>
      <w:pPr>
        <w:pStyle w:val="14"/>
        <w:numPr>
          <w:ilvl w:val="0"/>
          <w:numId w:val="0"/>
        </w:num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1.1.2 </w:t>
      </w:r>
      <w:r>
        <w:rPr>
          <w:rFonts w:hint="eastAsia" w:ascii="宋体" w:hAnsi="宋体" w:eastAsia="宋体" w:cs="宋体"/>
          <w:color w:val="auto"/>
          <w:szCs w:val="24"/>
        </w:rPr>
        <w:t>本技术规范提出的是最低限度的技术要求，并未对一切技术细节做出规定，也未充分引述有关标准和规范的条文，</w:t>
      </w:r>
      <w:r>
        <w:rPr>
          <w:rFonts w:hint="eastAsia" w:ascii="宋体" w:hAnsi="宋体" w:cs="宋体"/>
          <w:color w:val="auto"/>
          <w:szCs w:val="24"/>
          <w:lang w:eastAsia="zh-CN"/>
        </w:rPr>
        <w:t>投标人</w:t>
      </w:r>
      <w:r>
        <w:rPr>
          <w:rFonts w:hint="eastAsia" w:ascii="宋体" w:hAnsi="宋体" w:eastAsia="宋体" w:cs="宋体"/>
          <w:color w:val="auto"/>
          <w:szCs w:val="24"/>
        </w:rPr>
        <w:t>应提供符合本技术规范引用标准的最新版本标准和本招标文件技术要求的</w:t>
      </w:r>
      <w:r>
        <w:rPr>
          <w:rFonts w:hint="eastAsia" w:ascii="宋体" w:hAnsi="宋体" w:cs="宋体"/>
          <w:color w:val="auto"/>
          <w:szCs w:val="24"/>
          <w:lang w:val="en-US" w:eastAsia="zh-CN"/>
        </w:rPr>
        <w:t>技术服务</w:t>
      </w:r>
      <w:r>
        <w:rPr>
          <w:rFonts w:hint="eastAsia" w:ascii="宋体" w:hAnsi="宋体" w:eastAsia="宋体" w:cs="宋体"/>
          <w:color w:val="auto"/>
          <w:szCs w:val="24"/>
        </w:rPr>
        <w:t>，如果所引用的标准之间不一致或本招标文件所使用的标准如与</w:t>
      </w:r>
      <w:r>
        <w:rPr>
          <w:rFonts w:hint="eastAsia" w:ascii="宋体" w:hAnsi="宋体" w:cs="宋体"/>
          <w:color w:val="auto"/>
          <w:szCs w:val="24"/>
          <w:lang w:eastAsia="zh-CN"/>
        </w:rPr>
        <w:t>投标人</w:t>
      </w:r>
      <w:r>
        <w:rPr>
          <w:rFonts w:hint="eastAsia" w:ascii="宋体" w:hAnsi="宋体" w:eastAsia="宋体" w:cs="宋体"/>
          <w:color w:val="auto"/>
          <w:szCs w:val="24"/>
        </w:rPr>
        <w:t>所执行的标准不一致时，按要求较高的标准执行。</w:t>
      </w:r>
    </w:p>
    <w:p>
      <w:pPr>
        <w:pStyle w:val="14"/>
        <w:numPr>
          <w:ilvl w:val="0"/>
          <w:numId w:val="0"/>
        </w:num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1.1.3</w:t>
      </w:r>
      <w:r>
        <w:rPr>
          <w:rFonts w:hint="eastAsia" w:ascii="宋体" w:hAnsi="宋体" w:eastAsia="宋体" w:cs="宋体"/>
          <w:color w:val="auto"/>
          <w:szCs w:val="24"/>
        </w:rPr>
        <w:t xml:space="preserve"> </w:t>
      </w:r>
      <w:r>
        <w:rPr>
          <w:rFonts w:hint="eastAsia" w:ascii="宋体" w:hAnsi="宋体" w:cs="宋体"/>
          <w:color w:val="auto"/>
          <w:szCs w:val="24"/>
          <w:lang w:eastAsia="zh-CN"/>
        </w:rPr>
        <w:t>投标人</w:t>
      </w:r>
      <w:r>
        <w:rPr>
          <w:rFonts w:hint="eastAsia" w:ascii="宋体" w:hAnsi="宋体" w:eastAsia="宋体" w:cs="宋体"/>
          <w:color w:val="auto"/>
          <w:szCs w:val="24"/>
        </w:rPr>
        <w:t>须仔细阅读包括本技术规范阐述的全部条款。</w:t>
      </w:r>
      <w:r>
        <w:rPr>
          <w:rFonts w:hint="eastAsia" w:ascii="宋体" w:hAnsi="宋体" w:cs="宋体"/>
          <w:color w:val="auto"/>
          <w:szCs w:val="24"/>
          <w:lang w:eastAsia="zh-CN"/>
        </w:rPr>
        <w:t>投标人</w:t>
      </w:r>
      <w:r>
        <w:rPr>
          <w:rFonts w:hint="eastAsia" w:ascii="宋体" w:hAnsi="宋体" w:eastAsia="宋体" w:cs="宋体"/>
          <w:color w:val="auto"/>
          <w:szCs w:val="24"/>
        </w:rPr>
        <w:t>提供的服务应符合招标文件所规定的要求，每一条款必须逐条作出明确答复，并列出具体技术数据和指标。如有必要，也可以在技术投标文件中以“对规范书的意见和同规范书的差异”为标题的专门章节加以详细描述。</w:t>
      </w:r>
    </w:p>
    <w:p>
      <w:pPr>
        <w:pStyle w:val="14"/>
        <w:numPr>
          <w:ilvl w:val="0"/>
          <w:numId w:val="0"/>
        </w:num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1.1.4</w:t>
      </w:r>
      <w:r>
        <w:rPr>
          <w:rFonts w:hint="eastAsia" w:ascii="宋体" w:hAnsi="宋体" w:eastAsia="宋体" w:cs="宋体"/>
          <w:color w:val="auto"/>
          <w:szCs w:val="24"/>
        </w:rPr>
        <w:t xml:space="preserve"> 如果</w:t>
      </w:r>
      <w:r>
        <w:rPr>
          <w:rFonts w:hint="eastAsia" w:ascii="宋体" w:hAnsi="宋体" w:cs="宋体"/>
          <w:color w:val="auto"/>
          <w:szCs w:val="24"/>
          <w:lang w:eastAsia="zh-CN"/>
        </w:rPr>
        <w:t>投标人</w:t>
      </w:r>
      <w:r>
        <w:rPr>
          <w:rFonts w:hint="eastAsia" w:ascii="宋体" w:hAnsi="宋体" w:eastAsia="宋体" w:cs="宋体"/>
          <w:color w:val="auto"/>
          <w:szCs w:val="24"/>
        </w:rPr>
        <w:t>没有以书面形式对本招标文件技术规范的条文提出差异，则意味着</w:t>
      </w:r>
      <w:r>
        <w:rPr>
          <w:rFonts w:hint="eastAsia" w:ascii="宋体" w:hAnsi="宋体" w:cs="宋体"/>
          <w:color w:val="auto"/>
          <w:szCs w:val="24"/>
          <w:lang w:eastAsia="zh-CN"/>
        </w:rPr>
        <w:t>投标人</w:t>
      </w:r>
      <w:r>
        <w:rPr>
          <w:rFonts w:hint="eastAsia" w:ascii="宋体" w:hAnsi="宋体" w:eastAsia="宋体" w:cs="宋体"/>
          <w:color w:val="auto"/>
          <w:szCs w:val="24"/>
        </w:rPr>
        <w:t>提供的服务完全符合本招标文件的要求。若有与本招标文件要求不一致的地方，必须逐项在“技术差异表”中列出。</w:t>
      </w:r>
    </w:p>
    <w:p>
      <w:pPr>
        <w:pStyle w:val="14"/>
        <w:numPr>
          <w:ilvl w:val="0"/>
          <w:numId w:val="0"/>
        </w:num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1.1.5</w:t>
      </w:r>
      <w:r>
        <w:rPr>
          <w:rFonts w:hint="eastAsia" w:ascii="宋体" w:hAnsi="宋体" w:eastAsia="宋体" w:cs="宋体"/>
          <w:color w:val="auto"/>
          <w:szCs w:val="24"/>
        </w:rPr>
        <w:t xml:space="preserve"> 本技术规范书经招、投标双方确认后作为订合同的技术附件，与合同正文具有同等的法律效力。</w:t>
      </w:r>
    </w:p>
    <w:p>
      <w:pPr>
        <w:pStyle w:val="14"/>
        <w:numPr>
          <w:ilvl w:val="0"/>
          <w:numId w:val="0"/>
        </w:numPr>
        <w:spacing w:line="360" w:lineRule="auto"/>
        <w:ind w:firstLine="480" w:firstLineChars="200"/>
        <w:rPr>
          <w:color w:val="auto"/>
          <w:szCs w:val="24"/>
        </w:rPr>
      </w:pPr>
      <w:r>
        <w:rPr>
          <w:rFonts w:hint="eastAsia" w:ascii="宋体" w:hAnsi="宋体" w:eastAsia="宋体" w:cs="宋体"/>
          <w:color w:val="auto"/>
          <w:szCs w:val="24"/>
          <w:lang w:val="en-US" w:eastAsia="zh-CN"/>
        </w:rPr>
        <w:t xml:space="preserve">1.1.6 </w:t>
      </w:r>
      <w:r>
        <w:rPr>
          <w:rFonts w:hint="eastAsia" w:ascii="宋体" w:hAnsi="宋体" w:eastAsia="宋体" w:cs="宋体"/>
          <w:color w:val="auto"/>
          <w:szCs w:val="24"/>
        </w:rPr>
        <w:t>本</w:t>
      </w:r>
      <w:r>
        <w:rPr>
          <w:rFonts w:hAnsi="宋体"/>
          <w:color w:val="auto"/>
          <w:szCs w:val="24"/>
        </w:rPr>
        <w:t>技术规范书未尽事宜，由招、</w:t>
      </w:r>
      <w:r>
        <w:rPr>
          <w:rFonts w:hint="eastAsia" w:hAnsi="宋体"/>
          <w:color w:val="auto"/>
          <w:szCs w:val="24"/>
          <w:lang w:eastAsia="zh-CN"/>
        </w:rPr>
        <w:t>投标人</w:t>
      </w:r>
      <w:r>
        <w:rPr>
          <w:rFonts w:hAnsi="宋体"/>
          <w:color w:val="auto"/>
          <w:szCs w:val="24"/>
        </w:rPr>
        <w:t>双方协商确定。</w:t>
      </w:r>
    </w:p>
    <w:p>
      <w:pPr>
        <w:pStyle w:val="4"/>
        <w:spacing w:before="0" w:after="0" w:line="360" w:lineRule="auto"/>
        <w:rPr>
          <w:color w:val="auto"/>
        </w:rPr>
      </w:pPr>
      <w:r>
        <w:rPr>
          <w:color w:val="auto"/>
        </w:rPr>
        <w:t xml:space="preserve">1.2 </w:t>
      </w:r>
      <w:r>
        <w:rPr>
          <w:rFonts w:hAnsi="宋体"/>
          <w:color w:val="auto"/>
        </w:rPr>
        <w:t>一般</w:t>
      </w:r>
      <w:bookmarkEnd w:id="3"/>
      <w:bookmarkEnd w:id="4"/>
      <w:r>
        <w:rPr>
          <w:rFonts w:hAnsi="宋体"/>
          <w:color w:val="auto"/>
        </w:rPr>
        <w:t>要求</w:t>
      </w:r>
    </w:p>
    <w:p>
      <w:pPr>
        <w:spacing w:line="360" w:lineRule="auto"/>
        <w:ind w:firstLine="484" w:firstLineChars="202"/>
        <w:jc w:val="both"/>
        <w:rPr>
          <w:rFonts w:hAnsi="宋体" w:eastAsia="宋体"/>
          <w:color w:val="auto"/>
          <w:sz w:val="24"/>
          <w:szCs w:val="24"/>
        </w:rPr>
      </w:pPr>
      <w:r>
        <w:rPr>
          <w:rFonts w:hAnsi="宋体" w:eastAsia="宋体"/>
          <w:color w:val="auto"/>
          <w:sz w:val="24"/>
          <w:szCs w:val="24"/>
        </w:rPr>
        <w:t>本技术规范书适用于</w:t>
      </w:r>
      <w:r>
        <w:rPr>
          <w:rFonts w:hint="eastAsia" w:hAnsi="宋体" w:eastAsia="宋体"/>
          <w:color w:val="auto"/>
          <w:sz w:val="24"/>
          <w:szCs w:val="28"/>
        </w:rPr>
        <w:t>《</w:t>
      </w:r>
      <w:r>
        <w:rPr>
          <w:rFonts w:hint="eastAsia" w:hAnsi="宋体" w:eastAsia="宋体"/>
          <w:color w:val="auto"/>
          <w:sz w:val="24"/>
          <w:szCs w:val="28"/>
          <w:lang w:val="en-US" w:eastAsia="zh-CN"/>
        </w:rPr>
        <w:t>南方电网互联网服务有限公司2025-2026年数字化建设监理技术服务项目</w:t>
      </w:r>
      <w:r>
        <w:rPr>
          <w:rFonts w:hint="eastAsia" w:hAnsi="宋体" w:eastAsia="宋体"/>
          <w:color w:val="auto"/>
          <w:sz w:val="24"/>
          <w:szCs w:val="28"/>
        </w:rPr>
        <w:t>》</w:t>
      </w:r>
      <w:r>
        <w:rPr>
          <w:rFonts w:hAnsi="宋体" w:eastAsia="宋体"/>
          <w:color w:val="auto"/>
          <w:sz w:val="24"/>
          <w:szCs w:val="24"/>
        </w:rPr>
        <w:t>，它提出了</w:t>
      </w:r>
      <w:r>
        <w:rPr>
          <w:rFonts w:hint="eastAsia" w:hAnsi="宋体" w:eastAsia="宋体"/>
          <w:color w:val="auto"/>
          <w:sz w:val="24"/>
          <w:szCs w:val="28"/>
        </w:rPr>
        <w:t>该</w:t>
      </w:r>
      <w:r>
        <w:rPr>
          <w:rFonts w:hint="eastAsia" w:hAnsi="宋体" w:eastAsia="宋体"/>
          <w:color w:val="auto"/>
          <w:sz w:val="24"/>
          <w:szCs w:val="24"/>
        </w:rPr>
        <w:t>项目</w:t>
      </w:r>
      <w:r>
        <w:rPr>
          <w:rFonts w:hAnsi="宋体" w:eastAsia="宋体"/>
          <w:color w:val="auto"/>
          <w:sz w:val="24"/>
          <w:szCs w:val="24"/>
        </w:rPr>
        <w:t>涉及</w:t>
      </w:r>
      <w:r>
        <w:rPr>
          <w:rFonts w:hint="eastAsia" w:hAnsi="宋体" w:eastAsia="宋体"/>
          <w:color w:val="auto"/>
          <w:sz w:val="24"/>
          <w:szCs w:val="24"/>
          <w:lang w:eastAsia="zh-CN"/>
        </w:rPr>
        <w:t>招标人</w:t>
      </w:r>
      <w:r>
        <w:rPr>
          <w:rFonts w:hint="eastAsia" w:hAnsi="宋体" w:eastAsia="宋体"/>
          <w:color w:val="auto"/>
          <w:sz w:val="24"/>
          <w:szCs w:val="24"/>
        </w:rPr>
        <w:t>的</w:t>
      </w:r>
      <w:r>
        <w:rPr>
          <w:rFonts w:hint="eastAsia" w:hAnsi="宋体" w:eastAsia="宋体"/>
          <w:color w:val="auto"/>
          <w:sz w:val="24"/>
          <w:szCs w:val="24"/>
          <w:lang w:val="en-US" w:eastAsia="zh-CN"/>
        </w:rPr>
        <w:t>监理技术服务等</w:t>
      </w:r>
      <w:r>
        <w:rPr>
          <w:rFonts w:hAnsi="宋体" w:eastAsia="宋体"/>
          <w:color w:val="auto"/>
          <w:sz w:val="24"/>
          <w:szCs w:val="24"/>
        </w:rPr>
        <w:t>之用。</w:t>
      </w:r>
    </w:p>
    <w:p>
      <w:pPr>
        <w:pStyle w:val="4"/>
        <w:spacing w:before="0" w:after="0" w:line="360" w:lineRule="auto"/>
        <w:rPr>
          <w:color w:val="auto"/>
        </w:rPr>
      </w:pPr>
      <w:bookmarkStart w:id="5" w:name="_Toc396982633"/>
      <w:bookmarkStart w:id="6" w:name="_Toc165739079"/>
      <w:bookmarkStart w:id="7" w:name="_Toc239276527"/>
      <w:r>
        <w:rPr>
          <w:color w:val="auto"/>
        </w:rPr>
        <w:t xml:space="preserve">1.3 </w:t>
      </w:r>
      <w:r>
        <w:rPr>
          <w:rFonts w:hAnsi="宋体"/>
          <w:color w:val="auto"/>
        </w:rPr>
        <w:t>引用标准和规范</w:t>
      </w:r>
      <w:bookmarkEnd w:id="5"/>
    </w:p>
    <w:p>
      <w:pPr>
        <w:spacing w:line="360" w:lineRule="auto"/>
        <w:ind w:firstLine="484" w:firstLineChars="202"/>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应遵循的主要现行标准</w:t>
      </w:r>
    </w:p>
    <w:p>
      <w:pPr>
        <w:spacing w:line="360" w:lineRule="auto"/>
        <w:ind w:firstLine="484" w:firstLineChars="202"/>
        <w:jc w:val="both"/>
        <w:rPr>
          <w:rFonts w:hint="eastAsia" w:ascii="宋体" w:hAnsi="宋体" w:eastAsia="宋体" w:cs="宋体"/>
          <w:color w:val="auto"/>
          <w:sz w:val="24"/>
          <w:szCs w:val="24"/>
        </w:rPr>
      </w:pPr>
      <w:r>
        <w:rPr>
          <w:rFonts w:hint="eastAsia" w:ascii="宋体" w:hAnsi="宋体" w:eastAsia="宋体" w:cs="宋体"/>
          <w:color w:val="auto"/>
          <w:sz w:val="24"/>
          <w:szCs w:val="24"/>
        </w:rPr>
        <w:t>本规范书提出了最低限度的服务要求，并未规定所有的服务要求和适用的标准，对国家</w:t>
      </w:r>
      <w:r>
        <w:rPr>
          <w:rFonts w:hint="eastAsia" w:ascii="宋体" w:hAnsi="宋体" w:eastAsia="宋体" w:cs="宋体"/>
          <w:color w:val="auto"/>
          <w:sz w:val="24"/>
          <w:szCs w:val="24"/>
          <w:lang w:val="en-US" w:eastAsia="zh-CN"/>
        </w:rPr>
        <w:t>及南方电网公司</w:t>
      </w:r>
      <w:r>
        <w:rPr>
          <w:rFonts w:hint="eastAsia" w:ascii="宋体" w:hAnsi="宋体" w:eastAsia="宋体" w:cs="宋体"/>
          <w:color w:val="auto"/>
          <w:sz w:val="24"/>
          <w:szCs w:val="24"/>
        </w:rPr>
        <w:t>有关的强制性标准，必须满足其要求。</w:t>
      </w:r>
    </w:p>
    <w:p>
      <w:pPr>
        <w:spacing w:line="360" w:lineRule="auto"/>
        <w:ind w:firstLine="484" w:firstLineChars="202"/>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《中国南方电网有限责任公司信息化项目建设管理办法》</w:t>
      </w:r>
    </w:p>
    <w:p>
      <w:pPr>
        <w:spacing w:line="360" w:lineRule="auto"/>
        <w:ind w:firstLine="484" w:firstLineChars="202"/>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《南方电网产业投资集团有限责任公司信息化项目管理细则》</w:t>
      </w:r>
    </w:p>
    <w:p>
      <w:pPr>
        <w:spacing w:line="360" w:lineRule="auto"/>
        <w:ind w:firstLine="484" w:firstLineChars="202"/>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《南方电网互联网服务有限公司信息化项目管理细则》</w:t>
      </w:r>
    </w:p>
    <w:p>
      <w:pPr>
        <w:spacing w:line="360" w:lineRule="auto"/>
        <w:ind w:firstLine="484" w:firstLineChars="202"/>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《信息技术服务 监理 第1部分：总则》（GBT 19668.1-2014）</w:t>
      </w:r>
    </w:p>
    <w:p>
      <w:pPr>
        <w:spacing w:line="360" w:lineRule="auto"/>
        <w:ind w:firstLine="484" w:firstLineChars="202"/>
        <w:jc w:val="both"/>
        <w:rPr>
          <w:rFonts w:hint="eastAsia"/>
          <w:lang w:val="en-US" w:eastAsia="zh-CN"/>
        </w:rPr>
      </w:pPr>
      <w:r>
        <w:rPr>
          <w:rFonts w:hint="eastAsia" w:ascii="宋体" w:hAnsi="宋体" w:eastAsia="宋体" w:cs="宋体"/>
          <w:color w:val="auto"/>
          <w:sz w:val="24"/>
          <w:szCs w:val="24"/>
          <w:lang w:val="en-US" w:eastAsia="zh-CN"/>
        </w:rPr>
        <w:t>《信息技术服务 监理 第5部分：软件项目监理规范》（GBT 19668.5-2018）</w:t>
      </w:r>
    </w:p>
    <w:p>
      <w:pPr>
        <w:spacing w:line="360" w:lineRule="auto"/>
        <w:ind w:firstLine="484" w:firstLineChars="202"/>
        <w:jc w:val="both"/>
        <w:rPr>
          <w:rFonts w:hAnsi="宋体" w:eastAsia="宋体"/>
          <w:color w:val="auto"/>
          <w:sz w:val="24"/>
          <w:szCs w:val="24"/>
        </w:rPr>
      </w:pPr>
      <w:r>
        <w:rPr>
          <w:rFonts w:hint="eastAsia" w:ascii="宋体" w:hAnsi="宋体" w:eastAsia="宋体" w:cs="宋体"/>
          <w:color w:val="auto"/>
          <w:sz w:val="24"/>
          <w:szCs w:val="24"/>
          <w:lang w:val="en-US" w:eastAsia="zh-CN"/>
        </w:rPr>
        <w:t>1.3.2</w:t>
      </w:r>
      <w:r>
        <w:rPr>
          <w:rFonts w:hint="eastAsia" w:ascii="宋体" w:hAnsi="宋体" w:eastAsia="宋体" w:cs="宋体"/>
          <w:color w:val="auto"/>
          <w:sz w:val="24"/>
          <w:szCs w:val="24"/>
        </w:rPr>
        <w:t>上述标准和规范仅规定了通用要求，只要</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认为有必要且经</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认可，即可超越这些标准，采用</w:t>
      </w:r>
      <w:r>
        <w:rPr>
          <w:rFonts w:hAnsi="宋体" w:eastAsia="宋体"/>
          <w:color w:val="auto"/>
          <w:sz w:val="24"/>
          <w:szCs w:val="24"/>
        </w:rPr>
        <w:t>更好、更经济的设计和</w:t>
      </w:r>
      <w:r>
        <w:rPr>
          <w:rFonts w:hint="eastAsia" w:hAnsi="宋体" w:eastAsia="宋体"/>
          <w:color w:val="auto"/>
          <w:sz w:val="24"/>
          <w:szCs w:val="24"/>
        </w:rPr>
        <w:t>材料</w:t>
      </w:r>
      <w:r>
        <w:rPr>
          <w:rFonts w:hAnsi="宋体" w:eastAsia="宋体"/>
          <w:color w:val="auto"/>
          <w:sz w:val="24"/>
          <w:szCs w:val="24"/>
        </w:rPr>
        <w:t>，使</w:t>
      </w:r>
      <w:r>
        <w:rPr>
          <w:rFonts w:hint="eastAsia" w:hAnsi="宋体" w:eastAsia="宋体"/>
          <w:color w:val="auto"/>
          <w:sz w:val="24"/>
          <w:szCs w:val="24"/>
          <w:lang w:eastAsia="zh-CN"/>
        </w:rPr>
        <w:t>投标人</w:t>
      </w:r>
      <w:r>
        <w:rPr>
          <w:rFonts w:hAnsi="宋体" w:eastAsia="宋体"/>
          <w:color w:val="auto"/>
          <w:sz w:val="24"/>
          <w:szCs w:val="24"/>
        </w:rPr>
        <w:t>的</w:t>
      </w:r>
      <w:r>
        <w:rPr>
          <w:rFonts w:hint="eastAsia" w:hAnsi="宋体" w:eastAsia="宋体"/>
          <w:color w:val="auto"/>
          <w:sz w:val="24"/>
          <w:szCs w:val="24"/>
        </w:rPr>
        <w:t>服务</w:t>
      </w:r>
      <w:r>
        <w:rPr>
          <w:rFonts w:hAnsi="宋体" w:eastAsia="宋体"/>
          <w:color w:val="auto"/>
          <w:sz w:val="24"/>
          <w:szCs w:val="24"/>
        </w:rPr>
        <w:t>持续稳定地运行。</w:t>
      </w:r>
    </w:p>
    <w:p>
      <w:pPr>
        <w:spacing w:before="120" w:beforeLines="50" w:after="120" w:afterLines="50" w:line="360" w:lineRule="auto"/>
        <w:ind w:firstLine="0"/>
        <w:jc w:val="center"/>
        <w:outlineLvl w:val="0"/>
        <w:rPr>
          <w:rFonts w:ascii="Calibri" w:hAnsi="宋体" w:eastAsia="宋体"/>
          <w:b/>
          <w:color w:val="auto"/>
          <w:kern w:val="44"/>
          <w:sz w:val="36"/>
          <w:szCs w:val="36"/>
        </w:rPr>
      </w:pPr>
      <w:r>
        <w:rPr>
          <w:rFonts w:ascii="Calibri" w:hAnsi="宋体" w:eastAsia="宋体"/>
          <w:b/>
          <w:color w:val="auto"/>
          <w:kern w:val="44"/>
          <w:sz w:val="36"/>
          <w:szCs w:val="36"/>
        </w:rPr>
        <w:t>二</w:t>
      </w:r>
      <w:r>
        <w:rPr>
          <w:rFonts w:ascii="Calibri" w:hAnsi="Calibri" w:eastAsia="宋体"/>
          <w:b/>
          <w:color w:val="auto"/>
          <w:kern w:val="44"/>
          <w:sz w:val="36"/>
          <w:szCs w:val="36"/>
        </w:rPr>
        <w:t xml:space="preserve"> </w:t>
      </w:r>
      <w:r>
        <w:rPr>
          <w:rFonts w:hint="eastAsia" w:ascii="Calibri" w:hAnsi="宋体" w:eastAsia="宋体"/>
          <w:b/>
          <w:color w:val="auto"/>
          <w:kern w:val="44"/>
          <w:sz w:val="36"/>
          <w:szCs w:val="36"/>
          <w:lang w:val="en-US" w:eastAsia="zh-CN"/>
        </w:rPr>
        <w:t>服务</w:t>
      </w:r>
      <w:r>
        <w:rPr>
          <w:rFonts w:ascii="Calibri" w:hAnsi="宋体" w:eastAsia="宋体"/>
          <w:b/>
          <w:color w:val="auto"/>
          <w:kern w:val="44"/>
          <w:sz w:val="36"/>
          <w:szCs w:val="36"/>
        </w:rPr>
        <w:t>范围及要求</w:t>
      </w:r>
    </w:p>
    <w:bookmarkEnd w:id="6"/>
    <w:bookmarkEnd w:id="7"/>
    <w:p>
      <w:pPr>
        <w:pStyle w:val="4"/>
        <w:spacing w:before="0" w:after="0" w:line="360" w:lineRule="auto"/>
        <w:rPr>
          <w:rFonts w:eastAsia="宋体"/>
          <w:color w:val="auto"/>
          <w:lang w:val="en-US" w:eastAsia="zh-CN"/>
        </w:rPr>
      </w:pPr>
      <w:bookmarkStart w:id="8" w:name="_Toc391641240"/>
      <w:r>
        <w:rPr>
          <w:rFonts w:hint="eastAsia" w:eastAsia="宋体"/>
          <w:color w:val="auto"/>
          <w:lang w:val="en-US" w:eastAsia="zh-CN"/>
        </w:rPr>
        <w:t xml:space="preserve">2.1 </w:t>
      </w:r>
      <w:r>
        <w:rPr>
          <w:rFonts w:eastAsia="宋体"/>
          <w:color w:val="auto"/>
          <w:lang w:val="en-US" w:eastAsia="zh-CN"/>
        </w:rPr>
        <w:t>总体要求</w:t>
      </w:r>
      <w:bookmarkEnd w:id="8"/>
    </w:p>
    <w:p>
      <w:pPr>
        <w:pStyle w:val="14"/>
        <w:keepNext w:val="0"/>
        <w:keepLines w:val="0"/>
        <w:pageBreakBefore w:val="0"/>
        <w:widowControl/>
        <w:numPr>
          <w:ilvl w:val="0"/>
          <w:numId w:val="0"/>
        </w:numPr>
        <w:kinsoku/>
        <w:wordWrap/>
        <w:overflowPunct/>
        <w:topLinePunct/>
        <w:autoSpaceDE w:val="0"/>
        <w:autoSpaceDN w:val="0"/>
        <w:bidi w:val="0"/>
        <w:adjustRightInd/>
        <w:snapToGrid/>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依据南方电网互联网有限公司</w:t>
      </w:r>
      <w:r>
        <w:rPr>
          <w:rFonts w:hint="eastAsia" w:ascii="宋体" w:hAnsi="宋体" w:cs="宋体"/>
          <w:sz w:val="24"/>
          <w:szCs w:val="24"/>
          <w:lang w:eastAsia="zh-CN"/>
        </w:rPr>
        <w:t>信息化</w:t>
      </w:r>
      <w:r>
        <w:rPr>
          <w:rFonts w:hint="eastAsia" w:ascii="宋体" w:hAnsi="宋体" w:eastAsia="宋体" w:cs="宋体"/>
          <w:sz w:val="24"/>
          <w:szCs w:val="24"/>
        </w:rPr>
        <w:t>项目管理办法，并参照相关标准和规范，协助完成可行性研究报告评审，充分论证项目的必要性、可行性、合规性；协助组织信息化项目终验，并负责督促和检查承建单位验收资料提交，确保项目验收过程的合规。对委托的研发项目提供信息化监理服务，以保证研发项目建设过程符合国家法律、法规、有关政策和相关技术标准，达到项目目标。</w:t>
      </w:r>
    </w:p>
    <w:p>
      <w:pPr>
        <w:pStyle w:val="14"/>
        <w:keepNext w:val="0"/>
        <w:keepLines w:val="0"/>
        <w:pageBreakBefore w:val="0"/>
        <w:widowControl/>
        <w:numPr>
          <w:ilvl w:val="0"/>
          <w:numId w:val="0"/>
        </w:numPr>
        <w:kinsoku/>
        <w:wordWrap/>
        <w:overflowPunct/>
        <w:topLinePunct/>
        <w:autoSpaceDE w:val="0"/>
        <w:autoSpaceDN w:val="0"/>
        <w:bidi w:val="0"/>
        <w:adjustRightInd/>
        <w:snapToGrid/>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对</w:t>
      </w:r>
      <w:r>
        <w:rPr>
          <w:rFonts w:hint="eastAsia" w:ascii="宋体" w:hAnsi="宋体" w:cs="宋体"/>
          <w:sz w:val="24"/>
          <w:szCs w:val="24"/>
          <w:lang w:eastAsia="zh-CN"/>
        </w:rPr>
        <w:t>招标人</w:t>
      </w:r>
      <w:r>
        <w:rPr>
          <w:rFonts w:hint="eastAsia" w:ascii="宋体" w:hAnsi="宋体" w:eastAsia="宋体" w:cs="宋体"/>
          <w:sz w:val="24"/>
          <w:szCs w:val="24"/>
        </w:rPr>
        <w:t>委托的研发项目建设提供监理服务；对南方电网互联网服务有限公司拟立项项目可行性研究报告组织评审，对拟终验项目组织验收。本次采购的具体工作最终以公司实际委托为准。</w:t>
      </w:r>
    </w:p>
    <w:p>
      <w:pPr>
        <w:pStyle w:val="4"/>
        <w:spacing w:before="0" w:after="0" w:line="360" w:lineRule="auto"/>
        <w:rPr>
          <w:rFonts w:hint="eastAsia" w:eastAsia="宋体"/>
          <w:color w:val="auto"/>
          <w:lang w:val="en-US" w:eastAsia="zh-CN"/>
        </w:rPr>
      </w:pPr>
      <w:bookmarkStart w:id="9" w:name="_Toc391641241"/>
      <w:r>
        <w:rPr>
          <w:rFonts w:hint="eastAsia" w:eastAsia="宋体"/>
          <w:color w:val="auto"/>
          <w:lang w:val="en-US" w:eastAsia="zh-CN"/>
        </w:rPr>
        <w:t xml:space="preserve">2.2 </w:t>
      </w:r>
      <w:bookmarkEnd w:id="9"/>
      <w:r>
        <w:rPr>
          <w:rFonts w:hint="eastAsia" w:eastAsia="宋体"/>
          <w:color w:val="auto"/>
          <w:lang w:val="en-US" w:eastAsia="zh-CN"/>
        </w:rPr>
        <w:t>具体服务范围</w:t>
      </w:r>
      <w:bookmarkStart w:id="10" w:name="_Toc391641244"/>
    </w:p>
    <w:p>
      <w:pPr>
        <w:keepNext w:val="0"/>
        <w:keepLines w:val="0"/>
        <w:pageBreakBefore w:val="0"/>
        <w:widowControl w:val="0"/>
        <w:numPr>
          <w:ilvl w:val="0"/>
          <w:numId w:val="0"/>
        </w:numPr>
        <w:kinsoku/>
        <w:wordWrap/>
        <w:overflowPunct/>
        <w:topLinePunct/>
        <w:autoSpaceDE/>
        <w:autoSpaceDN/>
        <w:bidi w:val="0"/>
        <w:adjustRightInd w:val="0"/>
        <w:snapToGrid/>
        <w:spacing w:line="360" w:lineRule="auto"/>
        <w:ind w:firstLine="480" w:firstLineChars="200"/>
        <w:textAlignment w:val="baseline"/>
        <w:rPr>
          <w:rFonts w:hint="eastAsia" w:ascii="宋体" w:hAnsi="宋体" w:eastAsia="宋体" w:cs="宋体"/>
          <w:color w:val="000000" w:themeColor="text1"/>
          <w:sz w:val="24"/>
          <w:szCs w:val="16"/>
          <w:lang w:val="en-US" w:eastAsia="zh-CN"/>
          <w14:textFill>
            <w14:solidFill>
              <w14:schemeClr w14:val="tx1"/>
            </w14:solidFill>
          </w14:textFill>
        </w:rPr>
      </w:pPr>
      <w:bookmarkStart w:id="11" w:name="_Toc21809"/>
      <w:r>
        <w:rPr>
          <w:rFonts w:hint="eastAsia" w:ascii="宋体" w:hAnsi="宋体" w:eastAsia="宋体" w:cs="宋体"/>
          <w:color w:val="000000" w:themeColor="text1"/>
          <w:sz w:val="24"/>
          <w:szCs w:val="16"/>
          <w:lang w:val="en-US" w:eastAsia="zh-CN"/>
          <w14:textFill>
            <w14:solidFill>
              <w14:schemeClr w14:val="tx1"/>
            </w14:solidFill>
          </w14:textFill>
        </w:rPr>
        <w:t>2.2.1可行性研究报告评审和项目终验评审</w:t>
      </w:r>
      <w:bookmarkEnd w:id="11"/>
    </w:p>
    <w:p>
      <w:pPr>
        <w:keepNext w:val="0"/>
        <w:keepLines w:val="0"/>
        <w:pageBreakBefore w:val="0"/>
        <w:widowControl w:val="0"/>
        <w:kinsoku/>
        <w:wordWrap/>
        <w:overflowPunct/>
        <w:autoSpaceDE/>
        <w:autoSpaceDN/>
        <w:bidi w:val="0"/>
        <w:snapToGrid/>
        <w:spacing w:line="360" w:lineRule="auto"/>
        <w:ind w:firstLine="482" w:firstLineChars="200"/>
        <w:rPr>
          <w:rFonts w:hint="eastAsia" w:ascii="宋体" w:hAnsi="宋体" w:eastAsia="宋体" w:cs="宋体"/>
          <w:b/>
          <w:bCs/>
          <w:sz w:val="24"/>
          <w:szCs w:val="16"/>
        </w:rPr>
      </w:pPr>
      <w:bookmarkStart w:id="12" w:name="_Toc10320"/>
      <w:r>
        <w:rPr>
          <w:rFonts w:hint="eastAsia" w:ascii="宋体" w:hAnsi="宋体" w:eastAsia="宋体" w:cs="宋体"/>
          <w:b/>
          <w:bCs/>
          <w:sz w:val="24"/>
          <w:szCs w:val="16"/>
          <w:lang w:val="en-US" w:eastAsia="zh-CN"/>
        </w:rPr>
        <w:t>服务内容</w:t>
      </w:r>
      <w:bookmarkEnd w:id="12"/>
      <w:r>
        <w:rPr>
          <w:rFonts w:hint="eastAsia" w:ascii="宋体" w:hAnsi="宋体" w:eastAsia="宋体" w:cs="宋体"/>
          <w:b/>
          <w:bCs/>
          <w:sz w:val="24"/>
          <w:szCs w:val="16"/>
          <w:lang w:val="en-US" w:eastAsia="zh-CN"/>
        </w:rPr>
        <w:t>：</w:t>
      </w:r>
    </w:p>
    <w:p>
      <w:pPr>
        <w:keepNext w:val="0"/>
        <w:keepLines w:val="0"/>
        <w:pageBreakBefore w:val="0"/>
        <w:widowControl w:val="0"/>
        <w:numPr>
          <w:ilvl w:val="0"/>
          <w:numId w:val="0"/>
        </w:numPr>
        <w:tabs>
          <w:tab w:val="clear" w:pos="32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bidi="ar-SA"/>
          <w14:textFill>
            <w14:solidFill>
              <w14:schemeClr w14:val="tx1"/>
            </w14:solidFill>
          </w14:textFill>
        </w:rPr>
        <w:t>1.</w:t>
      </w:r>
      <w:r>
        <w:rPr>
          <w:rFonts w:hint="eastAsia" w:ascii="宋体" w:hAnsi="宋体" w:eastAsia="宋体" w:cs="宋体"/>
          <w:color w:val="000000" w:themeColor="text1"/>
          <w:sz w:val="24"/>
          <w:szCs w:val="16"/>
          <w:lang w:val="sv-SE" w:eastAsia="zh-CN"/>
          <w14:textFill>
            <w14:solidFill>
              <w14:schemeClr w14:val="tx1"/>
            </w14:solidFill>
          </w14:textFill>
        </w:rPr>
        <w:t>调查研究项目相关的基础资料，</w:t>
      </w:r>
      <w:r>
        <w:rPr>
          <w:rFonts w:hint="eastAsia" w:ascii="宋体" w:hAnsi="宋体" w:eastAsia="宋体" w:cs="宋体"/>
          <w:color w:val="000000" w:themeColor="text1"/>
          <w:sz w:val="24"/>
          <w:szCs w:val="16"/>
          <w:lang w:val="en-US" w:eastAsia="zh-CN"/>
          <w14:textFill>
            <w14:solidFill>
              <w14:schemeClr w14:val="tx1"/>
            </w14:solidFill>
          </w14:textFill>
        </w:rPr>
        <w:t>收集相关政策、法规、行业标准，为项目可行性研究报告评审提供参考依据；</w:t>
      </w:r>
    </w:p>
    <w:p>
      <w:pPr>
        <w:pStyle w:val="6"/>
        <w:keepNext w:val="0"/>
        <w:keepLines w:val="0"/>
        <w:pageBreakBefore w:val="0"/>
        <w:widowControl w:val="0"/>
        <w:numPr>
          <w:ilvl w:val="0"/>
          <w:numId w:val="0"/>
        </w:numPr>
        <w:tabs>
          <w:tab w:val="clear" w:pos="324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bidi="ar-SA"/>
          <w14:textFill>
            <w14:solidFill>
              <w14:schemeClr w14:val="tx1"/>
            </w14:solidFill>
          </w14:textFill>
        </w:rPr>
        <w:t>2.</w:t>
      </w:r>
      <w:r>
        <w:rPr>
          <w:rFonts w:hint="eastAsia" w:ascii="宋体" w:hAnsi="宋体" w:eastAsia="宋体" w:cs="宋体"/>
          <w:color w:val="000000" w:themeColor="text1"/>
          <w:sz w:val="24"/>
          <w:szCs w:val="16"/>
          <w:lang w:val="en-US" w:eastAsia="zh-CN"/>
          <w14:textFill>
            <w14:solidFill>
              <w14:schemeClr w14:val="tx1"/>
            </w14:solidFill>
          </w14:textFill>
        </w:rPr>
        <w:t>对被评项目可行性研究报告或终验项目资料进行初步审核；</w:t>
      </w:r>
    </w:p>
    <w:p>
      <w:pPr>
        <w:pStyle w:val="6"/>
        <w:keepNext w:val="0"/>
        <w:keepLines w:val="0"/>
        <w:pageBreakBefore w:val="0"/>
        <w:widowControl w:val="0"/>
        <w:numPr>
          <w:ilvl w:val="0"/>
          <w:numId w:val="0"/>
        </w:numPr>
        <w:tabs>
          <w:tab w:val="clear" w:pos="324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3.制定评审计划；</w:t>
      </w:r>
    </w:p>
    <w:p>
      <w:pPr>
        <w:pStyle w:val="6"/>
        <w:keepNext w:val="0"/>
        <w:keepLines w:val="0"/>
        <w:pageBreakBefore w:val="0"/>
        <w:widowControl w:val="0"/>
        <w:numPr>
          <w:ilvl w:val="0"/>
          <w:numId w:val="0"/>
        </w:numPr>
        <w:tabs>
          <w:tab w:val="clear" w:pos="324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4.组织召开评审会议；</w:t>
      </w:r>
    </w:p>
    <w:p>
      <w:pPr>
        <w:pStyle w:val="6"/>
        <w:keepNext w:val="0"/>
        <w:keepLines w:val="0"/>
        <w:pageBreakBefore w:val="0"/>
        <w:widowControl w:val="0"/>
        <w:numPr>
          <w:ilvl w:val="0"/>
          <w:numId w:val="0"/>
        </w:numPr>
        <w:tabs>
          <w:tab w:val="clear" w:pos="324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5.整理评审材料，及时归档。</w:t>
      </w:r>
    </w:p>
    <w:p>
      <w:pPr>
        <w:keepNext w:val="0"/>
        <w:keepLines w:val="0"/>
        <w:pageBreakBefore w:val="0"/>
        <w:widowControl w:val="0"/>
        <w:kinsoku/>
        <w:wordWrap/>
        <w:overflowPunct/>
        <w:topLinePunct/>
        <w:autoSpaceDE/>
        <w:autoSpaceDN/>
        <w:bidi w:val="0"/>
        <w:adjustRightInd w:val="0"/>
        <w:snapToGrid/>
        <w:spacing w:line="360" w:lineRule="auto"/>
        <w:ind w:firstLine="482" w:firstLineChars="200"/>
        <w:textAlignment w:val="baseline"/>
        <w:rPr>
          <w:rFonts w:hint="eastAsia" w:ascii="宋体" w:hAnsi="宋体" w:eastAsia="宋体" w:cs="宋体"/>
          <w:b/>
          <w:bCs/>
          <w:sz w:val="24"/>
          <w:szCs w:val="16"/>
          <w:lang w:val="en-US" w:eastAsia="zh-CN"/>
        </w:rPr>
      </w:pPr>
      <w:bookmarkStart w:id="13" w:name="_Toc22558"/>
      <w:r>
        <w:rPr>
          <w:rFonts w:hint="eastAsia" w:ascii="宋体" w:hAnsi="宋体" w:eastAsia="宋体" w:cs="宋体"/>
          <w:b/>
          <w:bCs/>
          <w:sz w:val="24"/>
          <w:szCs w:val="16"/>
          <w:lang w:val="en-US" w:eastAsia="zh-CN"/>
        </w:rPr>
        <w:t>技术要求</w:t>
      </w:r>
      <w:bookmarkEnd w:id="13"/>
      <w:r>
        <w:rPr>
          <w:rFonts w:hint="eastAsia" w:ascii="宋体" w:hAnsi="宋体" w:eastAsia="宋体" w:cs="宋体"/>
          <w:b/>
          <w:bCs/>
          <w:sz w:val="24"/>
          <w:szCs w:val="16"/>
          <w:lang w:val="en-US" w:eastAsia="zh-CN"/>
        </w:rPr>
        <w:t>：</w:t>
      </w:r>
    </w:p>
    <w:p>
      <w:pPr>
        <w:keepNext w:val="0"/>
        <w:keepLines w:val="0"/>
        <w:pageBreakBefore w:val="0"/>
        <w:widowControl w:val="0"/>
        <w:numPr>
          <w:ilvl w:val="0"/>
          <w:numId w:val="0"/>
        </w:numPr>
        <w:kinsoku/>
        <w:wordWrap/>
        <w:overflowPunct/>
        <w:topLinePunct/>
        <w:autoSpaceDE/>
        <w:autoSpaceDN/>
        <w:bidi w:val="0"/>
        <w:adjustRightInd w:val="0"/>
        <w:snapToGrid/>
        <w:spacing w:line="360" w:lineRule="auto"/>
        <w:ind w:left="0" w:leftChars="0" w:firstLine="480" w:firstLineChars="200"/>
        <w:textAlignment w:val="baseline"/>
        <w:rPr>
          <w:rFonts w:hint="eastAsia" w:ascii="宋体" w:hAnsi="宋体" w:eastAsia="宋体" w:cs="宋体"/>
          <w:color w:val="000000" w:themeColor="text1"/>
          <w:sz w:val="24"/>
          <w:szCs w:val="16"/>
          <w14:textFill>
            <w14:solidFill>
              <w14:schemeClr w14:val="tx1"/>
            </w14:solidFill>
          </w14:textFill>
        </w:rPr>
      </w:pPr>
      <w:r>
        <w:rPr>
          <w:rFonts w:hint="default" w:ascii="宋体" w:hAnsi="宋体" w:eastAsia="宋体" w:cs="宋体"/>
          <w:color w:val="000000" w:themeColor="text1"/>
          <w:sz w:val="24"/>
          <w:szCs w:val="16"/>
          <w:lang w:val="en-US" w:eastAsia="zh-CN" w:bidi="ar-SA"/>
          <w14:textFill>
            <w14:solidFill>
              <w14:schemeClr w14:val="tx1"/>
            </w14:solidFill>
          </w14:textFill>
        </w:rPr>
        <w:t>1.</w:t>
      </w:r>
      <w:r>
        <w:rPr>
          <w:rFonts w:hint="eastAsia" w:ascii="宋体" w:hAnsi="宋体" w:eastAsia="宋体" w:cs="宋体"/>
          <w:color w:val="000000" w:themeColor="text1"/>
          <w:sz w:val="24"/>
          <w:szCs w:val="16"/>
          <w14:textFill>
            <w14:solidFill>
              <w14:schemeClr w14:val="tx1"/>
            </w14:solidFill>
          </w14:textFill>
        </w:rPr>
        <w:t>审查项目可行性研究报告的合理性</w:t>
      </w:r>
      <w:r>
        <w:rPr>
          <w:rFonts w:hint="eastAsia" w:ascii="宋体" w:hAnsi="宋体" w:eastAsia="宋体" w:cs="宋体"/>
          <w:color w:val="000000" w:themeColor="text1"/>
          <w:sz w:val="24"/>
          <w:szCs w:val="16"/>
          <w:lang w:eastAsia="zh-CN"/>
          <w14:textFill>
            <w14:solidFill>
              <w14:schemeClr w14:val="tx1"/>
            </w14:solidFill>
          </w14:textFill>
        </w:rPr>
        <w:t>、</w:t>
      </w:r>
      <w:r>
        <w:rPr>
          <w:rFonts w:hint="eastAsia" w:ascii="宋体" w:hAnsi="宋体" w:eastAsia="宋体" w:cs="宋体"/>
          <w:color w:val="000000" w:themeColor="text1"/>
          <w:sz w:val="24"/>
          <w:szCs w:val="16"/>
          <w14:textFill>
            <w14:solidFill>
              <w14:schemeClr w14:val="tx1"/>
            </w14:solidFill>
          </w14:textFill>
        </w:rPr>
        <w:t>可行性及成果文件质量，督促可行性研究报告成果文件按时保质完成。</w:t>
      </w:r>
    </w:p>
    <w:p>
      <w:pPr>
        <w:keepNext w:val="0"/>
        <w:keepLines w:val="0"/>
        <w:pageBreakBefore w:val="0"/>
        <w:widowControl w:val="0"/>
        <w:numPr>
          <w:ilvl w:val="0"/>
          <w:numId w:val="0"/>
        </w:numPr>
        <w:kinsoku/>
        <w:wordWrap/>
        <w:overflowPunct/>
        <w:topLinePunct/>
        <w:autoSpaceDE/>
        <w:autoSpaceDN/>
        <w:bidi w:val="0"/>
        <w:adjustRightInd w:val="0"/>
        <w:snapToGrid/>
        <w:spacing w:line="360" w:lineRule="auto"/>
        <w:ind w:left="0" w:leftChars="0" w:firstLine="480" w:firstLineChars="200"/>
        <w:textAlignment w:val="baseline"/>
        <w:rPr>
          <w:rFonts w:hint="eastAsia" w:ascii="宋体" w:hAnsi="宋体" w:eastAsia="宋体" w:cs="宋体"/>
          <w:color w:val="000000" w:themeColor="text1"/>
          <w:sz w:val="24"/>
          <w:szCs w:val="16"/>
          <w14:textFill>
            <w14:solidFill>
              <w14:schemeClr w14:val="tx1"/>
            </w14:solidFill>
          </w14:textFill>
        </w:rPr>
      </w:pPr>
      <w:r>
        <w:rPr>
          <w:rFonts w:hint="default" w:ascii="宋体" w:hAnsi="宋体" w:eastAsia="宋体" w:cs="宋体"/>
          <w:color w:val="000000" w:themeColor="text1"/>
          <w:sz w:val="24"/>
          <w:szCs w:val="16"/>
          <w:lang w:val="en-US" w:eastAsia="zh-CN" w:bidi="ar-SA"/>
          <w14:textFill>
            <w14:solidFill>
              <w14:schemeClr w14:val="tx1"/>
            </w14:solidFill>
          </w14:textFill>
        </w:rPr>
        <w:t>2.</w:t>
      </w:r>
      <w:r>
        <w:rPr>
          <w:rFonts w:hint="eastAsia" w:ascii="宋体" w:hAnsi="宋体" w:eastAsia="宋体" w:cs="宋体"/>
          <w:color w:val="000000" w:themeColor="text1"/>
          <w:sz w:val="24"/>
          <w:szCs w:val="16"/>
          <w:lang w:val="en-US" w:eastAsia="zh-CN"/>
          <w14:textFill>
            <w14:solidFill>
              <w14:schemeClr w14:val="tx1"/>
            </w14:solidFill>
          </w14:textFill>
        </w:rPr>
        <w:t>审查项目</w:t>
      </w:r>
      <w:r>
        <w:rPr>
          <w:rFonts w:hint="eastAsia" w:ascii="宋体" w:hAnsi="宋体" w:eastAsia="宋体" w:cs="宋体"/>
          <w:color w:val="000000" w:themeColor="text1"/>
          <w:sz w:val="24"/>
          <w:szCs w:val="16"/>
          <w14:textFill>
            <w14:solidFill>
              <w14:schemeClr w14:val="tx1"/>
            </w14:solidFill>
          </w14:textFill>
        </w:rPr>
        <w:t>成果文件须符合国家、南网公司和行业现行有关法律、法规、管理规定和各种技术规范、标准要求。</w:t>
      </w:r>
    </w:p>
    <w:p>
      <w:pPr>
        <w:keepNext w:val="0"/>
        <w:keepLines w:val="0"/>
        <w:pageBreakBefore w:val="0"/>
        <w:widowControl w:val="0"/>
        <w:numPr>
          <w:ilvl w:val="0"/>
          <w:numId w:val="0"/>
        </w:numPr>
        <w:kinsoku/>
        <w:wordWrap/>
        <w:overflowPunct/>
        <w:topLinePunct/>
        <w:autoSpaceDE/>
        <w:autoSpaceDN/>
        <w:bidi w:val="0"/>
        <w:adjustRightInd w:val="0"/>
        <w:snapToGrid/>
        <w:spacing w:line="360" w:lineRule="auto"/>
        <w:ind w:left="0" w:leftChars="0" w:firstLine="480" w:firstLineChars="200"/>
        <w:textAlignment w:val="baseline"/>
        <w:rPr>
          <w:rFonts w:hint="eastAsia" w:ascii="宋体" w:hAnsi="宋体" w:eastAsia="宋体" w:cs="宋体"/>
          <w:color w:val="000000" w:themeColor="text1"/>
          <w:sz w:val="24"/>
          <w:szCs w:val="16"/>
          <w14:textFill>
            <w14:solidFill>
              <w14:schemeClr w14:val="tx1"/>
            </w14:solidFill>
          </w14:textFill>
        </w:rPr>
      </w:pPr>
      <w:r>
        <w:rPr>
          <w:rFonts w:hint="default" w:ascii="宋体" w:hAnsi="宋体" w:eastAsia="宋体" w:cs="宋体"/>
          <w:color w:val="000000" w:themeColor="text1"/>
          <w:sz w:val="24"/>
          <w:szCs w:val="16"/>
          <w:lang w:val="en-US" w:eastAsia="zh-CN" w:bidi="ar-SA"/>
          <w14:textFill>
            <w14:solidFill>
              <w14:schemeClr w14:val="tx1"/>
            </w14:solidFill>
          </w14:textFill>
        </w:rPr>
        <w:t>3.</w:t>
      </w:r>
      <w:r>
        <w:rPr>
          <w:rFonts w:hint="eastAsia" w:ascii="宋体" w:hAnsi="宋体" w:eastAsia="宋体" w:cs="宋体"/>
          <w:color w:val="000000" w:themeColor="text1"/>
          <w:sz w:val="24"/>
          <w:szCs w:val="16"/>
          <w:lang w:val="en-US" w:eastAsia="zh-CN"/>
          <w14:textFill>
            <w14:solidFill>
              <w14:schemeClr w14:val="tx1"/>
            </w14:solidFill>
          </w14:textFill>
        </w:rPr>
        <w:t>审查项目</w:t>
      </w:r>
      <w:r>
        <w:rPr>
          <w:rFonts w:hint="eastAsia" w:ascii="宋体" w:hAnsi="宋体" w:eastAsia="宋体" w:cs="宋体"/>
          <w:color w:val="000000" w:themeColor="text1"/>
          <w:sz w:val="24"/>
          <w:szCs w:val="16"/>
          <w14:textFill>
            <w14:solidFill>
              <w14:schemeClr w14:val="tx1"/>
            </w14:solidFill>
          </w14:textFill>
        </w:rPr>
        <w:t>成果文件内容齐全，编制说明语言表达准确、言简意赅。</w:t>
      </w:r>
    </w:p>
    <w:p>
      <w:pPr>
        <w:keepNext w:val="0"/>
        <w:keepLines w:val="0"/>
        <w:pageBreakBefore w:val="0"/>
        <w:widowControl w:val="0"/>
        <w:numPr>
          <w:ilvl w:val="0"/>
          <w:numId w:val="0"/>
        </w:numPr>
        <w:kinsoku/>
        <w:wordWrap/>
        <w:overflowPunct/>
        <w:topLinePunct/>
        <w:autoSpaceDE/>
        <w:autoSpaceDN/>
        <w:bidi w:val="0"/>
        <w:adjustRightInd w:val="0"/>
        <w:snapToGrid/>
        <w:spacing w:line="360" w:lineRule="auto"/>
        <w:ind w:left="0" w:leftChars="0" w:firstLine="480" w:firstLineChars="200"/>
        <w:textAlignment w:val="baseline"/>
        <w:rPr>
          <w:rFonts w:hint="eastAsia" w:ascii="宋体" w:hAnsi="宋体" w:eastAsia="宋体" w:cs="宋体"/>
          <w:color w:val="000000" w:themeColor="text1"/>
          <w:sz w:val="24"/>
          <w:szCs w:val="16"/>
          <w14:textFill>
            <w14:solidFill>
              <w14:schemeClr w14:val="tx1"/>
            </w14:solidFill>
          </w14:textFill>
        </w:rPr>
      </w:pPr>
      <w:r>
        <w:rPr>
          <w:rFonts w:hint="default" w:ascii="宋体" w:hAnsi="宋体" w:eastAsia="宋体" w:cs="宋体"/>
          <w:color w:val="000000" w:themeColor="text1"/>
          <w:sz w:val="24"/>
          <w:szCs w:val="16"/>
          <w:lang w:val="en-US" w:eastAsia="zh-CN" w:bidi="ar-SA"/>
          <w14:textFill>
            <w14:solidFill>
              <w14:schemeClr w14:val="tx1"/>
            </w14:solidFill>
          </w14:textFill>
        </w:rPr>
        <w:t>4.</w:t>
      </w:r>
      <w:r>
        <w:rPr>
          <w:rFonts w:hint="eastAsia" w:ascii="宋体" w:hAnsi="宋体" w:eastAsia="宋体" w:cs="宋体"/>
          <w:color w:val="000000" w:themeColor="text1"/>
          <w:sz w:val="24"/>
          <w:szCs w:val="16"/>
          <w14:textFill>
            <w14:solidFill>
              <w14:schemeClr w14:val="tx1"/>
            </w14:solidFill>
          </w14:textFill>
        </w:rPr>
        <w:t>成立可行性报告评审及项目终验评审小组，制定评审会议议程，邀请行业专家参加，并组织评审会议。专家组成员由5名及以上技术、经济等专业的单数成员组成。</w:t>
      </w:r>
    </w:p>
    <w:p>
      <w:pPr>
        <w:keepNext w:val="0"/>
        <w:keepLines w:val="0"/>
        <w:pageBreakBefore w:val="0"/>
        <w:widowControl w:val="0"/>
        <w:numPr>
          <w:ilvl w:val="0"/>
          <w:numId w:val="0"/>
        </w:numPr>
        <w:kinsoku/>
        <w:wordWrap/>
        <w:overflowPunct/>
        <w:topLinePunct/>
        <w:autoSpaceDE/>
        <w:autoSpaceDN/>
        <w:bidi w:val="0"/>
        <w:adjustRightInd w:val="0"/>
        <w:snapToGrid/>
        <w:spacing w:line="360" w:lineRule="auto"/>
        <w:ind w:firstLine="480" w:firstLineChars="200"/>
        <w:textAlignment w:val="baseline"/>
        <w:rPr>
          <w:rFonts w:hint="eastAsia" w:ascii="宋体" w:hAnsi="宋体" w:eastAsia="宋体" w:cs="宋体"/>
          <w:color w:val="000000" w:themeColor="text1"/>
          <w:sz w:val="24"/>
          <w:szCs w:val="16"/>
          <w:lang w:val="en-US" w:eastAsia="zh-CN"/>
          <w14:textFill>
            <w14:solidFill>
              <w14:schemeClr w14:val="tx1"/>
            </w14:solidFill>
          </w14:textFill>
        </w:rPr>
      </w:pPr>
      <w:bookmarkStart w:id="14" w:name="_Toc1258"/>
      <w:r>
        <w:rPr>
          <w:rFonts w:hint="eastAsia" w:ascii="宋体" w:hAnsi="宋体" w:eastAsia="宋体" w:cs="宋体"/>
          <w:color w:val="000000" w:themeColor="text1"/>
          <w:sz w:val="24"/>
          <w:szCs w:val="16"/>
          <w:lang w:val="en-US" w:eastAsia="zh-CN"/>
          <w14:textFill>
            <w14:solidFill>
              <w14:schemeClr w14:val="tx1"/>
            </w14:solidFill>
          </w14:textFill>
        </w:rPr>
        <w:t>2.2.2监理服务</w:t>
      </w:r>
      <w:bookmarkEnd w:id="14"/>
    </w:p>
    <w:p>
      <w:pPr>
        <w:keepNext w:val="0"/>
        <w:keepLines w:val="0"/>
        <w:pageBreakBefore w:val="0"/>
        <w:widowControl w:val="0"/>
        <w:kinsoku/>
        <w:wordWrap/>
        <w:overflowPunct/>
        <w:topLinePunct/>
        <w:autoSpaceDE/>
        <w:autoSpaceDN/>
        <w:bidi w:val="0"/>
        <w:adjustRightInd w:val="0"/>
        <w:snapToGrid/>
        <w:spacing w:line="360" w:lineRule="auto"/>
        <w:ind w:firstLine="482" w:firstLineChars="200"/>
        <w:textAlignment w:val="baseline"/>
        <w:rPr>
          <w:rFonts w:hint="eastAsia" w:ascii="宋体" w:hAnsi="宋体" w:eastAsia="宋体" w:cs="宋体"/>
          <w:b/>
          <w:bCs/>
          <w:sz w:val="24"/>
          <w:szCs w:val="16"/>
          <w:lang w:val="en-US" w:eastAsia="zh-CN"/>
        </w:rPr>
      </w:pPr>
      <w:bookmarkStart w:id="15" w:name="_Toc11643"/>
      <w:r>
        <w:rPr>
          <w:rFonts w:hint="eastAsia" w:ascii="宋体" w:hAnsi="宋体" w:eastAsia="宋体" w:cs="宋体"/>
          <w:b/>
          <w:bCs/>
          <w:sz w:val="24"/>
          <w:szCs w:val="16"/>
          <w:lang w:val="en-US" w:eastAsia="zh-CN"/>
        </w:rPr>
        <w:t>服务内容</w:t>
      </w:r>
      <w:bookmarkEnd w:id="15"/>
      <w:r>
        <w:rPr>
          <w:rFonts w:hint="eastAsia" w:ascii="宋体" w:hAnsi="宋体" w:eastAsia="宋体" w:cs="宋体"/>
          <w:b/>
          <w:bCs/>
          <w:sz w:val="24"/>
          <w:szCs w:val="16"/>
          <w:lang w:val="en-US" w:eastAsia="zh-CN"/>
        </w:rPr>
        <w:t>：</w:t>
      </w:r>
    </w:p>
    <w:p>
      <w:pPr>
        <w:pStyle w:val="6"/>
        <w:keepNext w:val="0"/>
        <w:keepLines w:val="0"/>
        <w:pageBreakBefore w:val="0"/>
        <w:widowControl w:val="0"/>
        <w:kinsoku/>
        <w:wordWrap/>
        <w:overflowPunct/>
        <w:topLinePunct/>
        <w:autoSpaceDE/>
        <w:autoSpaceDN/>
        <w:bidi w:val="0"/>
        <w:adjustRightInd w:val="0"/>
        <w:snapToGrid/>
        <w:spacing w:line="360" w:lineRule="auto"/>
        <w:ind w:firstLine="480" w:firstLineChars="200"/>
        <w:textAlignment w:val="baseline"/>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投标人在保证其客观性和公证性的基础上，按照合同的要求和有关规范，对项目的质量、进度、投资等进行控制，同时，还要对合同的执行、信息管理、项目文档、知识产权等进行管理，确保项目文档管理的规范性，要用先进的、适合于系统建设项目特点的项目管理手段进行本项目的建设监理，使项目“按期保质、高效节约”地完成。具体内容包括：</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1.质量控制</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对承建单位提供的成果及时开展审查。检查承建单位项目实施中，工作成果及人员与需求规格书、实施方案的一致性，并按照已确定的质量监督方案对项目实施质量进行跟踪，尤其是对项目关键环节的实施要预先审核其合理性，并在必要时检查承建单位各项目步骤间的衔接工作，做好质量控制。</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（1）依据有关的招标文件、投标文件、合同及技术规范书等，审查、监督、控制项目建设的质量；</w:t>
      </w:r>
    </w:p>
    <w:p>
      <w:pPr>
        <w:pStyle w:val="6"/>
        <w:keepNext w:val="0"/>
        <w:keepLines w:val="0"/>
        <w:pageBreakBefore w:val="0"/>
        <w:widowControl w:val="0"/>
        <w:kinsoku/>
        <w:wordWrap/>
        <w:overflowPunct/>
        <w:topLinePunct/>
        <w:autoSpaceDE/>
        <w:autoSpaceDN/>
        <w:bidi w:val="0"/>
        <w:adjustRightInd w:val="0"/>
        <w:snapToGrid/>
        <w:ind w:firstLine="480" w:firstLineChars="200"/>
        <w:textAlignment w:val="baseline"/>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（2）采取事前预防、事中控制、事后纠正的监理方式，依据国家法律、法规、标准以及项目合同、设计方案、监理规划、监理实施细则等文件控制项目质量；</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（3）组织项目质量、系统集成等质量事故的原因调查、问题分析、问题评估、事故处理；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（4）监督系统项目需求管理、配置管理的执行和控制情况，督促实施单位整改存在的问题；</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（5）参与项目开发实施的测试、集成、竣工验收和交接。</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2.进度控制</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监理需要通过对项目招标阶段、设计阶段、实施阶段及验收阶段的分析，明确进度控制在不同阶段的目标及基本内容，具体为：</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（1）协助进行项目建设周期总进度目标的分析、论证；</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（2）审查各子项目的进度计划，并监督计划的执行；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（3）编制项目实施进度监理计划，并控制其执行，必要时调整进度计划；</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（4）审核承建单位提出的进度计划，检查、督促和控制其执行；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（5）发现项目未能按计划进行时，要求项目承建单位调整或修改计划，采取必要措施加快开发进度，以使实际项目进度符合合同的要求；</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（6）在项目实施过程中，每月进行计划值与实际值的比较，提交相关进度控制监理文档。</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（7）当项目质量或工期出现问题或严重偏离计划时，应及时向招标人报告，并提出对策建议，同时督促承建单位尽快采取措施。</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3.投资控制</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监理严格执行项目合同中所确定的合同价、单价和约定的付款条件；监理需要坚持验收资料不全、与项目合同的约定不符、各方签署不全或有违约时，监理不予审核和签署支付意见；监理需要坚持合理、公正的原则处理由于设计变更、合同变更和违约索赔引起的费用增减，具体工作为：</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（1）审查项目进度款申报；</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（2）严格控制和审查项目需求变更，报招标人审批；</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（3）协助招标人做好项目进度付款前的项目工作完成量确认，将付款进度与项目质量及进度结合起来。</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4.变更控制</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在变更控制方面加强管理，严格按照变更流程处理，对可能出现的变更实现有效的控制，可以在不突破预算的情况下，达到既定的项目目标。对项目变更控制，明确界定项目变更的目标，防止变更范围的扩大化，加强变更风险以及变更效果的评估。</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（1）对项目变更进行严格控制，不能随意地进行变更；</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（2）监理对可能发生的风险以及可能引起的变更要保持预控能力，也应当具备快速反应能力；</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（3）对变更申请快速响应；</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（4）任何变更都要得到三方（建设单位、承建单位、监理单位）确认；</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（5）明确界定项目变更的目标；</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（6）加强变更风险及变更效果的评估；</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（7）及时公布变更信息；</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（8）选择冲击最小的方案；</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（9）执行制定完成的变更程序，对变更进行严格的控制。</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5.合同管理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合同是信息化项目建设的基本依据，也是监理工作的主要依据之一，合同管理是信息化建设合同得到有效履行的有力保证，它贯穿于项目实施和监理活动的始终。</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（1）协助招标人确定项目实施的合同结构；</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（2）协助招标人起草与项目有关的各类合同；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（3）参与各类合同谈判；</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（4）监督检查承建单位履行合同；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（5）各类合同的跟踪管理（检查各方执行情况，提交合同管理报表与报告）；</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（6）协助招标人处理各子项目实施的每个过程出现的违约、索赔、延期、分包、纠纷调解及仲裁等问题；</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（7）合同整理与归档。</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6.信息管理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在信息化系统项目建设中，及时、准确、完善地掌握系统建设项目动态和有关信息，是信息化项目管理的重要工作内容，也是项目监理的重要内容。项目信息管理工作主要包括：</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（1）及时向招标人提交反映项目动态和监理工作情况的文档材料；</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（2）督促承建单位建立完善的项目管理制度、文档管理制度，监督承建单位按规范及时提交项目文档；</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（3）审查承建单位的设计文档、变更申请、验收申请等，并出具处理意见。</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（4）做好必要会议的会议纪要；</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（5）按规范及时出具监理双周报、月报等材料；</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（6）按要求规范管理好项目实施期间的各类技术文档。</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7.安全管理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（1）督促承建单位建立完善的信息安全管理制度，数据备份制度；</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（2）组织信息安全事故的调查与处理；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（3）建立信息化项目监理的信息安全管理工作目标和管理流程。</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8.沟通协调</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负责协调本项目所涉及的实施单位之间的工作关系，并协调解决项目建设过程中的各类纠纷。</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（1）帮助招标人划分或澄清承建单位的工作范围和职责；</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（2）监督本项目各方履行职责，协调各方的工作关系；</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（3）建立畅通的沟通平台和沟通渠道，采取有效措施使项目信息在有关各方之间保持顺畅流通，积极协调本项目各方之间的关系，推动项目实施过程中问题的解决。</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（4）投标人应通过必要的会议制度来实施协调工作。</w:t>
      </w:r>
    </w:p>
    <w:p>
      <w:pPr>
        <w:bidi w:val="0"/>
        <w:rPr>
          <w:rFonts w:hint="eastAsia" w:ascii="宋体" w:hAnsi="宋体" w:eastAsia="宋体" w:cs="宋体"/>
          <w:b/>
          <w:bCs/>
          <w:sz w:val="24"/>
          <w:szCs w:val="16"/>
          <w:lang w:val="en-US" w:eastAsia="zh-CN"/>
        </w:rPr>
      </w:pPr>
      <w:r>
        <w:rPr>
          <w:rFonts w:hint="eastAsia" w:ascii="宋体" w:hAnsi="宋体" w:eastAsia="宋体" w:cs="宋体"/>
          <w:b/>
          <w:bCs/>
          <w:sz w:val="24"/>
          <w:szCs w:val="16"/>
          <w:lang w:val="en-US" w:eastAsia="zh-CN"/>
        </w:rPr>
        <w:t xml:space="preserve"> </w:t>
      </w:r>
      <w:bookmarkStart w:id="16" w:name="_Toc18140"/>
      <w:r>
        <w:rPr>
          <w:rFonts w:hint="eastAsia" w:ascii="宋体" w:hAnsi="宋体" w:eastAsia="宋体" w:cs="宋体"/>
          <w:b/>
          <w:bCs/>
          <w:sz w:val="24"/>
          <w:szCs w:val="16"/>
          <w:lang w:val="en-US" w:eastAsia="zh-CN"/>
        </w:rPr>
        <w:t>服务要求</w:t>
      </w:r>
      <w:bookmarkEnd w:id="16"/>
      <w:r>
        <w:rPr>
          <w:rFonts w:hint="eastAsia" w:ascii="宋体" w:hAnsi="宋体" w:eastAsia="宋体" w:cs="宋体"/>
          <w:b/>
          <w:bCs/>
          <w:sz w:val="24"/>
          <w:szCs w:val="16"/>
          <w:lang w:val="en-US" w:eastAsia="zh-CN"/>
        </w:rPr>
        <w:t>：</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1.日常监理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（1）掌握监理范围内涉及的各种技术及相关标准；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（2）根据项目需要安排足够的监理人员，而且配备专职总监理工程师，现场安排监理人员提供全程服务；</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（3）建立健全科学合理的监理例会、专题会议、协调沟通等会议制度，在实际监理过程中，监理人员监督贯彻执行；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（4）总监理工程师组织监理工程师，依据南方电网公司信息化项目管理办法及其他相关标准、规范要求，</w:t>
      </w:r>
      <w:r>
        <w:rPr>
          <w:rFonts w:ascii="Segoe UI" w:hAnsi="Segoe UI" w:eastAsia="Segoe UI" w:cs="Segoe UI"/>
          <w:i w:val="0"/>
          <w:iCs w:val="0"/>
          <w:caps w:val="0"/>
          <w:color w:val="auto"/>
          <w:spacing w:val="0"/>
          <w:sz w:val="24"/>
          <w:szCs w:val="24"/>
          <w:shd w:val="clear" w:fill="FFFFFF"/>
        </w:rPr>
        <w:t>结合南方电网</w:t>
      </w:r>
      <w:r>
        <w:rPr>
          <w:rFonts w:hint="eastAsia" w:ascii="Segoe UI" w:hAnsi="Segoe UI" w:eastAsia="宋体" w:cs="Segoe UI"/>
          <w:i w:val="0"/>
          <w:iCs w:val="0"/>
          <w:caps w:val="0"/>
          <w:color w:val="auto"/>
          <w:spacing w:val="0"/>
          <w:sz w:val="24"/>
          <w:szCs w:val="24"/>
          <w:shd w:val="clear" w:fill="FFFFFF"/>
          <w:lang w:val="en-US" w:eastAsia="zh-CN"/>
        </w:rPr>
        <w:t>互联网服务有限公司</w:t>
      </w:r>
      <w:r>
        <w:rPr>
          <w:rFonts w:ascii="Segoe UI" w:hAnsi="Segoe UI" w:eastAsia="Segoe UI" w:cs="Segoe UI"/>
          <w:i w:val="0"/>
          <w:iCs w:val="0"/>
          <w:caps w:val="0"/>
          <w:color w:val="auto"/>
          <w:spacing w:val="0"/>
          <w:sz w:val="24"/>
          <w:szCs w:val="24"/>
          <w:shd w:val="clear" w:fill="FFFFFF"/>
        </w:rPr>
        <w:t>数字化</w:t>
      </w:r>
      <w:r>
        <w:rPr>
          <w:rFonts w:hint="eastAsia" w:ascii="Segoe UI" w:hAnsi="Segoe UI" w:eastAsia="宋体" w:cs="Segoe UI"/>
          <w:i w:val="0"/>
          <w:iCs w:val="0"/>
          <w:caps w:val="0"/>
          <w:color w:val="auto"/>
          <w:spacing w:val="0"/>
          <w:sz w:val="24"/>
          <w:szCs w:val="24"/>
          <w:shd w:val="clear" w:fill="FFFFFF"/>
          <w:lang w:eastAsia="zh-CN"/>
        </w:rPr>
        <w:t>项目</w:t>
      </w:r>
      <w:r>
        <w:rPr>
          <w:rFonts w:ascii="Segoe UI" w:hAnsi="Segoe UI" w:eastAsia="Segoe UI" w:cs="Segoe UI"/>
          <w:i w:val="0"/>
          <w:iCs w:val="0"/>
          <w:caps w:val="0"/>
          <w:color w:val="auto"/>
          <w:spacing w:val="0"/>
          <w:sz w:val="24"/>
          <w:szCs w:val="24"/>
          <w:shd w:val="clear" w:fill="FFFFFF"/>
        </w:rPr>
        <w:t>建设特</w:t>
      </w:r>
      <w:r>
        <w:rPr>
          <w:rFonts w:ascii="Segoe UI" w:hAnsi="Segoe UI" w:eastAsia="Segoe UI" w:cs="Segoe UI"/>
          <w:i w:val="0"/>
          <w:iCs w:val="0"/>
          <w:caps w:val="0"/>
          <w:color w:val="404040"/>
          <w:spacing w:val="0"/>
          <w:sz w:val="24"/>
          <w:szCs w:val="24"/>
          <w:shd w:val="clear" w:fill="FFFFFF"/>
        </w:rPr>
        <w:t>点，</w:t>
      </w:r>
      <w:r>
        <w:rPr>
          <w:rFonts w:hint="eastAsia" w:ascii="宋体" w:hAnsi="宋体" w:eastAsia="宋体" w:cs="宋体"/>
          <w:color w:val="000000" w:themeColor="text1"/>
          <w:sz w:val="24"/>
          <w:szCs w:val="16"/>
          <w:lang w:val="en-US" w:eastAsia="zh-CN"/>
          <w14:textFill>
            <w14:solidFill>
              <w14:schemeClr w14:val="tx1"/>
            </w14:solidFill>
          </w14:textFill>
        </w:rPr>
        <w:t>建立健全科学合理的文档管理制度，制订开发过程中产生的各类文档制作、管理规范，并认真贯彻落实；</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投标人与招标人一起制定评审机制，在项目实施全过程中随时关注隐患苗头，如发现将会导致项目失败的情况出现时，将及时启动评审机制，组织专家对项目实施情况进行评审，对评审不合格的，向招标人提出终止合同意见；</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（6）对于其他需要日常监理的事项，按照招标人要求及监理规范严格执行。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2.实施过程中的监理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（1）投标人对本项目做出服务承诺，为项目提供全过程监理服务；</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（2）总监理工程师组织监理工程师编制监理规划、监理实施细则，提交给招标人审核；</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总监理工程师根据相关项目的工作范围的要求，组织监理人员制定出详细的项目管理实施计划，主要内容包括项目计划管理、人员管理、进度管理、质量管理、变更管理、合同管理、安全管理、沟通与协调管理、风险管理、验收管理、文档管理、知识产权管理等，提交给招标人审核，并依此进行过程管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根据项目的总体规划，投标人与招标人联合对承建单位制定的项目总体方案、技术方案、实施策略、实施规范等进行审核评估，并提交审核意见及相关问题处理方案和措施的专题报告，并在项目实施过程中监督方案和措施的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（5）投标人督促承建单位严格执行项目开发合同、国家相关技术标准、规范，对违反要求的及时向招标人报告，并提出处理方案。对项目中的难点、重点进行检查，做好分项验收工作；</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对项目中各项目以及项目整体的进展状况进行评审及监控，投标人定期检查汇报项目实际进度情况，审核承建单位的进度报告，对项目实施过程中各个阶段的实施成果进行评审和管理，并提交审核意见及相关问题处理方案和措施，以及监督方案和措施的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（7）投标人参与建设模型、环境的选择工作，监控建设过程质量；</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（8）投标人监督需求管理、配置管理的执行和控制情况，督促招标人整改存在的问题；</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（9）根据项目进度情况，投标人对阶段测试方案进行评审，并根据测试方案对已完成部分进行抽样测试，就发现的问题提出处理方案和措施，以及监督方案和措施的执行；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 xml:space="preserve">（10）管理项目的时间进度，监控项目计划的制定和执行，帮助预测、识别项目中出现的主要问题和面临的主要风险因素，并跟踪、协调解决各种项目问题和风险； </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（11）对项目的重大变更进行审核和有效控制，投标人对提出的相关变更处理方案及措施进行审查，以及监督方案和措施的执行，处理好各种变更及索赔事宜；</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（12）监理工程师组织项目质量、系统集成质量事故的原因调查、问题分析、问题评估、事故处理；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（13）监理工程师发现承建单位出现质量问题时及时向招标人报告，并提出处理方案和措施，以及并监督方案和措施执行；</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（14）总监理工程师组织每月编制监理月报向招标人综合报告和评价本月的质量和进度、合同执行情况、发生的重大事件、下月工作的计划、需要配合的事宜以及发生变化的可能性与应对措施；</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（15）其他需要监理的事项。</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3.验收过程中的监理</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（1）投标人审核承建单位测试方案，对测试过程进行全程监控，确保交付质量；</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（2）投标人审核第三方测试计划、用例，确保产品质量；</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（3）投标人协助招标人审批承建单位的验收申请，并制订项目验收计划；</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（4）开展各阶段项目初步验收，验收通过后，协助招标人进行项目建设阶段验收工作，并负责督促和检查承建单位的整改工作；</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（5）各项目完工后根据相关合同督促承建单位将完整的原始实施技术资料移交给招标人，同时负责检查移交的文档，确保真实和完整；</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（6）复核确认或否决承建单位编制的项目结算、决算；</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（7）项目验收通过后，根据合同要求，与招标人、承建单位出具验收合格报告；</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（8）出具监理总结报告；</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（9）其他需要监理的事项。</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4.项目团队要求</w:t>
      </w:r>
    </w:p>
    <w:p>
      <w:pPr>
        <w:pStyle w:val="6"/>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为保证监理工作的顺利实施，监理公司应根据项目整体实施进度，明确项目实施的组织架构及人员配备方案，能够提供足够的实施经验丰富的项目组成员，如熟悉系统业务、具有开发经验、监理经验等，并提供参与该项目人员的履历。项目组成员具备其负责专项内容的资质证书优</w:t>
      </w:r>
      <w:r>
        <w:rPr>
          <w:rFonts w:hint="eastAsia" w:ascii="宋体" w:hAnsi="宋体" w:eastAsia="宋体" w:cs="宋体"/>
          <w:color w:val="000000" w:themeColor="text1"/>
          <w:sz w:val="24"/>
          <w14:textFill>
            <w14:solidFill>
              <w14:schemeClr w14:val="tx1"/>
            </w14:solidFill>
          </w14:textFill>
        </w:rPr>
        <w:t>先。总监理工程师及主要项目成员应具有与本项目内容相关的案例经验。项目组将依据合同进行监理，通过计划、组织、控制协调、激励等手段，促使合同双方履行各自的义务，最终完成系统建设项目。</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（1）人</w:t>
      </w:r>
      <w:r>
        <w:rPr>
          <w:rFonts w:hint="eastAsia" w:ascii="宋体" w:hAnsi="宋体" w:eastAsia="宋体" w:cs="宋体"/>
          <w:color w:val="000000" w:themeColor="text1"/>
          <w:sz w:val="24"/>
          <w:szCs w:val="16"/>
          <w:lang w:val="en-US" w:eastAsia="zh-CN"/>
          <w14:textFill>
            <w14:solidFill>
              <w14:schemeClr w14:val="tx1"/>
            </w14:solidFill>
          </w14:textFill>
        </w:rPr>
        <w:t>员要求</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监理团队至少4人，其中包含1名总监理工程师和3名专业监理人员，监理团队至少安排2名专业监理人员应在项目执行过程中全程提供驻场服务。</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（2）人员变更要求</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监理合同履行结束前，投标人不得更换总监理工程师（项目负责人），不得随便更换项目组成员，如需要更换项目组成员，应书面征得招标人相关负责人同意。</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（3）监理工作制度</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为了保证项目监理目标实现，投标人须提供监理工作制度，并且在监理过程中严格遵守相关的监理制度。</w:t>
      </w:r>
    </w:p>
    <w:p>
      <w:pPr>
        <w:pStyle w:val="6"/>
        <w:rPr>
          <w:rFonts w:hint="eastAsia" w:ascii="宋体" w:hAnsi="宋体" w:eastAsia="宋体" w:cs="宋体"/>
          <w:color w:val="000000" w:themeColor="text1"/>
          <w:sz w:val="24"/>
          <w:szCs w:val="16"/>
          <w:lang w:val="en-US" w:eastAsia="zh-CN"/>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（4）驻场监理服务计划</w:t>
      </w:r>
    </w:p>
    <w:p>
      <w:pPr>
        <w:pStyle w:val="6"/>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16"/>
          <w:lang w:val="en-US" w:eastAsia="zh-CN"/>
          <w14:textFill>
            <w14:solidFill>
              <w14:schemeClr w14:val="tx1"/>
            </w14:solidFill>
          </w14:textFill>
        </w:rPr>
        <w:t>投标人应针对项</w:t>
      </w:r>
      <w:r>
        <w:rPr>
          <w:rFonts w:hint="eastAsia" w:ascii="宋体" w:hAnsi="宋体" w:eastAsia="宋体" w:cs="宋体"/>
          <w:color w:val="000000" w:themeColor="text1"/>
          <w:sz w:val="24"/>
          <w14:textFill>
            <w14:solidFill>
              <w14:schemeClr w14:val="tx1"/>
            </w14:solidFill>
          </w14:textFill>
        </w:rPr>
        <w:t>目不同阶段增派不同专业领域的专业监理人员提供驻场监理服务，保障监理过程的专业性和监理服务质量。</w:t>
      </w:r>
    </w:p>
    <w:p>
      <w:pPr>
        <w:spacing w:before="120" w:beforeLines="50" w:after="120" w:afterLines="50" w:line="360" w:lineRule="auto"/>
        <w:ind w:firstLine="0"/>
        <w:jc w:val="center"/>
        <w:outlineLvl w:val="0"/>
        <w:rPr>
          <w:rFonts w:ascii="Calibri" w:hAnsi="宋体" w:eastAsia="宋体"/>
          <w:b/>
          <w:color w:val="auto"/>
          <w:kern w:val="44"/>
          <w:sz w:val="36"/>
          <w:szCs w:val="32"/>
        </w:rPr>
      </w:pPr>
      <w:bookmarkStart w:id="17" w:name="_Toc398857776"/>
      <w:bookmarkStart w:id="18" w:name="_Toc396982639"/>
      <w:bookmarkStart w:id="19" w:name="_Toc346550843"/>
      <w:r>
        <w:rPr>
          <w:rFonts w:hint="eastAsia" w:ascii="Calibri" w:hAnsi="宋体" w:eastAsia="宋体"/>
          <w:b/>
          <w:color w:val="auto"/>
          <w:kern w:val="44"/>
          <w:sz w:val="36"/>
          <w:szCs w:val="32"/>
        </w:rPr>
        <w:t xml:space="preserve">三 </w:t>
      </w:r>
      <w:r>
        <w:rPr>
          <w:rFonts w:ascii="Calibri" w:hAnsi="宋体" w:eastAsia="宋体"/>
          <w:b/>
          <w:color w:val="auto"/>
          <w:kern w:val="44"/>
          <w:sz w:val="36"/>
          <w:szCs w:val="32"/>
        </w:rPr>
        <w:t>验收要求</w:t>
      </w:r>
    </w:p>
    <w:p>
      <w:pPr>
        <w:pStyle w:val="4"/>
        <w:spacing w:before="0" w:after="0" w:line="360" w:lineRule="auto"/>
        <w:rPr>
          <w:rFonts w:hint="eastAsia" w:eastAsia="宋体"/>
          <w:color w:val="auto"/>
          <w:lang w:val="en-US" w:eastAsia="zh-CN"/>
        </w:rPr>
      </w:pPr>
      <w:r>
        <w:rPr>
          <w:rFonts w:hint="eastAsia" w:eastAsia="宋体"/>
          <w:color w:val="auto"/>
          <w:lang w:val="en-US" w:eastAsia="zh-CN"/>
        </w:rPr>
        <w:t>3.1 按服务范围要求和</w:t>
      </w:r>
      <w:r>
        <w:rPr>
          <w:rFonts w:hint="eastAsia"/>
          <w:color w:val="auto"/>
          <w:lang w:val="en-US" w:eastAsia="zh-CN"/>
        </w:rPr>
        <w:t>招标人</w:t>
      </w:r>
      <w:r>
        <w:rPr>
          <w:rFonts w:hint="eastAsia" w:eastAsia="宋体"/>
          <w:color w:val="auto"/>
          <w:lang w:val="en-US" w:eastAsia="zh-CN"/>
        </w:rPr>
        <w:t>实际业务提交交付物</w:t>
      </w:r>
      <w:bookmarkEnd w:id="17"/>
      <w:bookmarkEnd w:id="18"/>
      <w:bookmarkEnd w:id="19"/>
      <w:bookmarkStart w:id="20" w:name="_Toc396982643"/>
      <w:bookmarkStart w:id="21" w:name="_Toc398857777"/>
    </w:p>
    <w:p>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3.1.1 </w:t>
      </w:r>
      <w:r>
        <w:rPr>
          <w:rFonts w:hint="eastAsia" w:ascii="Times New Roman" w:hAnsi="宋体" w:eastAsia="宋体" w:cs="Times New Roman"/>
          <w:b w:val="0"/>
          <w:bCs w:val="0"/>
          <w:color w:val="auto"/>
          <w:sz w:val="24"/>
          <w:szCs w:val="24"/>
          <w:lang w:val="en-US" w:eastAsia="zh-CN"/>
        </w:rPr>
        <w:t>可行</w:t>
      </w:r>
      <w:r>
        <w:rPr>
          <w:rFonts w:hint="eastAsia" w:ascii="宋体" w:hAnsi="宋体" w:eastAsia="宋体" w:cs="宋体"/>
          <w:color w:val="000000" w:themeColor="text1"/>
          <w:sz w:val="24"/>
          <w:lang w:val="en-US" w:eastAsia="zh-CN"/>
          <w14:textFill>
            <w14:solidFill>
              <w14:schemeClr w14:val="tx1"/>
            </w14:solidFill>
          </w14:textFill>
        </w:rPr>
        <w:t>性研究报告评审和项目终验评审</w:t>
      </w:r>
    </w:p>
    <w:p>
      <w:pPr>
        <w:spacing w:line="360" w:lineRule="auto"/>
        <w:ind w:firstLine="480" w:firstLineChars="200"/>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交付物包括不限于：初步审核意见、评审工作总结及其他相关材料。</w:t>
      </w:r>
    </w:p>
    <w:p>
      <w:pPr>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3.1.2 监理服务交付物</w:t>
      </w:r>
    </w:p>
    <w:p>
      <w:pPr>
        <w:spacing w:line="360" w:lineRule="auto"/>
        <w:ind w:firstLine="480" w:firstLineChars="200"/>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t>交付物包括不限于：监理规划、监理实施细则、监理</w:t>
      </w:r>
      <w:r>
        <w:rPr>
          <w:rFonts w:hint="eastAsia" w:ascii="宋体" w:hAnsi="宋体" w:eastAsia="宋体" w:cs="宋体"/>
          <w:color w:val="000000" w:themeColor="text1"/>
          <w:sz w:val="24"/>
          <w:lang w:val="en-US" w:eastAsia="zh-CN"/>
          <w14:textFill>
            <w14:solidFill>
              <w14:schemeClr w14:val="tx1"/>
            </w14:solidFill>
          </w14:textFill>
        </w:rPr>
        <w:t>专题报告</w:t>
      </w:r>
      <w:r>
        <w:rPr>
          <w:rFonts w:hint="default" w:ascii="宋体" w:hAnsi="宋体" w:eastAsia="宋体" w:cs="宋体"/>
          <w:color w:val="000000" w:themeColor="text1"/>
          <w:sz w:val="24"/>
          <w:lang w:val="en-US" w:eastAsia="zh-CN"/>
          <w14:textFill>
            <w14:solidFill>
              <w14:schemeClr w14:val="tx1"/>
            </w14:solidFill>
          </w14:textFill>
        </w:rPr>
        <w:t>、监理</w:t>
      </w:r>
      <w:r>
        <w:rPr>
          <w:rFonts w:hint="eastAsia" w:ascii="宋体" w:hAnsi="宋体" w:eastAsia="宋体" w:cs="宋体"/>
          <w:color w:val="000000" w:themeColor="text1"/>
          <w:sz w:val="24"/>
          <w:lang w:val="en-US" w:eastAsia="zh-CN"/>
          <w14:textFill>
            <w14:solidFill>
              <w14:schemeClr w14:val="tx1"/>
            </w14:solidFill>
          </w14:textFill>
        </w:rPr>
        <w:t>双周</w:t>
      </w:r>
      <w:r>
        <w:rPr>
          <w:rFonts w:hint="default" w:ascii="宋体" w:hAnsi="宋体" w:eastAsia="宋体" w:cs="宋体"/>
          <w:color w:val="000000" w:themeColor="text1"/>
          <w:sz w:val="24"/>
          <w:lang w:val="en-US" w:eastAsia="zh-CN"/>
          <w14:textFill>
            <w14:solidFill>
              <w14:schemeClr w14:val="tx1"/>
            </w14:solidFill>
          </w14:textFill>
        </w:rPr>
        <w:t>报、监理月报、监理总结报告等。</w:t>
      </w:r>
    </w:p>
    <w:p>
      <w:pPr>
        <w:spacing w:before="120" w:beforeLines="50" w:after="120" w:afterLines="50" w:line="360" w:lineRule="auto"/>
        <w:ind w:firstLine="0"/>
        <w:jc w:val="center"/>
        <w:outlineLvl w:val="0"/>
        <w:rPr>
          <w:rFonts w:hint="eastAsia" w:ascii="Calibri" w:hAnsi="宋体" w:eastAsia="宋体"/>
          <w:b/>
          <w:color w:val="auto"/>
          <w:kern w:val="44"/>
          <w:sz w:val="36"/>
          <w:szCs w:val="32"/>
          <w:lang w:val="en-US" w:eastAsia="zh-CN"/>
        </w:rPr>
      </w:pPr>
      <w:r>
        <w:rPr>
          <w:rFonts w:hint="eastAsia" w:ascii="Calibri" w:hAnsi="宋体" w:eastAsia="宋体"/>
          <w:b/>
          <w:color w:val="auto"/>
          <w:kern w:val="44"/>
          <w:sz w:val="36"/>
          <w:szCs w:val="32"/>
          <w:lang w:val="en-US" w:eastAsia="zh-CN"/>
        </w:rPr>
        <w:t>四 质量保证</w:t>
      </w:r>
      <w:bookmarkEnd w:id="20"/>
      <w:bookmarkEnd w:id="21"/>
    </w:p>
    <w:p>
      <w:pPr>
        <w:pStyle w:val="4"/>
        <w:spacing w:before="0" w:after="0" w:line="360" w:lineRule="auto"/>
        <w:rPr>
          <w:rFonts w:hint="eastAsia" w:eastAsia="宋体"/>
          <w:color w:val="auto"/>
          <w:lang w:val="en-US" w:eastAsia="zh-CN"/>
        </w:rPr>
      </w:pPr>
      <w:bookmarkStart w:id="22" w:name="_Toc147119730"/>
      <w:bookmarkStart w:id="23" w:name="_Toc398857778"/>
      <w:bookmarkStart w:id="24" w:name="_Toc396982644"/>
      <w:r>
        <w:rPr>
          <w:rFonts w:hint="eastAsia" w:eastAsia="宋体"/>
          <w:color w:val="auto"/>
          <w:lang w:val="en-US" w:eastAsia="zh-CN"/>
        </w:rPr>
        <w:t>4.1 质量保证</w:t>
      </w:r>
    </w:p>
    <w:p>
      <w:pPr>
        <w:spacing w:line="360" w:lineRule="auto"/>
        <w:ind w:firstLine="480" w:firstLineChars="200"/>
        <w:rPr>
          <w:rFonts w:hint="eastAsia" w:ascii="Calibri" w:hAnsi="宋体" w:eastAsia="宋体"/>
          <w:color w:val="auto"/>
          <w:sz w:val="24"/>
          <w:szCs w:val="32"/>
          <w:lang w:val="zh-CN" w:eastAsia="zh-CN"/>
        </w:rPr>
      </w:pPr>
      <w:r>
        <w:rPr>
          <w:rFonts w:hint="eastAsia" w:ascii="宋体" w:hAnsi="宋体" w:eastAsia="宋体" w:cs="宋体"/>
          <w:color w:val="000000" w:themeColor="text1"/>
          <w:sz w:val="24"/>
          <w:lang w:val="zh-CN" w:eastAsia="zh-CN"/>
          <w14:textFill>
            <w14:solidFill>
              <w14:schemeClr w14:val="tx1"/>
            </w14:solidFill>
          </w14:textFill>
        </w:rPr>
        <w:t>投标人提供的服务</w:t>
      </w:r>
      <w:r>
        <w:rPr>
          <w:rFonts w:hint="eastAsia" w:ascii="宋体" w:hAnsi="宋体" w:eastAsia="宋体" w:cs="宋体"/>
          <w:color w:val="000000" w:themeColor="text1"/>
          <w:sz w:val="24"/>
          <w:lang w:val="en-US" w:eastAsia="zh-CN"/>
          <w14:textFill>
            <w14:solidFill>
              <w14:schemeClr w14:val="tx1"/>
            </w14:solidFill>
          </w14:textFill>
        </w:rPr>
        <w:t>应尽可能</w:t>
      </w:r>
      <w:r>
        <w:rPr>
          <w:rFonts w:hint="eastAsia" w:ascii="宋体" w:hAnsi="宋体" w:eastAsia="宋体" w:cs="宋体"/>
          <w:color w:val="000000" w:themeColor="text1"/>
          <w:sz w:val="24"/>
          <w:lang w:val="zh-CN" w:eastAsia="zh-CN"/>
          <w14:textFill>
            <w14:solidFill>
              <w14:schemeClr w14:val="tx1"/>
            </w14:solidFill>
          </w14:textFill>
        </w:rPr>
        <w:t>符合本技术规范书的各项要求和指标，若有与本文件要求不一致的地方，必须逐项在“技术差异表”中列出。</w:t>
      </w:r>
      <w:r>
        <w:rPr>
          <w:rFonts w:hint="eastAsia" w:ascii="宋体" w:hAnsi="宋体" w:eastAsia="宋体" w:cs="宋体"/>
          <w:color w:val="000000" w:themeColor="text1"/>
          <w:sz w:val="24"/>
          <w:lang w:val="en-US" w:eastAsia="zh-CN"/>
          <w14:textFill>
            <w14:solidFill>
              <w14:schemeClr w14:val="tx1"/>
            </w14:solidFill>
          </w14:textFill>
        </w:rPr>
        <w:t>此外，</w:t>
      </w:r>
      <w:r>
        <w:rPr>
          <w:rFonts w:hint="eastAsia" w:ascii="宋体" w:hAnsi="宋体" w:eastAsia="宋体" w:cs="宋体"/>
          <w:color w:val="000000" w:themeColor="text1"/>
          <w:sz w:val="24"/>
          <w:lang w:val="zh-CN" w:eastAsia="zh-CN"/>
          <w14:textFill>
            <w14:solidFill>
              <w14:schemeClr w14:val="tx1"/>
            </w14:solidFill>
          </w14:textFill>
        </w:rPr>
        <w:t>投标人</w:t>
      </w:r>
      <w:r>
        <w:rPr>
          <w:rFonts w:hint="eastAsia" w:ascii="宋体" w:hAnsi="宋体" w:eastAsia="宋体" w:cs="宋体"/>
          <w:color w:val="000000" w:themeColor="text1"/>
          <w:sz w:val="24"/>
          <w:lang w:val="en-US" w:eastAsia="zh-CN"/>
          <w14:textFill>
            <w14:solidFill>
              <w14:schemeClr w14:val="tx1"/>
            </w14:solidFill>
          </w14:textFill>
        </w:rPr>
        <w:t>如</w:t>
      </w:r>
      <w:r>
        <w:rPr>
          <w:rFonts w:hint="eastAsia" w:ascii="宋体" w:hAnsi="宋体" w:eastAsia="宋体" w:cs="宋体"/>
          <w:color w:val="000000" w:themeColor="text1"/>
          <w:sz w:val="24"/>
          <w:lang w:val="zh-CN" w:eastAsia="zh-CN"/>
          <w14:textFill>
            <w14:solidFill>
              <w14:schemeClr w14:val="tx1"/>
            </w14:solidFill>
          </w14:textFill>
        </w:rPr>
        <w:t>认为有必要且经招标人认可，</w:t>
      </w:r>
      <w:r>
        <w:rPr>
          <w:rFonts w:hint="eastAsia" w:ascii="Calibri" w:hAnsi="宋体" w:eastAsia="宋体"/>
          <w:color w:val="auto"/>
          <w:sz w:val="24"/>
          <w:szCs w:val="32"/>
          <w:lang w:val="zh-CN" w:eastAsia="zh-CN"/>
        </w:rPr>
        <w:t>即可超越这些标准，采用更好、更经济的设计和材料，使投标人的服务持续稳定地运行。</w:t>
      </w:r>
    </w:p>
    <w:p>
      <w:pPr>
        <w:pStyle w:val="6"/>
        <w:rPr>
          <w:rFonts w:hint="eastAsia"/>
          <w:color w:val="auto"/>
          <w:lang w:val="zh-CN" w:eastAsia="zh-CN"/>
        </w:rPr>
      </w:pPr>
    </w:p>
    <w:p>
      <w:pPr>
        <w:spacing w:before="120" w:beforeLines="50" w:after="120" w:afterLines="50" w:line="360" w:lineRule="auto"/>
        <w:ind w:firstLine="0"/>
        <w:jc w:val="center"/>
        <w:outlineLvl w:val="0"/>
        <w:rPr>
          <w:rFonts w:hint="eastAsia" w:ascii="Calibri" w:hAnsi="宋体" w:eastAsia="宋体"/>
          <w:b/>
          <w:color w:val="auto"/>
          <w:kern w:val="44"/>
          <w:sz w:val="36"/>
          <w:szCs w:val="32"/>
        </w:rPr>
      </w:pPr>
      <w:r>
        <w:rPr>
          <w:rFonts w:hint="eastAsia" w:ascii="Calibri" w:hAnsi="宋体" w:eastAsia="宋体"/>
          <w:b/>
          <w:color w:val="auto"/>
          <w:kern w:val="44"/>
          <w:sz w:val="36"/>
          <w:szCs w:val="32"/>
        </w:rPr>
        <w:t>五 时间保证</w:t>
      </w:r>
    </w:p>
    <w:p>
      <w:pPr>
        <w:pStyle w:val="4"/>
        <w:spacing w:before="0" w:after="0" w:line="360" w:lineRule="auto"/>
        <w:rPr>
          <w:rFonts w:hint="eastAsia" w:eastAsia="宋体"/>
          <w:color w:val="auto"/>
          <w:lang w:val="en-US" w:eastAsia="zh-CN"/>
        </w:rPr>
      </w:pPr>
      <w:r>
        <w:rPr>
          <w:rFonts w:hint="eastAsia" w:eastAsia="宋体"/>
          <w:color w:val="auto"/>
          <w:lang w:val="zh-CN" w:eastAsia="zh-CN"/>
        </w:rPr>
        <w:t>5.</w:t>
      </w:r>
      <w:r>
        <w:rPr>
          <w:rFonts w:hint="eastAsia" w:eastAsia="宋体"/>
          <w:color w:val="auto"/>
          <w:lang w:val="en-US" w:eastAsia="zh-CN"/>
        </w:rPr>
        <w:t>1 时间保证</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jc w:val="both"/>
        <w:textAlignment w:val="baseline"/>
        <w:rPr>
          <w:rFonts w:hint="eastAsia" w:ascii="宋体" w:hAnsi="宋体" w:eastAsia="宋体" w:cs="宋体"/>
          <w:color w:val="auto"/>
          <w:sz w:val="24"/>
          <w:szCs w:val="32"/>
          <w:lang w:val="zh-CN" w:eastAsia="zh-CN"/>
        </w:rPr>
      </w:pPr>
      <w:r>
        <w:rPr>
          <w:rFonts w:hint="eastAsia" w:ascii="Calibri" w:hAnsi="宋体" w:eastAsia="宋体"/>
          <w:color w:val="auto"/>
          <w:sz w:val="24"/>
          <w:szCs w:val="32"/>
          <w:lang w:val="en-US" w:eastAsia="zh-CN"/>
        </w:rPr>
        <w:t>招标人</w:t>
      </w:r>
      <w:r>
        <w:rPr>
          <w:rFonts w:hint="eastAsia" w:ascii="宋体" w:hAnsi="宋体" w:eastAsia="宋体" w:cs="宋体"/>
          <w:color w:val="auto"/>
          <w:sz w:val="24"/>
          <w:szCs w:val="32"/>
          <w:lang w:val="zh-CN" w:eastAsia="zh-CN"/>
        </w:rPr>
        <w:t>有义务协助</w:t>
      </w:r>
      <w:r>
        <w:rPr>
          <w:rFonts w:hint="eastAsia" w:ascii="宋体" w:hAnsi="宋体" w:eastAsia="宋体" w:cs="宋体"/>
          <w:color w:val="auto"/>
          <w:sz w:val="24"/>
          <w:szCs w:val="32"/>
          <w:lang w:val="en-US" w:eastAsia="zh-CN"/>
        </w:rPr>
        <w:t>投标人</w:t>
      </w:r>
      <w:r>
        <w:rPr>
          <w:rFonts w:hint="eastAsia" w:ascii="宋体" w:hAnsi="宋体" w:eastAsia="宋体" w:cs="宋体"/>
          <w:color w:val="auto"/>
          <w:sz w:val="24"/>
          <w:szCs w:val="32"/>
          <w:lang w:val="zh-CN" w:eastAsia="zh-CN"/>
        </w:rPr>
        <w:t>开展相关沟通协调工作，但投标人须按照</w:t>
      </w:r>
      <w:r>
        <w:rPr>
          <w:rFonts w:hint="eastAsia" w:ascii="宋体" w:hAnsi="宋体" w:eastAsia="宋体" w:cs="宋体"/>
          <w:color w:val="auto"/>
          <w:sz w:val="24"/>
          <w:szCs w:val="32"/>
          <w:lang w:val="en-US" w:eastAsia="zh-CN"/>
        </w:rPr>
        <w:t>以下</w:t>
      </w:r>
      <w:r>
        <w:rPr>
          <w:rFonts w:hint="eastAsia" w:ascii="宋体" w:hAnsi="宋体" w:eastAsia="宋体" w:cs="宋体"/>
          <w:color w:val="auto"/>
          <w:sz w:val="24"/>
          <w:szCs w:val="32"/>
          <w:lang w:val="zh-CN" w:eastAsia="zh-CN"/>
        </w:rPr>
        <w:t>时间节点，完成各项工作。</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jc w:val="both"/>
        <w:textAlignment w:val="baseline"/>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5.1.1可行性研究报告评审和项目终验评审</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jc w:val="both"/>
        <w:textAlignment w:val="baseline"/>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可行性研究报告评审：收到单项委托之日起3-5个工作日内完成可研评审报告。如有特殊情况，中标方可根据招标人实际约定时间完成评审报告的交付与递交。</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jc w:val="both"/>
        <w:textAlignment w:val="baseline"/>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项目终验评审：验收申请审批通过后10个工作日完成验收评审。如有特殊情况，中标方可根据招标人实际约定时间完成终验评审。</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jc w:val="both"/>
        <w:textAlignment w:val="baseline"/>
        <w:rPr>
          <w:rFonts w:hint="eastAsia" w:ascii="Calibri" w:hAnsi="宋体" w:eastAsia="宋体"/>
          <w:color w:val="auto"/>
          <w:sz w:val="24"/>
          <w:szCs w:val="32"/>
          <w:lang w:val="en-US" w:eastAsia="zh-CN"/>
        </w:rPr>
      </w:pPr>
      <w:r>
        <w:rPr>
          <w:rFonts w:hint="eastAsia" w:ascii="宋体" w:hAnsi="宋体" w:eastAsia="宋体" w:cs="宋体"/>
          <w:color w:val="auto"/>
          <w:sz w:val="24"/>
          <w:szCs w:val="32"/>
          <w:lang w:val="en-US" w:eastAsia="zh-CN"/>
        </w:rPr>
        <w:t>5.1.2监理</w:t>
      </w:r>
      <w:r>
        <w:rPr>
          <w:rFonts w:hint="eastAsia" w:ascii="Calibri" w:hAnsi="宋体" w:eastAsia="宋体"/>
          <w:color w:val="auto"/>
          <w:sz w:val="24"/>
          <w:szCs w:val="32"/>
          <w:lang w:val="en-US" w:eastAsia="zh-CN"/>
        </w:rPr>
        <w:t>服务</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jc w:val="both"/>
        <w:textAlignment w:val="baseline"/>
        <w:rPr>
          <w:rFonts w:hint="eastAsia" w:asciiTheme="minorEastAsia" w:hAnsiTheme="minorEastAsia" w:eastAsiaTheme="minorEastAsia" w:cstheme="minorEastAsia"/>
          <w:color w:val="auto"/>
          <w:sz w:val="24"/>
          <w:szCs w:val="28"/>
          <w:lang w:val="en-US" w:eastAsia="zh-CN" w:bidi="ar-SA"/>
        </w:rPr>
      </w:pPr>
      <w:r>
        <w:rPr>
          <w:rFonts w:hint="eastAsia" w:ascii="Calibri" w:hAnsi="宋体" w:eastAsia="宋体"/>
          <w:color w:val="auto"/>
          <w:sz w:val="24"/>
          <w:szCs w:val="32"/>
          <w:lang w:val="en-US" w:eastAsia="zh-CN"/>
        </w:rPr>
        <w:t>中标方根据招标人要求和现场实际的办公要求，提供5×8小时现场技术服务。对招标人提出的监理</w:t>
      </w:r>
      <w:r>
        <w:rPr>
          <w:rFonts w:hint="eastAsia" w:ascii="Times New Roman" w:hAnsi="宋体" w:eastAsia="宋体" w:cs="Times New Roman"/>
          <w:b w:val="0"/>
          <w:bCs w:val="0"/>
          <w:color w:val="auto"/>
          <w:kern w:val="0"/>
          <w:sz w:val="24"/>
          <w:szCs w:val="28"/>
          <w:lang w:val="en-US" w:eastAsia="zh-CN" w:bidi="ar-SA"/>
        </w:rPr>
        <w:t>服务</w:t>
      </w:r>
      <w:r>
        <w:rPr>
          <w:rFonts w:hint="eastAsia" w:asciiTheme="minorEastAsia" w:hAnsiTheme="minorEastAsia" w:eastAsiaTheme="minorEastAsia" w:cstheme="minorEastAsia"/>
          <w:color w:val="auto"/>
          <w:sz w:val="24"/>
          <w:szCs w:val="28"/>
          <w:lang w:val="en-US" w:eastAsia="zh-CN" w:bidi="ar-SA"/>
        </w:rPr>
        <w:t>需求和要求做到24小时内</w:t>
      </w:r>
      <w:bookmarkStart w:id="34" w:name="_GoBack"/>
      <w:bookmarkEnd w:id="34"/>
      <w:r>
        <w:rPr>
          <w:rFonts w:hint="eastAsia" w:asciiTheme="minorEastAsia" w:hAnsiTheme="minorEastAsia" w:eastAsiaTheme="minorEastAsia" w:cstheme="minorEastAsia"/>
          <w:color w:val="auto"/>
          <w:sz w:val="24"/>
          <w:szCs w:val="28"/>
          <w:lang w:val="en-US" w:eastAsia="zh-CN" w:bidi="ar-SA"/>
        </w:rPr>
        <w:t>响应，对于紧急需求和要求做到2小时内响应。</w:t>
      </w:r>
    </w:p>
    <w:p>
      <w:pPr>
        <w:pStyle w:val="2"/>
        <w:spacing w:line="360" w:lineRule="auto"/>
        <w:rPr>
          <w:b/>
          <w:color w:val="auto"/>
          <w:sz w:val="36"/>
          <w:szCs w:val="36"/>
        </w:rPr>
      </w:pPr>
      <w:r>
        <w:rPr>
          <w:rFonts w:hAnsi="宋体"/>
          <w:b/>
          <w:color w:val="auto"/>
          <w:sz w:val="36"/>
          <w:szCs w:val="36"/>
        </w:rPr>
        <w:t>六</w:t>
      </w:r>
      <w:r>
        <w:rPr>
          <w:b/>
          <w:color w:val="auto"/>
          <w:sz w:val="36"/>
          <w:szCs w:val="36"/>
        </w:rPr>
        <w:t xml:space="preserve"> </w:t>
      </w:r>
      <w:r>
        <w:rPr>
          <w:rFonts w:hint="eastAsia" w:hAnsi="宋体"/>
          <w:b/>
          <w:color w:val="auto"/>
          <w:sz w:val="36"/>
          <w:szCs w:val="36"/>
          <w:lang w:eastAsia="zh-CN"/>
        </w:rPr>
        <w:t>辅助</w:t>
      </w:r>
      <w:r>
        <w:rPr>
          <w:rFonts w:hAnsi="宋体"/>
          <w:b/>
          <w:color w:val="auto"/>
          <w:sz w:val="36"/>
          <w:szCs w:val="36"/>
        </w:rPr>
        <w:t>服务</w:t>
      </w:r>
      <w:bookmarkEnd w:id="22"/>
      <w:bookmarkEnd w:id="23"/>
      <w:bookmarkEnd w:id="24"/>
    </w:p>
    <w:p>
      <w:pPr>
        <w:pStyle w:val="4"/>
        <w:spacing w:before="0" w:after="0" w:line="360" w:lineRule="auto"/>
        <w:rPr>
          <w:rFonts w:hint="eastAsia" w:eastAsia="宋体"/>
          <w:color w:val="auto"/>
          <w:lang w:val="zh-CN" w:eastAsia="zh-CN"/>
        </w:rPr>
      </w:pPr>
      <w:bookmarkStart w:id="25" w:name="_Toc385006574"/>
      <w:bookmarkStart w:id="26" w:name="_Toc340517219"/>
      <w:bookmarkStart w:id="27" w:name="_Toc325721150"/>
      <w:bookmarkStart w:id="28" w:name="_Toc391641247"/>
      <w:bookmarkStart w:id="29" w:name="_Toc294116571"/>
      <w:r>
        <w:rPr>
          <w:rFonts w:hint="eastAsia" w:eastAsia="宋体"/>
          <w:color w:val="auto"/>
          <w:lang w:val="en-US" w:eastAsia="zh-CN"/>
        </w:rPr>
        <w:t xml:space="preserve">6.1 </w:t>
      </w:r>
      <w:r>
        <w:rPr>
          <w:rFonts w:hint="eastAsia"/>
          <w:color w:val="auto"/>
          <w:lang w:val="zh-CN" w:eastAsia="zh-CN"/>
        </w:rPr>
        <w:t>辅助工作</w:t>
      </w:r>
      <w:r>
        <w:rPr>
          <w:rFonts w:hint="eastAsia" w:eastAsia="宋体"/>
          <w:color w:val="auto"/>
          <w:lang w:val="zh-CN" w:eastAsia="zh-CN"/>
        </w:rPr>
        <w:t>配合</w:t>
      </w:r>
      <w:bookmarkEnd w:id="25"/>
      <w:bookmarkEnd w:id="26"/>
      <w:bookmarkEnd w:id="27"/>
      <w:bookmarkEnd w:id="28"/>
    </w:p>
    <w:p>
      <w:pPr>
        <w:keepNext w:val="0"/>
        <w:keepLines w:val="0"/>
        <w:pageBreakBefore w:val="0"/>
        <w:widowControl w:val="0"/>
        <w:kinsoku/>
        <w:wordWrap/>
        <w:overflowPunct/>
        <w:topLinePunct/>
        <w:autoSpaceDE/>
        <w:autoSpaceDN/>
        <w:bidi w:val="0"/>
        <w:adjustRightInd w:val="0"/>
        <w:snapToGrid/>
        <w:spacing w:line="360" w:lineRule="auto"/>
        <w:ind w:firstLine="480" w:firstLineChars="200"/>
        <w:textAlignment w:val="baseline"/>
        <w:rPr>
          <w:rFonts w:hint="eastAsia" w:ascii="宋体" w:hAnsi="宋体" w:eastAsia="宋体" w:cs="宋体"/>
          <w:b w:val="0"/>
          <w:bCs w:val="0"/>
          <w:color w:val="auto"/>
          <w:sz w:val="24"/>
          <w:szCs w:val="32"/>
          <w:lang w:val="zh-CN" w:eastAsia="zh-CN" w:bidi="ar-SA"/>
        </w:rPr>
      </w:pPr>
      <w:r>
        <w:rPr>
          <w:rFonts w:hint="eastAsia" w:ascii="宋体" w:hAnsi="宋体" w:eastAsia="宋体" w:cs="宋体"/>
          <w:b w:val="0"/>
          <w:bCs w:val="0"/>
          <w:color w:val="auto"/>
          <w:sz w:val="24"/>
          <w:szCs w:val="32"/>
          <w:lang w:val="en-US" w:eastAsia="zh-CN" w:bidi="ar-SA"/>
        </w:rPr>
        <w:t>6</w:t>
      </w:r>
      <w:r>
        <w:rPr>
          <w:rFonts w:hint="eastAsia" w:ascii="宋体" w:hAnsi="宋体" w:eastAsia="宋体" w:cs="宋体"/>
          <w:b w:val="0"/>
          <w:bCs w:val="0"/>
          <w:color w:val="auto"/>
          <w:sz w:val="24"/>
          <w:szCs w:val="32"/>
          <w:lang w:val="zh-CN" w:eastAsia="zh-CN" w:bidi="ar-SA"/>
        </w:rPr>
        <w:t>.1.1 合同签订后，投标人应指定负责本</w:t>
      </w:r>
      <w:r>
        <w:rPr>
          <w:rFonts w:hint="eastAsia" w:ascii="宋体" w:hAnsi="宋体" w:eastAsia="宋体" w:cs="宋体"/>
          <w:b w:val="0"/>
          <w:bCs w:val="0"/>
          <w:color w:val="auto"/>
          <w:sz w:val="24"/>
          <w:szCs w:val="32"/>
          <w:lang w:val="en-US" w:eastAsia="zh-CN" w:bidi="ar-SA"/>
        </w:rPr>
        <w:t>项目</w:t>
      </w:r>
      <w:r>
        <w:rPr>
          <w:rFonts w:hint="eastAsia" w:ascii="宋体" w:hAnsi="宋体" w:eastAsia="宋体" w:cs="宋体"/>
          <w:b w:val="0"/>
          <w:bCs w:val="0"/>
          <w:color w:val="auto"/>
          <w:sz w:val="24"/>
          <w:szCs w:val="32"/>
          <w:lang w:val="zh-CN" w:eastAsia="zh-CN" w:bidi="ar-SA"/>
        </w:rPr>
        <w:t>的服务人员团队，负责投标人在项目实施过程中的各项工作。</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textAlignment w:val="baseline"/>
        <w:rPr>
          <w:rFonts w:hint="eastAsia" w:ascii="宋体" w:hAnsi="宋体" w:eastAsia="宋体" w:cs="宋体"/>
          <w:b w:val="0"/>
          <w:bCs w:val="0"/>
          <w:color w:val="auto"/>
          <w:sz w:val="24"/>
          <w:szCs w:val="32"/>
          <w:lang w:val="zh-CN" w:eastAsia="zh-CN" w:bidi="ar-SA"/>
        </w:rPr>
      </w:pPr>
      <w:r>
        <w:rPr>
          <w:rFonts w:hint="eastAsia" w:ascii="宋体" w:hAnsi="宋体" w:eastAsia="宋体" w:cs="宋体"/>
          <w:b w:val="0"/>
          <w:bCs w:val="0"/>
          <w:color w:val="auto"/>
          <w:sz w:val="24"/>
          <w:szCs w:val="32"/>
          <w:lang w:val="en-US" w:eastAsia="zh-CN" w:bidi="ar-SA"/>
        </w:rPr>
        <w:t>6</w:t>
      </w:r>
      <w:r>
        <w:rPr>
          <w:rFonts w:hint="eastAsia" w:ascii="宋体" w:hAnsi="宋体" w:eastAsia="宋体" w:cs="宋体"/>
          <w:b w:val="0"/>
          <w:bCs w:val="0"/>
          <w:color w:val="auto"/>
          <w:sz w:val="24"/>
          <w:szCs w:val="32"/>
          <w:lang w:val="zh-CN" w:eastAsia="zh-CN" w:bidi="ar-SA"/>
        </w:rPr>
        <w:t>.1.2 投标人对招标人相关人员应免费提供培训，并提供相应的培训资料。</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textAlignment w:val="baseline"/>
        <w:rPr>
          <w:rFonts w:hint="eastAsia" w:ascii="Calibri" w:hAnsi="宋体" w:eastAsia="宋体" w:cs="Times New Roman"/>
          <w:b w:val="0"/>
          <w:bCs w:val="0"/>
          <w:color w:val="auto"/>
          <w:sz w:val="24"/>
          <w:szCs w:val="32"/>
          <w:lang w:val="zh-CN" w:eastAsia="zh-CN" w:bidi="ar-SA"/>
        </w:rPr>
      </w:pPr>
      <w:r>
        <w:rPr>
          <w:rFonts w:hint="eastAsia" w:ascii="宋体" w:hAnsi="宋体" w:eastAsia="宋体" w:cs="宋体"/>
          <w:b w:val="0"/>
          <w:bCs w:val="0"/>
          <w:color w:val="auto"/>
          <w:sz w:val="24"/>
          <w:szCs w:val="32"/>
          <w:lang w:val="en-US" w:eastAsia="zh-CN" w:bidi="ar-SA"/>
        </w:rPr>
        <w:t>6</w:t>
      </w:r>
      <w:r>
        <w:rPr>
          <w:rFonts w:hint="eastAsia" w:ascii="宋体" w:hAnsi="宋体" w:eastAsia="宋体" w:cs="宋体"/>
          <w:b w:val="0"/>
          <w:bCs w:val="0"/>
          <w:color w:val="auto"/>
          <w:sz w:val="24"/>
          <w:szCs w:val="32"/>
          <w:lang w:val="zh-CN" w:eastAsia="zh-CN" w:bidi="ar-SA"/>
        </w:rPr>
        <w:t>.1.</w:t>
      </w:r>
      <w:r>
        <w:rPr>
          <w:rFonts w:hint="eastAsia" w:ascii="宋体" w:hAnsi="宋体" w:eastAsia="宋体" w:cs="宋体"/>
          <w:b w:val="0"/>
          <w:bCs w:val="0"/>
          <w:color w:val="auto"/>
          <w:sz w:val="24"/>
          <w:szCs w:val="32"/>
          <w:lang w:val="en-US" w:eastAsia="zh-CN" w:bidi="ar-SA"/>
        </w:rPr>
        <w:t>3</w:t>
      </w:r>
      <w:r>
        <w:rPr>
          <w:rFonts w:hint="eastAsia" w:ascii="宋体" w:hAnsi="宋体" w:eastAsia="宋体" w:cs="宋体"/>
          <w:b w:val="0"/>
          <w:bCs w:val="0"/>
          <w:color w:val="auto"/>
          <w:sz w:val="24"/>
          <w:szCs w:val="32"/>
          <w:lang w:val="zh-CN" w:eastAsia="zh-CN" w:bidi="ar-SA"/>
        </w:rPr>
        <w:t xml:space="preserve"> 其它约定的配合工作</w:t>
      </w:r>
      <w:r>
        <w:rPr>
          <w:rFonts w:hint="eastAsia" w:ascii="Calibri" w:hAnsi="宋体" w:eastAsia="宋体" w:cs="Times New Roman"/>
          <w:b w:val="0"/>
          <w:bCs w:val="0"/>
          <w:color w:val="auto"/>
          <w:sz w:val="24"/>
          <w:szCs w:val="32"/>
          <w:lang w:val="zh-CN" w:eastAsia="zh-CN" w:bidi="ar-SA"/>
        </w:rPr>
        <w:t>。</w:t>
      </w:r>
    </w:p>
    <w:p>
      <w:pPr>
        <w:topLinePunct/>
        <w:spacing w:line="360" w:lineRule="auto"/>
        <w:rPr>
          <w:rFonts w:hint="eastAsia" w:ascii="Calibri" w:hAnsi="宋体" w:eastAsia="宋体" w:cs="Times New Roman"/>
          <w:b w:val="0"/>
          <w:bCs w:val="0"/>
          <w:color w:val="auto"/>
          <w:sz w:val="24"/>
          <w:szCs w:val="32"/>
          <w:lang w:val="zh-CN" w:eastAsia="zh-CN" w:bidi="ar-SA"/>
        </w:rPr>
      </w:pPr>
    </w:p>
    <w:p>
      <w:pPr>
        <w:pStyle w:val="4"/>
        <w:spacing w:before="0" w:after="0" w:line="360" w:lineRule="auto"/>
        <w:rPr>
          <w:rFonts w:hint="eastAsia" w:eastAsia="宋体"/>
          <w:color w:val="auto"/>
          <w:lang w:val="zh-CN" w:eastAsia="zh-CN"/>
        </w:rPr>
      </w:pPr>
      <w:bookmarkStart w:id="30" w:name="_Toc385006577"/>
      <w:bookmarkStart w:id="31" w:name="_Toc325721152"/>
      <w:bookmarkStart w:id="32" w:name="_Toc340517221"/>
      <w:bookmarkStart w:id="33" w:name="_Toc391641249"/>
      <w:r>
        <w:rPr>
          <w:rFonts w:hint="eastAsia" w:eastAsia="宋体"/>
          <w:color w:val="auto"/>
          <w:lang w:val="en-US" w:eastAsia="zh-CN"/>
        </w:rPr>
        <w:t>6</w:t>
      </w:r>
      <w:r>
        <w:rPr>
          <w:rFonts w:hint="eastAsia" w:eastAsia="宋体"/>
          <w:color w:val="auto"/>
          <w:lang w:val="zh-CN" w:eastAsia="zh-CN"/>
        </w:rPr>
        <w:t>.</w:t>
      </w:r>
      <w:r>
        <w:rPr>
          <w:rFonts w:hint="eastAsia"/>
          <w:color w:val="auto"/>
          <w:lang w:val="en-US" w:eastAsia="zh-CN"/>
        </w:rPr>
        <w:t>2人员保证与</w:t>
      </w:r>
      <w:r>
        <w:rPr>
          <w:rFonts w:hint="eastAsia" w:eastAsia="宋体"/>
          <w:color w:val="auto"/>
          <w:lang w:val="zh-CN" w:eastAsia="zh-CN"/>
        </w:rPr>
        <w:t>现场服务</w:t>
      </w:r>
      <w:bookmarkEnd w:id="30"/>
      <w:bookmarkEnd w:id="31"/>
      <w:bookmarkEnd w:id="32"/>
      <w:bookmarkEnd w:id="33"/>
    </w:p>
    <w:p>
      <w:pPr>
        <w:keepNext w:val="0"/>
        <w:keepLines w:val="0"/>
        <w:pageBreakBefore w:val="0"/>
        <w:widowControl w:val="0"/>
        <w:kinsoku/>
        <w:wordWrap/>
        <w:overflowPunct/>
        <w:topLinePunct/>
        <w:autoSpaceDE/>
        <w:autoSpaceDN/>
        <w:bidi w:val="0"/>
        <w:adjustRightInd w:val="0"/>
        <w:snapToGrid/>
        <w:spacing w:line="360" w:lineRule="auto"/>
        <w:ind w:firstLine="480" w:firstLineChars="200"/>
        <w:textAlignment w:val="baseline"/>
        <w:rPr>
          <w:rFonts w:hint="eastAsia" w:ascii="宋体" w:hAnsi="宋体" w:eastAsia="宋体" w:cs="宋体"/>
          <w:b w:val="0"/>
          <w:bCs w:val="0"/>
          <w:color w:val="auto"/>
          <w:sz w:val="24"/>
          <w:szCs w:val="32"/>
          <w:lang w:val="zh-CN" w:eastAsia="zh-CN" w:bidi="ar-SA"/>
        </w:rPr>
      </w:pPr>
      <w:r>
        <w:rPr>
          <w:rFonts w:hint="eastAsia" w:ascii="宋体" w:hAnsi="宋体" w:eastAsia="宋体" w:cs="宋体"/>
          <w:b w:val="0"/>
          <w:bCs w:val="0"/>
          <w:color w:val="auto"/>
          <w:sz w:val="24"/>
          <w:szCs w:val="32"/>
          <w:lang w:val="en-US" w:eastAsia="zh-CN" w:bidi="ar-SA"/>
        </w:rPr>
        <w:t>6</w:t>
      </w:r>
      <w:r>
        <w:rPr>
          <w:rFonts w:hint="eastAsia" w:ascii="宋体" w:hAnsi="宋体" w:eastAsia="宋体" w:cs="宋体"/>
          <w:b w:val="0"/>
          <w:bCs w:val="0"/>
          <w:color w:val="auto"/>
          <w:sz w:val="24"/>
          <w:szCs w:val="32"/>
          <w:lang w:val="zh-CN" w:eastAsia="zh-CN" w:bidi="ar-SA"/>
        </w:rPr>
        <w:t>.</w:t>
      </w:r>
      <w:r>
        <w:rPr>
          <w:rFonts w:hint="eastAsia" w:ascii="宋体" w:hAnsi="宋体" w:eastAsia="宋体" w:cs="宋体"/>
          <w:b w:val="0"/>
          <w:bCs w:val="0"/>
          <w:color w:val="auto"/>
          <w:sz w:val="24"/>
          <w:szCs w:val="32"/>
          <w:lang w:val="en-US" w:eastAsia="zh-CN" w:bidi="ar-SA"/>
        </w:rPr>
        <w:t>2</w:t>
      </w:r>
      <w:r>
        <w:rPr>
          <w:rFonts w:hint="eastAsia" w:ascii="宋体" w:hAnsi="宋体" w:eastAsia="宋体" w:cs="宋体"/>
          <w:b w:val="0"/>
          <w:bCs w:val="0"/>
          <w:color w:val="auto"/>
          <w:sz w:val="24"/>
          <w:szCs w:val="32"/>
          <w:lang w:val="zh-CN" w:eastAsia="zh-CN" w:bidi="ar-SA"/>
        </w:rPr>
        <w:t xml:space="preserve">.1 </w:t>
      </w:r>
      <w:r>
        <w:rPr>
          <w:rFonts w:hint="eastAsia" w:ascii="宋体" w:hAnsi="宋体" w:eastAsia="宋体" w:cs="宋体"/>
          <w:color w:val="000000" w:themeColor="text1"/>
          <w:sz w:val="24"/>
          <w:szCs w:val="16"/>
          <w:lang w:val="en-US" w:eastAsia="zh-CN"/>
          <w14:textFill>
            <w14:solidFill>
              <w14:schemeClr w14:val="tx1"/>
            </w14:solidFill>
          </w14:textFill>
        </w:rPr>
        <w:t>监理团队应至少组织4人（包含1名</w:t>
      </w:r>
      <w:r>
        <w:rPr>
          <w:rFonts w:hint="eastAsia" w:ascii="宋体" w:hAnsi="宋体" w:eastAsia="宋体" w:cs="宋体"/>
          <w:b w:val="0"/>
          <w:bCs w:val="0"/>
          <w:color w:val="auto"/>
          <w:sz w:val="24"/>
          <w:szCs w:val="32"/>
          <w:lang w:val="zh-CN" w:eastAsia="zh-CN" w:bidi="ar-SA"/>
        </w:rPr>
        <w:t>总监理工程师</w:t>
      </w:r>
      <w:r>
        <w:rPr>
          <w:rFonts w:hint="eastAsia" w:ascii="宋体" w:hAnsi="宋体" w:eastAsia="宋体" w:cs="宋体"/>
          <w:color w:val="000000" w:themeColor="text1"/>
          <w:sz w:val="24"/>
          <w:szCs w:val="16"/>
          <w:lang w:val="en-US" w:eastAsia="zh-CN"/>
          <w14:textFill>
            <w14:solidFill>
              <w14:schemeClr w14:val="tx1"/>
            </w14:solidFill>
          </w14:textFill>
        </w:rPr>
        <w:t>和3名专业监理人员），其中应有</w:t>
      </w:r>
      <w:r>
        <w:rPr>
          <w:rFonts w:hint="eastAsia" w:ascii="宋体" w:hAnsi="宋体" w:eastAsia="宋体" w:cs="宋体"/>
          <w:b w:val="0"/>
          <w:bCs w:val="0"/>
          <w:color w:val="auto"/>
          <w:sz w:val="24"/>
          <w:szCs w:val="32"/>
          <w:lang w:val="en-US" w:eastAsia="zh-CN" w:bidi="ar-SA"/>
        </w:rPr>
        <w:t>2名</w:t>
      </w:r>
      <w:r>
        <w:rPr>
          <w:rFonts w:hint="eastAsia" w:ascii="宋体" w:hAnsi="宋体" w:eastAsia="宋体" w:cs="宋体"/>
          <w:color w:val="000000" w:themeColor="text1"/>
          <w:sz w:val="24"/>
          <w:szCs w:val="16"/>
          <w:lang w:val="en-US" w:eastAsia="zh-CN"/>
          <w14:textFill>
            <w14:solidFill>
              <w14:schemeClr w14:val="tx1"/>
            </w14:solidFill>
          </w14:textFill>
        </w:rPr>
        <w:t>专业监理人员</w:t>
      </w:r>
      <w:r>
        <w:rPr>
          <w:rFonts w:hint="eastAsia" w:ascii="宋体" w:hAnsi="宋体" w:eastAsia="宋体" w:cs="宋体"/>
          <w:b w:val="0"/>
          <w:bCs w:val="0"/>
          <w:color w:val="auto"/>
          <w:sz w:val="24"/>
          <w:szCs w:val="32"/>
          <w:lang w:val="en-US" w:eastAsia="zh-CN" w:bidi="ar-SA"/>
        </w:rPr>
        <w:t>驻场</w:t>
      </w:r>
      <w:r>
        <w:rPr>
          <w:rFonts w:hint="eastAsia" w:ascii="宋体" w:hAnsi="宋体" w:eastAsia="宋体" w:cs="宋体"/>
          <w:b w:val="0"/>
          <w:bCs w:val="0"/>
          <w:color w:val="auto"/>
          <w:sz w:val="24"/>
          <w:szCs w:val="32"/>
          <w:lang w:val="zh-CN" w:eastAsia="zh-CN" w:bidi="ar-SA"/>
        </w:rPr>
        <w:t>。</w:t>
      </w:r>
    </w:p>
    <w:p>
      <w:pPr>
        <w:keepNext w:val="0"/>
        <w:keepLines w:val="0"/>
        <w:pageBreakBefore w:val="0"/>
        <w:widowControl w:val="0"/>
        <w:kinsoku/>
        <w:wordWrap/>
        <w:overflowPunct/>
        <w:topLinePunct/>
        <w:autoSpaceDE/>
        <w:autoSpaceDN/>
        <w:bidi w:val="0"/>
        <w:adjustRightInd w:val="0"/>
        <w:snapToGrid/>
        <w:spacing w:line="360" w:lineRule="auto"/>
        <w:ind w:firstLine="480" w:firstLineChars="200"/>
        <w:textAlignment w:val="baseline"/>
        <w:rPr>
          <w:rFonts w:hint="default" w:eastAsia="仿宋_GB2312"/>
          <w:color w:val="auto"/>
          <w:lang w:val="en-US" w:eastAsia="zh-CN"/>
        </w:rPr>
      </w:pPr>
      <w:r>
        <w:rPr>
          <w:rFonts w:hint="eastAsia" w:ascii="宋体" w:hAnsi="宋体" w:eastAsia="宋体" w:cs="宋体"/>
          <w:b w:val="0"/>
          <w:bCs w:val="0"/>
          <w:color w:val="auto"/>
          <w:sz w:val="24"/>
          <w:szCs w:val="32"/>
          <w:lang w:val="en-US" w:eastAsia="zh-CN" w:bidi="ar-SA"/>
        </w:rPr>
        <w:t>6</w:t>
      </w:r>
      <w:r>
        <w:rPr>
          <w:rFonts w:hint="eastAsia" w:ascii="宋体" w:hAnsi="宋体" w:eastAsia="宋体" w:cs="宋体"/>
          <w:b w:val="0"/>
          <w:bCs w:val="0"/>
          <w:color w:val="auto"/>
          <w:sz w:val="24"/>
          <w:szCs w:val="32"/>
          <w:lang w:val="zh-CN" w:eastAsia="zh-CN" w:bidi="ar-SA"/>
        </w:rPr>
        <w:t>.</w:t>
      </w:r>
      <w:r>
        <w:rPr>
          <w:rFonts w:hint="eastAsia" w:ascii="宋体" w:hAnsi="宋体" w:eastAsia="宋体" w:cs="宋体"/>
          <w:b w:val="0"/>
          <w:bCs w:val="0"/>
          <w:color w:val="auto"/>
          <w:sz w:val="24"/>
          <w:szCs w:val="32"/>
          <w:lang w:val="en-US" w:eastAsia="zh-CN" w:bidi="ar-SA"/>
        </w:rPr>
        <w:t>2</w:t>
      </w:r>
      <w:r>
        <w:rPr>
          <w:rFonts w:hint="eastAsia" w:ascii="宋体" w:hAnsi="宋体" w:eastAsia="宋体" w:cs="宋体"/>
          <w:b w:val="0"/>
          <w:bCs w:val="0"/>
          <w:color w:val="auto"/>
          <w:sz w:val="24"/>
          <w:szCs w:val="32"/>
          <w:lang w:val="zh-CN" w:eastAsia="zh-CN" w:bidi="ar-SA"/>
        </w:rPr>
        <w:t xml:space="preserve">.2 </w:t>
      </w:r>
      <w:bookmarkEnd w:id="29"/>
      <w:r>
        <w:rPr>
          <w:rFonts w:hint="eastAsia" w:ascii="宋体" w:hAnsi="宋体" w:eastAsia="宋体" w:cs="宋体"/>
          <w:b w:val="0"/>
          <w:bCs w:val="0"/>
          <w:color w:val="auto"/>
          <w:sz w:val="24"/>
          <w:szCs w:val="32"/>
          <w:lang w:val="zh-CN" w:eastAsia="zh-CN" w:bidi="ar-SA"/>
        </w:rPr>
        <w:t>在服务过程中视招标人</w:t>
      </w:r>
      <w:r>
        <w:rPr>
          <w:rFonts w:hint="eastAsia" w:ascii="Calibri" w:hAnsi="宋体" w:eastAsia="宋体" w:cs="Times New Roman"/>
          <w:b w:val="0"/>
          <w:bCs w:val="0"/>
          <w:color w:val="auto"/>
          <w:sz w:val="24"/>
          <w:szCs w:val="32"/>
          <w:lang w:val="zh-CN" w:eastAsia="zh-CN" w:bidi="ar-SA"/>
        </w:rPr>
        <w:t>工作情况投标人及时派出服务人员，以提供现场服务。</w:t>
      </w:r>
      <w:bookmarkEnd w:id="10"/>
    </w:p>
    <w:sectPr>
      <w:footerReference r:id="rId10" w:type="default"/>
      <w:pgSz w:w="11906" w:h="16838"/>
      <w:pgMar w:top="1871" w:right="1304" w:bottom="1701" w:left="1304" w:header="1191" w:footer="11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rFonts w:hint="eastAsia"/>
        <w:szCs w:val="22"/>
        <w:lang w:val="fr-FR"/>
      </w:rPr>
      <w:t>招</w:t>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rPr>
        <w:rStyle w:val="12"/>
      </w:rPr>
      <w:instrText xml:space="preserve"> PAGE </w:instrText>
    </w:r>
    <w:r>
      <w:fldChar w:fldCharType="separate"/>
    </w:r>
    <w:r>
      <w:rPr>
        <w:rStyle w:val="12"/>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0"/>
      <w:rPr>
        <w:rFonts w:hint="eastAsia"/>
        <w:sz w:val="15"/>
        <w:szCs w:val="15"/>
      </w:rPr>
    </w:pP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p>
    <w:pPr>
      <w:pStyle w:val="8"/>
      <w:ind w:firstLine="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single" w:color="auto" w:sz="6" w:space="0"/>
      </w:pBdr>
      <w:ind w:left="0" w:leftChars="0" w:firstLine="0" w:firstLineChars="0"/>
      <w:jc w:val="both"/>
      <w:rPr>
        <w:rFonts w:hint="eastAsia"/>
      </w:rPr>
    </w:pPr>
    <w:r>
      <w:rPr>
        <w:rFonts w:hint="eastAsia" w:ascii="宋体" w:hAnsi="宋体" w:eastAsia="宋体"/>
        <w:sz w:val="18"/>
        <w:szCs w:val="21"/>
      </w:rPr>
      <w:t>技术规范书</w:t>
    </w: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457950" cy="5133975"/>
          <wp:effectExtent l="0" t="0" r="3810" b="1905"/>
          <wp:wrapNone/>
          <wp:docPr id="3" name="WordPictureWatermark1949529"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949529" descr="CreateImage"/>
                  <pic:cNvPicPr>
                    <a:picLocks noChangeAspect="1"/>
                  </pic:cNvPicPr>
                </pic:nvPicPr>
                <pic:blipFill>
                  <a:blip r:embed="rId1"/>
                  <a:stretch>
                    <a:fillRect/>
                  </a:stretch>
                </pic:blipFill>
                <pic:spPr>
                  <a:xfrm>
                    <a:off x="0" y="0"/>
                    <a:ext cx="6457950" cy="513397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fldChar w:fldCharType="end"/>
    </w: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457950" cy="5133975"/>
          <wp:effectExtent l="0" t="0" r="3810" b="1905"/>
          <wp:wrapNone/>
          <wp:docPr id="2" name="图片 2"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reateImage"/>
                  <pic:cNvPicPr>
                    <a:picLocks noChangeAspect="1"/>
                  </pic:cNvPicPr>
                </pic:nvPicPr>
                <pic:blipFill>
                  <a:blip r:embed="rId1"/>
                  <a:stretch>
                    <a:fillRect/>
                  </a:stretch>
                </pic:blipFill>
                <pic:spPr>
                  <a:xfrm>
                    <a:off x="0" y="0"/>
                    <a:ext cx="6457950" cy="5133975"/>
                  </a:xfrm>
                  <a:prstGeom prst="rect">
                    <a:avLst/>
                  </a:prstGeom>
                  <a:noFill/>
                  <a:ln>
                    <a:noFill/>
                  </a:ln>
                </pic:spPr>
              </pic:pic>
            </a:graphicData>
          </a:graphic>
        </wp:anchor>
      </w:drawing>
    </w:r>
  </w:p>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14"/>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3"/>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1F0672"/>
    <w:rsid w:val="023C4E17"/>
    <w:rsid w:val="054B35C3"/>
    <w:rsid w:val="06573CB0"/>
    <w:rsid w:val="08BA0660"/>
    <w:rsid w:val="09970605"/>
    <w:rsid w:val="0B256833"/>
    <w:rsid w:val="0C056068"/>
    <w:rsid w:val="0C325447"/>
    <w:rsid w:val="0CC335FF"/>
    <w:rsid w:val="0D8F6B81"/>
    <w:rsid w:val="1048385B"/>
    <w:rsid w:val="108958CC"/>
    <w:rsid w:val="11876D9C"/>
    <w:rsid w:val="12432693"/>
    <w:rsid w:val="127F3A40"/>
    <w:rsid w:val="1293514B"/>
    <w:rsid w:val="13B20E8A"/>
    <w:rsid w:val="13CC7025"/>
    <w:rsid w:val="13DC6977"/>
    <w:rsid w:val="149A777C"/>
    <w:rsid w:val="154712A7"/>
    <w:rsid w:val="1632283F"/>
    <w:rsid w:val="16442095"/>
    <w:rsid w:val="16B70AB9"/>
    <w:rsid w:val="184243B2"/>
    <w:rsid w:val="185A10B4"/>
    <w:rsid w:val="19D37748"/>
    <w:rsid w:val="1B315970"/>
    <w:rsid w:val="1B8D1DE8"/>
    <w:rsid w:val="1CD11AFA"/>
    <w:rsid w:val="1CFF4A55"/>
    <w:rsid w:val="1D061786"/>
    <w:rsid w:val="1D6C6845"/>
    <w:rsid w:val="1E9C679C"/>
    <w:rsid w:val="1F0526AB"/>
    <w:rsid w:val="213C22E6"/>
    <w:rsid w:val="23BB6EBB"/>
    <w:rsid w:val="24683F62"/>
    <w:rsid w:val="24CC0649"/>
    <w:rsid w:val="251D0C97"/>
    <w:rsid w:val="26797B39"/>
    <w:rsid w:val="269F5FB0"/>
    <w:rsid w:val="26C16DEA"/>
    <w:rsid w:val="26D23727"/>
    <w:rsid w:val="27032B6B"/>
    <w:rsid w:val="27A74A76"/>
    <w:rsid w:val="27B14BE9"/>
    <w:rsid w:val="29494DB0"/>
    <w:rsid w:val="2A135DCB"/>
    <w:rsid w:val="2AB078A1"/>
    <w:rsid w:val="2D5664DE"/>
    <w:rsid w:val="2E077858"/>
    <w:rsid w:val="2E8928E3"/>
    <w:rsid w:val="305A62E5"/>
    <w:rsid w:val="346A37E0"/>
    <w:rsid w:val="35C1714E"/>
    <w:rsid w:val="363A5352"/>
    <w:rsid w:val="363A7401"/>
    <w:rsid w:val="36B873E4"/>
    <w:rsid w:val="39495F16"/>
    <w:rsid w:val="3A801C44"/>
    <w:rsid w:val="3AF34298"/>
    <w:rsid w:val="3B580783"/>
    <w:rsid w:val="3C8A6A42"/>
    <w:rsid w:val="3C9E6333"/>
    <w:rsid w:val="3DDB3075"/>
    <w:rsid w:val="3E70126B"/>
    <w:rsid w:val="3EAF7D05"/>
    <w:rsid w:val="3FAF3D67"/>
    <w:rsid w:val="410B0CD6"/>
    <w:rsid w:val="418331F8"/>
    <w:rsid w:val="41EC60F6"/>
    <w:rsid w:val="42750426"/>
    <w:rsid w:val="42A32332"/>
    <w:rsid w:val="44932C28"/>
    <w:rsid w:val="45021A7B"/>
    <w:rsid w:val="45060392"/>
    <w:rsid w:val="459508FA"/>
    <w:rsid w:val="45C142B9"/>
    <w:rsid w:val="464C44CA"/>
    <w:rsid w:val="47605D7C"/>
    <w:rsid w:val="48E134D1"/>
    <w:rsid w:val="48FD6B4C"/>
    <w:rsid w:val="4A232D8D"/>
    <w:rsid w:val="4A6200B4"/>
    <w:rsid w:val="4A68620F"/>
    <w:rsid w:val="4B326724"/>
    <w:rsid w:val="4BDF193C"/>
    <w:rsid w:val="4DDC25D7"/>
    <w:rsid w:val="4E170725"/>
    <w:rsid w:val="4F4C30F5"/>
    <w:rsid w:val="50E81293"/>
    <w:rsid w:val="51420FAA"/>
    <w:rsid w:val="51A0391C"/>
    <w:rsid w:val="539227A8"/>
    <w:rsid w:val="53BC2E44"/>
    <w:rsid w:val="5405128D"/>
    <w:rsid w:val="5441484F"/>
    <w:rsid w:val="544C7EE0"/>
    <w:rsid w:val="54C53DC5"/>
    <w:rsid w:val="54DE6C35"/>
    <w:rsid w:val="55407A98"/>
    <w:rsid w:val="55573AE2"/>
    <w:rsid w:val="56555BD6"/>
    <w:rsid w:val="572220F5"/>
    <w:rsid w:val="57324EB7"/>
    <w:rsid w:val="57660B36"/>
    <w:rsid w:val="580811E0"/>
    <w:rsid w:val="58267048"/>
    <w:rsid w:val="58840B3B"/>
    <w:rsid w:val="58E22C6E"/>
    <w:rsid w:val="5900361E"/>
    <w:rsid w:val="59E32FEB"/>
    <w:rsid w:val="5A6312B9"/>
    <w:rsid w:val="5A842AA9"/>
    <w:rsid w:val="5C923224"/>
    <w:rsid w:val="5CDE0B43"/>
    <w:rsid w:val="5CFD6785"/>
    <w:rsid w:val="5D222429"/>
    <w:rsid w:val="5DB12034"/>
    <w:rsid w:val="5EEB2E89"/>
    <w:rsid w:val="5F091124"/>
    <w:rsid w:val="60975CFD"/>
    <w:rsid w:val="6218235F"/>
    <w:rsid w:val="621F0672"/>
    <w:rsid w:val="62C93029"/>
    <w:rsid w:val="63CD7AF7"/>
    <w:rsid w:val="641D4C44"/>
    <w:rsid w:val="65375112"/>
    <w:rsid w:val="65782E07"/>
    <w:rsid w:val="659732E0"/>
    <w:rsid w:val="66812E71"/>
    <w:rsid w:val="66B63D90"/>
    <w:rsid w:val="66B72619"/>
    <w:rsid w:val="67CD4C04"/>
    <w:rsid w:val="6903579F"/>
    <w:rsid w:val="69211333"/>
    <w:rsid w:val="6AB451B7"/>
    <w:rsid w:val="6B2B618F"/>
    <w:rsid w:val="6B5B1F6F"/>
    <w:rsid w:val="6CC0027B"/>
    <w:rsid w:val="6D094050"/>
    <w:rsid w:val="6DFD11AC"/>
    <w:rsid w:val="6EE64C0C"/>
    <w:rsid w:val="6F3C7BD3"/>
    <w:rsid w:val="6FA42983"/>
    <w:rsid w:val="703A6FBE"/>
    <w:rsid w:val="70425D21"/>
    <w:rsid w:val="70AA269C"/>
    <w:rsid w:val="70B859D2"/>
    <w:rsid w:val="71C06DA8"/>
    <w:rsid w:val="728B44B6"/>
    <w:rsid w:val="72C2560B"/>
    <w:rsid w:val="72D31A8C"/>
    <w:rsid w:val="734E09B4"/>
    <w:rsid w:val="758D1214"/>
    <w:rsid w:val="75F10F69"/>
    <w:rsid w:val="76EE52FE"/>
    <w:rsid w:val="7747323D"/>
    <w:rsid w:val="78195661"/>
    <w:rsid w:val="78286A48"/>
    <w:rsid w:val="782C2A5C"/>
    <w:rsid w:val="7A0F100A"/>
    <w:rsid w:val="7AE449F3"/>
    <w:rsid w:val="7D2F2C99"/>
    <w:rsid w:val="7F7B72FB"/>
    <w:rsid w:val="7FA56256"/>
    <w:rsid w:val="7FF80B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abs>
        <w:tab w:val="left" w:pos="3240"/>
      </w:tabs>
      <w:topLinePunct/>
      <w:adjustRightInd w:val="0"/>
      <w:spacing w:line="530" w:lineRule="exact"/>
      <w:ind w:firstLine="601"/>
      <w:textAlignment w:val="baseline"/>
    </w:pPr>
    <w:rPr>
      <w:rFonts w:ascii="Times New Roman" w:hAnsi="Times New Roman" w:eastAsia="仿宋_GB2312" w:cs="Times New Roman"/>
      <w:sz w:val="30"/>
      <w:lang w:val="en-US" w:eastAsia="zh-CN" w:bidi="ar-SA"/>
    </w:rPr>
  </w:style>
  <w:style w:type="paragraph" w:styleId="2">
    <w:name w:val="heading 1"/>
    <w:basedOn w:val="1"/>
    <w:next w:val="1"/>
    <w:qFormat/>
    <w:uiPriority w:val="0"/>
    <w:pPr>
      <w:spacing w:before="700" w:after="360"/>
      <w:ind w:firstLine="0"/>
      <w:jc w:val="center"/>
      <w:outlineLvl w:val="0"/>
    </w:pPr>
    <w:rPr>
      <w:rFonts w:eastAsia="宋体"/>
      <w:kern w:val="44"/>
      <w:sz w:val="40"/>
    </w:rPr>
  </w:style>
  <w:style w:type="paragraph" w:styleId="3">
    <w:name w:val="heading 2"/>
    <w:basedOn w:val="1"/>
    <w:next w:val="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qFormat/>
    <w:uiPriority w:val="0"/>
    <w:pPr>
      <w:keepNext/>
      <w:keepLines/>
      <w:tabs>
        <w:tab w:val="clear" w:pos="3240"/>
      </w:tabs>
      <w:topLinePunct w:val="0"/>
      <w:adjustRightInd/>
      <w:spacing w:before="260" w:after="260" w:line="416" w:lineRule="auto"/>
      <w:ind w:firstLine="0"/>
      <w:jc w:val="both"/>
      <w:textAlignment w:val="auto"/>
      <w:outlineLvl w:val="2"/>
    </w:pPr>
    <w:rPr>
      <w:rFonts w:eastAsia="宋体"/>
      <w:b/>
      <w:bCs/>
      <w:kern w:val="2"/>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ind w:firstLine="883" w:firstLineChars="200"/>
    </w:pPr>
    <w:rPr>
      <w:rFonts w:ascii="Times New Roman" w:hAnsi="Times New Roman"/>
    </w:rPr>
  </w:style>
  <w:style w:type="paragraph" w:styleId="7">
    <w:name w:val="Title"/>
    <w:basedOn w:val="1"/>
    <w:next w:val="1"/>
    <w:qFormat/>
    <w:uiPriority w:val="0"/>
    <w:pPr>
      <w:spacing w:before="240" w:after="60"/>
      <w:jc w:val="center"/>
      <w:outlineLvl w:val="0"/>
    </w:pPr>
    <w:rPr>
      <w:rFonts w:ascii="Arial" w:hAnsi="Arial" w:eastAsia="华文中宋" w:cs="Arial"/>
      <w:b/>
      <w:bCs/>
      <w:color w:val="FF0000"/>
      <w:sz w:val="84"/>
      <w:szCs w:val="32"/>
    </w:rPr>
  </w:style>
  <w:style w:type="paragraph" w:styleId="8">
    <w:name w:val="footer"/>
    <w:basedOn w:val="1"/>
    <w:qFormat/>
    <w:uiPriority w:val="99"/>
    <w:pPr>
      <w:tabs>
        <w:tab w:val="right" w:pos="9100"/>
      </w:tabs>
      <w:spacing w:line="240" w:lineRule="exact"/>
      <w:ind w:firstLine="198"/>
    </w:pPr>
    <w:rPr>
      <w:rFonts w:eastAsia="宋体"/>
      <w:sz w:val="21"/>
    </w:rPr>
  </w:style>
  <w:style w:type="paragraph" w:styleId="9">
    <w:name w:val="header"/>
    <w:basedOn w:val="1"/>
    <w:qFormat/>
    <w:uiPriority w:val="0"/>
    <w:pPr>
      <w:pBdr>
        <w:bottom w:val="single" w:color="auto" w:sz="6" w:space="1"/>
      </w:pBdr>
      <w:tabs>
        <w:tab w:val="center" w:pos="4153"/>
        <w:tab w:val="right" w:pos="8306"/>
        <w:tab w:val="clear" w:pos="3240"/>
      </w:tabs>
      <w:snapToGrid w:val="0"/>
      <w:spacing w:line="240" w:lineRule="atLeast"/>
      <w:jc w:val="center"/>
    </w:pPr>
    <w:rPr>
      <w:sz w:val="18"/>
      <w:szCs w:val="18"/>
    </w:rPr>
  </w:style>
  <w:style w:type="character" w:styleId="12">
    <w:name w:val="page number"/>
    <w:basedOn w:val="11"/>
    <w:qFormat/>
    <w:uiPriority w:val="0"/>
  </w:style>
  <w:style w:type="paragraph" w:customStyle="1" w:styleId="13">
    <w:name w:val="目录 21"/>
    <w:basedOn w:val="1"/>
    <w:next w:val="1"/>
    <w:qFormat/>
    <w:uiPriority w:val="0"/>
    <w:pPr>
      <w:spacing w:before="100" w:beforeAutospacing="1" w:after="100" w:afterAutospacing="1"/>
      <w:ind w:left="420" w:leftChars="200"/>
    </w:pPr>
  </w:style>
  <w:style w:type="paragraph" w:customStyle="1" w:styleId="14">
    <w:name w:val="英文标号正文"/>
    <w:basedOn w:val="1"/>
    <w:qFormat/>
    <w:uiPriority w:val="0"/>
    <w:pPr>
      <w:widowControl/>
      <w:numPr>
        <w:ilvl w:val="0"/>
        <w:numId w:val="2"/>
      </w:numPr>
      <w:tabs>
        <w:tab w:val="clear" w:pos="3240"/>
      </w:tabs>
      <w:autoSpaceDE w:val="0"/>
      <w:autoSpaceDN w:val="0"/>
    </w:pPr>
    <w:rPr>
      <w:rFonts w:ascii="Times New Roman" w:hAnsi="Times New Roman" w:eastAsia="宋体" w:cs="Times New Roman"/>
      <w:kern w:val="0"/>
      <w:sz w:val="24"/>
      <w:szCs w:val="21"/>
    </w:rPr>
  </w:style>
  <w:style w:type="paragraph" w:customStyle="1" w:styleId="15">
    <w:name w:val="列出段落1"/>
    <w:basedOn w:val="1"/>
    <w:qFormat/>
    <w:uiPriority w:val="99"/>
    <w:pPr>
      <w:ind w:firstLine="420" w:firstLineChars="200"/>
    </w:pPr>
    <w:rPr>
      <w:rFonts w:cs="Calibri"/>
    </w:rPr>
  </w:style>
  <w:style w:type="paragraph" w:customStyle="1" w:styleId="16">
    <w:name w:val="Table Paragraph"/>
    <w:basedOn w:val="1"/>
    <w:qFormat/>
    <w:uiPriority w:val="1"/>
    <w:pPr>
      <w:ind w:left="107"/>
    </w:pPr>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889</Words>
  <Characters>980</Characters>
  <Lines>0</Lines>
  <Paragraphs>0</Paragraphs>
  <TotalTime>21</TotalTime>
  <ScaleCrop>false</ScaleCrop>
  <LinksUpToDate>false</LinksUpToDate>
  <CharactersWithSpaces>1010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2022-01-17T04:18:00Z</dcterms:created>
  <dc:creator>1</dc:creator>
  <cp:lastModifiedBy>张桂源</cp:lastModifiedBy>
  <cp:lastPrinted>2022-01-17T09:27:00Z</cp:lastPrinted>
  <dcterms:modified xsi:type="dcterms:W3CDTF">2025-08-06T09:38:17Z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7DFB3E797B1941119EBE089E07E92620_13</vt:lpwstr>
  </property>
  <property fmtid="{D5CDD505-2E9C-101B-9397-08002B2CF9AE}" pid="4" name="KSOTemplateDocerSaveRecord">
    <vt:lpwstr>eyJoZGlkIjoiNjBmODU3YjY4ZDE3MDA3OTIwMzI2Mzg0OTQxYTA1ZjciLCJ1c2VySWQiOiIyNDg5NjY2MzgifQ==</vt:lpwstr>
  </property>
</Properties>
</file>