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2025年云南十里阳光发展有限公司物业管理部消防安全责任人及消防安全管理人培训取证服务（零星采购）项目技术规范书</w:t>
      </w:r>
    </w:p>
    <w:p>
      <w:pPr>
        <w:pStyle w:val="3"/>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p>
    <w:p>
      <w:pPr>
        <w:spacing w:before="0" w:after="0" w:line="360" w:lineRule="auto"/>
        <w:ind w:left="0" w:right="0" w:firstLine="643" w:firstLineChars="200"/>
        <w:jc w:val="left"/>
        <w:rPr>
          <w:rFonts w:hint="eastAsia" w:ascii="黑体" w:hAnsi="黑体" w:eastAsia="黑体" w:cs="黑体"/>
          <w:b/>
          <w:bCs w:val="0"/>
          <w:color w:val="auto"/>
          <w:spacing w:val="0"/>
          <w:position w:val="0"/>
          <w:sz w:val="32"/>
          <w:szCs w:val="32"/>
          <w:shd w:val="clear" w:fill="auto"/>
          <w:lang w:val="en-US" w:eastAsia="zh-CN"/>
        </w:rPr>
      </w:pPr>
      <w:r>
        <w:rPr>
          <w:rFonts w:hint="eastAsia" w:ascii="黑体" w:hAnsi="黑体" w:eastAsia="黑体" w:cs="黑体"/>
          <w:b/>
          <w:bCs w:val="0"/>
          <w:color w:val="auto"/>
          <w:spacing w:val="0"/>
          <w:position w:val="0"/>
          <w:sz w:val="32"/>
          <w:szCs w:val="32"/>
          <w:shd w:val="clear" w:fill="auto"/>
          <w:lang w:val="en-US" w:eastAsia="zh-CN"/>
        </w:rPr>
        <w:t>一、项目概要</w:t>
      </w:r>
    </w:p>
    <w:p>
      <w:pPr>
        <w:spacing w:before="0" w:after="0" w:line="360" w:lineRule="auto"/>
        <w:ind w:left="0"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云南十里阳光发展</w:t>
      </w:r>
      <w:r>
        <w:rPr>
          <w:rFonts w:hint="eastAsia" w:ascii="仿宋" w:hAnsi="仿宋" w:eastAsia="仿宋" w:cs="仿宋"/>
          <w:color w:val="auto"/>
          <w:spacing w:val="0"/>
          <w:position w:val="0"/>
          <w:sz w:val="32"/>
          <w:szCs w:val="32"/>
          <w:shd w:val="clear" w:fill="auto"/>
        </w:rPr>
        <w:t>有限公司</w:t>
      </w:r>
      <w:r>
        <w:rPr>
          <w:rFonts w:hint="eastAsia" w:ascii="仿宋" w:hAnsi="仿宋" w:eastAsia="仿宋" w:cs="仿宋"/>
          <w:color w:val="auto"/>
          <w:spacing w:val="0"/>
          <w:position w:val="0"/>
          <w:sz w:val="32"/>
          <w:szCs w:val="32"/>
          <w:shd w:val="clear" w:fill="auto"/>
          <w:lang w:eastAsia="zh-CN"/>
        </w:rPr>
        <w:t>（</w:t>
      </w:r>
      <w:r>
        <w:rPr>
          <w:rFonts w:hint="eastAsia" w:ascii="仿宋" w:hAnsi="仿宋" w:eastAsia="仿宋" w:cs="仿宋"/>
          <w:color w:val="auto"/>
          <w:spacing w:val="0"/>
          <w:position w:val="0"/>
          <w:sz w:val="32"/>
          <w:szCs w:val="32"/>
          <w:shd w:val="clear" w:fill="auto"/>
          <w:lang w:val="en-US" w:eastAsia="zh-CN"/>
        </w:rPr>
        <w:t>以下简称：“公司”</w:t>
      </w:r>
      <w:r>
        <w:rPr>
          <w:rFonts w:hint="eastAsia" w:ascii="仿宋" w:hAnsi="仿宋" w:eastAsia="仿宋" w:cs="仿宋"/>
          <w:color w:val="auto"/>
          <w:spacing w:val="0"/>
          <w:position w:val="0"/>
          <w:sz w:val="32"/>
          <w:szCs w:val="32"/>
          <w:shd w:val="clear" w:fill="auto"/>
          <w:lang w:eastAsia="zh-CN"/>
        </w:rPr>
        <w:t>），</w:t>
      </w:r>
      <w:r>
        <w:rPr>
          <w:rFonts w:hint="eastAsia" w:ascii="仿宋" w:hAnsi="仿宋" w:eastAsia="仿宋" w:cs="仿宋"/>
          <w:color w:val="auto"/>
          <w:spacing w:val="0"/>
          <w:position w:val="0"/>
          <w:sz w:val="32"/>
          <w:szCs w:val="32"/>
          <w:shd w:val="clear" w:fill="auto"/>
          <w:lang w:val="en-US" w:eastAsia="zh-CN"/>
        </w:rPr>
        <w:t>因业务需求，需对公司消防安全责任人1人、公司消防安全管理人3人进行消防安全证培训及取证服务采购。</w:t>
      </w:r>
    </w:p>
    <w:p>
      <w:pPr>
        <w:numPr>
          <w:ilvl w:val="0"/>
          <w:numId w:val="0"/>
        </w:numPr>
        <w:ind w:firstLine="643" w:firstLineChars="200"/>
        <w:rPr>
          <w:rFonts w:hint="eastAsia" w:ascii="黑体" w:hAnsi="黑体" w:eastAsia="黑体" w:cs="黑体"/>
          <w:b/>
          <w:color w:val="auto"/>
          <w:spacing w:val="0"/>
          <w:position w:val="0"/>
          <w:sz w:val="32"/>
          <w:szCs w:val="32"/>
          <w:shd w:val="clear" w:fill="auto"/>
          <w:lang w:val="en-US" w:eastAsia="zh-CN"/>
        </w:rPr>
      </w:pPr>
      <w:r>
        <w:rPr>
          <w:rFonts w:hint="eastAsia" w:ascii="黑体" w:hAnsi="黑体" w:eastAsia="黑体" w:cs="黑体"/>
          <w:b/>
          <w:color w:val="auto"/>
          <w:spacing w:val="0"/>
          <w:position w:val="0"/>
          <w:sz w:val="32"/>
          <w:szCs w:val="32"/>
          <w:shd w:val="clear" w:fill="auto"/>
          <w:lang w:val="en-US" w:eastAsia="zh-CN"/>
        </w:rPr>
        <w:t>二、项目内容要求</w:t>
      </w:r>
    </w:p>
    <w:p>
      <w:pPr>
        <w:spacing w:before="0" w:after="0" w:line="360" w:lineRule="auto"/>
        <w:ind w:left="0"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1.相关人员消防安全证报考资料准备提交服务：按要求准备并提交报考信息资料；</w:t>
      </w:r>
    </w:p>
    <w:p>
      <w:pPr>
        <w:spacing w:before="0" w:after="0" w:line="360" w:lineRule="auto"/>
        <w:ind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2.考试教材及辅导资料提供：供应商提供消防安全管理考证技术实务，包含最新版官方教材及配套习题集，消防安全知识等综合培训。</w:t>
      </w:r>
    </w:p>
    <w:p>
      <w:pPr>
        <w:spacing w:before="0" w:after="0" w:line="360" w:lineRule="auto"/>
        <w:ind w:left="0"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3.在线学习课程：涵盖理论知识与实操技能的消防安全管理人/责任人在线培训课程。包含视频讲座、在线答疑、模拟考试等功能，提供学习进度跟踪和成绩评估。</w:t>
      </w:r>
    </w:p>
    <w:p>
      <w:pPr>
        <w:spacing w:before="0" w:after="0" w:line="360" w:lineRule="auto"/>
        <w:ind w:left="0"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4.培训服务：线下考前冲刺培训班，重点讲解考试难点和答题技巧。</w:t>
      </w:r>
    </w:p>
    <w:p>
      <w:pPr>
        <w:spacing w:before="0" w:after="0" w:line="360" w:lineRule="auto"/>
        <w:ind w:left="0"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5.培训班要求：授课老师具有丰富的消防教学和实践经验，提供实战演练和模拟考试机会，培训地点交通便利，设施完善。</w:t>
      </w:r>
    </w:p>
    <w:p>
      <w:pPr>
        <w:pStyle w:val="2"/>
        <w:rPr>
          <w:rFonts w:hint="eastAsia" w:ascii="黑体" w:hAnsi="黑体" w:eastAsia="黑体" w:cs="黑体"/>
          <w:color w:val="auto"/>
          <w:spacing w:val="0"/>
          <w:position w:val="0"/>
          <w:sz w:val="32"/>
          <w:szCs w:val="32"/>
          <w:shd w:val="clear" w:fill="auto"/>
          <w:lang w:val="en-US" w:eastAsia="zh-CN"/>
        </w:rPr>
      </w:pPr>
      <w:r>
        <w:rPr>
          <w:rFonts w:hint="eastAsia" w:ascii="黑体" w:hAnsi="黑体" w:eastAsia="黑体" w:cs="黑体"/>
          <w:color w:val="auto"/>
          <w:spacing w:val="0"/>
          <w:position w:val="0"/>
          <w:sz w:val="32"/>
          <w:szCs w:val="32"/>
          <w:shd w:val="clear" w:fill="auto"/>
          <w:lang w:val="en-US" w:eastAsia="zh-CN"/>
        </w:rPr>
        <w:t>三、采购要求</w:t>
      </w:r>
    </w:p>
    <w:p>
      <w:pPr>
        <w:pStyle w:val="2"/>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1.培训机构：消防安全管理教育培训机构，具备顺利办理学员相关业务报名、培训、考试取证等的资质或能力。</w:t>
      </w:r>
    </w:p>
    <w:p>
      <w:pPr>
        <w:pStyle w:val="2"/>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2.培训服务：根据采购方需求，提供明确的培训时间、地点等服务衔接，并保证项目顺利进行。</w:t>
      </w:r>
    </w:p>
    <w:p>
      <w:pPr>
        <w:numPr>
          <w:ilvl w:val="0"/>
          <w:numId w:val="0"/>
        </w:numPr>
        <w:spacing w:before="0" w:after="0" w:line="360" w:lineRule="auto"/>
        <w:ind w:leftChars="0" w:right="0" w:rightChars="0" w:firstLine="643" w:firstLineChars="200"/>
        <w:jc w:val="left"/>
        <w:rPr>
          <w:rFonts w:hint="eastAsia" w:ascii="黑体" w:hAnsi="黑体" w:eastAsia="黑体" w:cs="黑体"/>
          <w:b/>
          <w:color w:val="auto"/>
          <w:spacing w:val="0"/>
          <w:position w:val="0"/>
          <w:sz w:val="32"/>
          <w:szCs w:val="32"/>
          <w:shd w:val="clear" w:fill="auto"/>
        </w:rPr>
      </w:pPr>
      <w:r>
        <w:rPr>
          <w:rFonts w:hint="eastAsia" w:ascii="黑体" w:hAnsi="黑体" w:eastAsia="黑体" w:cs="黑体"/>
          <w:b/>
          <w:color w:val="auto"/>
          <w:spacing w:val="0"/>
          <w:position w:val="0"/>
          <w:sz w:val="32"/>
          <w:szCs w:val="32"/>
          <w:shd w:val="clear" w:fill="auto"/>
          <w:lang w:val="en-US" w:eastAsia="zh-CN"/>
        </w:rPr>
        <w:t>四、</w:t>
      </w:r>
      <w:r>
        <w:rPr>
          <w:rFonts w:hint="eastAsia" w:ascii="黑体" w:hAnsi="黑体" w:eastAsia="黑体" w:cs="黑体"/>
          <w:b/>
          <w:color w:val="auto"/>
          <w:spacing w:val="0"/>
          <w:position w:val="0"/>
          <w:sz w:val="32"/>
          <w:szCs w:val="32"/>
          <w:shd w:val="clear" w:fill="auto"/>
        </w:rPr>
        <w:t>报价方面</w:t>
      </w:r>
    </w:p>
    <w:p>
      <w:pPr>
        <w:numPr>
          <w:ilvl w:val="0"/>
          <w:numId w:val="0"/>
        </w:numPr>
        <w:spacing w:before="0" w:after="0" w:line="360" w:lineRule="auto"/>
        <w:ind w:leftChars="0" w:right="0" w:rightChars="0" w:firstLine="600" w:firstLineChars="200"/>
        <w:jc w:val="left"/>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1.报价方式：</w:t>
      </w:r>
      <w:r>
        <w:rPr>
          <w:rFonts w:hint="eastAsia" w:ascii="仿宋" w:hAnsi="仿宋" w:eastAsia="仿宋" w:cs="仿宋"/>
          <w:color w:val="auto"/>
          <w:spacing w:val="0"/>
          <w:position w:val="0"/>
          <w:sz w:val="32"/>
          <w:szCs w:val="32"/>
          <w:shd w:val="clear" w:fill="auto"/>
          <w:lang w:val="en-US" w:eastAsia="zh-CN"/>
        </w:rPr>
        <w:t>总价报价，同时报单价明细（报价包含1%或以上税率的增值税专用发票</w:t>
      </w:r>
      <w:r>
        <w:rPr>
          <w:rFonts w:hint="eastAsia" w:ascii="仿宋" w:hAnsi="仿宋" w:eastAsia="仿宋" w:cs="仿宋"/>
          <w:kern w:val="2"/>
          <w:sz w:val="30"/>
          <w:szCs w:val="30"/>
          <w:lang w:val="en-US" w:eastAsia="zh-CN" w:bidi="ar-SA"/>
        </w:rPr>
        <w:t>）</w:t>
      </w:r>
    </w:p>
    <w:tbl>
      <w:tblPr>
        <w:tblStyle w:val="4"/>
        <w:tblW w:w="8165" w:type="dxa"/>
        <w:jc w:val="center"/>
        <w:tblLayout w:type="autofit"/>
        <w:tblCellMar>
          <w:top w:w="0" w:type="dxa"/>
          <w:left w:w="10" w:type="dxa"/>
          <w:bottom w:w="0" w:type="dxa"/>
          <w:right w:w="10" w:type="dxa"/>
        </w:tblCellMar>
      </w:tblPr>
      <w:tblGrid>
        <w:gridCol w:w="624"/>
        <w:gridCol w:w="1827"/>
        <w:gridCol w:w="723"/>
        <w:gridCol w:w="732"/>
        <w:gridCol w:w="1154"/>
        <w:gridCol w:w="1186"/>
        <w:gridCol w:w="1919"/>
      </w:tblGrid>
      <w:tr>
        <w:tblPrEx>
          <w:tblCellMar>
            <w:top w:w="0" w:type="dxa"/>
            <w:left w:w="10" w:type="dxa"/>
            <w:bottom w:w="0" w:type="dxa"/>
            <w:right w:w="10" w:type="dxa"/>
          </w:tblCellMar>
        </w:tblPrEx>
        <w:trPr>
          <w:trHeight w:val="1096" w:hRule="atLeast"/>
          <w:jc w:val="center"/>
        </w:trPr>
        <w:tc>
          <w:tcPr>
            <w:tcW w:w="62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序号</w:t>
            </w:r>
          </w:p>
        </w:tc>
        <w:tc>
          <w:tcPr>
            <w:tcW w:w="182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right="0" w:firstLine="422" w:firstLineChars="20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名称</w:t>
            </w:r>
          </w:p>
        </w:tc>
        <w:tc>
          <w:tcPr>
            <w:tcW w:w="7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数量</w:t>
            </w:r>
          </w:p>
        </w:tc>
        <w:tc>
          <w:tcPr>
            <w:tcW w:w="73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单位</w:t>
            </w:r>
          </w:p>
        </w:tc>
        <w:tc>
          <w:tcPr>
            <w:tcW w:w="11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仿宋"/>
                <w:b/>
                <w:bCs/>
                <w:lang w:val="en-US" w:eastAsia="zh-CN"/>
              </w:rPr>
            </w:pPr>
            <w:r>
              <w:rPr>
                <w:rFonts w:hint="eastAsia" w:ascii="仿宋" w:hAnsi="仿宋" w:eastAsia="仿宋" w:cs="仿宋"/>
                <w:b/>
                <w:bCs/>
                <w:color w:val="000000"/>
                <w:spacing w:val="0"/>
                <w:position w:val="0"/>
                <w:sz w:val="21"/>
                <w:szCs w:val="21"/>
                <w:shd w:val="clear" w:fill="auto"/>
                <w:lang w:val="en-US" w:eastAsia="zh-CN"/>
              </w:rPr>
              <w:t>单价限价（元）</w:t>
            </w:r>
          </w:p>
        </w:tc>
        <w:tc>
          <w:tcPr>
            <w:tcW w:w="118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bCs/>
                <w:color w:val="000000"/>
                <w:spacing w:val="0"/>
                <w:position w:val="0"/>
                <w:sz w:val="21"/>
                <w:szCs w:val="21"/>
                <w:shd w:val="clear" w:fill="auto"/>
                <w:lang w:val="en-US" w:eastAsia="zh-CN"/>
              </w:rPr>
            </w:pPr>
            <w:r>
              <w:rPr>
                <w:rFonts w:hint="eastAsia" w:ascii="仿宋" w:hAnsi="仿宋" w:eastAsia="仿宋" w:cs="仿宋"/>
                <w:b/>
                <w:bCs/>
                <w:color w:val="000000"/>
                <w:spacing w:val="0"/>
                <w:position w:val="0"/>
                <w:sz w:val="21"/>
                <w:szCs w:val="21"/>
                <w:shd w:val="clear" w:fill="auto"/>
                <w:lang w:val="en-US" w:eastAsia="zh-CN"/>
              </w:rPr>
              <w:t>报价单价（元）</w:t>
            </w:r>
          </w:p>
        </w:tc>
        <w:tc>
          <w:tcPr>
            <w:tcW w:w="191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仿宋" w:hAnsi="仿宋" w:eastAsia="仿宋" w:cs="仿宋"/>
                <w:b/>
                <w:bCs/>
                <w:spacing w:val="0"/>
                <w:position w:val="0"/>
                <w:sz w:val="21"/>
                <w:szCs w:val="21"/>
                <w:lang w:val="en-US" w:eastAsia="zh-CN"/>
              </w:rPr>
            </w:pPr>
            <w:r>
              <w:rPr>
                <w:rFonts w:hint="eastAsia" w:ascii="仿宋" w:hAnsi="仿宋" w:eastAsia="仿宋" w:cs="仿宋"/>
                <w:b/>
                <w:bCs/>
                <w:spacing w:val="0"/>
                <w:position w:val="0"/>
                <w:sz w:val="21"/>
                <w:szCs w:val="21"/>
                <w:lang w:val="en-US" w:eastAsia="zh-CN"/>
              </w:rPr>
              <w:t>总价报价（元）</w:t>
            </w:r>
          </w:p>
        </w:tc>
      </w:tr>
      <w:tr>
        <w:tblPrEx>
          <w:tblCellMar>
            <w:top w:w="0" w:type="dxa"/>
            <w:left w:w="10" w:type="dxa"/>
            <w:bottom w:w="0" w:type="dxa"/>
            <w:right w:w="10" w:type="dxa"/>
          </w:tblCellMar>
        </w:tblPrEx>
        <w:trPr>
          <w:trHeight w:val="991" w:hRule="atLeast"/>
          <w:jc w:val="center"/>
        </w:trPr>
        <w:tc>
          <w:tcPr>
            <w:tcW w:w="62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Theme="minorEastAsia" w:hAnsiTheme="minorEastAsia" w:eastAsia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p>
            <w:pPr>
              <w:pStyle w:val="3"/>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center"/>
              <w:textAlignment w:val="auto"/>
              <w:rPr>
                <w:rFonts w:hint="eastAsia" w:asciiTheme="minorEastAsia" w:hAnsiTheme="minorEastAsia" w:eastAsiaTheme="minorEastAsia" w:cstheme="minorEastAsia"/>
                <w:sz w:val="24"/>
                <w:szCs w:val="24"/>
                <w:lang w:val="en-US" w:eastAsia="zh-CN"/>
              </w:rPr>
            </w:pPr>
          </w:p>
        </w:tc>
        <w:tc>
          <w:tcPr>
            <w:tcW w:w="182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3"/>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pacing w:val="0"/>
                <w:position w:val="0"/>
                <w:sz w:val="32"/>
                <w:szCs w:val="32"/>
                <w:shd w:val="clear" w:fill="auto"/>
                <w:lang w:val="en-US" w:eastAsia="zh-CN"/>
              </w:rPr>
            </w:pPr>
            <w:r>
              <w:rPr>
                <w:rFonts w:hint="eastAsia" w:ascii="仿宋" w:hAnsi="仿宋" w:eastAsia="仿宋" w:cs="仿宋"/>
                <w:kern w:val="2"/>
                <w:sz w:val="30"/>
                <w:szCs w:val="30"/>
                <w:lang w:val="en-US" w:eastAsia="zh-CN" w:bidi="ar-SA"/>
              </w:rPr>
              <w:t>消防安全责任人及消防安全管理人取证服务</w:t>
            </w:r>
          </w:p>
          <w:p>
            <w:pPr>
              <w:keepNext w:val="0"/>
              <w:keepLines w:val="0"/>
              <w:pageBreakBefore w:val="0"/>
              <w:widowControl w:val="0"/>
              <w:kinsoku/>
              <w:wordWrap/>
              <w:overflowPunct/>
              <w:topLinePunct w:val="0"/>
              <w:autoSpaceDE/>
              <w:autoSpaceDN/>
              <w:bidi w:val="0"/>
              <w:adjustRightInd/>
              <w:snapToGrid/>
              <w:spacing w:before="0" w:after="0" w:line="240" w:lineRule="auto"/>
              <w:ind w:right="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p>
        </w:tc>
        <w:tc>
          <w:tcPr>
            <w:tcW w:w="7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240" w:firstLineChars="10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r>
              <w:rPr>
                <w:rFonts w:hint="eastAsia" w:asciiTheme="minorEastAsia" w:hAnsiTheme="minorEastAsia" w:cstheme="minorEastAsia"/>
                <w:color w:val="000000"/>
                <w:spacing w:val="0"/>
                <w:position w:val="0"/>
                <w:sz w:val="24"/>
                <w:szCs w:val="24"/>
                <w:shd w:val="clear" w:fill="auto"/>
                <w:lang w:val="en-US" w:eastAsia="zh-CN"/>
              </w:rPr>
              <w:t>4</w:t>
            </w:r>
          </w:p>
        </w:tc>
        <w:tc>
          <w:tcPr>
            <w:tcW w:w="73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240" w:firstLineChars="10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r>
              <w:rPr>
                <w:rFonts w:hint="eastAsia" w:asciiTheme="minorEastAsia" w:hAnsiTheme="minorEastAsia" w:cstheme="minorEastAsia"/>
                <w:color w:val="000000"/>
                <w:spacing w:val="0"/>
                <w:position w:val="0"/>
                <w:sz w:val="24"/>
                <w:szCs w:val="24"/>
                <w:shd w:val="clear" w:fill="auto"/>
                <w:lang w:val="en-US" w:eastAsia="zh-CN"/>
              </w:rPr>
              <w:t>人</w:t>
            </w:r>
          </w:p>
        </w:tc>
        <w:tc>
          <w:tcPr>
            <w:tcW w:w="11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r>
              <w:rPr>
                <w:rFonts w:hint="eastAsia" w:asciiTheme="minorEastAsia" w:hAnsiTheme="minorEastAsia" w:cstheme="minorEastAsia"/>
                <w:color w:val="000000"/>
                <w:spacing w:val="0"/>
                <w:position w:val="0"/>
                <w:sz w:val="24"/>
                <w:szCs w:val="24"/>
                <w:shd w:val="clear" w:fill="auto"/>
                <w:lang w:val="en-US" w:eastAsia="zh-CN"/>
              </w:rPr>
              <w:t>500元/人</w:t>
            </w:r>
          </w:p>
        </w:tc>
        <w:tc>
          <w:tcPr>
            <w:tcW w:w="118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right="0" w:firstLine="480" w:firstLineChars="200"/>
              <w:jc w:val="center"/>
              <w:textAlignment w:val="auto"/>
              <w:rPr>
                <w:rFonts w:hint="eastAsia" w:asciiTheme="minorEastAsia" w:hAnsiTheme="minorEastAsia" w:eastAsiaTheme="minorEastAsia" w:cstheme="minorEastAsia"/>
                <w:color w:val="000000"/>
                <w:spacing w:val="0"/>
                <w:position w:val="0"/>
                <w:sz w:val="24"/>
                <w:szCs w:val="24"/>
                <w:shd w:val="clear" w:fill="auto"/>
                <w:lang w:val="en-US" w:eastAsia="zh-CN"/>
              </w:rPr>
            </w:pPr>
          </w:p>
        </w:tc>
        <w:tc>
          <w:tcPr>
            <w:tcW w:w="191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both"/>
              <w:textAlignment w:val="auto"/>
              <w:rPr>
                <w:rFonts w:hint="default" w:ascii="仿宋" w:hAnsi="仿宋" w:eastAsia="仿宋" w:cs="仿宋"/>
                <w:color w:val="000000"/>
                <w:spacing w:val="0"/>
                <w:position w:val="0"/>
                <w:sz w:val="21"/>
                <w:szCs w:val="21"/>
                <w:shd w:val="clear" w:fill="auto"/>
                <w:lang w:val="en-US" w:eastAsia="zh-CN"/>
              </w:rPr>
            </w:pPr>
          </w:p>
        </w:tc>
      </w:tr>
    </w:tbl>
    <w:p>
      <w:pPr>
        <w:pStyle w:val="3"/>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2.报价方</w:t>
      </w:r>
      <w:r>
        <w:rPr>
          <w:rFonts w:hint="eastAsia" w:ascii="仿宋" w:hAnsi="仿宋" w:eastAsia="仿宋" w:cs="仿宋"/>
          <w:b w:val="0"/>
          <w:bCs w:val="0"/>
          <w:color w:val="auto"/>
          <w:kern w:val="2"/>
          <w:sz w:val="32"/>
          <w:szCs w:val="32"/>
          <w:lang w:val="en-US" w:eastAsia="zh-CN" w:bidi="ar-SA"/>
        </w:rPr>
        <w:t>在报价时应提供与该项目有关联的营业执照、报价联系人及联系电话、</w:t>
      </w:r>
      <w:r>
        <w:rPr>
          <w:rFonts w:hint="eastAsia" w:ascii="仿宋" w:hAnsi="仿宋" w:eastAsia="仿宋" w:cs="仿宋"/>
          <w:color w:val="auto"/>
          <w:kern w:val="2"/>
          <w:sz w:val="32"/>
          <w:szCs w:val="32"/>
          <w:lang w:val="en-US" w:eastAsia="zh-CN" w:bidi="ar-SA"/>
        </w:rPr>
        <w:t>增值税专用发票税率证明。</w:t>
      </w:r>
    </w:p>
    <w:p>
      <w:pPr>
        <w:pStyle w:val="3"/>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五、付款方式</w:t>
      </w:r>
    </w:p>
    <w:p>
      <w:pPr>
        <w:pStyle w:val="3"/>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b w:val="0"/>
          <w:bCs w:val="0"/>
          <w:color w:val="auto"/>
          <w:kern w:val="2"/>
          <w:sz w:val="32"/>
          <w:szCs w:val="32"/>
          <w:lang w:val="en-US" w:eastAsia="zh-CN" w:bidi="ar-SA"/>
        </w:rPr>
      </w:pPr>
      <w:r>
        <w:rPr>
          <w:rFonts w:hint="eastAsia" w:ascii="仿宋" w:hAnsi="仿宋" w:eastAsia="仿宋" w:cs="仿宋"/>
          <w:b w:val="0"/>
          <w:bCs w:val="0"/>
          <w:color w:val="auto"/>
          <w:kern w:val="2"/>
          <w:sz w:val="32"/>
          <w:szCs w:val="32"/>
          <w:lang w:val="en-US" w:eastAsia="zh-CN" w:bidi="ar-SA"/>
        </w:rPr>
        <w:t>款项按此项目成交通知书总价报价结算，需求方相关人员取得消防安全证后，需求方收到服务方开具符合要求的增值税专用发票30日内一次性结算费用。</w:t>
      </w:r>
    </w:p>
    <w:p>
      <w:pPr>
        <w:bidi w:val="0"/>
        <w:rPr>
          <w:rFonts w:hint="eastAsia" w:eastAsiaTheme="minorEastAsia"/>
          <w:sz w:val="32"/>
          <w:szCs w:val="32"/>
          <w:lang w:val="en-US" w:eastAsia="zh-CN"/>
        </w:rPr>
      </w:pPr>
    </w:p>
    <w:p>
      <w:pPr>
        <w:bidi w:val="0"/>
        <w:rPr>
          <w:rFonts w:hint="eastAsia"/>
          <w:sz w:val="32"/>
          <w:szCs w:val="32"/>
        </w:rPr>
      </w:pPr>
    </w:p>
    <w:p>
      <w:pPr>
        <w:bidi w:val="0"/>
        <w:ind w:firstLine="493" w:firstLineChars="0"/>
        <w:jc w:val="left"/>
        <w:rPr>
          <w:rFonts w:hint="eastAsia"/>
          <w:sz w:val="32"/>
          <w:szCs w:val="32"/>
        </w:rPr>
      </w:pPr>
      <w:bookmarkStart w:id="0" w:name="_GoBack"/>
      <w:bookmarkEnd w:id="0"/>
    </w:p>
    <w:sectPr>
      <w:pgSz w:w="11906" w:h="16838"/>
      <w:pgMar w:top="1043" w:right="1463" w:bottom="986" w:left="1463"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74550"/>
    <w:rsid w:val="019111B0"/>
    <w:rsid w:val="01B5121B"/>
    <w:rsid w:val="035A360D"/>
    <w:rsid w:val="045E1060"/>
    <w:rsid w:val="045E43C8"/>
    <w:rsid w:val="050F7DF0"/>
    <w:rsid w:val="05471293"/>
    <w:rsid w:val="067B659F"/>
    <w:rsid w:val="06F10931"/>
    <w:rsid w:val="075959FA"/>
    <w:rsid w:val="0805253B"/>
    <w:rsid w:val="08352FB8"/>
    <w:rsid w:val="0923440D"/>
    <w:rsid w:val="09513EE3"/>
    <w:rsid w:val="097442CF"/>
    <w:rsid w:val="0A5927E3"/>
    <w:rsid w:val="0A700E54"/>
    <w:rsid w:val="0B6A61F5"/>
    <w:rsid w:val="0CC863AF"/>
    <w:rsid w:val="0E1A7397"/>
    <w:rsid w:val="0E4C5D78"/>
    <w:rsid w:val="0E75758C"/>
    <w:rsid w:val="0EB949B3"/>
    <w:rsid w:val="0ECB39D4"/>
    <w:rsid w:val="0F046CDA"/>
    <w:rsid w:val="0F5B069B"/>
    <w:rsid w:val="10A64130"/>
    <w:rsid w:val="128A53F1"/>
    <w:rsid w:val="13072A44"/>
    <w:rsid w:val="13320E18"/>
    <w:rsid w:val="13843CE3"/>
    <w:rsid w:val="16285F1D"/>
    <w:rsid w:val="16373F17"/>
    <w:rsid w:val="186D4742"/>
    <w:rsid w:val="19A21338"/>
    <w:rsid w:val="1A1D1812"/>
    <w:rsid w:val="1C7C366F"/>
    <w:rsid w:val="1D005368"/>
    <w:rsid w:val="1E9706AD"/>
    <w:rsid w:val="1F1F6E32"/>
    <w:rsid w:val="1FFE4804"/>
    <w:rsid w:val="20042C55"/>
    <w:rsid w:val="226F6E08"/>
    <w:rsid w:val="257E779B"/>
    <w:rsid w:val="2717598A"/>
    <w:rsid w:val="2A925ADB"/>
    <w:rsid w:val="2B22232D"/>
    <w:rsid w:val="2C671F04"/>
    <w:rsid w:val="2CD608A9"/>
    <w:rsid w:val="30594760"/>
    <w:rsid w:val="30642AF1"/>
    <w:rsid w:val="306E6C84"/>
    <w:rsid w:val="31607511"/>
    <w:rsid w:val="32865274"/>
    <w:rsid w:val="337201F6"/>
    <w:rsid w:val="338D1723"/>
    <w:rsid w:val="33F7044F"/>
    <w:rsid w:val="353B0CF5"/>
    <w:rsid w:val="361A26D3"/>
    <w:rsid w:val="37306998"/>
    <w:rsid w:val="37D31A24"/>
    <w:rsid w:val="384813FC"/>
    <w:rsid w:val="386C444C"/>
    <w:rsid w:val="39172B8F"/>
    <w:rsid w:val="396A5588"/>
    <w:rsid w:val="39933C03"/>
    <w:rsid w:val="3A223D63"/>
    <w:rsid w:val="3A274309"/>
    <w:rsid w:val="3AA008BD"/>
    <w:rsid w:val="3B3616F8"/>
    <w:rsid w:val="3B7B3AA4"/>
    <w:rsid w:val="3C5532BB"/>
    <w:rsid w:val="3DBD54D1"/>
    <w:rsid w:val="3DEB5278"/>
    <w:rsid w:val="3EE60898"/>
    <w:rsid w:val="409A440B"/>
    <w:rsid w:val="40DF6F7E"/>
    <w:rsid w:val="41AB1BA0"/>
    <w:rsid w:val="42BA1E87"/>
    <w:rsid w:val="43316763"/>
    <w:rsid w:val="43377922"/>
    <w:rsid w:val="449A10F2"/>
    <w:rsid w:val="44AE216B"/>
    <w:rsid w:val="44BE4F4C"/>
    <w:rsid w:val="44C5163B"/>
    <w:rsid w:val="450622AA"/>
    <w:rsid w:val="46084AF2"/>
    <w:rsid w:val="463203E3"/>
    <w:rsid w:val="4679071D"/>
    <w:rsid w:val="46892CFF"/>
    <w:rsid w:val="46C727FC"/>
    <w:rsid w:val="47333E80"/>
    <w:rsid w:val="49E26657"/>
    <w:rsid w:val="4A4A512D"/>
    <w:rsid w:val="4B7324F9"/>
    <w:rsid w:val="4C4E0498"/>
    <w:rsid w:val="4DC90F22"/>
    <w:rsid w:val="4EB877D8"/>
    <w:rsid w:val="4FC91D34"/>
    <w:rsid w:val="51CB29BB"/>
    <w:rsid w:val="53856755"/>
    <w:rsid w:val="53E35DBF"/>
    <w:rsid w:val="548441D1"/>
    <w:rsid w:val="54F30A9A"/>
    <w:rsid w:val="5516400D"/>
    <w:rsid w:val="57CA1BBE"/>
    <w:rsid w:val="58C26614"/>
    <w:rsid w:val="5A0A4770"/>
    <w:rsid w:val="5BB67833"/>
    <w:rsid w:val="5CA96F3A"/>
    <w:rsid w:val="5CCD452C"/>
    <w:rsid w:val="5EB77E46"/>
    <w:rsid w:val="5ECA2050"/>
    <w:rsid w:val="5F261328"/>
    <w:rsid w:val="5FE56175"/>
    <w:rsid w:val="60785BD4"/>
    <w:rsid w:val="62FC156E"/>
    <w:rsid w:val="636B5B38"/>
    <w:rsid w:val="63CD54CF"/>
    <w:rsid w:val="655B2D8B"/>
    <w:rsid w:val="65CF16D5"/>
    <w:rsid w:val="66E24AD6"/>
    <w:rsid w:val="67206A22"/>
    <w:rsid w:val="684A320C"/>
    <w:rsid w:val="68DC54AF"/>
    <w:rsid w:val="6AAD50E8"/>
    <w:rsid w:val="6ADA7BDA"/>
    <w:rsid w:val="6B085B8A"/>
    <w:rsid w:val="6B144D07"/>
    <w:rsid w:val="6B6028C3"/>
    <w:rsid w:val="6CF14DE3"/>
    <w:rsid w:val="6E085F98"/>
    <w:rsid w:val="6FAD237A"/>
    <w:rsid w:val="70BF5FDC"/>
    <w:rsid w:val="70D40319"/>
    <w:rsid w:val="70D511A9"/>
    <w:rsid w:val="7315034C"/>
    <w:rsid w:val="761015B5"/>
    <w:rsid w:val="76AC22B9"/>
    <w:rsid w:val="77047750"/>
    <w:rsid w:val="7822165B"/>
    <w:rsid w:val="796039A4"/>
    <w:rsid w:val="7AC100E3"/>
    <w:rsid w:val="7CD5595C"/>
    <w:rsid w:val="7D2A0BE7"/>
    <w:rsid w:val="7DDA14B9"/>
    <w:rsid w:val="7E372567"/>
    <w:rsid w:val="7E525A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paragraph" w:styleId="3">
    <w:name w:val="Body Text"/>
    <w:basedOn w:val="1"/>
    <w:qFormat/>
    <w:uiPriority w:val="0"/>
    <w:pPr>
      <w:jc w:val="left"/>
    </w:pPr>
    <w:rPr>
      <w:rFonts w:ascii="楷体_GB2312" w:hAnsi="Times New Roman" w:eastAsia="楷体_GB2312"/>
      <w:sz w:val="28"/>
      <w:szCs w:val="24"/>
    </w:rPr>
  </w:style>
  <w:style w:type="character" w:customStyle="1" w:styleId="6">
    <w:name w:val="font91"/>
    <w:basedOn w:val="5"/>
    <w:qFormat/>
    <w:uiPriority w:val="0"/>
    <w:rPr>
      <w:rFonts w:hint="default" w:ascii="Times New Roman" w:hAnsi="Times New Roman" w:cs="Times New Roman"/>
      <w:color w:val="000000"/>
      <w:sz w:val="20"/>
      <w:szCs w:val="20"/>
      <w:u w:val="none"/>
    </w:rPr>
  </w:style>
  <w:style w:type="character" w:customStyle="1" w:styleId="7">
    <w:name w:val="font81"/>
    <w:basedOn w:val="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TotalTime>4</TotalTime>
  <ScaleCrop>false</ScaleCrop>
  <LinksUpToDate>false</LinksUpToDate>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李光普</cp:lastModifiedBy>
  <dcterms:modified xsi:type="dcterms:W3CDTF">2025-09-08T03:03:43Z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