
<file path=[Content_Types].xml><?xml version="1.0" encoding="utf-8"?>
<Types xmlns="http://schemas.openxmlformats.org/package/2006/content-types">
  <Default Extension="xml" ContentType="application/xml"/>
  <Default Extension="bin" ContentType="application/vnd.openxmlformats-officedocument.oleObject"/>
  <Default Extension="jpeg" ContentType="image/jpeg"/>
  <Default Extension="JPG" ContentType="image/.jpg"/>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val="0"/>
        <w:ind w:firstLine="0" w:firstLineChars="0"/>
        <w:jc w:val="both"/>
        <w:rPr>
          <w:rFonts w:ascii="Calibri" w:hAnsi="Calibri" w:eastAsia="宋体" w:cs="Calibri"/>
          <w:color w:val="auto"/>
          <w:kern w:val="0"/>
          <w:sz w:val="21"/>
          <w:szCs w:val="21"/>
          <w:highlight w:val="none"/>
          <w:lang w:val="en-US" w:eastAsia="zh-CN" w:bidi="ar-SA"/>
        </w:rPr>
      </w:pPr>
      <w:bookmarkStart w:id="0" w:name="_Toc518894998"/>
      <w:bookmarkStart w:id="1" w:name="_Toc519170502"/>
      <w:bookmarkStart w:id="2" w:name="_Toc519150108"/>
      <w:bookmarkStart w:id="3" w:name="_Toc517960768"/>
      <w:bookmarkStart w:id="4" w:name="_Toc518894425"/>
      <w:bookmarkStart w:id="5" w:name="_Toc30722"/>
      <w:bookmarkStart w:id="6" w:name="_Toc25947"/>
      <w:bookmarkStart w:id="7" w:name="_Toc11540"/>
      <w:bookmarkStart w:id="8" w:name="_Toc11831"/>
      <w:bookmarkStart w:id="9" w:name="_Toc29049686"/>
      <w:r>
        <w:rPr>
          <w:rFonts w:ascii="Calibri" w:hAnsi="Calibri" w:eastAsia="宋体" w:cs="Calibri"/>
          <w:color w:val="auto"/>
          <w:kern w:val="2"/>
          <w:sz w:val="21"/>
          <w:szCs w:val="21"/>
          <w:highlight w:val="none"/>
          <w:lang w:val="en-US" w:eastAsia="zh-CN" w:bidi="ar-SA"/>
        </w:rPr>
        <w:drawing>
          <wp:anchor distT="0" distB="0" distL="114935" distR="114935" simplePos="0" relativeHeight="251660288" behindDoc="0" locked="0" layoutInCell="1" allowOverlap="1">
            <wp:simplePos x="0" y="0"/>
            <wp:positionH relativeFrom="column">
              <wp:posOffset>78105</wp:posOffset>
            </wp:positionH>
            <wp:positionV relativeFrom="paragraph">
              <wp:posOffset>-51435</wp:posOffset>
            </wp:positionV>
            <wp:extent cx="1087755" cy="1087755"/>
            <wp:effectExtent l="0" t="0" r="17145" b="17145"/>
            <wp:wrapNone/>
            <wp:docPr id="33" name="图片 3" descr="微信图片_20230314083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 descr="微信图片_20230314083744"/>
                    <pic:cNvPicPr>
                      <a:picLocks noChangeAspect="1"/>
                    </pic:cNvPicPr>
                  </pic:nvPicPr>
                  <pic:blipFill>
                    <a:blip r:embed="rId7"/>
                    <a:stretch>
                      <a:fillRect/>
                    </a:stretch>
                  </pic:blipFill>
                  <pic:spPr>
                    <a:xfrm>
                      <a:off x="0" y="0"/>
                      <a:ext cx="1087755" cy="1087755"/>
                    </a:xfrm>
                    <a:prstGeom prst="rect">
                      <a:avLst/>
                    </a:prstGeom>
                    <a:noFill/>
                    <a:ln>
                      <a:noFill/>
                    </a:ln>
                  </pic:spPr>
                </pic:pic>
              </a:graphicData>
            </a:graphic>
          </wp:anchor>
        </w:drawing>
      </w:r>
    </w:p>
    <w:p>
      <w:pPr>
        <w:tabs>
          <w:tab w:val="left" w:pos="5152"/>
        </w:tabs>
        <w:jc w:val="left"/>
        <w:rPr>
          <w:rFonts w:eastAsia="华文中宋"/>
          <w:color w:val="auto"/>
          <w:highlight w:val="none"/>
        </w:rPr>
      </w:pPr>
    </w:p>
    <w:p>
      <w:pPr>
        <w:jc w:val="left"/>
        <w:rPr>
          <w:rFonts w:eastAsia="华文中宋"/>
          <w:color w:val="auto"/>
          <w:highlight w:val="none"/>
        </w:rPr>
      </w:pPr>
    </w:p>
    <w:p>
      <w:pPr>
        <w:jc w:val="center"/>
        <w:rPr>
          <w:rFonts w:eastAsia="黑体"/>
          <w:color w:val="auto"/>
          <w:sz w:val="44"/>
          <w:szCs w:val="44"/>
          <w:highlight w:val="none"/>
        </w:rPr>
      </w:pPr>
    </w:p>
    <w:p>
      <w:pPr>
        <w:jc w:val="center"/>
        <w:rPr>
          <w:rFonts w:eastAsia="黑体"/>
          <w:color w:val="auto"/>
          <w:sz w:val="44"/>
          <w:szCs w:val="44"/>
          <w:highlight w:val="none"/>
        </w:rPr>
      </w:pPr>
    </w:p>
    <w:p>
      <w:pPr>
        <w:jc w:val="center"/>
        <w:rPr>
          <w:rFonts w:eastAsia="黑体"/>
          <w:color w:val="auto"/>
          <w:sz w:val="44"/>
          <w:szCs w:val="44"/>
          <w:highlight w:val="none"/>
        </w:rPr>
      </w:pPr>
    </w:p>
    <w:p>
      <w:pPr>
        <w:jc w:val="center"/>
        <w:rPr>
          <w:rFonts w:eastAsia="黑体"/>
          <w:color w:val="auto"/>
          <w:sz w:val="44"/>
          <w:szCs w:val="44"/>
          <w:highlight w:val="none"/>
        </w:rPr>
      </w:pPr>
    </w:p>
    <w:p>
      <w:pPr>
        <w:jc w:val="center"/>
        <w:rPr>
          <w:rFonts w:hint="eastAsia" w:eastAsia="黑体"/>
          <w:color w:val="auto"/>
          <w:sz w:val="44"/>
          <w:szCs w:val="44"/>
          <w:highlight w:val="none"/>
        </w:rPr>
      </w:pPr>
      <w:r>
        <w:rPr>
          <w:rFonts w:eastAsia="黑体"/>
          <w:color w:val="auto"/>
          <w:sz w:val="44"/>
          <w:szCs w:val="44"/>
          <w:highlight w:val="none"/>
        </w:rPr>
        <w:t>海南商业航天发射场</w:t>
      </w:r>
      <w:r>
        <w:rPr>
          <w:rFonts w:hint="eastAsia" w:eastAsia="黑体"/>
          <w:color w:val="auto"/>
          <w:sz w:val="44"/>
          <w:szCs w:val="44"/>
          <w:highlight w:val="none"/>
          <w:lang w:eastAsia="zh-CN"/>
        </w:rPr>
        <w:t>（</w:t>
      </w:r>
      <w:r>
        <w:rPr>
          <w:rFonts w:hint="eastAsia" w:eastAsia="黑体"/>
          <w:color w:val="auto"/>
          <w:sz w:val="44"/>
          <w:szCs w:val="44"/>
          <w:highlight w:val="none"/>
          <w:lang w:val="en-US" w:eastAsia="zh-CN"/>
        </w:rPr>
        <w:t>二期</w:t>
      </w:r>
      <w:r>
        <w:rPr>
          <w:rFonts w:hint="eastAsia" w:eastAsia="黑体"/>
          <w:color w:val="auto"/>
          <w:sz w:val="44"/>
          <w:szCs w:val="44"/>
          <w:highlight w:val="none"/>
          <w:lang w:eastAsia="zh-CN"/>
        </w:rPr>
        <w:t>）</w:t>
      </w:r>
      <w:r>
        <w:rPr>
          <w:rFonts w:hint="eastAsia" w:eastAsia="黑体"/>
          <w:color w:val="auto"/>
          <w:sz w:val="44"/>
          <w:szCs w:val="44"/>
          <w:highlight w:val="none"/>
          <w:lang w:val="en-US" w:eastAsia="zh-CN"/>
        </w:rPr>
        <w:t>电力应急保障系统项目</w:t>
      </w:r>
      <w:r>
        <w:rPr>
          <w:rFonts w:hint="eastAsia" w:eastAsia="黑体"/>
          <w:color w:val="auto"/>
          <w:sz w:val="44"/>
          <w:szCs w:val="44"/>
          <w:highlight w:val="none"/>
        </w:rPr>
        <w:t>技术要求</w:t>
      </w:r>
    </w:p>
    <w:p>
      <w:pPr>
        <w:jc w:val="center"/>
        <w:rPr>
          <w:rFonts w:hint="eastAsia" w:eastAsia="黑体"/>
          <w:color w:val="auto"/>
          <w:sz w:val="44"/>
          <w:szCs w:val="44"/>
          <w:highlight w:val="none"/>
        </w:rPr>
      </w:pPr>
    </w:p>
    <w:p>
      <w:pPr>
        <w:spacing w:line="600" w:lineRule="exact"/>
        <w:jc w:val="center"/>
        <w:rPr>
          <w:rFonts w:eastAsia="华文中宋"/>
          <w:b/>
          <w:bCs/>
          <w:color w:val="auto"/>
          <w:sz w:val="36"/>
          <w:szCs w:val="36"/>
          <w:highlight w:val="none"/>
        </w:rPr>
      </w:pPr>
    </w:p>
    <w:p>
      <w:pPr>
        <w:spacing w:line="600" w:lineRule="exact"/>
        <w:jc w:val="center"/>
        <w:rPr>
          <w:rFonts w:eastAsia="华文中宋"/>
          <w:b/>
          <w:bCs/>
          <w:color w:val="auto"/>
          <w:sz w:val="36"/>
          <w:szCs w:val="36"/>
          <w:highlight w:val="none"/>
        </w:rPr>
      </w:pPr>
    </w:p>
    <w:p>
      <w:pPr>
        <w:spacing w:line="600" w:lineRule="exact"/>
        <w:jc w:val="center"/>
        <w:rPr>
          <w:rFonts w:eastAsia="华文中宋"/>
          <w:b/>
          <w:bCs/>
          <w:color w:val="auto"/>
          <w:sz w:val="36"/>
          <w:szCs w:val="36"/>
          <w:highlight w:val="none"/>
        </w:rPr>
      </w:pPr>
    </w:p>
    <w:p>
      <w:pPr>
        <w:spacing w:line="600" w:lineRule="exact"/>
        <w:jc w:val="center"/>
        <w:rPr>
          <w:rFonts w:eastAsia="华文中宋"/>
          <w:b/>
          <w:bCs/>
          <w:color w:val="auto"/>
          <w:sz w:val="36"/>
          <w:szCs w:val="36"/>
          <w:highlight w:val="none"/>
        </w:rPr>
      </w:pPr>
    </w:p>
    <w:p>
      <w:pPr>
        <w:spacing w:line="600" w:lineRule="exact"/>
        <w:rPr>
          <w:rFonts w:eastAsia="华文中宋"/>
          <w:b/>
          <w:bCs/>
          <w:color w:val="auto"/>
          <w:sz w:val="36"/>
          <w:szCs w:val="36"/>
          <w:highlight w:val="none"/>
        </w:rPr>
      </w:pPr>
    </w:p>
    <w:p>
      <w:pPr>
        <w:pStyle w:val="3"/>
        <w:bidi w:val="0"/>
        <w:spacing w:after="260"/>
        <w:jc w:val="both"/>
        <w:outlineLvl w:val="9"/>
        <w:rPr>
          <w:rFonts w:hint="eastAsia"/>
          <w:color w:val="auto"/>
          <w:sz w:val="32"/>
          <w:szCs w:val="32"/>
          <w:highlight w:val="none"/>
          <w:lang w:val="en-US" w:eastAsia="zh-CN"/>
        </w:rPr>
      </w:pPr>
    </w:p>
    <w:p>
      <w:pPr>
        <w:rPr>
          <w:rFonts w:hint="eastAsia"/>
          <w:color w:val="auto"/>
          <w:sz w:val="32"/>
          <w:szCs w:val="32"/>
          <w:highlight w:val="none"/>
          <w:lang w:val="en-US" w:eastAsia="zh-CN"/>
        </w:rPr>
      </w:pPr>
    </w:p>
    <w:bookmarkEnd w:id="0"/>
    <w:bookmarkEnd w:id="1"/>
    <w:bookmarkEnd w:id="2"/>
    <w:bookmarkEnd w:id="3"/>
    <w:bookmarkEnd w:id="4"/>
    <w:p>
      <w:pPr>
        <w:spacing w:before="1680" w:line="243" w:lineRule="auto"/>
        <w:ind w:firstLine="0" w:firstLineChars="0"/>
        <w:jc w:val="both"/>
        <w:rPr>
          <w:rFonts w:hint="default" w:ascii="Times New Roman" w:hAnsi="Times New Roman" w:cs="Times New Roman"/>
          <w:color w:val="auto"/>
          <w:highlight w:val="none"/>
        </w:rPr>
      </w:pPr>
    </w:p>
    <w:p>
      <w:pPr>
        <w:spacing w:before="1680" w:line="243" w:lineRule="auto"/>
        <w:ind w:firstLine="0" w:firstLineChars="0"/>
        <w:jc w:val="both"/>
        <w:rPr>
          <w:rFonts w:hint="default" w:ascii="Times New Roman" w:hAnsi="Times New Roman" w:cs="Times New Roman"/>
          <w:color w:val="auto"/>
          <w:highlight w:val="none"/>
        </w:rPr>
      </w:pPr>
    </w:p>
    <w:sdt>
      <w:sdtPr>
        <w:rPr>
          <w:rFonts w:ascii="宋体" w:hAnsi="宋体" w:eastAsia="宋体" w:cs="Times New Roman"/>
          <w:color w:val="auto"/>
          <w:kern w:val="2"/>
          <w:sz w:val="21"/>
          <w:szCs w:val="24"/>
          <w:lang w:val="en-US" w:eastAsia="zh-CN" w:bidi="ar-SA"/>
        </w:rPr>
        <w:id w:val="147481244"/>
        <w15:color w:val="DBDBDB"/>
        <w:docPartObj>
          <w:docPartGallery w:val="Table of Contents"/>
          <w:docPartUnique/>
        </w:docPartObj>
      </w:sdtPr>
      <w:sdtEndPr>
        <w:rPr>
          <w:rFonts w:hint="default" w:ascii="Times New Roman" w:hAnsi="Times New Roman" w:eastAsia="宋体" w:cs="Times New Roman"/>
          <w:color w:val="auto"/>
          <w:kern w:val="2"/>
          <w:sz w:val="21"/>
          <w:szCs w:val="24"/>
          <w:highlight w:val="none"/>
          <w:lang w:val="en-US" w:eastAsia="zh-CN" w:bidi="ar-SA"/>
        </w:rPr>
      </w:sdtEndPr>
      <w:sdtContent>
        <w:p>
          <w:pPr>
            <w:spacing w:before="0" w:beforeLines="0" w:after="0" w:afterLines="0" w:line="360" w:lineRule="auto"/>
            <w:ind w:left="0" w:leftChars="0" w:right="0" w:rightChars="0" w:firstLine="0" w:firstLineChars="0"/>
            <w:jc w:val="center"/>
            <w:rPr>
              <w:color w:val="auto"/>
            </w:rPr>
          </w:pPr>
          <w:r>
            <w:rPr>
              <w:rFonts w:hint="eastAsia" w:ascii="宋体" w:hAnsi="宋体" w:eastAsia="宋体" w:cs="宋体"/>
              <w:color w:val="auto"/>
              <w:sz w:val="24"/>
              <w:szCs w:val="24"/>
            </w:rPr>
            <w:t>目录</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TOC \o "1-3" \h \u </w:instrText>
          </w:r>
          <w:r>
            <w:rPr>
              <w:rFonts w:hint="eastAsia" w:ascii="宋体" w:hAnsi="宋体" w:eastAsia="宋体" w:cs="宋体"/>
              <w:color w:val="auto"/>
              <w:sz w:val="24"/>
              <w:szCs w:val="24"/>
              <w:highlight w:val="none"/>
            </w:rPr>
            <w:fldChar w:fldCharType="separate"/>
          </w:r>
        </w:p>
        <w:p>
          <w:pPr>
            <w:pStyle w:val="18"/>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_Toc29005 </w:instrText>
          </w:r>
          <w:r>
            <w:rPr>
              <w:rFonts w:hint="eastAsia" w:ascii="宋体" w:hAnsi="宋体" w:eastAsia="宋体" w:cs="宋体"/>
              <w:color w:val="auto"/>
              <w:szCs w:val="24"/>
              <w:highlight w:val="none"/>
            </w:rPr>
            <w:fldChar w:fldCharType="separate"/>
          </w:r>
          <w:r>
            <w:rPr>
              <w:rFonts w:hint="eastAsia" w:ascii="宋体" w:hAnsi="宋体" w:eastAsia="宋体" w:cs="宋体"/>
              <w:bCs w:val="0"/>
              <w:color w:val="auto"/>
              <w:szCs w:val="24"/>
              <w:lang w:val="en-US" w:eastAsia="zh-CN"/>
            </w:rPr>
            <w:t>1. 项目概况</w:t>
          </w:r>
          <w:r>
            <w:rPr>
              <w:color w:val="auto"/>
            </w:rPr>
            <w:tab/>
          </w:r>
          <w:r>
            <w:rPr>
              <w:color w:val="auto"/>
            </w:rPr>
            <w:fldChar w:fldCharType="begin"/>
          </w:r>
          <w:r>
            <w:rPr>
              <w:color w:val="auto"/>
            </w:rPr>
            <w:instrText xml:space="preserve"> PAGEREF _Toc29005 \h </w:instrText>
          </w:r>
          <w:r>
            <w:rPr>
              <w:color w:val="auto"/>
            </w:rPr>
            <w:fldChar w:fldCharType="separate"/>
          </w:r>
          <w:r>
            <w:rPr>
              <w:color w:val="auto"/>
            </w:rPr>
            <w:t>5</w:t>
          </w:r>
          <w:r>
            <w:rPr>
              <w:color w:val="auto"/>
            </w:rPr>
            <w:fldChar w:fldCharType="end"/>
          </w:r>
          <w:r>
            <w:rPr>
              <w:rFonts w:hint="eastAsia" w:ascii="宋体" w:hAnsi="宋体" w:eastAsia="宋体" w:cs="宋体"/>
              <w:color w:val="auto"/>
              <w:szCs w:val="24"/>
              <w:highlight w:val="none"/>
            </w:rPr>
            <w:fldChar w:fldCharType="end"/>
          </w:r>
        </w:p>
        <w:p>
          <w:pPr>
            <w:pStyle w:val="18"/>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_Toc9825 </w:instrText>
          </w:r>
          <w:r>
            <w:rPr>
              <w:rFonts w:hint="eastAsia" w:ascii="宋体" w:hAnsi="宋体" w:eastAsia="宋体" w:cs="宋体"/>
              <w:color w:val="auto"/>
              <w:szCs w:val="24"/>
              <w:highlight w:val="none"/>
            </w:rPr>
            <w:fldChar w:fldCharType="separate"/>
          </w:r>
          <w:r>
            <w:rPr>
              <w:rFonts w:hint="eastAsia" w:ascii="Times New Roman" w:hAnsi="Times New Roman" w:cs="Times New Roman"/>
              <w:bCs w:val="0"/>
              <w:color w:val="auto"/>
              <w:szCs w:val="24"/>
              <w:lang w:val="en-US" w:eastAsia="zh-CN"/>
            </w:rPr>
            <w:t>2</w:t>
          </w:r>
          <w:r>
            <w:rPr>
              <w:rFonts w:hint="default" w:ascii="Times New Roman" w:hAnsi="Times New Roman" w:cs="Times New Roman"/>
              <w:bCs w:val="0"/>
              <w:color w:val="auto"/>
              <w:szCs w:val="24"/>
              <w:lang w:val="en-US" w:eastAsia="zh-CN"/>
            </w:rPr>
            <w:t>. 总体原则</w:t>
          </w:r>
          <w:r>
            <w:rPr>
              <w:color w:val="auto"/>
            </w:rPr>
            <w:tab/>
          </w:r>
          <w:r>
            <w:rPr>
              <w:color w:val="auto"/>
            </w:rPr>
            <w:fldChar w:fldCharType="begin"/>
          </w:r>
          <w:r>
            <w:rPr>
              <w:color w:val="auto"/>
            </w:rPr>
            <w:instrText xml:space="preserve"> PAGEREF _Toc9825 \h </w:instrText>
          </w:r>
          <w:r>
            <w:rPr>
              <w:color w:val="auto"/>
            </w:rPr>
            <w:fldChar w:fldCharType="separate"/>
          </w:r>
          <w:r>
            <w:rPr>
              <w:color w:val="auto"/>
            </w:rPr>
            <w:t>5</w:t>
          </w:r>
          <w:r>
            <w:rPr>
              <w:color w:val="auto"/>
            </w:rPr>
            <w:fldChar w:fldCharType="end"/>
          </w:r>
          <w:r>
            <w:rPr>
              <w:rFonts w:hint="eastAsia" w:ascii="宋体" w:hAnsi="宋体" w:eastAsia="宋体" w:cs="宋体"/>
              <w:color w:val="auto"/>
              <w:szCs w:val="24"/>
              <w:highlight w:val="none"/>
            </w:rPr>
            <w:fldChar w:fldCharType="end"/>
          </w:r>
        </w:p>
        <w:p>
          <w:pPr>
            <w:pStyle w:val="18"/>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_Toc1014 </w:instrText>
          </w:r>
          <w:r>
            <w:rPr>
              <w:rFonts w:hint="eastAsia" w:ascii="宋体" w:hAnsi="宋体" w:eastAsia="宋体" w:cs="宋体"/>
              <w:color w:val="auto"/>
              <w:szCs w:val="24"/>
              <w:highlight w:val="none"/>
            </w:rPr>
            <w:fldChar w:fldCharType="separate"/>
          </w:r>
          <w:r>
            <w:rPr>
              <w:rFonts w:hint="eastAsia" w:ascii="宋体" w:hAnsi="宋体" w:eastAsia="宋体" w:cs="宋体"/>
              <w:bCs w:val="0"/>
              <w:color w:val="auto"/>
              <w:szCs w:val="24"/>
              <w:lang w:val="en-US" w:eastAsia="zh-CN"/>
            </w:rPr>
            <w:t>3. 总体技术要求</w:t>
          </w:r>
          <w:r>
            <w:rPr>
              <w:color w:val="auto"/>
            </w:rPr>
            <w:tab/>
          </w:r>
          <w:r>
            <w:rPr>
              <w:color w:val="auto"/>
            </w:rPr>
            <w:fldChar w:fldCharType="begin"/>
          </w:r>
          <w:r>
            <w:rPr>
              <w:color w:val="auto"/>
            </w:rPr>
            <w:instrText xml:space="preserve"> PAGEREF _Toc1014 \h </w:instrText>
          </w:r>
          <w:r>
            <w:rPr>
              <w:color w:val="auto"/>
            </w:rPr>
            <w:fldChar w:fldCharType="separate"/>
          </w:r>
          <w:r>
            <w:rPr>
              <w:color w:val="auto"/>
            </w:rPr>
            <w:t>7</w:t>
          </w:r>
          <w:r>
            <w:rPr>
              <w:color w:val="auto"/>
            </w:rPr>
            <w:fldChar w:fldCharType="end"/>
          </w:r>
          <w:r>
            <w:rPr>
              <w:rFonts w:hint="eastAsia" w:ascii="宋体" w:hAnsi="宋体" w:eastAsia="宋体" w:cs="宋体"/>
              <w:color w:val="auto"/>
              <w:szCs w:val="24"/>
              <w:highlight w:val="none"/>
            </w:rPr>
            <w:fldChar w:fldCharType="end"/>
          </w:r>
        </w:p>
        <w:p>
          <w:pPr>
            <w:pStyle w:val="18"/>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_Toc820 </w:instrText>
          </w:r>
          <w:r>
            <w:rPr>
              <w:rFonts w:hint="eastAsia" w:ascii="宋体" w:hAnsi="宋体" w:eastAsia="宋体" w:cs="宋体"/>
              <w:color w:val="auto"/>
              <w:szCs w:val="24"/>
              <w:highlight w:val="none"/>
            </w:rPr>
            <w:fldChar w:fldCharType="separate"/>
          </w:r>
          <w:r>
            <w:rPr>
              <w:rFonts w:hint="eastAsia" w:ascii="宋体" w:hAnsi="宋体" w:eastAsia="宋体" w:cs="宋体"/>
              <w:bCs w:val="0"/>
              <w:color w:val="auto"/>
              <w:szCs w:val="24"/>
              <w:lang w:val="en-US" w:eastAsia="zh-CN"/>
            </w:rPr>
            <w:t>4. 主要设备品牌要求短名单</w:t>
          </w:r>
          <w:r>
            <w:rPr>
              <w:color w:val="auto"/>
            </w:rPr>
            <w:tab/>
          </w:r>
          <w:r>
            <w:rPr>
              <w:color w:val="auto"/>
            </w:rPr>
            <w:fldChar w:fldCharType="begin"/>
          </w:r>
          <w:r>
            <w:rPr>
              <w:color w:val="auto"/>
            </w:rPr>
            <w:instrText xml:space="preserve"> PAGEREF _Toc820 \h </w:instrText>
          </w:r>
          <w:r>
            <w:rPr>
              <w:color w:val="auto"/>
            </w:rPr>
            <w:fldChar w:fldCharType="separate"/>
          </w:r>
          <w:r>
            <w:rPr>
              <w:color w:val="auto"/>
            </w:rPr>
            <w:t>7</w:t>
          </w:r>
          <w:r>
            <w:rPr>
              <w:color w:val="auto"/>
            </w:rPr>
            <w:fldChar w:fldCharType="end"/>
          </w:r>
          <w:r>
            <w:rPr>
              <w:rFonts w:hint="eastAsia" w:ascii="宋体" w:hAnsi="宋体" w:eastAsia="宋体" w:cs="宋体"/>
              <w:color w:val="auto"/>
              <w:szCs w:val="24"/>
              <w:highlight w:val="none"/>
            </w:rPr>
            <w:fldChar w:fldCharType="end"/>
          </w:r>
        </w:p>
        <w:p>
          <w:pPr>
            <w:pStyle w:val="18"/>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_Toc21042 </w:instrText>
          </w:r>
          <w:r>
            <w:rPr>
              <w:rFonts w:hint="eastAsia" w:ascii="宋体" w:hAnsi="宋体" w:eastAsia="宋体" w:cs="宋体"/>
              <w:color w:val="auto"/>
              <w:szCs w:val="24"/>
              <w:highlight w:val="none"/>
            </w:rPr>
            <w:fldChar w:fldCharType="separate"/>
          </w:r>
          <w:r>
            <w:rPr>
              <w:rFonts w:hint="eastAsia" w:ascii="宋体" w:hAnsi="宋体" w:cs="宋体"/>
              <w:bCs w:val="0"/>
              <w:color w:val="auto"/>
              <w:szCs w:val="24"/>
              <w:lang w:val="en-US" w:eastAsia="zh-CN"/>
            </w:rPr>
            <w:t>5</w:t>
          </w:r>
          <w:r>
            <w:rPr>
              <w:rFonts w:hint="eastAsia" w:ascii="宋体" w:hAnsi="宋体" w:eastAsia="宋体" w:cs="宋体"/>
              <w:bCs w:val="0"/>
              <w:color w:val="auto"/>
              <w:szCs w:val="24"/>
              <w:lang w:val="en-US" w:eastAsia="zh-CN"/>
            </w:rPr>
            <w:t>. 400V低压交流配电柜技术要求</w:t>
          </w:r>
          <w:r>
            <w:rPr>
              <w:color w:val="auto"/>
            </w:rPr>
            <w:tab/>
          </w:r>
          <w:r>
            <w:rPr>
              <w:color w:val="auto"/>
            </w:rPr>
            <w:fldChar w:fldCharType="begin"/>
          </w:r>
          <w:r>
            <w:rPr>
              <w:color w:val="auto"/>
            </w:rPr>
            <w:instrText xml:space="preserve"> PAGEREF _Toc21042 \h </w:instrText>
          </w:r>
          <w:r>
            <w:rPr>
              <w:color w:val="auto"/>
            </w:rPr>
            <w:fldChar w:fldCharType="separate"/>
          </w:r>
          <w:r>
            <w:rPr>
              <w:color w:val="auto"/>
            </w:rPr>
            <w:t>9</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_Toc257 </w:instrText>
          </w:r>
          <w:r>
            <w:rPr>
              <w:rFonts w:hint="eastAsia" w:ascii="宋体" w:hAnsi="宋体" w:eastAsia="宋体" w:cs="宋体"/>
              <w:color w:val="auto"/>
              <w:szCs w:val="24"/>
              <w:highlight w:val="none"/>
            </w:rPr>
            <w:fldChar w:fldCharType="separate"/>
          </w:r>
          <w:r>
            <w:rPr>
              <w:rFonts w:hint="eastAsia" w:ascii="宋体" w:eastAsia="宋体" w:cs="宋体"/>
              <w:bCs w:val="0"/>
              <w:color w:val="auto"/>
              <w:szCs w:val="24"/>
              <w:lang w:val="en-US" w:eastAsia="zh-CN"/>
            </w:rPr>
            <w:t>5</w:t>
          </w:r>
          <w:r>
            <w:rPr>
              <w:rFonts w:hint="eastAsia" w:ascii="宋体" w:hAnsi="宋体" w:eastAsia="宋体" w:cs="宋体"/>
              <w:bCs w:val="0"/>
              <w:color w:val="auto"/>
              <w:szCs w:val="24"/>
              <w:lang w:val="en-US" w:eastAsia="zh-CN"/>
            </w:rPr>
            <w:t>.1产品认证及相关标准要求</w:t>
          </w:r>
          <w:r>
            <w:rPr>
              <w:color w:val="auto"/>
            </w:rPr>
            <w:tab/>
          </w:r>
          <w:r>
            <w:rPr>
              <w:color w:val="auto"/>
            </w:rPr>
            <w:fldChar w:fldCharType="begin"/>
          </w:r>
          <w:r>
            <w:rPr>
              <w:color w:val="auto"/>
            </w:rPr>
            <w:instrText xml:space="preserve"> PAGEREF _Toc257 \h </w:instrText>
          </w:r>
          <w:r>
            <w:rPr>
              <w:color w:val="auto"/>
            </w:rPr>
            <w:fldChar w:fldCharType="separate"/>
          </w:r>
          <w:r>
            <w:rPr>
              <w:color w:val="auto"/>
            </w:rPr>
            <w:t>9</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_Toc23402 </w:instrText>
          </w:r>
          <w:r>
            <w:rPr>
              <w:rFonts w:hint="eastAsia" w:ascii="宋体" w:hAnsi="宋体" w:eastAsia="宋体" w:cs="宋体"/>
              <w:color w:val="auto"/>
              <w:szCs w:val="24"/>
              <w:highlight w:val="none"/>
            </w:rPr>
            <w:fldChar w:fldCharType="separate"/>
          </w:r>
          <w:r>
            <w:rPr>
              <w:rFonts w:hint="eastAsia" w:ascii="宋体" w:eastAsia="宋体" w:cs="宋体"/>
              <w:bCs w:val="0"/>
              <w:color w:val="auto"/>
              <w:szCs w:val="24"/>
              <w:lang w:val="en-US" w:eastAsia="zh-CN"/>
            </w:rPr>
            <w:t>5</w:t>
          </w:r>
          <w:r>
            <w:rPr>
              <w:rFonts w:hint="eastAsia" w:ascii="宋体" w:hAnsi="宋体" w:eastAsia="宋体" w:cs="宋体"/>
              <w:bCs w:val="0"/>
              <w:color w:val="auto"/>
              <w:szCs w:val="24"/>
              <w:lang w:val="en-US" w:eastAsia="zh-CN"/>
            </w:rPr>
            <w:t>.2对产品及主要元器件的要求</w:t>
          </w:r>
          <w:r>
            <w:rPr>
              <w:color w:val="auto"/>
            </w:rPr>
            <w:tab/>
          </w:r>
          <w:r>
            <w:rPr>
              <w:color w:val="auto"/>
            </w:rPr>
            <w:fldChar w:fldCharType="begin"/>
          </w:r>
          <w:r>
            <w:rPr>
              <w:color w:val="auto"/>
            </w:rPr>
            <w:instrText xml:space="preserve"> PAGEREF _Toc23402 \h </w:instrText>
          </w:r>
          <w:r>
            <w:rPr>
              <w:color w:val="auto"/>
            </w:rPr>
            <w:fldChar w:fldCharType="separate"/>
          </w:r>
          <w:r>
            <w:rPr>
              <w:color w:val="auto"/>
            </w:rPr>
            <w:t>9</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_Toc10528 </w:instrText>
          </w:r>
          <w:r>
            <w:rPr>
              <w:rFonts w:hint="eastAsia" w:ascii="宋体" w:hAnsi="宋体" w:eastAsia="宋体" w:cs="宋体"/>
              <w:color w:val="auto"/>
              <w:szCs w:val="24"/>
              <w:highlight w:val="none"/>
            </w:rPr>
            <w:fldChar w:fldCharType="separate"/>
          </w:r>
          <w:r>
            <w:rPr>
              <w:rFonts w:hint="eastAsia" w:ascii="宋体" w:eastAsia="宋体" w:cs="宋体"/>
              <w:bCs w:val="0"/>
              <w:color w:val="auto"/>
              <w:szCs w:val="24"/>
              <w:lang w:val="en-US" w:eastAsia="zh-CN"/>
            </w:rPr>
            <w:t>5</w:t>
          </w:r>
          <w:r>
            <w:rPr>
              <w:rFonts w:hint="eastAsia" w:ascii="宋体" w:hAnsi="宋体" w:eastAsia="宋体" w:cs="宋体"/>
              <w:bCs w:val="0"/>
              <w:color w:val="auto"/>
              <w:szCs w:val="24"/>
              <w:lang w:val="en-US" w:eastAsia="zh-CN"/>
            </w:rPr>
            <w:t>.3对产品技术要求</w:t>
          </w:r>
          <w:r>
            <w:rPr>
              <w:color w:val="auto"/>
            </w:rPr>
            <w:tab/>
          </w:r>
          <w:r>
            <w:rPr>
              <w:color w:val="auto"/>
            </w:rPr>
            <w:fldChar w:fldCharType="begin"/>
          </w:r>
          <w:r>
            <w:rPr>
              <w:color w:val="auto"/>
            </w:rPr>
            <w:instrText xml:space="preserve"> PAGEREF _Toc10528 \h </w:instrText>
          </w:r>
          <w:r>
            <w:rPr>
              <w:color w:val="auto"/>
            </w:rPr>
            <w:fldChar w:fldCharType="separate"/>
          </w:r>
          <w:r>
            <w:rPr>
              <w:color w:val="auto"/>
            </w:rPr>
            <w:t>9</w:t>
          </w:r>
          <w:r>
            <w:rPr>
              <w:color w:val="auto"/>
            </w:rPr>
            <w:fldChar w:fldCharType="end"/>
          </w:r>
          <w:r>
            <w:rPr>
              <w:rFonts w:hint="eastAsia" w:ascii="宋体" w:hAnsi="宋体" w:eastAsia="宋体" w:cs="宋体"/>
              <w:color w:val="auto"/>
              <w:szCs w:val="24"/>
              <w:highlight w:val="none"/>
            </w:rPr>
            <w:fldChar w:fldCharType="end"/>
          </w:r>
        </w:p>
        <w:p>
          <w:pPr>
            <w:pStyle w:val="18"/>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_Toc13535 </w:instrText>
          </w:r>
          <w:r>
            <w:rPr>
              <w:rFonts w:hint="eastAsia" w:ascii="宋体" w:hAnsi="宋体" w:eastAsia="宋体" w:cs="宋体"/>
              <w:color w:val="auto"/>
              <w:szCs w:val="24"/>
              <w:highlight w:val="none"/>
            </w:rPr>
            <w:fldChar w:fldCharType="separate"/>
          </w:r>
          <w:r>
            <w:rPr>
              <w:rFonts w:hint="eastAsia" w:ascii="宋体" w:hAnsi="宋体" w:cs="宋体"/>
              <w:bCs w:val="0"/>
              <w:color w:val="auto"/>
              <w:szCs w:val="24"/>
              <w:lang w:val="en-US" w:eastAsia="zh-CN"/>
            </w:rPr>
            <w:t>6</w:t>
          </w:r>
          <w:r>
            <w:rPr>
              <w:rFonts w:hint="eastAsia" w:ascii="宋体" w:hAnsi="宋体" w:eastAsia="宋体" w:cs="宋体"/>
              <w:bCs w:val="0"/>
              <w:color w:val="auto"/>
              <w:szCs w:val="24"/>
              <w:lang w:val="en-US" w:eastAsia="zh-CN"/>
            </w:rPr>
            <w:t>. 10kV金属铠装移开式开关柜技术要求</w:t>
          </w:r>
          <w:r>
            <w:rPr>
              <w:color w:val="auto"/>
            </w:rPr>
            <w:tab/>
          </w:r>
          <w:r>
            <w:rPr>
              <w:color w:val="auto"/>
            </w:rPr>
            <w:fldChar w:fldCharType="begin"/>
          </w:r>
          <w:r>
            <w:rPr>
              <w:color w:val="auto"/>
            </w:rPr>
            <w:instrText xml:space="preserve"> PAGEREF _Toc13535 \h </w:instrText>
          </w:r>
          <w:r>
            <w:rPr>
              <w:color w:val="auto"/>
            </w:rPr>
            <w:fldChar w:fldCharType="separate"/>
          </w:r>
          <w:r>
            <w:rPr>
              <w:color w:val="auto"/>
            </w:rPr>
            <w:t>16</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_Toc20459 </w:instrText>
          </w:r>
          <w:r>
            <w:rPr>
              <w:rFonts w:hint="eastAsia" w:ascii="宋体" w:hAnsi="宋体" w:eastAsia="宋体" w:cs="宋体"/>
              <w:color w:val="auto"/>
              <w:szCs w:val="24"/>
              <w:highlight w:val="none"/>
            </w:rPr>
            <w:fldChar w:fldCharType="separate"/>
          </w:r>
          <w:r>
            <w:rPr>
              <w:rFonts w:hint="eastAsia" w:ascii="宋体" w:eastAsia="宋体" w:cs="宋体"/>
              <w:bCs w:val="0"/>
              <w:color w:val="auto"/>
              <w:szCs w:val="24"/>
              <w:lang w:val="en-US" w:eastAsia="zh-CN"/>
            </w:rPr>
            <w:t>6</w:t>
          </w:r>
          <w:r>
            <w:rPr>
              <w:rFonts w:hint="eastAsia" w:ascii="宋体" w:hAnsi="宋体" w:eastAsia="宋体" w:cs="宋体"/>
              <w:bCs w:val="0"/>
              <w:color w:val="auto"/>
              <w:szCs w:val="24"/>
              <w:lang w:val="en-US" w:eastAsia="zh-CN"/>
            </w:rPr>
            <w:t>.1产品认证及相关标准要求</w:t>
          </w:r>
          <w:r>
            <w:rPr>
              <w:color w:val="auto"/>
            </w:rPr>
            <w:tab/>
          </w:r>
          <w:r>
            <w:rPr>
              <w:color w:val="auto"/>
            </w:rPr>
            <w:fldChar w:fldCharType="begin"/>
          </w:r>
          <w:r>
            <w:rPr>
              <w:color w:val="auto"/>
            </w:rPr>
            <w:instrText xml:space="preserve"> PAGEREF _Toc20459 \h </w:instrText>
          </w:r>
          <w:r>
            <w:rPr>
              <w:color w:val="auto"/>
            </w:rPr>
            <w:fldChar w:fldCharType="separate"/>
          </w:r>
          <w:r>
            <w:rPr>
              <w:color w:val="auto"/>
            </w:rPr>
            <w:t>16</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_Toc11550 </w:instrText>
          </w:r>
          <w:r>
            <w:rPr>
              <w:rFonts w:hint="eastAsia" w:ascii="宋体" w:hAnsi="宋体" w:eastAsia="宋体" w:cs="宋体"/>
              <w:color w:val="auto"/>
              <w:szCs w:val="24"/>
              <w:highlight w:val="none"/>
            </w:rPr>
            <w:fldChar w:fldCharType="separate"/>
          </w:r>
          <w:r>
            <w:rPr>
              <w:rFonts w:hint="eastAsia" w:ascii="宋体" w:eastAsia="宋体" w:cs="宋体"/>
              <w:bCs w:val="0"/>
              <w:color w:val="auto"/>
              <w:szCs w:val="24"/>
              <w:lang w:val="en-US" w:eastAsia="zh-CN"/>
            </w:rPr>
            <w:t>6</w:t>
          </w:r>
          <w:r>
            <w:rPr>
              <w:rFonts w:hint="eastAsia" w:ascii="宋体" w:hAnsi="宋体" w:eastAsia="宋体" w:cs="宋体"/>
              <w:bCs w:val="0"/>
              <w:color w:val="auto"/>
              <w:szCs w:val="24"/>
              <w:lang w:val="en-US" w:eastAsia="zh-CN"/>
            </w:rPr>
            <w:t>.2设备文件的要求</w:t>
          </w:r>
          <w:r>
            <w:rPr>
              <w:color w:val="auto"/>
            </w:rPr>
            <w:tab/>
          </w:r>
          <w:r>
            <w:rPr>
              <w:color w:val="auto"/>
            </w:rPr>
            <w:fldChar w:fldCharType="begin"/>
          </w:r>
          <w:r>
            <w:rPr>
              <w:color w:val="auto"/>
            </w:rPr>
            <w:instrText xml:space="preserve"> PAGEREF _Toc11550 \h </w:instrText>
          </w:r>
          <w:r>
            <w:rPr>
              <w:color w:val="auto"/>
            </w:rPr>
            <w:fldChar w:fldCharType="separate"/>
          </w:r>
          <w:r>
            <w:rPr>
              <w:color w:val="auto"/>
            </w:rPr>
            <w:t>16</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_Toc3824 </w:instrText>
          </w:r>
          <w:r>
            <w:rPr>
              <w:rFonts w:hint="eastAsia" w:ascii="宋体" w:hAnsi="宋体" w:eastAsia="宋体" w:cs="宋体"/>
              <w:color w:val="auto"/>
              <w:szCs w:val="24"/>
              <w:highlight w:val="none"/>
            </w:rPr>
            <w:fldChar w:fldCharType="separate"/>
          </w:r>
          <w:r>
            <w:rPr>
              <w:rFonts w:hint="eastAsia" w:ascii="宋体" w:eastAsia="宋体" w:cs="宋体"/>
              <w:bCs w:val="0"/>
              <w:color w:val="auto"/>
              <w:szCs w:val="24"/>
              <w:lang w:val="en-US" w:eastAsia="zh-CN"/>
            </w:rPr>
            <w:t>6</w:t>
          </w:r>
          <w:r>
            <w:rPr>
              <w:rFonts w:hint="eastAsia" w:ascii="宋体" w:hAnsi="宋体" w:eastAsia="宋体" w:cs="宋体"/>
              <w:bCs w:val="0"/>
              <w:color w:val="auto"/>
              <w:szCs w:val="24"/>
              <w:lang w:val="en-US" w:eastAsia="zh-CN"/>
            </w:rPr>
            <w:t>.3对产品及主要元器件的要求</w:t>
          </w:r>
          <w:r>
            <w:rPr>
              <w:color w:val="auto"/>
            </w:rPr>
            <w:tab/>
          </w:r>
          <w:r>
            <w:rPr>
              <w:color w:val="auto"/>
            </w:rPr>
            <w:fldChar w:fldCharType="begin"/>
          </w:r>
          <w:r>
            <w:rPr>
              <w:color w:val="auto"/>
            </w:rPr>
            <w:instrText xml:space="preserve"> PAGEREF _Toc3824 \h </w:instrText>
          </w:r>
          <w:r>
            <w:rPr>
              <w:color w:val="auto"/>
            </w:rPr>
            <w:fldChar w:fldCharType="separate"/>
          </w:r>
          <w:r>
            <w:rPr>
              <w:color w:val="auto"/>
            </w:rPr>
            <w:t>17</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_Toc12260 </w:instrText>
          </w:r>
          <w:r>
            <w:rPr>
              <w:rFonts w:hint="eastAsia" w:ascii="宋体" w:hAnsi="宋体" w:eastAsia="宋体" w:cs="宋体"/>
              <w:color w:val="auto"/>
              <w:szCs w:val="24"/>
              <w:highlight w:val="none"/>
            </w:rPr>
            <w:fldChar w:fldCharType="separate"/>
          </w:r>
          <w:r>
            <w:rPr>
              <w:rFonts w:hint="eastAsia" w:ascii="宋体" w:eastAsia="宋体" w:cs="宋体"/>
              <w:bCs w:val="0"/>
              <w:color w:val="auto"/>
              <w:szCs w:val="24"/>
              <w:lang w:val="en-US" w:eastAsia="zh-CN"/>
            </w:rPr>
            <w:t>6</w:t>
          </w:r>
          <w:r>
            <w:rPr>
              <w:rFonts w:hint="eastAsia" w:ascii="宋体" w:hAnsi="宋体" w:eastAsia="宋体" w:cs="宋体"/>
              <w:bCs w:val="0"/>
              <w:color w:val="auto"/>
              <w:szCs w:val="24"/>
              <w:lang w:val="en-US" w:eastAsia="zh-CN"/>
            </w:rPr>
            <w:t>.4对产品技术要求</w:t>
          </w:r>
          <w:r>
            <w:rPr>
              <w:color w:val="auto"/>
            </w:rPr>
            <w:tab/>
          </w:r>
          <w:r>
            <w:rPr>
              <w:color w:val="auto"/>
            </w:rPr>
            <w:fldChar w:fldCharType="begin"/>
          </w:r>
          <w:r>
            <w:rPr>
              <w:color w:val="auto"/>
            </w:rPr>
            <w:instrText xml:space="preserve"> PAGEREF _Toc12260 \h </w:instrText>
          </w:r>
          <w:r>
            <w:rPr>
              <w:color w:val="auto"/>
            </w:rPr>
            <w:fldChar w:fldCharType="separate"/>
          </w:r>
          <w:r>
            <w:rPr>
              <w:color w:val="auto"/>
            </w:rPr>
            <w:t>17</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_Toc8636 </w:instrText>
          </w:r>
          <w:r>
            <w:rPr>
              <w:rFonts w:hint="eastAsia" w:ascii="宋体" w:hAnsi="宋体" w:eastAsia="宋体" w:cs="宋体"/>
              <w:color w:val="auto"/>
              <w:szCs w:val="24"/>
              <w:highlight w:val="none"/>
            </w:rPr>
            <w:fldChar w:fldCharType="separate"/>
          </w:r>
          <w:r>
            <w:rPr>
              <w:rFonts w:hint="eastAsia" w:ascii="宋体" w:eastAsia="宋体" w:cs="宋体"/>
              <w:bCs w:val="0"/>
              <w:color w:val="auto"/>
              <w:szCs w:val="24"/>
              <w:lang w:val="en-US" w:eastAsia="zh-CN"/>
            </w:rPr>
            <w:t>6</w:t>
          </w:r>
          <w:r>
            <w:rPr>
              <w:rFonts w:hint="eastAsia" w:ascii="宋体" w:hAnsi="宋体" w:eastAsia="宋体" w:cs="宋体"/>
              <w:bCs w:val="0"/>
              <w:color w:val="auto"/>
              <w:szCs w:val="24"/>
              <w:lang w:val="en-US" w:eastAsia="zh-CN"/>
            </w:rPr>
            <w:t>.5 10kV属铠装移开式开关柜技术要求</w:t>
          </w:r>
          <w:r>
            <w:rPr>
              <w:color w:val="auto"/>
            </w:rPr>
            <w:tab/>
          </w:r>
          <w:r>
            <w:rPr>
              <w:color w:val="auto"/>
            </w:rPr>
            <w:fldChar w:fldCharType="begin"/>
          </w:r>
          <w:r>
            <w:rPr>
              <w:color w:val="auto"/>
            </w:rPr>
            <w:instrText xml:space="preserve"> PAGEREF _Toc8636 \h </w:instrText>
          </w:r>
          <w:r>
            <w:rPr>
              <w:color w:val="auto"/>
            </w:rPr>
            <w:fldChar w:fldCharType="separate"/>
          </w:r>
          <w:r>
            <w:rPr>
              <w:color w:val="auto"/>
            </w:rPr>
            <w:t>20</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_Toc5704 </w:instrText>
          </w:r>
          <w:r>
            <w:rPr>
              <w:rFonts w:hint="eastAsia" w:ascii="宋体" w:hAnsi="宋体" w:eastAsia="宋体" w:cs="宋体"/>
              <w:color w:val="auto"/>
              <w:szCs w:val="24"/>
              <w:highlight w:val="none"/>
            </w:rPr>
            <w:fldChar w:fldCharType="separate"/>
          </w:r>
          <w:r>
            <w:rPr>
              <w:rFonts w:hint="eastAsia" w:ascii="宋体" w:eastAsia="宋体" w:cs="宋体"/>
              <w:bCs w:val="0"/>
              <w:color w:val="auto"/>
              <w:szCs w:val="24"/>
              <w:lang w:val="en-US" w:eastAsia="zh-CN"/>
            </w:rPr>
            <w:t>6</w:t>
          </w:r>
          <w:r>
            <w:rPr>
              <w:rFonts w:hint="eastAsia" w:ascii="宋体" w:hAnsi="宋体" w:eastAsia="宋体" w:cs="宋体"/>
              <w:bCs w:val="0"/>
              <w:color w:val="auto"/>
              <w:szCs w:val="24"/>
              <w:lang w:val="en-US" w:eastAsia="zh-CN"/>
            </w:rPr>
            <w:t>.6开关柜通用部分技术要求</w:t>
          </w:r>
          <w:r>
            <w:rPr>
              <w:color w:val="auto"/>
            </w:rPr>
            <w:tab/>
          </w:r>
          <w:r>
            <w:rPr>
              <w:color w:val="auto"/>
            </w:rPr>
            <w:fldChar w:fldCharType="begin"/>
          </w:r>
          <w:r>
            <w:rPr>
              <w:color w:val="auto"/>
            </w:rPr>
            <w:instrText xml:space="preserve"> PAGEREF _Toc5704 \h </w:instrText>
          </w:r>
          <w:r>
            <w:rPr>
              <w:color w:val="auto"/>
            </w:rPr>
            <w:fldChar w:fldCharType="separate"/>
          </w:r>
          <w:r>
            <w:rPr>
              <w:color w:val="auto"/>
            </w:rPr>
            <w:t>21</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_Toc16860 </w:instrText>
          </w:r>
          <w:r>
            <w:rPr>
              <w:rFonts w:hint="eastAsia" w:ascii="宋体" w:hAnsi="宋体" w:eastAsia="宋体" w:cs="宋体"/>
              <w:color w:val="auto"/>
              <w:szCs w:val="24"/>
              <w:highlight w:val="none"/>
            </w:rPr>
            <w:fldChar w:fldCharType="separate"/>
          </w:r>
          <w:r>
            <w:rPr>
              <w:rFonts w:hint="eastAsia" w:ascii="宋体" w:eastAsia="宋体" w:cs="宋体"/>
              <w:bCs w:val="0"/>
              <w:color w:val="auto"/>
              <w:szCs w:val="24"/>
              <w:lang w:val="en-US" w:eastAsia="zh-CN"/>
            </w:rPr>
            <w:t>6</w:t>
          </w:r>
          <w:r>
            <w:rPr>
              <w:rFonts w:hint="eastAsia" w:ascii="宋体" w:hAnsi="宋体" w:eastAsia="宋体" w:cs="宋体"/>
              <w:bCs w:val="0"/>
              <w:color w:val="auto"/>
              <w:szCs w:val="24"/>
              <w:lang w:val="en-US" w:eastAsia="zh-CN"/>
            </w:rPr>
            <w:t>.7 10kV金属铠装移开式开关柜产品质量要求</w:t>
          </w:r>
          <w:r>
            <w:rPr>
              <w:color w:val="auto"/>
            </w:rPr>
            <w:tab/>
          </w:r>
          <w:r>
            <w:rPr>
              <w:color w:val="auto"/>
            </w:rPr>
            <w:fldChar w:fldCharType="begin"/>
          </w:r>
          <w:r>
            <w:rPr>
              <w:color w:val="auto"/>
            </w:rPr>
            <w:instrText xml:space="preserve"> PAGEREF _Toc16860 \h </w:instrText>
          </w:r>
          <w:r>
            <w:rPr>
              <w:color w:val="auto"/>
            </w:rPr>
            <w:fldChar w:fldCharType="separate"/>
          </w:r>
          <w:r>
            <w:rPr>
              <w:color w:val="auto"/>
            </w:rPr>
            <w:t>25</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_Toc11564 </w:instrText>
          </w:r>
          <w:r>
            <w:rPr>
              <w:rFonts w:hint="eastAsia" w:ascii="宋体" w:hAnsi="宋体" w:eastAsia="宋体" w:cs="宋体"/>
              <w:color w:val="auto"/>
              <w:szCs w:val="24"/>
              <w:highlight w:val="none"/>
            </w:rPr>
            <w:fldChar w:fldCharType="separate"/>
          </w:r>
          <w:r>
            <w:rPr>
              <w:rFonts w:hint="eastAsia" w:ascii="宋体" w:eastAsia="宋体" w:cs="宋体"/>
              <w:bCs w:val="0"/>
              <w:color w:val="auto"/>
              <w:szCs w:val="24"/>
              <w:lang w:val="en-US" w:eastAsia="zh-CN"/>
            </w:rPr>
            <w:t>6</w:t>
          </w:r>
          <w:r>
            <w:rPr>
              <w:rFonts w:hint="eastAsia" w:ascii="宋体" w:hAnsi="宋体" w:eastAsia="宋体" w:cs="宋体"/>
              <w:bCs w:val="0"/>
              <w:color w:val="auto"/>
              <w:szCs w:val="24"/>
              <w:lang w:val="en-US" w:eastAsia="zh-CN"/>
            </w:rPr>
            <w:t>.8包装运输要求</w:t>
          </w:r>
          <w:r>
            <w:rPr>
              <w:color w:val="auto"/>
            </w:rPr>
            <w:tab/>
          </w:r>
          <w:r>
            <w:rPr>
              <w:color w:val="auto"/>
            </w:rPr>
            <w:fldChar w:fldCharType="begin"/>
          </w:r>
          <w:r>
            <w:rPr>
              <w:color w:val="auto"/>
            </w:rPr>
            <w:instrText xml:space="preserve"> PAGEREF _Toc11564 \h </w:instrText>
          </w:r>
          <w:r>
            <w:rPr>
              <w:color w:val="auto"/>
            </w:rPr>
            <w:fldChar w:fldCharType="separate"/>
          </w:r>
          <w:r>
            <w:rPr>
              <w:color w:val="auto"/>
            </w:rPr>
            <w:t>26</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_Toc17414 </w:instrText>
          </w:r>
          <w:r>
            <w:rPr>
              <w:rFonts w:hint="eastAsia" w:ascii="宋体" w:hAnsi="宋体" w:eastAsia="宋体" w:cs="宋体"/>
              <w:color w:val="auto"/>
              <w:szCs w:val="24"/>
              <w:highlight w:val="none"/>
            </w:rPr>
            <w:fldChar w:fldCharType="separate"/>
          </w:r>
          <w:r>
            <w:rPr>
              <w:rFonts w:hint="eastAsia" w:ascii="宋体" w:eastAsia="宋体" w:cs="宋体"/>
              <w:bCs w:val="0"/>
              <w:color w:val="auto"/>
              <w:szCs w:val="24"/>
              <w:lang w:val="en-US" w:eastAsia="zh-CN"/>
            </w:rPr>
            <w:t>6</w:t>
          </w:r>
          <w:r>
            <w:rPr>
              <w:rFonts w:hint="eastAsia" w:ascii="宋体" w:hAnsi="宋体" w:eastAsia="宋体" w:cs="宋体"/>
              <w:bCs w:val="0"/>
              <w:color w:val="auto"/>
              <w:szCs w:val="24"/>
              <w:lang w:val="en-US" w:eastAsia="zh-CN"/>
            </w:rPr>
            <w:t>.9货到现场验收</w:t>
          </w:r>
          <w:r>
            <w:rPr>
              <w:color w:val="auto"/>
            </w:rPr>
            <w:tab/>
          </w:r>
          <w:r>
            <w:rPr>
              <w:color w:val="auto"/>
            </w:rPr>
            <w:fldChar w:fldCharType="begin"/>
          </w:r>
          <w:r>
            <w:rPr>
              <w:color w:val="auto"/>
            </w:rPr>
            <w:instrText xml:space="preserve"> PAGEREF _Toc17414 \h </w:instrText>
          </w:r>
          <w:r>
            <w:rPr>
              <w:color w:val="auto"/>
            </w:rPr>
            <w:fldChar w:fldCharType="separate"/>
          </w:r>
          <w:r>
            <w:rPr>
              <w:color w:val="auto"/>
            </w:rPr>
            <w:t>27</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_Toc19525 </w:instrText>
          </w:r>
          <w:r>
            <w:rPr>
              <w:rFonts w:hint="eastAsia" w:ascii="宋体" w:hAnsi="宋体" w:eastAsia="宋体" w:cs="宋体"/>
              <w:color w:val="auto"/>
              <w:szCs w:val="24"/>
              <w:highlight w:val="none"/>
            </w:rPr>
            <w:fldChar w:fldCharType="separate"/>
          </w:r>
          <w:r>
            <w:rPr>
              <w:rFonts w:hint="eastAsia" w:ascii="宋体" w:eastAsia="宋体" w:cs="宋体"/>
              <w:bCs w:val="0"/>
              <w:color w:val="auto"/>
              <w:szCs w:val="24"/>
              <w:lang w:val="en-US" w:eastAsia="zh-CN"/>
            </w:rPr>
            <w:t>6</w:t>
          </w:r>
          <w:r>
            <w:rPr>
              <w:rFonts w:hint="eastAsia" w:ascii="宋体" w:hAnsi="宋体" w:eastAsia="宋体" w:cs="宋体"/>
              <w:bCs w:val="0"/>
              <w:color w:val="auto"/>
              <w:szCs w:val="24"/>
              <w:lang w:val="en-US" w:eastAsia="zh-CN"/>
            </w:rPr>
            <w:t>.10设备调试</w:t>
          </w:r>
          <w:r>
            <w:rPr>
              <w:color w:val="auto"/>
            </w:rPr>
            <w:tab/>
          </w:r>
          <w:r>
            <w:rPr>
              <w:color w:val="auto"/>
            </w:rPr>
            <w:fldChar w:fldCharType="begin"/>
          </w:r>
          <w:r>
            <w:rPr>
              <w:color w:val="auto"/>
            </w:rPr>
            <w:instrText xml:space="preserve"> PAGEREF _Toc19525 \h </w:instrText>
          </w:r>
          <w:r>
            <w:rPr>
              <w:color w:val="auto"/>
            </w:rPr>
            <w:fldChar w:fldCharType="separate"/>
          </w:r>
          <w:r>
            <w:rPr>
              <w:color w:val="auto"/>
            </w:rPr>
            <w:t>27</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_Toc1941 </w:instrText>
          </w:r>
          <w:r>
            <w:rPr>
              <w:rFonts w:hint="eastAsia" w:ascii="宋体" w:hAnsi="宋体" w:eastAsia="宋体" w:cs="宋体"/>
              <w:color w:val="auto"/>
              <w:szCs w:val="24"/>
              <w:highlight w:val="none"/>
            </w:rPr>
            <w:fldChar w:fldCharType="separate"/>
          </w:r>
          <w:r>
            <w:rPr>
              <w:rFonts w:hint="eastAsia" w:ascii="宋体" w:eastAsia="宋体" w:cs="宋体"/>
              <w:bCs w:val="0"/>
              <w:color w:val="auto"/>
              <w:szCs w:val="24"/>
              <w:lang w:val="en-US" w:eastAsia="zh-CN"/>
            </w:rPr>
            <w:t>6</w:t>
          </w:r>
          <w:r>
            <w:rPr>
              <w:rFonts w:hint="eastAsia" w:ascii="宋体" w:hAnsi="宋体" w:eastAsia="宋体" w:cs="宋体"/>
              <w:bCs w:val="0"/>
              <w:color w:val="auto"/>
              <w:szCs w:val="24"/>
              <w:lang w:val="en-US" w:eastAsia="zh-CN"/>
            </w:rPr>
            <w:t>.11设备安装</w:t>
          </w:r>
          <w:r>
            <w:rPr>
              <w:color w:val="auto"/>
            </w:rPr>
            <w:tab/>
          </w:r>
          <w:r>
            <w:rPr>
              <w:color w:val="auto"/>
            </w:rPr>
            <w:fldChar w:fldCharType="begin"/>
          </w:r>
          <w:r>
            <w:rPr>
              <w:color w:val="auto"/>
            </w:rPr>
            <w:instrText xml:space="preserve"> PAGEREF _Toc1941 \h </w:instrText>
          </w:r>
          <w:r>
            <w:rPr>
              <w:color w:val="auto"/>
            </w:rPr>
            <w:fldChar w:fldCharType="separate"/>
          </w:r>
          <w:r>
            <w:rPr>
              <w:color w:val="auto"/>
            </w:rPr>
            <w:t>27</w:t>
          </w:r>
          <w:r>
            <w:rPr>
              <w:color w:val="auto"/>
            </w:rPr>
            <w:fldChar w:fldCharType="end"/>
          </w:r>
          <w:r>
            <w:rPr>
              <w:rFonts w:hint="eastAsia" w:ascii="宋体" w:hAnsi="宋体" w:eastAsia="宋体" w:cs="宋体"/>
              <w:color w:val="auto"/>
              <w:szCs w:val="24"/>
              <w:highlight w:val="none"/>
            </w:rPr>
            <w:fldChar w:fldCharType="end"/>
          </w:r>
        </w:p>
        <w:p>
          <w:pPr>
            <w:pStyle w:val="18"/>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_Toc27184 </w:instrText>
          </w:r>
          <w:r>
            <w:rPr>
              <w:rFonts w:hint="eastAsia" w:ascii="宋体" w:hAnsi="宋体" w:eastAsia="宋体" w:cs="宋体"/>
              <w:color w:val="auto"/>
              <w:szCs w:val="24"/>
              <w:highlight w:val="none"/>
            </w:rPr>
            <w:fldChar w:fldCharType="separate"/>
          </w:r>
          <w:r>
            <w:rPr>
              <w:rFonts w:hint="eastAsia" w:ascii="宋体" w:hAnsi="宋体" w:cs="宋体"/>
              <w:bCs w:val="0"/>
              <w:color w:val="auto"/>
              <w:szCs w:val="24"/>
              <w:lang w:val="en-US" w:eastAsia="zh-CN"/>
            </w:rPr>
            <w:t>7</w:t>
          </w:r>
          <w:r>
            <w:rPr>
              <w:rFonts w:hint="eastAsia" w:ascii="宋体" w:hAnsi="宋体" w:eastAsia="宋体" w:cs="宋体"/>
              <w:bCs w:val="0"/>
              <w:color w:val="auto"/>
              <w:szCs w:val="24"/>
              <w:lang w:val="en-US" w:eastAsia="zh-CN"/>
            </w:rPr>
            <w:t>. 10kV箱式变压器技术要求</w:t>
          </w:r>
          <w:r>
            <w:rPr>
              <w:color w:val="auto"/>
            </w:rPr>
            <w:tab/>
          </w:r>
          <w:r>
            <w:rPr>
              <w:color w:val="auto"/>
            </w:rPr>
            <w:fldChar w:fldCharType="begin"/>
          </w:r>
          <w:r>
            <w:rPr>
              <w:color w:val="auto"/>
            </w:rPr>
            <w:instrText xml:space="preserve"> PAGEREF _Toc27184 \h </w:instrText>
          </w:r>
          <w:r>
            <w:rPr>
              <w:color w:val="auto"/>
            </w:rPr>
            <w:fldChar w:fldCharType="separate"/>
          </w:r>
          <w:r>
            <w:rPr>
              <w:color w:val="auto"/>
            </w:rPr>
            <w:t>27</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_Toc4782 </w:instrText>
          </w:r>
          <w:r>
            <w:rPr>
              <w:rFonts w:hint="eastAsia" w:ascii="宋体" w:hAnsi="宋体" w:eastAsia="宋体" w:cs="宋体"/>
              <w:color w:val="auto"/>
              <w:szCs w:val="24"/>
              <w:highlight w:val="none"/>
            </w:rPr>
            <w:fldChar w:fldCharType="separate"/>
          </w:r>
          <w:r>
            <w:rPr>
              <w:rFonts w:hint="eastAsia" w:ascii="宋体" w:eastAsia="宋体" w:cs="宋体"/>
              <w:bCs w:val="0"/>
              <w:color w:val="auto"/>
              <w:szCs w:val="24"/>
              <w:lang w:val="en-US" w:eastAsia="zh-CN"/>
            </w:rPr>
            <w:t>7</w:t>
          </w:r>
          <w:r>
            <w:rPr>
              <w:rFonts w:hint="eastAsia" w:ascii="宋体" w:hAnsi="宋体" w:eastAsia="宋体" w:cs="宋体"/>
              <w:bCs w:val="0"/>
              <w:color w:val="auto"/>
              <w:szCs w:val="24"/>
              <w:lang w:val="en-US" w:eastAsia="zh-CN"/>
            </w:rPr>
            <w:t>.1 总则</w:t>
          </w:r>
          <w:r>
            <w:rPr>
              <w:color w:val="auto"/>
            </w:rPr>
            <w:tab/>
          </w:r>
          <w:r>
            <w:rPr>
              <w:color w:val="auto"/>
            </w:rPr>
            <w:fldChar w:fldCharType="begin"/>
          </w:r>
          <w:r>
            <w:rPr>
              <w:color w:val="auto"/>
            </w:rPr>
            <w:instrText xml:space="preserve"> PAGEREF _Toc4782 \h </w:instrText>
          </w:r>
          <w:r>
            <w:rPr>
              <w:color w:val="auto"/>
            </w:rPr>
            <w:fldChar w:fldCharType="separate"/>
          </w:r>
          <w:r>
            <w:rPr>
              <w:color w:val="auto"/>
            </w:rPr>
            <w:t>27</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_Toc15989 </w:instrText>
          </w:r>
          <w:r>
            <w:rPr>
              <w:rFonts w:hint="eastAsia" w:ascii="宋体" w:hAnsi="宋体" w:eastAsia="宋体" w:cs="宋体"/>
              <w:color w:val="auto"/>
              <w:szCs w:val="24"/>
              <w:highlight w:val="none"/>
            </w:rPr>
            <w:fldChar w:fldCharType="separate"/>
          </w:r>
          <w:r>
            <w:rPr>
              <w:rFonts w:hint="eastAsia" w:ascii="宋体" w:hAnsi="宋体" w:cs="宋体"/>
              <w:bCs w:val="0"/>
              <w:color w:val="auto"/>
              <w:kern w:val="2"/>
              <w:szCs w:val="24"/>
              <w:lang w:val="en-US" w:eastAsia="zh-CN" w:bidi="ar-SA"/>
            </w:rPr>
            <w:t>7</w:t>
          </w:r>
          <w:r>
            <w:rPr>
              <w:rFonts w:hint="eastAsia" w:ascii="宋体" w:hAnsi="宋体" w:eastAsia="宋体" w:cs="宋体"/>
              <w:bCs w:val="0"/>
              <w:color w:val="auto"/>
              <w:kern w:val="2"/>
              <w:szCs w:val="24"/>
              <w:lang w:val="en-US" w:eastAsia="zh-CN" w:bidi="ar-SA"/>
            </w:rPr>
            <w:t>.2 总体要求</w:t>
          </w:r>
          <w:r>
            <w:rPr>
              <w:color w:val="auto"/>
            </w:rPr>
            <w:tab/>
          </w:r>
          <w:r>
            <w:rPr>
              <w:color w:val="auto"/>
            </w:rPr>
            <w:fldChar w:fldCharType="begin"/>
          </w:r>
          <w:r>
            <w:rPr>
              <w:color w:val="auto"/>
            </w:rPr>
            <w:instrText xml:space="preserve"> PAGEREF _Toc15989 \h </w:instrText>
          </w:r>
          <w:r>
            <w:rPr>
              <w:color w:val="auto"/>
            </w:rPr>
            <w:fldChar w:fldCharType="separate"/>
          </w:r>
          <w:r>
            <w:rPr>
              <w:color w:val="auto"/>
            </w:rPr>
            <w:t>28</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_Toc18637 </w:instrText>
          </w:r>
          <w:r>
            <w:rPr>
              <w:rFonts w:hint="eastAsia" w:ascii="宋体" w:hAnsi="宋体" w:eastAsia="宋体" w:cs="宋体"/>
              <w:color w:val="auto"/>
              <w:szCs w:val="24"/>
              <w:highlight w:val="none"/>
            </w:rPr>
            <w:fldChar w:fldCharType="separate"/>
          </w:r>
          <w:r>
            <w:rPr>
              <w:rFonts w:hint="eastAsia" w:ascii="宋体" w:eastAsia="宋体" w:cs="宋体"/>
              <w:bCs w:val="0"/>
              <w:color w:val="auto"/>
              <w:szCs w:val="24"/>
              <w:lang w:val="en-US" w:eastAsia="zh-CN"/>
            </w:rPr>
            <w:t>7</w:t>
          </w:r>
          <w:r>
            <w:rPr>
              <w:rFonts w:hint="eastAsia" w:ascii="宋体" w:hAnsi="宋体" w:eastAsia="宋体" w:cs="宋体"/>
              <w:bCs w:val="0"/>
              <w:color w:val="auto"/>
              <w:szCs w:val="24"/>
              <w:lang w:val="en-US" w:eastAsia="zh-CN"/>
            </w:rPr>
            <w:t>.3基本技术要求</w:t>
          </w:r>
          <w:r>
            <w:rPr>
              <w:color w:val="auto"/>
            </w:rPr>
            <w:tab/>
          </w:r>
          <w:r>
            <w:rPr>
              <w:color w:val="auto"/>
            </w:rPr>
            <w:fldChar w:fldCharType="begin"/>
          </w:r>
          <w:r>
            <w:rPr>
              <w:color w:val="auto"/>
            </w:rPr>
            <w:instrText xml:space="preserve"> PAGEREF _Toc18637 \h </w:instrText>
          </w:r>
          <w:r>
            <w:rPr>
              <w:color w:val="auto"/>
            </w:rPr>
            <w:fldChar w:fldCharType="separate"/>
          </w:r>
          <w:r>
            <w:rPr>
              <w:color w:val="auto"/>
            </w:rPr>
            <w:t>29</w:t>
          </w:r>
          <w:r>
            <w:rPr>
              <w:color w:val="auto"/>
            </w:rPr>
            <w:fldChar w:fldCharType="end"/>
          </w:r>
          <w:r>
            <w:rPr>
              <w:rFonts w:hint="eastAsia" w:ascii="宋体" w:hAnsi="宋体" w:eastAsia="宋体" w:cs="宋体"/>
              <w:color w:val="auto"/>
              <w:szCs w:val="24"/>
              <w:highlight w:val="none"/>
            </w:rPr>
            <w:fldChar w:fldCharType="end"/>
          </w:r>
        </w:p>
        <w:p>
          <w:pPr>
            <w:pStyle w:val="18"/>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_Toc18538 </w:instrText>
          </w:r>
          <w:r>
            <w:rPr>
              <w:rFonts w:hint="eastAsia" w:ascii="宋体" w:hAnsi="宋体" w:eastAsia="宋体" w:cs="宋体"/>
              <w:color w:val="auto"/>
              <w:szCs w:val="24"/>
              <w:highlight w:val="none"/>
            </w:rPr>
            <w:fldChar w:fldCharType="separate"/>
          </w:r>
          <w:r>
            <w:rPr>
              <w:rFonts w:hint="eastAsia" w:ascii="宋体" w:hAnsi="宋体" w:cs="宋体"/>
              <w:bCs w:val="0"/>
              <w:color w:val="auto"/>
              <w:szCs w:val="24"/>
              <w:lang w:val="en-US" w:eastAsia="zh-CN"/>
            </w:rPr>
            <w:t>8</w:t>
          </w:r>
          <w:r>
            <w:rPr>
              <w:rFonts w:hint="eastAsia" w:ascii="宋体" w:hAnsi="宋体" w:eastAsia="宋体" w:cs="宋体"/>
              <w:bCs w:val="0"/>
              <w:color w:val="auto"/>
              <w:szCs w:val="24"/>
              <w:lang w:val="en-US" w:eastAsia="zh-CN"/>
            </w:rPr>
            <w:t>. 低压电力电缆技术要求</w:t>
          </w:r>
          <w:r>
            <w:rPr>
              <w:color w:val="auto"/>
            </w:rPr>
            <w:tab/>
          </w:r>
          <w:r>
            <w:rPr>
              <w:color w:val="auto"/>
            </w:rPr>
            <w:fldChar w:fldCharType="begin"/>
          </w:r>
          <w:r>
            <w:rPr>
              <w:color w:val="auto"/>
            </w:rPr>
            <w:instrText xml:space="preserve"> PAGEREF _Toc18538 \h </w:instrText>
          </w:r>
          <w:r>
            <w:rPr>
              <w:color w:val="auto"/>
            </w:rPr>
            <w:fldChar w:fldCharType="separate"/>
          </w:r>
          <w:r>
            <w:rPr>
              <w:color w:val="auto"/>
            </w:rPr>
            <w:t>35</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_Toc22162 </w:instrText>
          </w:r>
          <w:r>
            <w:rPr>
              <w:rFonts w:hint="eastAsia" w:ascii="宋体" w:hAnsi="宋体" w:eastAsia="宋体" w:cs="宋体"/>
              <w:color w:val="auto"/>
              <w:szCs w:val="24"/>
              <w:highlight w:val="none"/>
            </w:rPr>
            <w:fldChar w:fldCharType="separate"/>
          </w:r>
          <w:r>
            <w:rPr>
              <w:rFonts w:hint="eastAsia" w:ascii="宋体" w:eastAsia="宋体" w:cs="宋体"/>
              <w:bCs w:val="0"/>
              <w:color w:val="auto"/>
              <w:szCs w:val="24"/>
              <w:lang w:val="en-US" w:eastAsia="zh-CN"/>
            </w:rPr>
            <w:t>8</w:t>
          </w:r>
          <w:r>
            <w:rPr>
              <w:rFonts w:hint="eastAsia" w:ascii="宋体" w:hAnsi="宋体" w:eastAsia="宋体" w:cs="宋体"/>
              <w:bCs w:val="0"/>
              <w:color w:val="auto"/>
              <w:szCs w:val="24"/>
              <w:lang w:val="en-US" w:eastAsia="zh-CN"/>
            </w:rPr>
            <w:t>.1 1kV电缆技术参数和性能要求</w:t>
          </w:r>
          <w:r>
            <w:rPr>
              <w:color w:val="auto"/>
            </w:rPr>
            <w:tab/>
          </w:r>
          <w:r>
            <w:rPr>
              <w:color w:val="auto"/>
            </w:rPr>
            <w:fldChar w:fldCharType="begin"/>
          </w:r>
          <w:r>
            <w:rPr>
              <w:color w:val="auto"/>
            </w:rPr>
            <w:instrText xml:space="preserve"> PAGEREF _Toc22162 \h </w:instrText>
          </w:r>
          <w:r>
            <w:rPr>
              <w:color w:val="auto"/>
            </w:rPr>
            <w:fldChar w:fldCharType="separate"/>
          </w:r>
          <w:r>
            <w:rPr>
              <w:color w:val="auto"/>
            </w:rPr>
            <w:t>35</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_Toc2636 </w:instrText>
          </w:r>
          <w:r>
            <w:rPr>
              <w:rFonts w:hint="eastAsia" w:ascii="宋体" w:hAnsi="宋体" w:eastAsia="宋体" w:cs="宋体"/>
              <w:color w:val="auto"/>
              <w:szCs w:val="24"/>
              <w:highlight w:val="none"/>
            </w:rPr>
            <w:fldChar w:fldCharType="separate"/>
          </w:r>
          <w:r>
            <w:rPr>
              <w:rFonts w:hint="eastAsia" w:ascii="宋体" w:eastAsia="宋体" w:cs="宋体"/>
              <w:bCs w:val="0"/>
              <w:color w:val="auto"/>
              <w:szCs w:val="24"/>
              <w:lang w:val="en-US" w:eastAsia="zh-CN"/>
            </w:rPr>
            <w:t>8</w:t>
          </w:r>
          <w:r>
            <w:rPr>
              <w:rFonts w:hint="eastAsia" w:ascii="宋体" w:hAnsi="宋体" w:eastAsia="宋体" w:cs="宋体"/>
              <w:bCs w:val="0"/>
              <w:color w:val="auto"/>
              <w:szCs w:val="24"/>
              <w:lang w:val="en-US" w:eastAsia="zh-CN"/>
            </w:rPr>
            <w:t>.2 3kV电缆技术参数和性能要求</w:t>
          </w:r>
          <w:r>
            <w:rPr>
              <w:color w:val="auto"/>
            </w:rPr>
            <w:tab/>
          </w:r>
          <w:r>
            <w:rPr>
              <w:color w:val="auto"/>
            </w:rPr>
            <w:fldChar w:fldCharType="begin"/>
          </w:r>
          <w:r>
            <w:rPr>
              <w:color w:val="auto"/>
            </w:rPr>
            <w:instrText xml:space="preserve"> PAGEREF _Toc2636 \h </w:instrText>
          </w:r>
          <w:r>
            <w:rPr>
              <w:color w:val="auto"/>
            </w:rPr>
            <w:fldChar w:fldCharType="separate"/>
          </w:r>
          <w:r>
            <w:rPr>
              <w:color w:val="auto"/>
            </w:rPr>
            <w:t>37</w:t>
          </w:r>
          <w:r>
            <w:rPr>
              <w:color w:val="auto"/>
            </w:rPr>
            <w:fldChar w:fldCharType="end"/>
          </w:r>
          <w:r>
            <w:rPr>
              <w:rFonts w:hint="eastAsia" w:ascii="宋体" w:hAnsi="宋体" w:eastAsia="宋体" w:cs="宋体"/>
              <w:color w:val="auto"/>
              <w:szCs w:val="24"/>
              <w:highlight w:val="none"/>
            </w:rPr>
            <w:fldChar w:fldCharType="end"/>
          </w:r>
        </w:p>
        <w:p>
          <w:pPr>
            <w:pStyle w:val="18"/>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_Toc1274 </w:instrText>
          </w:r>
          <w:r>
            <w:rPr>
              <w:rFonts w:hint="eastAsia" w:ascii="宋体" w:hAnsi="宋体" w:eastAsia="宋体" w:cs="宋体"/>
              <w:color w:val="auto"/>
              <w:szCs w:val="24"/>
              <w:highlight w:val="none"/>
            </w:rPr>
            <w:fldChar w:fldCharType="separate"/>
          </w:r>
          <w:r>
            <w:rPr>
              <w:rFonts w:hint="eastAsia" w:ascii="宋体" w:hAnsi="宋体" w:cs="宋体"/>
              <w:color w:val="auto"/>
              <w:szCs w:val="24"/>
              <w:lang w:val="en-US" w:eastAsia="zh-CN"/>
            </w:rPr>
            <w:t>9</w:t>
          </w:r>
          <w:r>
            <w:rPr>
              <w:rFonts w:hint="eastAsia" w:ascii="宋体" w:hAnsi="宋体" w:eastAsia="宋体" w:cs="宋体"/>
              <w:color w:val="auto"/>
              <w:szCs w:val="24"/>
              <w:lang w:val="en-US" w:eastAsia="zh-CN"/>
            </w:rPr>
            <w:t>. 10kV高压电力电缆技术要求</w:t>
          </w:r>
          <w:r>
            <w:rPr>
              <w:color w:val="auto"/>
            </w:rPr>
            <w:tab/>
          </w:r>
          <w:r>
            <w:rPr>
              <w:color w:val="auto"/>
            </w:rPr>
            <w:fldChar w:fldCharType="begin"/>
          </w:r>
          <w:r>
            <w:rPr>
              <w:color w:val="auto"/>
            </w:rPr>
            <w:instrText xml:space="preserve"> PAGEREF _Toc1274 \h </w:instrText>
          </w:r>
          <w:r>
            <w:rPr>
              <w:color w:val="auto"/>
            </w:rPr>
            <w:fldChar w:fldCharType="separate"/>
          </w:r>
          <w:r>
            <w:rPr>
              <w:color w:val="auto"/>
            </w:rPr>
            <w:t>38</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_Toc525 </w:instrText>
          </w:r>
          <w:r>
            <w:rPr>
              <w:rFonts w:hint="eastAsia" w:ascii="宋体" w:hAnsi="宋体" w:eastAsia="宋体" w:cs="宋体"/>
              <w:color w:val="auto"/>
              <w:szCs w:val="24"/>
              <w:highlight w:val="none"/>
            </w:rPr>
            <w:fldChar w:fldCharType="separate"/>
          </w:r>
          <w:r>
            <w:rPr>
              <w:rFonts w:hint="eastAsia" w:ascii="宋体" w:eastAsia="宋体" w:cs="宋体"/>
              <w:bCs w:val="0"/>
              <w:color w:val="auto"/>
              <w:szCs w:val="24"/>
              <w:lang w:val="en-US" w:eastAsia="zh-CN"/>
            </w:rPr>
            <w:t>9</w:t>
          </w:r>
          <w:r>
            <w:rPr>
              <w:rFonts w:hint="eastAsia" w:ascii="宋体" w:hAnsi="宋体" w:eastAsia="宋体" w:cs="宋体"/>
              <w:bCs w:val="0"/>
              <w:color w:val="auto"/>
              <w:szCs w:val="24"/>
              <w:lang w:val="en-US" w:eastAsia="zh-CN"/>
            </w:rPr>
            <w:t>.1产品认证及相关标准要求</w:t>
          </w:r>
          <w:r>
            <w:rPr>
              <w:color w:val="auto"/>
            </w:rPr>
            <w:tab/>
          </w:r>
          <w:r>
            <w:rPr>
              <w:color w:val="auto"/>
            </w:rPr>
            <w:fldChar w:fldCharType="begin"/>
          </w:r>
          <w:r>
            <w:rPr>
              <w:color w:val="auto"/>
            </w:rPr>
            <w:instrText xml:space="preserve"> PAGEREF _Toc525 \h </w:instrText>
          </w:r>
          <w:r>
            <w:rPr>
              <w:color w:val="auto"/>
            </w:rPr>
            <w:fldChar w:fldCharType="separate"/>
          </w:r>
          <w:r>
            <w:rPr>
              <w:color w:val="auto"/>
            </w:rPr>
            <w:t>38</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_Toc30575 </w:instrText>
          </w:r>
          <w:r>
            <w:rPr>
              <w:rFonts w:hint="eastAsia" w:ascii="宋体" w:hAnsi="宋体" w:eastAsia="宋体" w:cs="宋体"/>
              <w:color w:val="auto"/>
              <w:szCs w:val="24"/>
              <w:highlight w:val="none"/>
            </w:rPr>
            <w:fldChar w:fldCharType="separate"/>
          </w:r>
          <w:r>
            <w:rPr>
              <w:rFonts w:hint="eastAsia" w:ascii="宋体" w:eastAsia="宋体" w:cs="宋体"/>
              <w:bCs w:val="0"/>
              <w:color w:val="auto"/>
              <w:szCs w:val="24"/>
              <w:lang w:val="en-US" w:eastAsia="zh-CN"/>
            </w:rPr>
            <w:t>9</w:t>
          </w:r>
          <w:r>
            <w:rPr>
              <w:rFonts w:hint="eastAsia" w:ascii="宋体" w:hAnsi="宋体" w:eastAsia="宋体" w:cs="宋体"/>
              <w:bCs w:val="0"/>
              <w:color w:val="auto"/>
              <w:szCs w:val="24"/>
              <w:lang w:val="en-US" w:eastAsia="zh-CN"/>
            </w:rPr>
            <w:t>.2高压电缆要求</w:t>
          </w:r>
          <w:r>
            <w:rPr>
              <w:color w:val="auto"/>
            </w:rPr>
            <w:tab/>
          </w:r>
          <w:r>
            <w:rPr>
              <w:color w:val="auto"/>
            </w:rPr>
            <w:fldChar w:fldCharType="begin"/>
          </w:r>
          <w:r>
            <w:rPr>
              <w:color w:val="auto"/>
            </w:rPr>
            <w:instrText xml:space="preserve"> PAGEREF _Toc30575 \h </w:instrText>
          </w:r>
          <w:r>
            <w:rPr>
              <w:color w:val="auto"/>
            </w:rPr>
            <w:fldChar w:fldCharType="separate"/>
          </w:r>
          <w:r>
            <w:rPr>
              <w:color w:val="auto"/>
            </w:rPr>
            <w:t>39</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_Toc30118 </w:instrText>
          </w:r>
          <w:r>
            <w:rPr>
              <w:rFonts w:hint="eastAsia" w:ascii="宋体" w:hAnsi="宋体" w:eastAsia="宋体" w:cs="宋体"/>
              <w:color w:val="auto"/>
              <w:szCs w:val="24"/>
              <w:highlight w:val="none"/>
            </w:rPr>
            <w:fldChar w:fldCharType="separate"/>
          </w:r>
          <w:r>
            <w:rPr>
              <w:rFonts w:hint="eastAsia" w:ascii="宋体" w:eastAsia="宋体" w:cs="宋体"/>
              <w:bCs w:val="0"/>
              <w:color w:val="auto"/>
              <w:szCs w:val="24"/>
              <w:lang w:val="en-US" w:eastAsia="zh-CN"/>
            </w:rPr>
            <w:t>9</w:t>
          </w:r>
          <w:r>
            <w:rPr>
              <w:rFonts w:hint="eastAsia" w:ascii="宋体" w:hAnsi="宋体" w:eastAsia="宋体" w:cs="宋体"/>
              <w:bCs w:val="0"/>
              <w:color w:val="auto"/>
              <w:szCs w:val="24"/>
              <w:lang w:val="en-US" w:eastAsia="zh-CN"/>
            </w:rPr>
            <w:t>.3 产品的质量要求</w:t>
          </w:r>
          <w:r>
            <w:rPr>
              <w:color w:val="auto"/>
            </w:rPr>
            <w:tab/>
          </w:r>
          <w:r>
            <w:rPr>
              <w:color w:val="auto"/>
            </w:rPr>
            <w:fldChar w:fldCharType="begin"/>
          </w:r>
          <w:r>
            <w:rPr>
              <w:color w:val="auto"/>
            </w:rPr>
            <w:instrText xml:space="preserve"> PAGEREF _Toc30118 \h </w:instrText>
          </w:r>
          <w:r>
            <w:rPr>
              <w:color w:val="auto"/>
            </w:rPr>
            <w:fldChar w:fldCharType="separate"/>
          </w:r>
          <w:r>
            <w:rPr>
              <w:color w:val="auto"/>
            </w:rPr>
            <w:t>42</w:t>
          </w:r>
          <w:r>
            <w:rPr>
              <w:color w:val="auto"/>
            </w:rPr>
            <w:fldChar w:fldCharType="end"/>
          </w:r>
          <w:r>
            <w:rPr>
              <w:rFonts w:hint="eastAsia" w:ascii="宋体" w:hAnsi="宋体" w:eastAsia="宋体" w:cs="宋体"/>
              <w:color w:val="auto"/>
              <w:szCs w:val="24"/>
              <w:highlight w:val="none"/>
            </w:rPr>
            <w:fldChar w:fldCharType="end"/>
          </w:r>
        </w:p>
        <w:p>
          <w:pPr>
            <w:pStyle w:val="18"/>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_Toc13143 </w:instrText>
          </w:r>
          <w:r>
            <w:rPr>
              <w:rFonts w:hint="eastAsia" w:ascii="宋体" w:hAnsi="宋体" w:eastAsia="宋体" w:cs="宋体"/>
              <w:color w:val="auto"/>
              <w:szCs w:val="24"/>
              <w:highlight w:val="none"/>
            </w:rPr>
            <w:fldChar w:fldCharType="separate"/>
          </w:r>
          <w:r>
            <w:rPr>
              <w:rFonts w:hint="eastAsia" w:ascii="宋体" w:hAnsi="宋体" w:cs="宋体"/>
              <w:bCs w:val="0"/>
              <w:color w:val="auto"/>
              <w:szCs w:val="24"/>
              <w:lang w:val="en-US" w:eastAsia="zh-CN"/>
            </w:rPr>
            <w:t>10</w:t>
          </w:r>
          <w:r>
            <w:rPr>
              <w:rFonts w:hint="eastAsia" w:ascii="宋体" w:hAnsi="宋体" w:eastAsia="宋体" w:cs="宋体"/>
              <w:bCs w:val="0"/>
              <w:color w:val="auto"/>
              <w:szCs w:val="24"/>
              <w:lang w:val="en-US" w:eastAsia="zh-CN"/>
            </w:rPr>
            <w:t>. 监控</w:t>
          </w:r>
          <w:r>
            <w:rPr>
              <w:rFonts w:hint="eastAsia" w:ascii="宋体" w:hAnsi="宋体" w:cs="宋体"/>
              <w:bCs w:val="0"/>
              <w:color w:val="auto"/>
              <w:szCs w:val="24"/>
              <w:lang w:val="en-US" w:eastAsia="zh-CN"/>
            </w:rPr>
            <w:t>系统</w:t>
          </w:r>
          <w:r>
            <w:rPr>
              <w:rFonts w:hint="eastAsia" w:ascii="宋体" w:hAnsi="宋体" w:eastAsia="宋体" w:cs="宋体"/>
              <w:bCs w:val="0"/>
              <w:color w:val="auto"/>
              <w:szCs w:val="24"/>
              <w:lang w:val="en-US" w:eastAsia="zh-CN"/>
            </w:rPr>
            <w:t>设备技术要求</w:t>
          </w:r>
          <w:r>
            <w:rPr>
              <w:color w:val="auto"/>
            </w:rPr>
            <w:tab/>
          </w:r>
          <w:r>
            <w:rPr>
              <w:color w:val="auto"/>
            </w:rPr>
            <w:fldChar w:fldCharType="begin"/>
          </w:r>
          <w:r>
            <w:rPr>
              <w:color w:val="auto"/>
            </w:rPr>
            <w:instrText xml:space="preserve"> PAGEREF _Toc13143 \h </w:instrText>
          </w:r>
          <w:r>
            <w:rPr>
              <w:color w:val="auto"/>
            </w:rPr>
            <w:fldChar w:fldCharType="separate"/>
          </w:r>
          <w:r>
            <w:rPr>
              <w:color w:val="auto"/>
            </w:rPr>
            <w:t>44</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_Toc5875 </w:instrText>
          </w:r>
          <w:r>
            <w:rPr>
              <w:rFonts w:hint="eastAsia" w:ascii="宋体" w:hAnsi="宋体" w:eastAsia="宋体" w:cs="宋体"/>
              <w:color w:val="auto"/>
              <w:szCs w:val="24"/>
              <w:highlight w:val="none"/>
            </w:rPr>
            <w:fldChar w:fldCharType="separate"/>
          </w:r>
          <w:r>
            <w:rPr>
              <w:rFonts w:hint="eastAsia" w:ascii="宋体" w:eastAsia="宋体" w:cs="宋体"/>
              <w:bCs w:val="0"/>
              <w:color w:val="auto"/>
              <w:szCs w:val="24"/>
              <w:lang w:val="en-US" w:eastAsia="zh-CN"/>
            </w:rPr>
            <w:t>10.1</w:t>
          </w:r>
          <w:r>
            <w:rPr>
              <w:rFonts w:hint="eastAsia" w:ascii="宋体" w:hAnsi="宋体" w:eastAsia="宋体" w:cs="宋体"/>
              <w:bCs w:val="0"/>
              <w:color w:val="auto"/>
              <w:szCs w:val="24"/>
              <w:lang w:val="en-US" w:eastAsia="zh-CN"/>
            </w:rPr>
            <w:t>应遵循标准和规范</w:t>
          </w:r>
          <w:r>
            <w:rPr>
              <w:color w:val="auto"/>
            </w:rPr>
            <w:tab/>
          </w:r>
          <w:r>
            <w:rPr>
              <w:color w:val="auto"/>
            </w:rPr>
            <w:fldChar w:fldCharType="begin"/>
          </w:r>
          <w:r>
            <w:rPr>
              <w:color w:val="auto"/>
            </w:rPr>
            <w:instrText xml:space="preserve"> PAGEREF _Toc5875 \h </w:instrText>
          </w:r>
          <w:r>
            <w:rPr>
              <w:color w:val="auto"/>
            </w:rPr>
            <w:fldChar w:fldCharType="separate"/>
          </w:r>
          <w:r>
            <w:rPr>
              <w:color w:val="auto"/>
            </w:rPr>
            <w:t>44</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_Toc1283 </w:instrText>
          </w:r>
          <w:r>
            <w:rPr>
              <w:rFonts w:hint="eastAsia" w:ascii="宋体" w:hAnsi="宋体" w:eastAsia="宋体" w:cs="宋体"/>
              <w:color w:val="auto"/>
              <w:szCs w:val="24"/>
              <w:highlight w:val="none"/>
            </w:rPr>
            <w:fldChar w:fldCharType="separate"/>
          </w:r>
          <w:r>
            <w:rPr>
              <w:rFonts w:hint="eastAsia"/>
              <w:color w:val="auto"/>
              <w:lang w:val="en-US" w:eastAsia="zh-CN"/>
            </w:rPr>
            <w:t>10.2监控系统总体要求</w:t>
          </w:r>
          <w:r>
            <w:rPr>
              <w:color w:val="auto"/>
            </w:rPr>
            <w:tab/>
          </w:r>
          <w:r>
            <w:rPr>
              <w:color w:val="auto"/>
            </w:rPr>
            <w:fldChar w:fldCharType="begin"/>
          </w:r>
          <w:r>
            <w:rPr>
              <w:color w:val="auto"/>
            </w:rPr>
            <w:instrText xml:space="preserve"> PAGEREF _Toc1283 \h </w:instrText>
          </w:r>
          <w:r>
            <w:rPr>
              <w:color w:val="auto"/>
            </w:rPr>
            <w:fldChar w:fldCharType="separate"/>
          </w:r>
          <w:r>
            <w:rPr>
              <w:color w:val="auto"/>
            </w:rPr>
            <w:t>45</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_Toc25435 </w:instrText>
          </w:r>
          <w:r>
            <w:rPr>
              <w:rFonts w:hint="eastAsia" w:ascii="宋体" w:hAnsi="宋体" w:eastAsia="宋体" w:cs="宋体"/>
              <w:color w:val="auto"/>
              <w:szCs w:val="24"/>
              <w:highlight w:val="none"/>
            </w:rPr>
            <w:fldChar w:fldCharType="separate"/>
          </w:r>
          <w:r>
            <w:rPr>
              <w:rFonts w:hint="eastAsia"/>
              <w:color w:val="auto"/>
              <w:lang w:val="en-US" w:eastAsia="zh-CN"/>
            </w:rPr>
            <w:t>10.2.3计算机监控系统软件要求</w:t>
          </w:r>
          <w:r>
            <w:rPr>
              <w:color w:val="auto"/>
            </w:rPr>
            <w:tab/>
          </w:r>
          <w:r>
            <w:rPr>
              <w:color w:val="auto"/>
            </w:rPr>
            <w:fldChar w:fldCharType="begin"/>
          </w:r>
          <w:r>
            <w:rPr>
              <w:color w:val="auto"/>
            </w:rPr>
            <w:instrText xml:space="preserve"> PAGEREF _Toc25435 \h </w:instrText>
          </w:r>
          <w:r>
            <w:rPr>
              <w:color w:val="auto"/>
            </w:rPr>
            <w:fldChar w:fldCharType="separate"/>
          </w:r>
          <w:r>
            <w:rPr>
              <w:color w:val="auto"/>
            </w:rPr>
            <w:t>46</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_Toc13612 </w:instrText>
          </w:r>
          <w:r>
            <w:rPr>
              <w:rFonts w:hint="eastAsia" w:ascii="宋体" w:hAnsi="宋体" w:eastAsia="宋体" w:cs="宋体"/>
              <w:color w:val="auto"/>
              <w:szCs w:val="24"/>
              <w:highlight w:val="none"/>
            </w:rPr>
            <w:fldChar w:fldCharType="separate"/>
          </w:r>
          <w:r>
            <w:rPr>
              <w:rFonts w:hint="eastAsia"/>
              <w:color w:val="auto"/>
              <w:lang w:val="en-US" w:eastAsia="zh-CN"/>
            </w:rPr>
            <w:t>10.3站控层设备配置</w:t>
          </w:r>
          <w:r>
            <w:rPr>
              <w:color w:val="auto"/>
            </w:rPr>
            <w:tab/>
          </w:r>
          <w:r>
            <w:rPr>
              <w:color w:val="auto"/>
            </w:rPr>
            <w:fldChar w:fldCharType="begin"/>
          </w:r>
          <w:r>
            <w:rPr>
              <w:color w:val="auto"/>
            </w:rPr>
            <w:instrText xml:space="preserve"> PAGEREF _Toc13612 \h </w:instrText>
          </w:r>
          <w:r>
            <w:rPr>
              <w:color w:val="auto"/>
            </w:rPr>
            <w:fldChar w:fldCharType="separate"/>
          </w:r>
          <w:r>
            <w:rPr>
              <w:color w:val="auto"/>
            </w:rPr>
            <w:t>50</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_Toc1495 </w:instrText>
          </w:r>
          <w:r>
            <w:rPr>
              <w:rFonts w:hint="eastAsia" w:ascii="宋体" w:hAnsi="宋体" w:eastAsia="宋体" w:cs="宋体"/>
              <w:color w:val="auto"/>
              <w:szCs w:val="24"/>
              <w:highlight w:val="none"/>
            </w:rPr>
            <w:fldChar w:fldCharType="separate"/>
          </w:r>
          <w:r>
            <w:rPr>
              <w:rFonts w:hint="eastAsia"/>
              <w:color w:val="auto"/>
              <w:lang w:val="en-US" w:eastAsia="zh-CN"/>
            </w:rPr>
            <w:t>10.4</w:t>
          </w:r>
          <w:r>
            <w:rPr>
              <w:rFonts w:hint="eastAsia"/>
              <w:color w:val="auto"/>
            </w:rPr>
            <w:t>网络</w:t>
          </w:r>
          <w:r>
            <w:rPr>
              <w:rFonts w:hint="eastAsia"/>
              <w:color w:val="auto"/>
              <w:lang w:val="en-US" w:eastAsia="zh-CN"/>
            </w:rPr>
            <w:t>层</w:t>
          </w:r>
          <w:r>
            <w:rPr>
              <w:rFonts w:hint="eastAsia"/>
              <w:color w:val="auto"/>
            </w:rPr>
            <w:t>设备</w:t>
          </w:r>
          <w:r>
            <w:rPr>
              <w:rFonts w:hint="eastAsia"/>
              <w:color w:val="auto"/>
              <w:lang w:val="en-US" w:eastAsia="zh-CN"/>
            </w:rPr>
            <w:t>配置</w:t>
          </w:r>
          <w:r>
            <w:rPr>
              <w:color w:val="auto"/>
            </w:rPr>
            <w:tab/>
          </w:r>
          <w:r>
            <w:rPr>
              <w:color w:val="auto"/>
            </w:rPr>
            <w:fldChar w:fldCharType="begin"/>
          </w:r>
          <w:r>
            <w:rPr>
              <w:color w:val="auto"/>
            </w:rPr>
            <w:instrText xml:space="preserve"> PAGEREF _Toc1495 \h </w:instrText>
          </w:r>
          <w:r>
            <w:rPr>
              <w:color w:val="auto"/>
            </w:rPr>
            <w:fldChar w:fldCharType="separate"/>
          </w:r>
          <w:r>
            <w:rPr>
              <w:color w:val="auto"/>
            </w:rPr>
            <w:t>51</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_Toc23406 </w:instrText>
          </w:r>
          <w:r>
            <w:rPr>
              <w:rFonts w:hint="eastAsia" w:ascii="宋体" w:hAnsi="宋体" w:eastAsia="宋体" w:cs="宋体"/>
              <w:color w:val="auto"/>
              <w:szCs w:val="24"/>
              <w:highlight w:val="none"/>
            </w:rPr>
            <w:fldChar w:fldCharType="separate"/>
          </w:r>
          <w:r>
            <w:rPr>
              <w:rFonts w:hint="eastAsia"/>
              <w:color w:val="auto"/>
              <w:lang w:val="en-US" w:eastAsia="zh-CN"/>
            </w:rPr>
            <w:t>10.5</w:t>
          </w:r>
          <w:r>
            <w:rPr>
              <w:rFonts w:hint="eastAsia"/>
              <w:color w:val="auto"/>
            </w:rPr>
            <w:t>间隔层设备</w:t>
          </w:r>
          <w:r>
            <w:rPr>
              <w:rFonts w:hint="eastAsia"/>
              <w:color w:val="auto"/>
              <w:lang w:val="en-US" w:eastAsia="zh-CN"/>
            </w:rPr>
            <w:t>配置</w:t>
          </w:r>
          <w:r>
            <w:rPr>
              <w:color w:val="auto"/>
            </w:rPr>
            <w:tab/>
          </w:r>
          <w:r>
            <w:rPr>
              <w:color w:val="auto"/>
            </w:rPr>
            <w:fldChar w:fldCharType="begin"/>
          </w:r>
          <w:r>
            <w:rPr>
              <w:color w:val="auto"/>
            </w:rPr>
            <w:instrText xml:space="preserve"> PAGEREF _Toc23406 \h </w:instrText>
          </w:r>
          <w:r>
            <w:rPr>
              <w:color w:val="auto"/>
            </w:rPr>
            <w:fldChar w:fldCharType="separate"/>
          </w:r>
          <w:r>
            <w:rPr>
              <w:color w:val="auto"/>
            </w:rPr>
            <w:t>51</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_Toc30228 </w:instrText>
          </w:r>
          <w:r>
            <w:rPr>
              <w:rFonts w:hint="eastAsia" w:ascii="宋体" w:hAnsi="宋体" w:eastAsia="宋体" w:cs="宋体"/>
              <w:color w:val="auto"/>
              <w:szCs w:val="24"/>
              <w:highlight w:val="none"/>
            </w:rPr>
            <w:fldChar w:fldCharType="separate"/>
          </w:r>
          <w:r>
            <w:rPr>
              <w:rFonts w:hint="eastAsia"/>
              <w:color w:val="auto"/>
              <w:lang w:val="en-US" w:eastAsia="zh-CN"/>
            </w:rPr>
            <w:t>10.6</w:t>
          </w:r>
          <w:r>
            <w:rPr>
              <w:rFonts w:hint="eastAsia" w:ascii="宋体" w:hAnsi="宋体" w:eastAsia="宋体" w:cs="宋体"/>
              <w:bCs w:val="0"/>
              <w:color w:val="auto"/>
              <w:szCs w:val="24"/>
              <w:lang w:val="en-US" w:eastAsia="zh-CN"/>
            </w:rPr>
            <w:t>防逆流方案</w:t>
          </w:r>
          <w:r>
            <w:rPr>
              <w:color w:val="auto"/>
            </w:rPr>
            <w:tab/>
          </w:r>
          <w:r>
            <w:rPr>
              <w:color w:val="auto"/>
            </w:rPr>
            <w:fldChar w:fldCharType="begin"/>
          </w:r>
          <w:r>
            <w:rPr>
              <w:color w:val="auto"/>
            </w:rPr>
            <w:instrText xml:space="preserve"> PAGEREF _Toc30228 \h </w:instrText>
          </w:r>
          <w:r>
            <w:rPr>
              <w:color w:val="auto"/>
            </w:rPr>
            <w:fldChar w:fldCharType="separate"/>
          </w:r>
          <w:r>
            <w:rPr>
              <w:color w:val="auto"/>
            </w:rPr>
            <w:t>58</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_Toc15696 </w:instrText>
          </w:r>
          <w:r>
            <w:rPr>
              <w:rFonts w:hint="eastAsia" w:ascii="宋体" w:hAnsi="宋体" w:eastAsia="宋体" w:cs="宋体"/>
              <w:color w:val="auto"/>
              <w:szCs w:val="24"/>
              <w:highlight w:val="none"/>
            </w:rPr>
            <w:fldChar w:fldCharType="separate"/>
          </w:r>
          <w:r>
            <w:rPr>
              <w:rFonts w:hint="eastAsia"/>
              <w:color w:val="auto"/>
              <w:lang w:val="en-US" w:eastAsia="zh-CN"/>
            </w:rPr>
            <w:t>10.7电能量计量系统</w:t>
          </w:r>
          <w:r>
            <w:rPr>
              <w:color w:val="auto"/>
            </w:rPr>
            <w:tab/>
          </w:r>
          <w:r>
            <w:rPr>
              <w:color w:val="auto"/>
            </w:rPr>
            <w:fldChar w:fldCharType="begin"/>
          </w:r>
          <w:r>
            <w:rPr>
              <w:color w:val="auto"/>
            </w:rPr>
            <w:instrText xml:space="preserve"> PAGEREF _Toc15696 \h </w:instrText>
          </w:r>
          <w:r>
            <w:rPr>
              <w:color w:val="auto"/>
            </w:rPr>
            <w:fldChar w:fldCharType="separate"/>
          </w:r>
          <w:r>
            <w:rPr>
              <w:color w:val="auto"/>
            </w:rPr>
            <w:t>58</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_Toc9668 </w:instrText>
          </w:r>
          <w:r>
            <w:rPr>
              <w:rFonts w:hint="eastAsia" w:ascii="宋体" w:hAnsi="宋体" w:eastAsia="宋体" w:cs="宋体"/>
              <w:color w:val="auto"/>
              <w:szCs w:val="24"/>
              <w:highlight w:val="none"/>
            </w:rPr>
            <w:fldChar w:fldCharType="separate"/>
          </w:r>
          <w:r>
            <w:rPr>
              <w:rFonts w:hint="eastAsia" w:ascii="宋体" w:eastAsia="宋体" w:cs="宋体"/>
              <w:bCs w:val="0"/>
              <w:color w:val="auto"/>
              <w:szCs w:val="24"/>
              <w:lang w:val="en-US" w:eastAsia="zh-CN"/>
            </w:rPr>
            <w:t>10</w:t>
          </w:r>
          <w:r>
            <w:rPr>
              <w:rFonts w:hint="eastAsia" w:ascii="宋体" w:hAnsi="宋体" w:eastAsia="宋体" w:cs="宋体"/>
              <w:bCs w:val="0"/>
              <w:color w:val="auto"/>
              <w:szCs w:val="24"/>
              <w:lang w:val="en-US" w:eastAsia="zh-CN"/>
            </w:rPr>
            <w:t>.</w:t>
          </w:r>
          <w:r>
            <w:rPr>
              <w:rFonts w:hint="eastAsia" w:cs="宋体"/>
              <w:bCs w:val="0"/>
              <w:color w:val="auto"/>
              <w:szCs w:val="24"/>
              <w:lang w:val="en-US" w:eastAsia="zh-CN"/>
            </w:rPr>
            <w:t>8交直流一体化电源</w:t>
          </w:r>
          <w:r>
            <w:rPr>
              <w:rFonts w:hint="eastAsia" w:ascii="宋体" w:hAnsi="宋体" w:eastAsia="宋体" w:cs="宋体"/>
              <w:bCs w:val="0"/>
              <w:color w:val="auto"/>
              <w:szCs w:val="24"/>
              <w:lang w:val="en-US" w:eastAsia="zh-CN"/>
            </w:rPr>
            <w:t>系统</w:t>
          </w:r>
          <w:r>
            <w:rPr>
              <w:color w:val="auto"/>
            </w:rPr>
            <w:tab/>
          </w:r>
          <w:r>
            <w:rPr>
              <w:color w:val="auto"/>
            </w:rPr>
            <w:fldChar w:fldCharType="begin"/>
          </w:r>
          <w:r>
            <w:rPr>
              <w:color w:val="auto"/>
            </w:rPr>
            <w:instrText xml:space="preserve"> PAGEREF _Toc9668 \h </w:instrText>
          </w:r>
          <w:r>
            <w:rPr>
              <w:color w:val="auto"/>
            </w:rPr>
            <w:fldChar w:fldCharType="separate"/>
          </w:r>
          <w:r>
            <w:rPr>
              <w:color w:val="auto"/>
            </w:rPr>
            <w:t>60</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_Toc26334 </w:instrText>
          </w:r>
          <w:r>
            <w:rPr>
              <w:rFonts w:hint="eastAsia" w:ascii="宋体" w:hAnsi="宋体" w:eastAsia="宋体" w:cs="宋体"/>
              <w:color w:val="auto"/>
              <w:szCs w:val="24"/>
              <w:highlight w:val="none"/>
            </w:rPr>
            <w:fldChar w:fldCharType="separate"/>
          </w:r>
          <w:r>
            <w:rPr>
              <w:rFonts w:hint="eastAsia" w:ascii="宋体" w:eastAsia="宋体" w:cs="宋体"/>
              <w:bCs w:val="0"/>
              <w:color w:val="auto"/>
              <w:szCs w:val="24"/>
              <w:lang w:val="en-US" w:eastAsia="zh-CN"/>
            </w:rPr>
            <w:t>10</w:t>
          </w:r>
          <w:r>
            <w:rPr>
              <w:rFonts w:hint="eastAsia" w:ascii="宋体" w:hAnsi="宋体" w:eastAsia="宋体" w:cs="宋体"/>
              <w:bCs w:val="0"/>
              <w:color w:val="auto"/>
              <w:szCs w:val="24"/>
              <w:lang w:val="en-US" w:eastAsia="zh-CN"/>
            </w:rPr>
            <w:t>.</w:t>
          </w:r>
          <w:r>
            <w:rPr>
              <w:rFonts w:hint="eastAsia" w:cs="宋体"/>
              <w:bCs w:val="0"/>
              <w:color w:val="auto"/>
              <w:szCs w:val="24"/>
              <w:lang w:val="en-US" w:eastAsia="zh-CN"/>
            </w:rPr>
            <w:t>9</w:t>
          </w:r>
          <w:r>
            <w:rPr>
              <w:rFonts w:hint="eastAsia" w:ascii="宋体" w:hAnsi="宋体" w:eastAsia="宋体" w:cs="宋体"/>
              <w:bCs w:val="0"/>
              <w:color w:val="auto"/>
              <w:szCs w:val="24"/>
              <w:lang w:val="en-US" w:eastAsia="zh-CN"/>
            </w:rPr>
            <w:t>火灾自动报警系统</w:t>
          </w:r>
          <w:r>
            <w:rPr>
              <w:color w:val="auto"/>
            </w:rPr>
            <w:tab/>
          </w:r>
          <w:r>
            <w:rPr>
              <w:color w:val="auto"/>
            </w:rPr>
            <w:fldChar w:fldCharType="begin"/>
          </w:r>
          <w:r>
            <w:rPr>
              <w:color w:val="auto"/>
            </w:rPr>
            <w:instrText xml:space="preserve"> PAGEREF _Toc26334 \h </w:instrText>
          </w:r>
          <w:r>
            <w:rPr>
              <w:color w:val="auto"/>
            </w:rPr>
            <w:fldChar w:fldCharType="separate"/>
          </w:r>
          <w:r>
            <w:rPr>
              <w:color w:val="auto"/>
            </w:rPr>
            <w:t>68</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_Toc21853 </w:instrText>
          </w:r>
          <w:r>
            <w:rPr>
              <w:rFonts w:hint="eastAsia" w:ascii="宋体" w:hAnsi="宋体" w:eastAsia="宋体" w:cs="宋体"/>
              <w:color w:val="auto"/>
              <w:szCs w:val="24"/>
              <w:highlight w:val="none"/>
            </w:rPr>
            <w:fldChar w:fldCharType="separate"/>
          </w:r>
          <w:r>
            <w:rPr>
              <w:rFonts w:hint="eastAsia" w:ascii="宋体" w:eastAsia="宋体" w:cs="宋体"/>
              <w:bCs w:val="0"/>
              <w:color w:val="auto"/>
              <w:szCs w:val="24"/>
              <w:lang w:val="en-US" w:eastAsia="zh-CN"/>
            </w:rPr>
            <w:t>10</w:t>
          </w:r>
          <w:r>
            <w:rPr>
              <w:rFonts w:hint="eastAsia" w:ascii="宋体" w:hAnsi="宋体" w:eastAsia="宋体" w:cs="宋体"/>
              <w:bCs w:val="0"/>
              <w:color w:val="auto"/>
              <w:szCs w:val="24"/>
              <w:lang w:val="en-US" w:eastAsia="zh-CN"/>
            </w:rPr>
            <w:t>.</w:t>
          </w:r>
          <w:r>
            <w:rPr>
              <w:rFonts w:hint="eastAsia" w:cs="宋体"/>
              <w:bCs w:val="0"/>
              <w:color w:val="auto"/>
              <w:szCs w:val="24"/>
              <w:lang w:val="en-US" w:eastAsia="zh-CN"/>
            </w:rPr>
            <w:t>10</w:t>
          </w:r>
          <w:r>
            <w:rPr>
              <w:rFonts w:hint="eastAsia" w:ascii="宋体" w:hAnsi="宋体" w:eastAsia="宋体" w:cs="宋体"/>
              <w:bCs w:val="0"/>
              <w:color w:val="auto"/>
              <w:szCs w:val="24"/>
              <w:lang w:val="en-US" w:eastAsia="zh-CN"/>
            </w:rPr>
            <w:t xml:space="preserve"> 监控系统与微网控制平台系统互联的技术要求</w:t>
          </w:r>
          <w:r>
            <w:rPr>
              <w:color w:val="auto"/>
            </w:rPr>
            <w:tab/>
          </w:r>
          <w:r>
            <w:rPr>
              <w:color w:val="auto"/>
            </w:rPr>
            <w:fldChar w:fldCharType="begin"/>
          </w:r>
          <w:r>
            <w:rPr>
              <w:color w:val="auto"/>
            </w:rPr>
            <w:instrText xml:space="preserve"> PAGEREF _Toc21853 \h </w:instrText>
          </w:r>
          <w:r>
            <w:rPr>
              <w:color w:val="auto"/>
            </w:rPr>
            <w:fldChar w:fldCharType="separate"/>
          </w:r>
          <w:r>
            <w:rPr>
              <w:color w:val="auto"/>
            </w:rPr>
            <w:t>69</w:t>
          </w:r>
          <w:r>
            <w:rPr>
              <w:color w:val="auto"/>
            </w:rPr>
            <w:fldChar w:fldCharType="end"/>
          </w:r>
          <w:r>
            <w:rPr>
              <w:rFonts w:hint="eastAsia" w:ascii="宋体" w:hAnsi="宋体" w:eastAsia="宋体" w:cs="宋体"/>
              <w:color w:val="auto"/>
              <w:szCs w:val="24"/>
              <w:highlight w:val="none"/>
            </w:rPr>
            <w:fldChar w:fldCharType="end"/>
          </w:r>
        </w:p>
        <w:p>
          <w:pPr>
            <w:pStyle w:val="18"/>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_Toc20716 </w:instrText>
          </w:r>
          <w:r>
            <w:rPr>
              <w:rFonts w:hint="eastAsia" w:ascii="宋体" w:hAnsi="宋体" w:eastAsia="宋体" w:cs="宋体"/>
              <w:color w:val="auto"/>
              <w:szCs w:val="24"/>
              <w:highlight w:val="none"/>
            </w:rPr>
            <w:fldChar w:fldCharType="separate"/>
          </w:r>
          <w:r>
            <w:rPr>
              <w:rFonts w:hint="default"/>
              <w:color w:val="auto"/>
              <w:lang w:val="en-US" w:eastAsia="zh-CN"/>
            </w:rPr>
            <w:t>11.</w:t>
          </w:r>
          <w:r>
            <w:rPr>
              <w:rFonts w:hint="eastAsia"/>
              <w:color w:val="auto"/>
              <w:lang w:val="en-US" w:eastAsia="zh-CN"/>
            </w:rPr>
            <w:t xml:space="preserve"> </w:t>
          </w:r>
          <w:r>
            <w:rPr>
              <w:rFonts w:hint="default"/>
              <w:color w:val="auto"/>
              <w:lang w:val="en-US" w:eastAsia="zh-CN"/>
            </w:rPr>
            <w:t>视频监控系统技术要求</w:t>
          </w:r>
          <w:r>
            <w:rPr>
              <w:color w:val="auto"/>
            </w:rPr>
            <w:tab/>
          </w:r>
          <w:r>
            <w:rPr>
              <w:color w:val="auto"/>
            </w:rPr>
            <w:fldChar w:fldCharType="begin"/>
          </w:r>
          <w:r>
            <w:rPr>
              <w:color w:val="auto"/>
            </w:rPr>
            <w:instrText xml:space="preserve"> PAGEREF _Toc20716 \h </w:instrText>
          </w:r>
          <w:r>
            <w:rPr>
              <w:color w:val="auto"/>
            </w:rPr>
            <w:fldChar w:fldCharType="separate"/>
          </w:r>
          <w:r>
            <w:rPr>
              <w:color w:val="auto"/>
            </w:rPr>
            <w:t>70</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_Toc13261 </w:instrText>
          </w:r>
          <w:r>
            <w:rPr>
              <w:rFonts w:hint="eastAsia" w:ascii="宋体" w:hAnsi="宋体" w:eastAsia="宋体" w:cs="宋体"/>
              <w:color w:val="auto"/>
              <w:szCs w:val="24"/>
              <w:highlight w:val="none"/>
            </w:rPr>
            <w:fldChar w:fldCharType="separate"/>
          </w:r>
          <w:r>
            <w:rPr>
              <w:rFonts w:hint="eastAsia"/>
              <w:color w:val="auto"/>
              <w:lang w:val="en-US" w:eastAsia="zh-CN"/>
            </w:rPr>
            <w:t>11.1实时视频监控对象</w:t>
          </w:r>
          <w:r>
            <w:rPr>
              <w:color w:val="auto"/>
            </w:rPr>
            <w:tab/>
          </w:r>
          <w:r>
            <w:rPr>
              <w:color w:val="auto"/>
            </w:rPr>
            <w:fldChar w:fldCharType="begin"/>
          </w:r>
          <w:r>
            <w:rPr>
              <w:color w:val="auto"/>
            </w:rPr>
            <w:instrText xml:space="preserve"> PAGEREF _Toc13261 \h </w:instrText>
          </w:r>
          <w:r>
            <w:rPr>
              <w:color w:val="auto"/>
            </w:rPr>
            <w:fldChar w:fldCharType="separate"/>
          </w:r>
          <w:r>
            <w:rPr>
              <w:color w:val="auto"/>
            </w:rPr>
            <w:t>70</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_Toc19051 </w:instrText>
          </w:r>
          <w:r>
            <w:rPr>
              <w:rFonts w:hint="eastAsia" w:ascii="宋体" w:hAnsi="宋体" w:eastAsia="宋体" w:cs="宋体"/>
              <w:color w:val="auto"/>
              <w:szCs w:val="24"/>
              <w:highlight w:val="none"/>
            </w:rPr>
            <w:fldChar w:fldCharType="separate"/>
          </w:r>
          <w:r>
            <w:rPr>
              <w:rFonts w:hint="eastAsia" w:ascii="宋体" w:hAnsi="宋体" w:eastAsia="宋体" w:cs="宋体"/>
              <w:bCs/>
              <w:color w:val="auto"/>
              <w:szCs w:val="24"/>
              <w:lang w:val="en-US" w:eastAsia="zh-CN"/>
            </w:rPr>
            <w:t>11.</w:t>
          </w:r>
          <w:r>
            <w:rPr>
              <w:rFonts w:hint="eastAsia"/>
              <w:color w:val="auto"/>
              <w:lang w:val="en-US" w:eastAsia="zh-CN"/>
            </w:rPr>
            <w:t>3</w:t>
          </w:r>
          <w:r>
            <w:rPr>
              <w:rFonts w:hint="eastAsia" w:ascii="宋体" w:hAnsi="宋体" w:eastAsia="宋体" w:cs="宋体"/>
              <w:bCs/>
              <w:color w:val="auto"/>
              <w:szCs w:val="24"/>
              <w:lang w:val="en-US" w:eastAsia="zh-CN"/>
            </w:rPr>
            <w:t>实时视频监控功能</w:t>
          </w:r>
          <w:r>
            <w:rPr>
              <w:color w:val="auto"/>
            </w:rPr>
            <w:tab/>
          </w:r>
          <w:r>
            <w:rPr>
              <w:color w:val="auto"/>
            </w:rPr>
            <w:fldChar w:fldCharType="begin"/>
          </w:r>
          <w:r>
            <w:rPr>
              <w:color w:val="auto"/>
            </w:rPr>
            <w:instrText xml:space="preserve"> PAGEREF _Toc19051 \h </w:instrText>
          </w:r>
          <w:r>
            <w:rPr>
              <w:color w:val="auto"/>
            </w:rPr>
            <w:fldChar w:fldCharType="separate"/>
          </w:r>
          <w:r>
            <w:rPr>
              <w:color w:val="auto"/>
            </w:rPr>
            <w:t>71</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_Toc18683 </w:instrText>
          </w:r>
          <w:r>
            <w:rPr>
              <w:rFonts w:hint="eastAsia" w:ascii="宋体" w:hAnsi="宋体" w:eastAsia="宋体" w:cs="宋体"/>
              <w:color w:val="auto"/>
              <w:szCs w:val="24"/>
              <w:highlight w:val="none"/>
            </w:rPr>
            <w:fldChar w:fldCharType="separate"/>
          </w:r>
          <w:r>
            <w:rPr>
              <w:rFonts w:hint="eastAsia" w:ascii="宋体" w:hAnsi="宋体" w:eastAsia="宋体" w:cs="宋体"/>
              <w:bCs/>
              <w:color w:val="auto"/>
              <w:szCs w:val="24"/>
              <w:lang w:val="en-US" w:eastAsia="zh-CN"/>
            </w:rPr>
            <w:t>11</w:t>
          </w:r>
          <w:r>
            <w:rPr>
              <w:rFonts w:hint="eastAsia" w:ascii="宋体" w:hAnsi="宋体" w:eastAsia="宋体" w:cs="宋体"/>
              <w:bCs/>
              <w:color w:val="auto"/>
              <w:szCs w:val="24"/>
            </w:rPr>
            <w:t>.</w:t>
          </w:r>
          <w:r>
            <w:rPr>
              <w:rFonts w:hint="eastAsia"/>
              <w:color w:val="auto"/>
              <w:lang w:eastAsia="zh-CN"/>
            </w:rPr>
            <w:t>4</w:t>
          </w:r>
          <w:r>
            <w:rPr>
              <w:rFonts w:hint="eastAsia" w:ascii="宋体" w:hAnsi="宋体" w:eastAsia="宋体" w:cs="宋体"/>
              <w:bCs/>
              <w:color w:val="auto"/>
              <w:szCs w:val="24"/>
            </w:rPr>
            <w:t>视频显示功能</w:t>
          </w:r>
          <w:r>
            <w:rPr>
              <w:color w:val="auto"/>
            </w:rPr>
            <w:tab/>
          </w:r>
          <w:r>
            <w:rPr>
              <w:color w:val="auto"/>
            </w:rPr>
            <w:fldChar w:fldCharType="begin"/>
          </w:r>
          <w:r>
            <w:rPr>
              <w:color w:val="auto"/>
            </w:rPr>
            <w:instrText xml:space="preserve"> PAGEREF _Toc18683 \h </w:instrText>
          </w:r>
          <w:r>
            <w:rPr>
              <w:color w:val="auto"/>
            </w:rPr>
            <w:fldChar w:fldCharType="separate"/>
          </w:r>
          <w:r>
            <w:rPr>
              <w:color w:val="auto"/>
            </w:rPr>
            <w:t>71</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_Toc17793 </w:instrText>
          </w:r>
          <w:r>
            <w:rPr>
              <w:rFonts w:hint="eastAsia" w:ascii="宋体" w:hAnsi="宋体" w:eastAsia="宋体" w:cs="宋体"/>
              <w:color w:val="auto"/>
              <w:szCs w:val="24"/>
              <w:highlight w:val="none"/>
            </w:rPr>
            <w:fldChar w:fldCharType="separate"/>
          </w:r>
          <w:r>
            <w:rPr>
              <w:rFonts w:hint="eastAsia" w:ascii="宋体" w:hAnsi="宋体" w:eastAsia="宋体" w:cs="宋体"/>
              <w:bCs/>
              <w:color w:val="auto"/>
              <w:szCs w:val="24"/>
              <w:lang w:val="en-US" w:eastAsia="zh-CN"/>
            </w:rPr>
            <w:t>11.</w:t>
          </w:r>
          <w:r>
            <w:rPr>
              <w:rFonts w:hint="eastAsia"/>
              <w:color w:val="auto"/>
              <w:lang w:val="en-US" w:eastAsia="zh-CN"/>
            </w:rPr>
            <w:t>5</w:t>
          </w:r>
          <w:r>
            <w:rPr>
              <w:rFonts w:hint="eastAsia" w:ascii="宋体" w:hAnsi="宋体" w:eastAsia="宋体" w:cs="宋体"/>
              <w:bCs/>
              <w:color w:val="auto"/>
              <w:szCs w:val="24"/>
              <w:lang w:val="en-US" w:eastAsia="zh-CN"/>
            </w:rPr>
            <w:t>图像储存回放功能</w:t>
          </w:r>
          <w:r>
            <w:rPr>
              <w:color w:val="auto"/>
            </w:rPr>
            <w:tab/>
          </w:r>
          <w:r>
            <w:rPr>
              <w:color w:val="auto"/>
            </w:rPr>
            <w:fldChar w:fldCharType="begin"/>
          </w:r>
          <w:r>
            <w:rPr>
              <w:color w:val="auto"/>
            </w:rPr>
            <w:instrText xml:space="preserve"> PAGEREF _Toc17793 \h </w:instrText>
          </w:r>
          <w:r>
            <w:rPr>
              <w:color w:val="auto"/>
            </w:rPr>
            <w:fldChar w:fldCharType="separate"/>
          </w:r>
          <w:r>
            <w:rPr>
              <w:color w:val="auto"/>
            </w:rPr>
            <w:t>72</w:t>
          </w:r>
          <w:r>
            <w:rPr>
              <w:color w:val="auto"/>
            </w:rPr>
            <w:fldChar w:fldCharType="end"/>
          </w:r>
          <w:r>
            <w:rPr>
              <w:rFonts w:hint="eastAsia" w:ascii="宋体" w:hAnsi="宋体" w:eastAsia="宋体" w:cs="宋体"/>
              <w:color w:val="auto"/>
              <w:szCs w:val="24"/>
              <w:highlight w:val="none"/>
            </w:rPr>
            <w:fldChar w:fldCharType="end"/>
          </w:r>
        </w:p>
        <w:p>
          <w:pPr>
            <w:pStyle w:val="18"/>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_Toc26879 </w:instrText>
          </w:r>
          <w:r>
            <w:rPr>
              <w:rFonts w:hint="eastAsia" w:ascii="宋体" w:hAnsi="宋体" w:eastAsia="宋体" w:cs="宋体"/>
              <w:color w:val="auto"/>
              <w:szCs w:val="24"/>
              <w:highlight w:val="none"/>
            </w:rPr>
            <w:fldChar w:fldCharType="separate"/>
          </w:r>
          <w:r>
            <w:rPr>
              <w:rFonts w:hint="eastAsia"/>
              <w:color w:val="auto"/>
              <w:lang w:val="en-US" w:eastAsia="zh-CN"/>
            </w:rPr>
            <w:t>12. 储能系统（含微网协控装置）技术要求</w:t>
          </w:r>
          <w:r>
            <w:rPr>
              <w:color w:val="auto"/>
            </w:rPr>
            <w:tab/>
          </w:r>
          <w:r>
            <w:rPr>
              <w:color w:val="auto"/>
            </w:rPr>
            <w:fldChar w:fldCharType="begin"/>
          </w:r>
          <w:r>
            <w:rPr>
              <w:color w:val="auto"/>
            </w:rPr>
            <w:instrText xml:space="preserve"> PAGEREF _Toc26879 \h </w:instrText>
          </w:r>
          <w:r>
            <w:rPr>
              <w:color w:val="auto"/>
            </w:rPr>
            <w:fldChar w:fldCharType="separate"/>
          </w:r>
          <w:r>
            <w:rPr>
              <w:color w:val="auto"/>
            </w:rPr>
            <w:t>72</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_Toc28224 </w:instrText>
          </w:r>
          <w:r>
            <w:rPr>
              <w:rFonts w:hint="eastAsia" w:ascii="宋体" w:hAnsi="宋体" w:eastAsia="宋体" w:cs="宋体"/>
              <w:color w:val="auto"/>
              <w:szCs w:val="24"/>
              <w:highlight w:val="none"/>
            </w:rPr>
            <w:fldChar w:fldCharType="separate"/>
          </w:r>
          <w:r>
            <w:rPr>
              <w:rFonts w:hint="eastAsia"/>
              <w:color w:val="auto"/>
              <w:lang w:val="en-US" w:eastAsia="zh-CN"/>
            </w:rPr>
            <w:t>12.1 供货范围</w:t>
          </w:r>
          <w:r>
            <w:rPr>
              <w:color w:val="auto"/>
            </w:rPr>
            <w:tab/>
          </w:r>
          <w:r>
            <w:rPr>
              <w:color w:val="auto"/>
            </w:rPr>
            <w:fldChar w:fldCharType="begin"/>
          </w:r>
          <w:r>
            <w:rPr>
              <w:color w:val="auto"/>
            </w:rPr>
            <w:instrText xml:space="preserve"> PAGEREF _Toc28224 \h </w:instrText>
          </w:r>
          <w:r>
            <w:rPr>
              <w:color w:val="auto"/>
            </w:rPr>
            <w:fldChar w:fldCharType="separate"/>
          </w:r>
          <w:r>
            <w:rPr>
              <w:color w:val="auto"/>
            </w:rPr>
            <w:t>73</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_Toc7807 </w:instrText>
          </w:r>
          <w:r>
            <w:rPr>
              <w:rFonts w:hint="eastAsia" w:ascii="宋体" w:hAnsi="宋体" w:eastAsia="宋体" w:cs="宋体"/>
              <w:color w:val="auto"/>
              <w:szCs w:val="24"/>
              <w:highlight w:val="none"/>
            </w:rPr>
            <w:fldChar w:fldCharType="separate"/>
          </w:r>
          <w:r>
            <w:rPr>
              <w:rFonts w:hint="eastAsia"/>
              <w:color w:val="auto"/>
              <w:lang w:val="en-US" w:eastAsia="zh-CN"/>
            </w:rPr>
            <w:t>12.2 执行标准</w:t>
          </w:r>
          <w:r>
            <w:rPr>
              <w:color w:val="auto"/>
            </w:rPr>
            <w:tab/>
          </w:r>
          <w:r>
            <w:rPr>
              <w:color w:val="auto"/>
            </w:rPr>
            <w:fldChar w:fldCharType="begin"/>
          </w:r>
          <w:r>
            <w:rPr>
              <w:color w:val="auto"/>
            </w:rPr>
            <w:instrText xml:space="preserve"> PAGEREF _Toc7807 \h </w:instrText>
          </w:r>
          <w:r>
            <w:rPr>
              <w:color w:val="auto"/>
            </w:rPr>
            <w:fldChar w:fldCharType="separate"/>
          </w:r>
          <w:r>
            <w:rPr>
              <w:color w:val="auto"/>
            </w:rPr>
            <w:t>73</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_Toc24621 </w:instrText>
          </w:r>
          <w:r>
            <w:rPr>
              <w:rFonts w:hint="eastAsia" w:ascii="宋体" w:hAnsi="宋体" w:eastAsia="宋体" w:cs="宋体"/>
              <w:color w:val="auto"/>
              <w:szCs w:val="24"/>
              <w:highlight w:val="none"/>
            </w:rPr>
            <w:fldChar w:fldCharType="separate"/>
          </w:r>
          <w:r>
            <w:rPr>
              <w:rFonts w:hint="eastAsia"/>
              <w:color w:val="auto"/>
              <w:lang w:val="en-US" w:eastAsia="zh-CN"/>
            </w:rPr>
            <w:t>12.3 总体目标</w:t>
          </w:r>
          <w:r>
            <w:rPr>
              <w:color w:val="auto"/>
            </w:rPr>
            <w:tab/>
          </w:r>
          <w:r>
            <w:rPr>
              <w:color w:val="auto"/>
            </w:rPr>
            <w:fldChar w:fldCharType="begin"/>
          </w:r>
          <w:r>
            <w:rPr>
              <w:color w:val="auto"/>
            </w:rPr>
            <w:instrText xml:space="preserve"> PAGEREF _Toc24621 \h </w:instrText>
          </w:r>
          <w:r>
            <w:rPr>
              <w:color w:val="auto"/>
            </w:rPr>
            <w:fldChar w:fldCharType="separate"/>
          </w:r>
          <w:r>
            <w:rPr>
              <w:color w:val="auto"/>
            </w:rPr>
            <w:t>74</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_Toc11412 </w:instrText>
          </w:r>
          <w:r>
            <w:rPr>
              <w:rFonts w:hint="eastAsia" w:ascii="宋体" w:hAnsi="宋体" w:eastAsia="宋体" w:cs="宋体"/>
              <w:color w:val="auto"/>
              <w:szCs w:val="24"/>
              <w:highlight w:val="none"/>
            </w:rPr>
            <w:fldChar w:fldCharType="separate"/>
          </w:r>
          <w:r>
            <w:rPr>
              <w:rFonts w:hint="eastAsia"/>
              <w:color w:val="auto"/>
              <w:lang w:val="en-US" w:eastAsia="zh-CN"/>
            </w:rPr>
            <w:t>12.4 一般要求</w:t>
          </w:r>
          <w:r>
            <w:rPr>
              <w:color w:val="auto"/>
            </w:rPr>
            <w:tab/>
          </w:r>
          <w:r>
            <w:rPr>
              <w:color w:val="auto"/>
            </w:rPr>
            <w:fldChar w:fldCharType="begin"/>
          </w:r>
          <w:r>
            <w:rPr>
              <w:color w:val="auto"/>
            </w:rPr>
            <w:instrText xml:space="preserve"> PAGEREF _Toc11412 \h </w:instrText>
          </w:r>
          <w:r>
            <w:rPr>
              <w:color w:val="auto"/>
            </w:rPr>
            <w:fldChar w:fldCharType="separate"/>
          </w:r>
          <w:r>
            <w:rPr>
              <w:color w:val="auto"/>
            </w:rPr>
            <w:t>75</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_Toc14588 </w:instrText>
          </w:r>
          <w:r>
            <w:rPr>
              <w:rFonts w:hint="eastAsia" w:ascii="宋体" w:hAnsi="宋体" w:eastAsia="宋体" w:cs="宋体"/>
              <w:color w:val="auto"/>
              <w:szCs w:val="24"/>
              <w:highlight w:val="none"/>
            </w:rPr>
            <w:fldChar w:fldCharType="separate"/>
          </w:r>
          <w:r>
            <w:rPr>
              <w:rFonts w:hint="eastAsia"/>
              <w:color w:val="auto"/>
              <w:lang w:val="en-US" w:eastAsia="zh-CN"/>
            </w:rPr>
            <w:t>12.5 2MW/4MWh储能设备</w:t>
          </w:r>
          <w:r>
            <w:rPr>
              <w:color w:val="auto"/>
            </w:rPr>
            <w:tab/>
          </w:r>
          <w:r>
            <w:rPr>
              <w:color w:val="auto"/>
            </w:rPr>
            <w:fldChar w:fldCharType="begin"/>
          </w:r>
          <w:r>
            <w:rPr>
              <w:color w:val="auto"/>
            </w:rPr>
            <w:instrText xml:space="preserve"> PAGEREF _Toc14588 \h </w:instrText>
          </w:r>
          <w:r>
            <w:rPr>
              <w:color w:val="auto"/>
            </w:rPr>
            <w:fldChar w:fldCharType="separate"/>
          </w:r>
          <w:r>
            <w:rPr>
              <w:color w:val="auto"/>
            </w:rPr>
            <w:t>77</w:t>
          </w:r>
          <w:r>
            <w:rPr>
              <w:color w:val="auto"/>
            </w:rPr>
            <w:fldChar w:fldCharType="end"/>
          </w:r>
          <w:r>
            <w:rPr>
              <w:rFonts w:hint="eastAsia" w:ascii="宋体" w:hAnsi="宋体" w:eastAsia="宋体" w:cs="宋体"/>
              <w:color w:val="auto"/>
              <w:szCs w:val="24"/>
              <w:highlight w:val="none"/>
            </w:rPr>
            <w:fldChar w:fldCharType="end"/>
          </w:r>
        </w:p>
        <w:p>
          <w:pPr>
            <w:pStyle w:val="18"/>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_Toc3355 </w:instrText>
          </w:r>
          <w:r>
            <w:rPr>
              <w:rFonts w:hint="eastAsia" w:ascii="宋体" w:hAnsi="宋体" w:eastAsia="宋体" w:cs="宋体"/>
              <w:color w:val="auto"/>
              <w:szCs w:val="24"/>
              <w:highlight w:val="none"/>
            </w:rPr>
            <w:fldChar w:fldCharType="separate"/>
          </w:r>
          <w:r>
            <w:rPr>
              <w:rFonts w:hint="eastAsia"/>
              <w:color w:val="auto"/>
              <w:lang w:val="en-US" w:eastAsia="zh-CN"/>
            </w:rPr>
            <w:t>13. 柴油发电机组技术要求</w:t>
          </w:r>
          <w:r>
            <w:rPr>
              <w:color w:val="auto"/>
            </w:rPr>
            <w:tab/>
          </w:r>
          <w:r>
            <w:rPr>
              <w:color w:val="auto"/>
            </w:rPr>
            <w:fldChar w:fldCharType="begin"/>
          </w:r>
          <w:r>
            <w:rPr>
              <w:color w:val="auto"/>
            </w:rPr>
            <w:instrText xml:space="preserve"> PAGEREF _Toc3355 \h </w:instrText>
          </w:r>
          <w:r>
            <w:rPr>
              <w:color w:val="auto"/>
            </w:rPr>
            <w:fldChar w:fldCharType="separate"/>
          </w:r>
          <w:r>
            <w:rPr>
              <w:color w:val="auto"/>
            </w:rPr>
            <w:t>90</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_Toc31274 </w:instrText>
          </w:r>
          <w:r>
            <w:rPr>
              <w:rFonts w:hint="eastAsia" w:ascii="宋体" w:hAnsi="宋体" w:eastAsia="宋体" w:cs="宋体"/>
              <w:color w:val="auto"/>
              <w:szCs w:val="24"/>
              <w:highlight w:val="none"/>
            </w:rPr>
            <w:fldChar w:fldCharType="separate"/>
          </w:r>
          <w:r>
            <w:rPr>
              <w:rFonts w:hint="eastAsia" w:ascii="Times New Roman" w:hAnsi="Times New Roman" w:eastAsia="宋体" w:cs="Times New Roman"/>
              <w:bCs w:val="0"/>
              <w:color w:val="auto"/>
              <w:szCs w:val="24"/>
              <w:highlight w:val="none"/>
              <w:lang w:val="en-US" w:eastAsia="zh-CN"/>
            </w:rPr>
            <w:t>柴油发电机系统集电线路出线并网点电压等级10kV，同时，设系统控制柜1面、母联开关柜1面、机组输出馈线柜5面、假负载输出馈线柜1面、负载输出馈线柜2面、接地变压器开关柜2面、直流屏2面、二次柜2面（预留部分柜体安装空间做后期扩容使用）。</w:t>
          </w:r>
          <w:r>
            <w:rPr>
              <w:color w:val="auto"/>
            </w:rPr>
            <w:tab/>
          </w:r>
          <w:r>
            <w:rPr>
              <w:color w:val="auto"/>
            </w:rPr>
            <w:fldChar w:fldCharType="begin"/>
          </w:r>
          <w:r>
            <w:rPr>
              <w:color w:val="auto"/>
            </w:rPr>
            <w:instrText xml:space="preserve"> PAGEREF _Toc31274 \h </w:instrText>
          </w:r>
          <w:r>
            <w:rPr>
              <w:color w:val="auto"/>
            </w:rPr>
            <w:fldChar w:fldCharType="separate"/>
          </w:r>
          <w:r>
            <w:rPr>
              <w:color w:val="auto"/>
            </w:rPr>
            <w:t>90</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_Toc13929 </w:instrText>
          </w:r>
          <w:r>
            <w:rPr>
              <w:rFonts w:hint="eastAsia" w:ascii="宋体" w:hAnsi="宋体" w:eastAsia="宋体" w:cs="宋体"/>
              <w:color w:val="auto"/>
              <w:szCs w:val="24"/>
              <w:highlight w:val="none"/>
            </w:rPr>
            <w:fldChar w:fldCharType="separate"/>
          </w:r>
          <w:r>
            <w:rPr>
              <w:rFonts w:hint="eastAsia"/>
              <w:color w:val="auto"/>
              <w:lang w:val="en-US" w:eastAsia="zh-CN"/>
            </w:rPr>
            <w:t>13.1 规范要求</w:t>
          </w:r>
          <w:r>
            <w:rPr>
              <w:color w:val="auto"/>
            </w:rPr>
            <w:tab/>
          </w:r>
          <w:r>
            <w:rPr>
              <w:color w:val="auto"/>
            </w:rPr>
            <w:fldChar w:fldCharType="begin"/>
          </w:r>
          <w:r>
            <w:rPr>
              <w:color w:val="auto"/>
            </w:rPr>
            <w:instrText xml:space="preserve"> PAGEREF _Toc13929 \h </w:instrText>
          </w:r>
          <w:r>
            <w:rPr>
              <w:color w:val="auto"/>
            </w:rPr>
            <w:fldChar w:fldCharType="separate"/>
          </w:r>
          <w:r>
            <w:rPr>
              <w:color w:val="auto"/>
            </w:rPr>
            <w:t>91</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_Toc30808 </w:instrText>
          </w:r>
          <w:r>
            <w:rPr>
              <w:rFonts w:hint="eastAsia" w:ascii="宋体" w:hAnsi="宋体" w:eastAsia="宋体" w:cs="宋体"/>
              <w:color w:val="auto"/>
              <w:szCs w:val="24"/>
              <w:highlight w:val="none"/>
            </w:rPr>
            <w:fldChar w:fldCharType="separate"/>
          </w:r>
          <w:r>
            <w:rPr>
              <w:rFonts w:hint="eastAsia"/>
              <w:color w:val="auto"/>
              <w:lang w:val="en-US" w:eastAsia="zh-CN"/>
            </w:rPr>
            <w:t>13.2 柴油发电机组技术要求</w:t>
          </w:r>
          <w:r>
            <w:rPr>
              <w:color w:val="auto"/>
            </w:rPr>
            <w:tab/>
          </w:r>
          <w:r>
            <w:rPr>
              <w:color w:val="auto"/>
            </w:rPr>
            <w:fldChar w:fldCharType="begin"/>
          </w:r>
          <w:r>
            <w:rPr>
              <w:color w:val="auto"/>
            </w:rPr>
            <w:instrText xml:space="preserve"> PAGEREF _Toc30808 \h </w:instrText>
          </w:r>
          <w:r>
            <w:rPr>
              <w:color w:val="auto"/>
            </w:rPr>
            <w:fldChar w:fldCharType="separate"/>
          </w:r>
          <w:r>
            <w:rPr>
              <w:color w:val="auto"/>
            </w:rPr>
            <w:t>91</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_Toc2997 </w:instrText>
          </w:r>
          <w:r>
            <w:rPr>
              <w:rFonts w:hint="eastAsia" w:ascii="宋体" w:hAnsi="宋体" w:eastAsia="宋体" w:cs="宋体"/>
              <w:color w:val="auto"/>
              <w:szCs w:val="24"/>
              <w:highlight w:val="none"/>
            </w:rPr>
            <w:fldChar w:fldCharType="separate"/>
          </w:r>
          <w:r>
            <w:rPr>
              <w:rFonts w:hint="eastAsia"/>
              <w:color w:val="auto"/>
              <w:lang w:val="en-US" w:eastAsia="zh-CN"/>
            </w:rPr>
            <w:t>13.3 柴油发电机组安装及相关配套技术要求</w:t>
          </w:r>
          <w:r>
            <w:rPr>
              <w:color w:val="auto"/>
            </w:rPr>
            <w:tab/>
          </w:r>
          <w:r>
            <w:rPr>
              <w:color w:val="auto"/>
            </w:rPr>
            <w:fldChar w:fldCharType="begin"/>
          </w:r>
          <w:r>
            <w:rPr>
              <w:color w:val="auto"/>
            </w:rPr>
            <w:instrText xml:space="preserve"> PAGEREF _Toc2997 \h </w:instrText>
          </w:r>
          <w:r>
            <w:rPr>
              <w:color w:val="auto"/>
            </w:rPr>
            <w:fldChar w:fldCharType="separate"/>
          </w:r>
          <w:r>
            <w:rPr>
              <w:color w:val="auto"/>
            </w:rPr>
            <w:t>95</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_Toc20119 </w:instrText>
          </w:r>
          <w:r>
            <w:rPr>
              <w:rFonts w:hint="eastAsia" w:ascii="宋体" w:hAnsi="宋体" w:eastAsia="宋体" w:cs="宋体"/>
              <w:color w:val="auto"/>
              <w:szCs w:val="24"/>
              <w:highlight w:val="none"/>
            </w:rPr>
            <w:fldChar w:fldCharType="separate"/>
          </w:r>
          <w:r>
            <w:rPr>
              <w:rFonts w:hint="eastAsia"/>
              <w:color w:val="auto"/>
              <w:lang w:val="en-US" w:eastAsia="zh-CN"/>
            </w:rPr>
            <w:t>13.4 保修内容</w:t>
          </w:r>
          <w:r>
            <w:rPr>
              <w:color w:val="auto"/>
            </w:rPr>
            <w:tab/>
          </w:r>
          <w:r>
            <w:rPr>
              <w:color w:val="auto"/>
            </w:rPr>
            <w:fldChar w:fldCharType="begin"/>
          </w:r>
          <w:r>
            <w:rPr>
              <w:color w:val="auto"/>
            </w:rPr>
            <w:instrText xml:space="preserve"> PAGEREF _Toc20119 \h </w:instrText>
          </w:r>
          <w:r>
            <w:rPr>
              <w:color w:val="auto"/>
            </w:rPr>
            <w:fldChar w:fldCharType="separate"/>
          </w:r>
          <w:r>
            <w:rPr>
              <w:color w:val="auto"/>
            </w:rPr>
            <w:t>102</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_Toc13747 </w:instrText>
          </w:r>
          <w:r>
            <w:rPr>
              <w:rFonts w:hint="eastAsia" w:ascii="宋体" w:hAnsi="宋体" w:eastAsia="宋体" w:cs="宋体"/>
              <w:color w:val="auto"/>
              <w:szCs w:val="24"/>
              <w:highlight w:val="none"/>
            </w:rPr>
            <w:fldChar w:fldCharType="separate"/>
          </w:r>
          <w:r>
            <w:rPr>
              <w:rFonts w:hint="eastAsia"/>
              <w:color w:val="auto"/>
              <w:lang w:val="en-US" w:eastAsia="zh-CN"/>
            </w:rPr>
            <w:t>13.5 测试及验收</w:t>
          </w:r>
          <w:r>
            <w:rPr>
              <w:color w:val="auto"/>
            </w:rPr>
            <w:tab/>
          </w:r>
          <w:r>
            <w:rPr>
              <w:color w:val="auto"/>
            </w:rPr>
            <w:fldChar w:fldCharType="begin"/>
          </w:r>
          <w:r>
            <w:rPr>
              <w:color w:val="auto"/>
            </w:rPr>
            <w:instrText xml:space="preserve"> PAGEREF _Toc13747 \h </w:instrText>
          </w:r>
          <w:r>
            <w:rPr>
              <w:color w:val="auto"/>
            </w:rPr>
            <w:fldChar w:fldCharType="separate"/>
          </w:r>
          <w:r>
            <w:rPr>
              <w:color w:val="auto"/>
            </w:rPr>
            <w:t>103</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_Toc15625 </w:instrText>
          </w:r>
          <w:r>
            <w:rPr>
              <w:rFonts w:hint="eastAsia" w:ascii="宋体" w:hAnsi="宋体" w:eastAsia="宋体" w:cs="宋体"/>
              <w:color w:val="auto"/>
              <w:szCs w:val="24"/>
              <w:highlight w:val="none"/>
            </w:rPr>
            <w:fldChar w:fldCharType="separate"/>
          </w:r>
          <w:r>
            <w:rPr>
              <w:rFonts w:hint="eastAsia"/>
              <w:color w:val="auto"/>
              <w:lang w:val="en-US" w:eastAsia="zh-CN"/>
            </w:rPr>
            <w:t>13.6 售后服务</w:t>
          </w:r>
          <w:r>
            <w:rPr>
              <w:color w:val="auto"/>
            </w:rPr>
            <w:tab/>
          </w:r>
          <w:r>
            <w:rPr>
              <w:color w:val="auto"/>
            </w:rPr>
            <w:fldChar w:fldCharType="begin"/>
          </w:r>
          <w:r>
            <w:rPr>
              <w:color w:val="auto"/>
            </w:rPr>
            <w:instrText xml:space="preserve"> PAGEREF _Toc15625 \h </w:instrText>
          </w:r>
          <w:r>
            <w:rPr>
              <w:color w:val="auto"/>
            </w:rPr>
            <w:fldChar w:fldCharType="separate"/>
          </w:r>
          <w:r>
            <w:rPr>
              <w:color w:val="auto"/>
            </w:rPr>
            <w:t>104</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_Toc19770 </w:instrText>
          </w:r>
          <w:r>
            <w:rPr>
              <w:rFonts w:hint="eastAsia" w:ascii="宋体" w:hAnsi="宋体" w:eastAsia="宋体" w:cs="宋体"/>
              <w:color w:val="auto"/>
              <w:szCs w:val="24"/>
              <w:highlight w:val="none"/>
            </w:rPr>
            <w:fldChar w:fldCharType="separate"/>
          </w:r>
          <w:r>
            <w:rPr>
              <w:rFonts w:hint="eastAsia"/>
              <w:color w:val="auto"/>
              <w:lang w:val="en-US" w:eastAsia="zh-CN"/>
            </w:rPr>
            <w:t xml:space="preserve">13.7 </w:t>
          </w:r>
          <w:r>
            <w:rPr>
              <w:rFonts w:hint="eastAsia"/>
              <w:color w:val="auto"/>
            </w:rPr>
            <w:t>其他说明</w:t>
          </w:r>
          <w:r>
            <w:rPr>
              <w:color w:val="auto"/>
            </w:rPr>
            <w:tab/>
          </w:r>
          <w:r>
            <w:rPr>
              <w:color w:val="auto"/>
            </w:rPr>
            <w:fldChar w:fldCharType="begin"/>
          </w:r>
          <w:r>
            <w:rPr>
              <w:color w:val="auto"/>
            </w:rPr>
            <w:instrText xml:space="preserve"> PAGEREF _Toc19770 \h </w:instrText>
          </w:r>
          <w:r>
            <w:rPr>
              <w:color w:val="auto"/>
            </w:rPr>
            <w:fldChar w:fldCharType="separate"/>
          </w:r>
          <w:r>
            <w:rPr>
              <w:color w:val="auto"/>
            </w:rPr>
            <w:t>106</w:t>
          </w:r>
          <w:r>
            <w:rPr>
              <w:color w:val="auto"/>
            </w:rPr>
            <w:fldChar w:fldCharType="end"/>
          </w:r>
          <w:r>
            <w:rPr>
              <w:rFonts w:hint="eastAsia" w:ascii="宋体" w:hAnsi="宋体" w:eastAsia="宋体" w:cs="宋体"/>
              <w:color w:val="auto"/>
              <w:szCs w:val="24"/>
              <w:highlight w:val="none"/>
            </w:rPr>
            <w:fldChar w:fldCharType="end"/>
          </w:r>
        </w:p>
        <w:p>
          <w:pPr>
            <w:pStyle w:val="18"/>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_Toc21883 </w:instrText>
          </w:r>
          <w:r>
            <w:rPr>
              <w:rFonts w:hint="eastAsia" w:ascii="宋体" w:hAnsi="宋体" w:eastAsia="宋体" w:cs="宋体"/>
              <w:color w:val="auto"/>
              <w:szCs w:val="24"/>
              <w:highlight w:val="none"/>
            </w:rPr>
            <w:fldChar w:fldCharType="separate"/>
          </w:r>
          <w:r>
            <w:rPr>
              <w:rFonts w:hint="eastAsia"/>
              <w:color w:val="auto"/>
              <w:lang w:val="en-US" w:eastAsia="zh-CN"/>
            </w:rPr>
            <w:t>14. 微电网智慧平台技术要求</w:t>
          </w:r>
          <w:r>
            <w:rPr>
              <w:color w:val="auto"/>
            </w:rPr>
            <w:tab/>
          </w:r>
          <w:r>
            <w:rPr>
              <w:color w:val="auto"/>
            </w:rPr>
            <w:fldChar w:fldCharType="begin"/>
          </w:r>
          <w:r>
            <w:rPr>
              <w:color w:val="auto"/>
            </w:rPr>
            <w:instrText xml:space="preserve"> PAGEREF _Toc21883 \h </w:instrText>
          </w:r>
          <w:r>
            <w:rPr>
              <w:color w:val="auto"/>
            </w:rPr>
            <w:fldChar w:fldCharType="separate"/>
          </w:r>
          <w:r>
            <w:rPr>
              <w:color w:val="auto"/>
            </w:rPr>
            <w:t>106</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_Toc20461 </w:instrText>
          </w:r>
          <w:r>
            <w:rPr>
              <w:rFonts w:hint="eastAsia" w:ascii="宋体" w:hAnsi="宋体" w:eastAsia="宋体" w:cs="宋体"/>
              <w:color w:val="auto"/>
              <w:szCs w:val="24"/>
              <w:highlight w:val="none"/>
            </w:rPr>
            <w:fldChar w:fldCharType="separate"/>
          </w:r>
          <w:r>
            <w:rPr>
              <w:rFonts w:hint="eastAsia"/>
              <w:color w:val="auto"/>
              <w:lang w:val="en-US" w:eastAsia="zh-CN"/>
            </w:rPr>
            <w:t>14.1 总体功能要求</w:t>
          </w:r>
          <w:r>
            <w:rPr>
              <w:color w:val="auto"/>
            </w:rPr>
            <w:tab/>
          </w:r>
          <w:r>
            <w:rPr>
              <w:color w:val="auto"/>
            </w:rPr>
            <w:fldChar w:fldCharType="begin"/>
          </w:r>
          <w:r>
            <w:rPr>
              <w:color w:val="auto"/>
            </w:rPr>
            <w:instrText xml:space="preserve"> PAGEREF _Toc20461 \h </w:instrText>
          </w:r>
          <w:r>
            <w:rPr>
              <w:color w:val="auto"/>
            </w:rPr>
            <w:fldChar w:fldCharType="separate"/>
          </w:r>
          <w:r>
            <w:rPr>
              <w:color w:val="auto"/>
            </w:rPr>
            <w:t>106</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_Toc11752 </w:instrText>
          </w:r>
          <w:r>
            <w:rPr>
              <w:rFonts w:hint="eastAsia" w:ascii="宋体" w:hAnsi="宋体" w:eastAsia="宋体" w:cs="宋体"/>
              <w:color w:val="auto"/>
              <w:szCs w:val="24"/>
              <w:highlight w:val="none"/>
            </w:rPr>
            <w:fldChar w:fldCharType="separate"/>
          </w:r>
          <w:r>
            <w:rPr>
              <w:rFonts w:hint="eastAsia"/>
              <w:color w:val="auto"/>
              <w:lang w:val="en-US" w:eastAsia="zh-CN"/>
            </w:rPr>
            <w:t>14.2 设计目标</w:t>
          </w:r>
          <w:r>
            <w:rPr>
              <w:color w:val="auto"/>
            </w:rPr>
            <w:tab/>
          </w:r>
          <w:r>
            <w:rPr>
              <w:color w:val="auto"/>
            </w:rPr>
            <w:fldChar w:fldCharType="begin"/>
          </w:r>
          <w:r>
            <w:rPr>
              <w:color w:val="auto"/>
            </w:rPr>
            <w:instrText xml:space="preserve"> PAGEREF _Toc11752 \h </w:instrText>
          </w:r>
          <w:r>
            <w:rPr>
              <w:color w:val="auto"/>
            </w:rPr>
            <w:fldChar w:fldCharType="separate"/>
          </w:r>
          <w:r>
            <w:rPr>
              <w:color w:val="auto"/>
            </w:rPr>
            <w:t>106</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_Toc22325 </w:instrText>
          </w:r>
          <w:r>
            <w:rPr>
              <w:rFonts w:hint="eastAsia" w:ascii="宋体" w:hAnsi="宋体" w:eastAsia="宋体" w:cs="宋体"/>
              <w:color w:val="auto"/>
              <w:szCs w:val="24"/>
              <w:highlight w:val="none"/>
            </w:rPr>
            <w:fldChar w:fldCharType="separate"/>
          </w:r>
          <w:r>
            <w:rPr>
              <w:rFonts w:hint="eastAsia"/>
              <w:color w:val="auto"/>
              <w:lang w:val="en-US" w:eastAsia="zh-CN"/>
            </w:rPr>
            <w:t>14.3  控制系统技术要求</w:t>
          </w:r>
          <w:r>
            <w:rPr>
              <w:color w:val="auto"/>
            </w:rPr>
            <w:tab/>
          </w:r>
          <w:r>
            <w:rPr>
              <w:color w:val="auto"/>
            </w:rPr>
            <w:fldChar w:fldCharType="begin"/>
          </w:r>
          <w:r>
            <w:rPr>
              <w:color w:val="auto"/>
            </w:rPr>
            <w:instrText xml:space="preserve"> PAGEREF _Toc22325 \h </w:instrText>
          </w:r>
          <w:r>
            <w:rPr>
              <w:color w:val="auto"/>
            </w:rPr>
            <w:fldChar w:fldCharType="separate"/>
          </w:r>
          <w:r>
            <w:rPr>
              <w:color w:val="auto"/>
            </w:rPr>
            <w:t>107</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_Toc20487 </w:instrText>
          </w:r>
          <w:r>
            <w:rPr>
              <w:rFonts w:hint="eastAsia" w:ascii="宋体" w:hAnsi="宋体" w:eastAsia="宋体" w:cs="宋体"/>
              <w:color w:val="auto"/>
              <w:szCs w:val="24"/>
              <w:highlight w:val="none"/>
            </w:rPr>
            <w:fldChar w:fldCharType="separate"/>
          </w:r>
          <w:r>
            <w:rPr>
              <w:rFonts w:hint="eastAsia"/>
              <w:color w:val="auto"/>
              <w:lang w:val="en-US" w:eastAsia="zh-CN"/>
            </w:rPr>
            <w:t>14.4 平台系统技术要求</w:t>
          </w:r>
          <w:r>
            <w:rPr>
              <w:color w:val="auto"/>
            </w:rPr>
            <w:tab/>
          </w:r>
          <w:r>
            <w:rPr>
              <w:color w:val="auto"/>
            </w:rPr>
            <w:fldChar w:fldCharType="begin"/>
          </w:r>
          <w:r>
            <w:rPr>
              <w:color w:val="auto"/>
            </w:rPr>
            <w:instrText xml:space="preserve"> PAGEREF _Toc20487 \h </w:instrText>
          </w:r>
          <w:r>
            <w:rPr>
              <w:color w:val="auto"/>
            </w:rPr>
            <w:fldChar w:fldCharType="separate"/>
          </w:r>
          <w:r>
            <w:rPr>
              <w:color w:val="auto"/>
            </w:rPr>
            <w:t>107</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_Toc3093 </w:instrText>
          </w:r>
          <w:r>
            <w:rPr>
              <w:rFonts w:hint="eastAsia" w:ascii="宋体" w:hAnsi="宋体" w:eastAsia="宋体" w:cs="宋体"/>
              <w:color w:val="auto"/>
              <w:szCs w:val="24"/>
              <w:highlight w:val="none"/>
            </w:rPr>
            <w:fldChar w:fldCharType="separate"/>
          </w:r>
          <w:r>
            <w:rPr>
              <w:rFonts w:hint="eastAsia"/>
              <w:color w:val="auto"/>
              <w:lang w:val="en-US" w:eastAsia="zh-CN"/>
            </w:rPr>
            <w:t>14.4 基础硬件配置及要求</w:t>
          </w:r>
          <w:r>
            <w:rPr>
              <w:color w:val="auto"/>
            </w:rPr>
            <w:tab/>
          </w:r>
          <w:r>
            <w:rPr>
              <w:color w:val="auto"/>
            </w:rPr>
            <w:fldChar w:fldCharType="begin"/>
          </w:r>
          <w:r>
            <w:rPr>
              <w:color w:val="auto"/>
            </w:rPr>
            <w:instrText xml:space="preserve"> PAGEREF _Toc3093 \h </w:instrText>
          </w:r>
          <w:r>
            <w:rPr>
              <w:color w:val="auto"/>
            </w:rPr>
            <w:fldChar w:fldCharType="separate"/>
          </w:r>
          <w:r>
            <w:rPr>
              <w:color w:val="auto"/>
            </w:rPr>
            <w:t>108</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_Toc5712 </w:instrText>
          </w:r>
          <w:r>
            <w:rPr>
              <w:rFonts w:hint="eastAsia" w:ascii="宋体" w:hAnsi="宋体" w:eastAsia="宋体" w:cs="宋体"/>
              <w:color w:val="auto"/>
              <w:szCs w:val="24"/>
              <w:highlight w:val="none"/>
            </w:rPr>
            <w:fldChar w:fldCharType="separate"/>
          </w:r>
          <w:r>
            <w:rPr>
              <w:rFonts w:hint="eastAsia"/>
              <w:color w:val="auto"/>
              <w:lang w:val="en-US" w:eastAsia="zh-CN"/>
            </w:rPr>
            <w:t>14.5 控制器技术参数</w:t>
          </w:r>
          <w:r>
            <w:rPr>
              <w:color w:val="auto"/>
            </w:rPr>
            <w:tab/>
          </w:r>
          <w:r>
            <w:rPr>
              <w:color w:val="auto"/>
            </w:rPr>
            <w:fldChar w:fldCharType="begin"/>
          </w:r>
          <w:r>
            <w:rPr>
              <w:color w:val="auto"/>
            </w:rPr>
            <w:instrText xml:space="preserve"> PAGEREF _Toc5712 \h </w:instrText>
          </w:r>
          <w:r>
            <w:rPr>
              <w:color w:val="auto"/>
            </w:rPr>
            <w:fldChar w:fldCharType="separate"/>
          </w:r>
          <w:r>
            <w:rPr>
              <w:color w:val="auto"/>
            </w:rPr>
            <w:t>109</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_Toc26272 </w:instrText>
          </w:r>
          <w:r>
            <w:rPr>
              <w:rFonts w:hint="eastAsia" w:ascii="宋体" w:hAnsi="宋体" w:eastAsia="宋体" w:cs="宋体"/>
              <w:color w:val="auto"/>
              <w:szCs w:val="24"/>
              <w:highlight w:val="none"/>
            </w:rPr>
            <w:fldChar w:fldCharType="separate"/>
          </w:r>
          <w:r>
            <w:rPr>
              <w:rFonts w:hint="eastAsia"/>
              <w:color w:val="auto"/>
              <w:lang w:val="en-US" w:eastAsia="zh-CN"/>
            </w:rPr>
            <w:t>14.6 数据采集与存储</w:t>
          </w:r>
          <w:r>
            <w:rPr>
              <w:color w:val="auto"/>
            </w:rPr>
            <w:tab/>
          </w:r>
          <w:r>
            <w:rPr>
              <w:color w:val="auto"/>
            </w:rPr>
            <w:fldChar w:fldCharType="begin"/>
          </w:r>
          <w:r>
            <w:rPr>
              <w:color w:val="auto"/>
            </w:rPr>
            <w:instrText xml:space="preserve"> PAGEREF _Toc26272 \h </w:instrText>
          </w:r>
          <w:r>
            <w:rPr>
              <w:color w:val="auto"/>
            </w:rPr>
            <w:fldChar w:fldCharType="separate"/>
          </w:r>
          <w:r>
            <w:rPr>
              <w:color w:val="auto"/>
            </w:rPr>
            <w:t>110</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_Toc27163 </w:instrText>
          </w:r>
          <w:r>
            <w:rPr>
              <w:rFonts w:hint="eastAsia" w:ascii="宋体" w:hAnsi="宋体" w:eastAsia="宋体" w:cs="宋体"/>
              <w:color w:val="auto"/>
              <w:szCs w:val="24"/>
              <w:highlight w:val="none"/>
            </w:rPr>
            <w:fldChar w:fldCharType="separate"/>
          </w:r>
          <w:r>
            <w:rPr>
              <w:rFonts w:hint="eastAsia"/>
              <w:color w:val="auto"/>
              <w:lang w:val="en-US" w:eastAsia="zh-CN"/>
            </w:rPr>
            <w:t>14.7 基础软件配置及要求</w:t>
          </w:r>
          <w:r>
            <w:rPr>
              <w:color w:val="auto"/>
            </w:rPr>
            <w:tab/>
          </w:r>
          <w:r>
            <w:rPr>
              <w:color w:val="auto"/>
            </w:rPr>
            <w:fldChar w:fldCharType="begin"/>
          </w:r>
          <w:r>
            <w:rPr>
              <w:color w:val="auto"/>
            </w:rPr>
            <w:instrText xml:space="preserve"> PAGEREF _Toc27163 \h </w:instrText>
          </w:r>
          <w:r>
            <w:rPr>
              <w:color w:val="auto"/>
            </w:rPr>
            <w:fldChar w:fldCharType="separate"/>
          </w:r>
          <w:r>
            <w:rPr>
              <w:color w:val="auto"/>
            </w:rPr>
            <w:t>110</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_Toc32279 </w:instrText>
          </w:r>
          <w:r>
            <w:rPr>
              <w:rFonts w:hint="eastAsia" w:ascii="宋体" w:hAnsi="宋体" w:eastAsia="宋体" w:cs="宋体"/>
              <w:color w:val="auto"/>
              <w:szCs w:val="24"/>
              <w:highlight w:val="none"/>
            </w:rPr>
            <w:fldChar w:fldCharType="separate"/>
          </w:r>
          <w:r>
            <w:rPr>
              <w:rFonts w:hint="eastAsia"/>
              <w:color w:val="auto"/>
              <w:lang w:val="en-US" w:eastAsia="zh-CN"/>
            </w:rPr>
            <w:t>14.8 功能软件配置及要求</w:t>
          </w:r>
          <w:r>
            <w:rPr>
              <w:color w:val="auto"/>
            </w:rPr>
            <w:tab/>
          </w:r>
          <w:r>
            <w:rPr>
              <w:color w:val="auto"/>
            </w:rPr>
            <w:fldChar w:fldCharType="begin"/>
          </w:r>
          <w:r>
            <w:rPr>
              <w:color w:val="auto"/>
            </w:rPr>
            <w:instrText xml:space="preserve"> PAGEREF _Toc32279 \h </w:instrText>
          </w:r>
          <w:r>
            <w:rPr>
              <w:color w:val="auto"/>
            </w:rPr>
            <w:fldChar w:fldCharType="separate"/>
          </w:r>
          <w:r>
            <w:rPr>
              <w:color w:val="auto"/>
            </w:rPr>
            <w:t>111</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_Toc13255 </w:instrText>
          </w:r>
          <w:r>
            <w:rPr>
              <w:rFonts w:hint="eastAsia" w:ascii="宋体" w:hAnsi="宋体" w:eastAsia="宋体" w:cs="宋体"/>
              <w:color w:val="auto"/>
              <w:szCs w:val="24"/>
              <w:highlight w:val="none"/>
            </w:rPr>
            <w:fldChar w:fldCharType="separate"/>
          </w:r>
          <w:r>
            <w:rPr>
              <w:rFonts w:hint="eastAsia"/>
              <w:color w:val="auto"/>
              <w:lang w:val="en-US" w:eastAsia="zh-CN"/>
            </w:rPr>
            <w:t>14.9 控制策略要求</w:t>
          </w:r>
          <w:r>
            <w:rPr>
              <w:color w:val="auto"/>
            </w:rPr>
            <w:tab/>
          </w:r>
          <w:r>
            <w:rPr>
              <w:color w:val="auto"/>
            </w:rPr>
            <w:fldChar w:fldCharType="begin"/>
          </w:r>
          <w:r>
            <w:rPr>
              <w:color w:val="auto"/>
            </w:rPr>
            <w:instrText xml:space="preserve"> PAGEREF _Toc13255 \h </w:instrText>
          </w:r>
          <w:r>
            <w:rPr>
              <w:color w:val="auto"/>
            </w:rPr>
            <w:fldChar w:fldCharType="separate"/>
          </w:r>
          <w:r>
            <w:rPr>
              <w:color w:val="auto"/>
            </w:rPr>
            <w:t>112</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_Toc5881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lang w:val="en-US" w:eastAsia="zh-CN"/>
            </w:rPr>
            <w:t>1</w:t>
          </w:r>
          <w:r>
            <w:rPr>
              <w:rFonts w:hint="eastAsia" w:cs="宋体"/>
              <w:color w:val="auto"/>
              <w:szCs w:val="24"/>
              <w:lang w:val="en-US" w:eastAsia="zh-CN"/>
            </w:rPr>
            <w:t>4</w:t>
          </w:r>
          <w:r>
            <w:rPr>
              <w:rFonts w:hint="eastAsia" w:ascii="宋体" w:hAnsi="宋体" w:eastAsia="宋体" w:cs="宋体"/>
              <w:color w:val="auto"/>
              <w:szCs w:val="24"/>
              <w:lang w:val="en-US" w:eastAsia="zh-CN"/>
            </w:rPr>
            <w:t>.10 平台功能</w:t>
          </w:r>
          <w:r>
            <w:rPr>
              <w:color w:val="auto"/>
            </w:rPr>
            <w:tab/>
          </w:r>
          <w:r>
            <w:rPr>
              <w:color w:val="auto"/>
            </w:rPr>
            <w:fldChar w:fldCharType="begin"/>
          </w:r>
          <w:r>
            <w:rPr>
              <w:color w:val="auto"/>
            </w:rPr>
            <w:instrText xml:space="preserve"> PAGEREF _Toc5881 \h </w:instrText>
          </w:r>
          <w:r>
            <w:rPr>
              <w:color w:val="auto"/>
            </w:rPr>
            <w:fldChar w:fldCharType="separate"/>
          </w:r>
          <w:r>
            <w:rPr>
              <w:color w:val="auto"/>
            </w:rPr>
            <w:t>113</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_Toc5388 </w:instrText>
          </w:r>
          <w:r>
            <w:rPr>
              <w:rFonts w:hint="eastAsia" w:ascii="宋体" w:hAnsi="宋体" w:eastAsia="宋体" w:cs="宋体"/>
              <w:color w:val="auto"/>
              <w:szCs w:val="24"/>
              <w:highlight w:val="none"/>
            </w:rPr>
            <w:fldChar w:fldCharType="separate"/>
          </w:r>
          <w:r>
            <w:rPr>
              <w:rFonts w:hint="eastAsia"/>
              <w:color w:val="auto"/>
              <w:lang w:val="en-US" w:eastAsia="zh-CN"/>
            </w:rPr>
            <w:t>14.11系统其他接入要求</w:t>
          </w:r>
          <w:r>
            <w:rPr>
              <w:color w:val="auto"/>
            </w:rPr>
            <w:tab/>
          </w:r>
          <w:r>
            <w:rPr>
              <w:color w:val="auto"/>
            </w:rPr>
            <w:fldChar w:fldCharType="begin"/>
          </w:r>
          <w:r>
            <w:rPr>
              <w:color w:val="auto"/>
            </w:rPr>
            <w:instrText xml:space="preserve"> PAGEREF _Toc5388 \h </w:instrText>
          </w:r>
          <w:r>
            <w:rPr>
              <w:color w:val="auto"/>
            </w:rPr>
            <w:fldChar w:fldCharType="separate"/>
          </w:r>
          <w:r>
            <w:rPr>
              <w:color w:val="auto"/>
            </w:rPr>
            <w:t>114</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_Toc18058 </w:instrText>
          </w:r>
          <w:r>
            <w:rPr>
              <w:rFonts w:hint="eastAsia" w:ascii="宋体" w:hAnsi="宋体" w:eastAsia="宋体" w:cs="宋体"/>
              <w:color w:val="auto"/>
              <w:szCs w:val="24"/>
              <w:highlight w:val="none"/>
            </w:rPr>
            <w:fldChar w:fldCharType="separate"/>
          </w:r>
          <w:r>
            <w:rPr>
              <w:rFonts w:hint="eastAsia"/>
              <w:color w:val="auto"/>
              <w:lang w:val="en-US" w:eastAsia="zh-CN"/>
            </w:rPr>
            <w:t>14.12系统性能指标要求</w:t>
          </w:r>
          <w:r>
            <w:rPr>
              <w:color w:val="auto"/>
            </w:rPr>
            <w:tab/>
          </w:r>
          <w:r>
            <w:rPr>
              <w:color w:val="auto"/>
            </w:rPr>
            <w:fldChar w:fldCharType="begin"/>
          </w:r>
          <w:r>
            <w:rPr>
              <w:color w:val="auto"/>
            </w:rPr>
            <w:instrText xml:space="preserve"> PAGEREF _Toc18058 \h </w:instrText>
          </w:r>
          <w:r>
            <w:rPr>
              <w:color w:val="auto"/>
            </w:rPr>
            <w:fldChar w:fldCharType="separate"/>
          </w:r>
          <w:r>
            <w:rPr>
              <w:color w:val="auto"/>
            </w:rPr>
            <w:t>114</w:t>
          </w:r>
          <w:r>
            <w:rPr>
              <w:color w:val="auto"/>
            </w:rPr>
            <w:fldChar w:fldCharType="end"/>
          </w:r>
          <w:r>
            <w:rPr>
              <w:rFonts w:hint="eastAsia" w:ascii="宋体" w:hAnsi="宋体" w:eastAsia="宋体" w:cs="宋体"/>
              <w:color w:val="auto"/>
              <w:szCs w:val="24"/>
              <w:highlight w:val="none"/>
            </w:rPr>
            <w:fldChar w:fldCharType="end"/>
          </w:r>
        </w:p>
        <w:p>
          <w:pPr>
            <w:pStyle w:val="18"/>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_Toc1761 </w:instrText>
          </w:r>
          <w:r>
            <w:rPr>
              <w:rFonts w:hint="eastAsia" w:ascii="宋体" w:hAnsi="宋体" w:eastAsia="宋体" w:cs="宋体"/>
              <w:color w:val="auto"/>
              <w:szCs w:val="24"/>
              <w:highlight w:val="none"/>
            </w:rPr>
            <w:fldChar w:fldCharType="separate"/>
          </w:r>
          <w:r>
            <w:rPr>
              <w:rFonts w:hint="eastAsia"/>
              <w:color w:val="auto"/>
              <w:lang w:val="en-US" w:eastAsia="zh-CN"/>
            </w:rPr>
            <w:t>15. 土建技术规要求</w:t>
          </w:r>
          <w:r>
            <w:rPr>
              <w:color w:val="auto"/>
            </w:rPr>
            <w:tab/>
          </w:r>
          <w:r>
            <w:rPr>
              <w:color w:val="auto"/>
            </w:rPr>
            <w:fldChar w:fldCharType="begin"/>
          </w:r>
          <w:r>
            <w:rPr>
              <w:color w:val="auto"/>
            </w:rPr>
            <w:instrText xml:space="preserve"> PAGEREF _Toc1761 \h </w:instrText>
          </w:r>
          <w:r>
            <w:rPr>
              <w:color w:val="auto"/>
            </w:rPr>
            <w:fldChar w:fldCharType="separate"/>
          </w:r>
          <w:r>
            <w:rPr>
              <w:color w:val="auto"/>
            </w:rPr>
            <w:t>115</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_Toc32665 </w:instrText>
          </w:r>
          <w:r>
            <w:rPr>
              <w:rFonts w:hint="eastAsia" w:ascii="宋体" w:hAnsi="宋体" w:eastAsia="宋体" w:cs="宋体"/>
              <w:color w:val="auto"/>
              <w:szCs w:val="24"/>
              <w:highlight w:val="none"/>
            </w:rPr>
            <w:fldChar w:fldCharType="separate"/>
          </w:r>
          <w:r>
            <w:rPr>
              <w:rFonts w:hint="eastAsia"/>
              <w:color w:val="auto"/>
              <w:lang w:val="en-US" w:eastAsia="zh-CN"/>
            </w:rPr>
            <w:t>15.1 建筑专业设计要求</w:t>
          </w:r>
          <w:r>
            <w:rPr>
              <w:color w:val="auto"/>
            </w:rPr>
            <w:tab/>
          </w:r>
          <w:r>
            <w:rPr>
              <w:color w:val="auto"/>
            </w:rPr>
            <w:fldChar w:fldCharType="begin"/>
          </w:r>
          <w:r>
            <w:rPr>
              <w:color w:val="auto"/>
            </w:rPr>
            <w:instrText xml:space="preserve"> PAGEREF _Toc32665 \h </w:instrText>
          </w:r>
          <w:r>
            <w:rPr>
              <w:color w:val="auto"/>
            </w:rPr>
            <w:fldChar w:fldCharType="separate"/>
          </w:r>
          <w:r>
            <w:rPr>
              <w:color w:val="auto"/>
            </w:rPr>
            <w:t>115</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_Toc32677 </w:instrText>
          </w:r>
          <w:r>
            <w:rPr>
              <w:rFonts w:hint="eastAsia" w:ascii="宋体" w:hAnsi="宋体" w:eastAsia="宋体" w:cs="宋体"/>
              <w:color w:val="auto"/>
              <w:szCs w:val="24"/>
              <w:highlight w:val="none"/>
            </w:rPr>
            <w:fldChar w:fldCharType="separate"/>
          </w:r>
          <w:r>
            <w:rPr>
              <w:rFonts w:hint="eastAsia"/>
              <w:color w:val="auto"/>
              <w:lang w:val="en-US" w:eastAsia="zh-CN"/>
            </w:rPr>
            <w:t>15.2 结构专业设计要求</w:t>
          </w:r>
          <w:r>
            <w:rPr>
              <w:color w:val="auto"/>
            </w:rPr>
            <w:tab/>
          </w:r>
          <w:r>
            <w:rPr>
              <w:color w:val="auto"/>
            </w:rPr>
            <w:fldChar w:fldCharType="begin"/>
          </w:r>
          <w:r>
            <w:rPr>
              <w:color w:val="auto"/>
            </w:rPr>
            <w:instrText xml:space="preserve"> PAGEREF _Toc32677 \h </w:instrText>
          </w:r>
          <w:r>
            <w:rPr>
              <w:color w:val="auto"/>
            </w:rPr>
            <w:fldChar w:fldCharType="separate"/>
          </w:r>
          <w:r>
            <w:rPr>
              <w:color w:val="auto"/>
            </w:rPr>
            <w:t>119</w:t>
          </w:r>
          <w:r>
            <w:rPr>
              <w:color w:val="auto"/>
            </w:rPr>
            <w:fldChar w:fldCharType="end"/>
          </w:r>
          <w:r>
            <w:rPr>
              <w:rFonts w:hint="eastAsia" w:ascii="宋体" w:hAnsi="宋体" w:eastAsia="宋体" w:cs="宋体"/>
              <w:color w:val="auto"/>
              <w:szCs w:val="24"/>
              <w:highlight w:val="none"/>
            </w:rPr>
            <w:fldChar w:fldCharType="end"/>
          </w:r>
        </w:p>
        <w:p>
          <w:pPr>
            <w:pStyle w:val="18"/>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_Toc15002 </w:instrText>
          </w:r>
          <w:r>
            <w:rPr>
              <w:rFonts w:hint="eastAsia" w:ascii="宋体" w:hAnsi="宋体" w:eastAsia="宋体" w:cs="宋体"/>
              <w:color w:val="auto"/>
              <w:szCs w:val="24"/>
              <w:highlight w:val="none"/>
            </w:rPr>
            <w:fldChar w:fldCharType="separate"/>
          </w:r>
          <w:r>
            <w:rPr>
              <w:rFonts w:hint="eastAsia"/>
              <w:color w:val="auto"/>
              <w:lang w:val="en-US" w:eastAsia="zh-CN"/>
            </w:rPr>
            <w:t>16. 接地工程</w:t>
          </w:r>
          <w:r>
            <w:rPr>
              <w:color w:val="auto"/>
            </w:rPr>
            <w:tab/>
          </w:r>
          <w:r>
            <w:rPr>
              <w:color w:val="auto"/>
            </w:rPr>
            <w:fldChar w:fldCharType="begin"/>
          </w:r>
          <w:r>
            <w:rPr>
              <w:color w:val="auto"/>
            </w:rPr>
            <w:instrText xml:space="preserve"> PAGEREF _Toc15002 \h </w:instrText>
          </w:r>
          <w:r>
            <w:rPr>
              <w:color w:val="auto"/>
            </w:rPr>
            <w:fldChar w:fldCharType="separate"/>
          </w:r>
          <w:r>
            <w:rPr>
              <w:color w:val="auto"/>
            </w:rPr>
            <w:t>129</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_Toc11106 </w:instrText>
          </w:r>
          <w:r>
            <w:rPr>
              <w:rFonts w:hint="eastAsia" w:ascii="宋体" w:hAnsi="宋体" w:eastAsia="宋体" w:cs="宋体"/>
              <w:color w:val="auto"/>
              <w:szCs w:val="24"/>
              <w:highlight w:val="none"/>
            </w:rPr>
            <w:fldChar w:fldCharType="separate"/>
          </w:r>
          <w:r>
            <w:rPr>
              <w:rFonts w:hint="eastAsia"/>
              <w:color w:val="auto"/>
              <w:lang w:val="en-US" w:eastAsia="zh-CN"/>
            </w:rPr>
            <w:t>16.1安装技术要求和规范</w:t>
          </w:r>
          <w:r>
            <w:rPr>
              <w:color w:val="auto"/>
            </w:rPr>
            <w:tab/>
          </w:r>
          <w:r>
            <w:rPr>
              <w:color w:val="auto"/>
            </w:rPr>
            <w:fldChar w:fldCharType="begin"/>
          </w:r>
          <w:r>
            <w:rPr>
              <w:color w:val="auto"/>
            </w:rPr>
            <w:instrText xml:space="preserve"> PAGEREF _Toc11106 \h </w:instrText>
          </w:r>
          <w:r>
            <w:rPr>
              <w:color w:val="auto"/>
            </w:rPr>
            <w:fldChar w:fldCharType="separate"/>
          </w:r>
          <w:r>
            <w:rPr>
              <w:color w:val="auto"/>
            </w:rPr>
            <w:t>130</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_Toc15170 </w:instrText>
          </w:r>
          <w:r>
            <w:rPr>
              <w:rFonts w:hint="eastAsia" w:ascii="宋体" w:hAnsi="宋体" w:eastAsia="宋体" w:cs="宋体"/>
              <w:color w:val="auto"/>
              <w:szCs w:val="24"/>
              <w:highlight w:val="none"/>
            </w:rPr>
            <w:fldChar w:fldCharType="separate"/>
          </w:r>
          <w:r>
            <w:rPr>
              <w:rFonts w:hint="eastAsia"/>
              <w:color w:val="auto"/>
              <w:lang w:val="en-US" w:eastAsia="zh-CN"/>
            </w:rPr>
            <w:t>16.2通用检查项目</w:t>
          </w:r>
          <w:r>
            <w:rPr>
              <w:color w:val="auto"/>
            </w:rPr>
            <w:tab/>
          </w:r>
          <w:r>
            <w:rPr>
              <w:color w:val="auto"/>
            </w:rPr>
            <w:fldChar w:fldCharType="begin"/>
          </w:r>
          <w:r>
            <w:rPr>
              <w:color w:val="auto"/>
            </w:rPr>
            <w:instrText xml:space="preserve"> PAGEREF _Toc15170 \h </w:instrText>
          </w:r>
          <w:r>
            <w:rPr>
              <w:color w:val="auto"/>
            </w:rPr>
            <w:fldChar w:fldCharType="separate"/>
          </w:r>
          <w:r>
            <w:rPr>
              <w:color w:val="auto"/>
            </w:rPr>
            <w:t>130</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_Toc20331 </w:instrText>
          </w:r>
          <w:r>
            <w:rPr>
              <w:rFonts w:hint="eastAsia" w:ascii="宋体" w:hAnsi="宋体" w:eastAsia="宋体" w:cs="宋体"/>
              <w:color w:val="auto"/>
              <w:szCs w:val="24"/>
              <w:highlight w:val="none"/>
            </w:rPr>
            <w:fldChar w:fldCharType="separate"/>
          </w:r>
          <w:r>
            <w:rPr>
              <w:rFonts w:hint="eastAsia" w:ascii="宋体" w:eastAsia="宋体" w:cs="宋体"/>
              <w:bCs w:val="0"/>
              <w:color w:val="auto"/>
              <w:szCs w:val="24"/>
              <w:highlight w:val="none"/>
              <w:lang w:val="en-US" w:eastAsia="zh-CN"/>
            </w:rPr>
            <w:t>1</w:t>
          </w:r>
          <w:r>
            <w:rPr>
              <w:rFonts w:hint="eastAsia" w:cs="宋体"/>
              <w:bCs w:val="0"/>
              <w:color w:val="auto"/>
              <w:szCs w:val="24"/>
              <w:highlight w:val="none"/>
              <w:lang w:val="en-US" w:eastAsia="zh-CN"/>
            </w:rPr>
            <w:t>6</w:t>
          </w:r>
          <w:r>
            <w:rPr>
              <w:rFonts w:hint="eastAsia" w:ascii="宋体" w:hAnsi="宋体" w:eastAsia="宋体" w:cs="宋体"/>
              <w:bCs w:val="0"/>
              <w:color w:val="auto"/>
              <w:szCs w:val="24"/>
              <w:highlight w:val="none"/>
              <w:lang w:val="en-US" w:eastAsia="zh-CN"/>
            </w:rPr>
            <w:t>.3竣工验收</w:t>
          </w:r>
          <w:r>
            <w:rPr>
              <w:color w:val="auto"/>
            </w:rPr>
            <w:tab/>
          </w:r>
          <w:r>
            <w:rPr>
              <w:color w:val="auto"/>
            </w:rPr>
            <w:fldChar w:fldCharType="begin"/>
          </w:r>
          <w:r>
            <w:rPr>
              <w:color w:val="auto"/>
            </w:rPr>
            <w:instrText xml:space="preserve"> PAGEREF _Toc20331 \h </w:instrText>
          </w:r>
          <w:r>
            <w:rPr>
              <w:color w:val="auto"/>
            </w:rPr>
            <w:fldChar w:fldCharType="separate"/>
          </w:r>
          <w:r>
            <w:rPr>
              <w:color w:val="auto"/>
            </w:rPr>
            <w:t>131</w:t>
          </w:r>
          <w:r>
            <w:rPr>
              <w:color w:val="auto"/>
            </w:rPr>
            <w:fldChar w:fldCharType="end"/>
          </w:r>
          <w:r>
            <w:rPr>
              <w:rFonts w:hint="eastAsia" w:ascii="宋体" w:hAnsi="宋体" w:eastAsia="宋体" w:cs="宋体"/>
              <w:color w:val="auto"/>
              <w:szCs w:val="24"/>
              <w:highlight w:val="none"/>
            </w:rPr>
            <w:fldChar w:fldCharType="end"/>
          </w:r>
        </w:p>
        <w:p>
          <w:pPr>
            <w:pStyle w:val="18"/>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_Toc18501 </w:instrText>
          </w:r>
          <w:r>
            <w:rPr>
              <w:rFonts w:hint="eastAsia" w:ascii="宋体" w:hAnsi="宋体" w:eastAsia="宋体" w:cs="宋体"/>
              <w:color w:val="auto"/>
              <w:szCs w:val="24"/>
              <w:highlight w:val="none"/>
            </w:rPr>
            <w:fldChar w:fldCharType="separate"/>
          </w:r>
          <w:r>
            <w:rPr>
              <w:rFonts w:hint="eastAsia"/>
              <w:color w:val="auto"/>
              <w:lang w:val="en-US" w:eastAsia="zh-CN"/>
            </w:rPr>
            <w:t>17. 投标人的工作内容</w:t>
          </w:r>
          <w:r>
            <w:rPr>
              <w:color w:val="auto"/>
            </w:rPr>
            <w:tab/>
          </w:r>
          <w:r>
            <w:rPr>
              <w:color w:val="auto"/>
            </w:rPr>
            <w:fldChar w:fldCharType="begin"/>
          </w:r>
          <w:r>
            <w:rPr>
              <w:color w:val="auto"/>
            </w:rPr>
            <w:instrText xml:space="preserve"> PAGEREF _Toc18501 \h </w:instrText>
          </w:r>
          <w:r>
            <w:rPr>
              <w:color w:val="auto"/>
            </w:rPr>
            <w:fldChar w:fldCharType="separate"/>
          </w:r>
          <w:r>
            <w:rPr>
              <w:color w:val="auto"/>
            </w:rPr>
            <w:t>131</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_Toc31651 </w:instrText>
          </w:r>
          <w:r>
            <w:rPr>
              <w:rFonts w:hint="eastAsia" w:ascii="宋体" w:hAnsi="宋体" w:eastAsia="宋体" w:cs="宋体"/>
              <w:color w:val="auto"/>
              <w:szCs w:val="24"/>
              <w:highlight w:val="none"/>
            </w:rPr>
            <w:fldChar w:fldCharType="separate"/>
          </w:r>
          <w:r>
            <w:rPr>
              <w:rFonts w:hint="eastAsia"/>
              <w:color w:val="auto"/>
              <w:lang w:val="en-US" w:eastAsia="zh-CN"/>
            </w:rPr>
            <w:t>17.1</w:t>
          </w:r>
          <w:r>
            <w:rPr>
              <w:rFonts w:hint="eastAsia"/>
              <w:color w:val="auto"/>
            </w:rPr>
            <w:t>本工程招标范围</w:t>
          </w:r>
          <w:r>
            <w:rPr>
              <w:color w:val="auto"/>
            </w:rPr>
            <w:tab/>
          </w:r>
          <w:r>
            <w:rPr>
              <w:color w:val="auto"/>
            </w:rPr>
            <w:fldChar w:fldCharType="begin"/>
          </w:r>
          <w:r>
            <w:rPr>
              <w:color w:val="auto"/>
            </w:rPr>
            <w:instrText xml:space="preserve"> PAGEREF _Toc31651 \h </w:instrText>
          </w:r>
          <w:r>
            <w:rPr>
              <w:color w:val="auto"/>
            </w:rPr>
            <w:fldChar w:fldCharType="separate"/>
          </w:r>
          <w:r>
            <w:rPr>
              <w:color w:val="auto"/>
            </w:rPr>
            <w:t>131</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_Toc3575 </w:instrText>
          </w:r>
          <w:r>
            <w:rPr>
              <w:rFonts w:hint="eastAsia" w:ascii="宋体" w:hAnsi="宋体" w:eastAsia="宋体" w:cs="宋体"/>
              <w:color w:val="auto"/>
              <w:szCs w:val="24"/>
              <w:highlight w:val="none"/>
            </w:rPr>
            <w:fldChar w:fldCharType="separate"/>
          </w:r>
          <w:r>
            <w:rPr>
              <w:rFonts w:hint="eastAsia"/>
              <w:color w:val="auto"/>
              <w:lang w:val="en-US" w:eastAsia="zh-CN"/>
            </w:rPr>
            <w:t>17.2施工临时设施项目</w:t>
          </w:r>
          <w:r>
            <w:rPr>
              <w:color w:val="auto"/>
            </w:rPr>
            <w:tab/>
          </w:r>
          <w:r>
            <w:rPr>
              <w:color w:val="auto"/>
            </w:rPr>
            <w:fldChar w:fldCharType="begin"/>
          </w:r>
          <w:r>
            <w:rPr>
              <w:color w:val="auto"/>
            </w:rPr>
            <w:instrText xml:space="preserve"> PAGEREF _Toc3575 \h </w:instrText>
          </w:r>
          <w:r>
            <w:rPr>
              <w:color w:val="auto"/>
            </w:rPr>
            <w:fldChar w:fldCharType="separate"/>
          </w:r>
          <w:r>
            <w:rPr>
              <w:color w:val="auto"/>
            </w:rPr>
            <w:t>131</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_Toc32549 </w:instrText>
          </w:r>
          <w:r>
            <w:rPr>
              <w:rFonts w:hint="eastAsia" w:ascii="宋体" w:hAnsi="宋体" w:eastAsia="宋体" w:cs="宋体"/>
              <w:color w:val="auto"/>
              <w:szCs w:val="24"/>
              <w:highlight w:val="none"/>
            </w:rPr>
            <w:fldChar w:fldCharType="separate"/>
          </w:r>
          <w:r>
            <w:rPr>
              <w:rFonts w:hint="eastAsia"/>
              <w:color w:val="auto"/>
              <w:lang w:val="en-US" w:eastAsia="zh-CN"/>
            </w:rPr>
            <w:t>17.3.发包人承担的工作项目或提供的条件</w:t>
          </w:r>
          <w:r>
            <w:rPr>
              <w:color w:val="auto"/>
            </w:rPr>
            <w:tab/>
          </w:r>
          <w:r>
            <w:rPr>
              <w:color w:val="auto"/>
            </w:rPr>
            <w:fldChar w:fldCharType="begin"/>
          </w:r>
          <w:r>
            <w:rPr>
              <w:color w:val="auto"/>
            </w:rPr>
            <w:instrText xml:space="preserve"> PAGEREF _Toc32549 \h </w:instrText>
          </w:r>
          <w:r>
            <w:rPr>
              <w:color w:val="auto"/>
            </w:rPr>
            <w:fldChar w:fldCharType="separate"/>
          </w:r>
          <w:r>
            <w:rPr>
              <w:color w:val="auto"/>
            </w:rPr>
            <w:t>131</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_Toc27339 </w:instrText>
          </w:r>
          <w:r>
            <w:rPr>
              <w:rFonts w:hint="eastAsia" w:ascii="宋体" w:hAnsi="宋体" w:eastAsia="宋体" w:cs="宋体"/>
              <w:color w:val="auto"/>
              <w:szCs w:val="24"/>
              <w:highlight w:val="none"/>
            </w:rPr>
            <w:fldChar w:fldCharType="separate"/>
          </w:r>
          <w:r>
            <w:rPr>
              <w:rFonts w:hint="eastAsia"/>
              <w:color w:val="auto"/>
              <w:lang w:val="en-US" w:eastAsia="zh-CN"/>
            </w:rPr>
            <w:t>17.4设备材料采购、运输</w:t>
          </w:r>
          <w:r>
            <w:rPr>
              <w:color w:val="auto"/>
            </w:rPr>
            <w:tab/>
          </w:r>
          <w:r>
            <w:rPr>
              <w:color w:val="auto"/>
            </w:rPr>
            <w:fldChar w:fldCharType="begin"/>
          </w:r>
          <w:r>
            <w:rPr>
              <w:color w:val="auto"/>
            </w:rPr>
            <w:instrText xml:space="preserve"> PAGEREF _Toc27339 \h </w:instrText>
          </w:r>
          <w:r>
            <w:rPr>
              <w:color w:val="auto"/>
            </w:rPr>
            <w:fldChar w:fldCharType="separate"/>
          </w:r>
          <w:r>
            <w:rPr>
              <w:color w:val="auto"/>
            </w:rPr>
            <w:t>132</w:t>
          </w:r>
          <w:r>
            <w:rPr>
              <w:color w:val="auto"/>
            </w:rPr>
            <w:fldChar w:fldCharType="end"/>
          </w:r>
          <w:r>
            <w:rPr>
              <w:rFonts w:hint="eastAsia" w:ascii="宋体" w:hAnsi="宋体" w:eastAsia="宋体" w:cs="宋体"/>
              <w:color w:val="auto"/>
              <w:szCs w:val="24"/>
              <w:highlight w:val="none"/>
            </w:rPr>
            <w:fldChar w:fldCharType="end"/>
          </w:r>
        </w:p>
        <w:p>
          <w:pPr>
            <w:pStyle w:val="18"/>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_Toc823 </w:instrText>
          </w:r>
          <w:r>
            <w:rPr>
              <w:rFonts w:hint="eastAsia" w:ascii="宋体" w:hAnsi="宋体" w:eastAsia="宋体" w:cs="宋体"/>
              <w:color w:val="auto"/>
              <w:szCs w:val="24"/>
              <w:highlight w:val="none"/>
            </w:rPr>
            <w:fldChar w:fldCharType="separate"/>
          </w:r>
          <w:r>
            <w:rPr>
              <w:rFonts w:hint="eastAsia"/>
              <w:color w:val="auto"/>
              <w:lang w:val="en-US" w:eastAsia="zh-CN"/>
            </w:rPr>
            <w:t>17.5其他需要说明的内容</w:t>
          </w:r>
          <w:r>
            <w:rPr>
              <w:color w:val="auto"/>
            </w:rPr>
            <w:tab/>
          </w:r>
          <w:r>
            <w:rPr>
              <w:color w:val="auto"/>
            </w:rPr>
            <w:fldChar w:fldCharType="begin"/>
          </w:r>
          <w:r>
            <w:rPr>
              <w:color w:val="auto"/>
            </w:rPr>
            <w:instrText xml:space="preserve"> PAGEREF _Toc823 \h </w:instrText>
          </w:r>
          <w:r>
            <w:rPr>
              <w:color w:val="auto"/>
            </w:rPr>
            <w:fldChar w:fldCharType="separate"/>
          </w:r>
          <w:r>
            <w:rPr>
              <w:color w:val="auto"/>
            </w:rPr>
            <w:t>132</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_Toc7440 </w:instrText>
          </w:r>
          <w:r>
            <w:rPr>
              <w:rFonts w:hint="eastAsia" w:ascii="宋体" w:hAnsi="宋体" w:eastAsia="宋体" w:cs="宋体"/>
              <w:color w:val="auto"/>
              <w:szCs w:val="24"/>
              <w:highlight w:val="none"/>
            </w:rPr>
            <w:fldChar w:fldCharType="separate"/>
          </w:r>
          <w:r>
            <w:rPr>
              <w:rFonts w:hint="eastAsia"/>
              <w:color w:val="auto"/>
              <w:lang w:val="en-US" w:eastAsia="zh-CN"/>
            </w:rPr>
            <w:t>17.6投标人的质量自检</w:t>
          </w:r>
          <w:r>
            <w:rPr>
              <w:color w:val="auto"/>
            </w:rPr>
            <w:tab/>
          </w:r>
          <w:r>
            <w:rPr>
              <w:color w:val="auto"/>
            </w:rPr>
            <w:fldChar w:fldCharType="begin"/>
          </w:r>
          <w:r>
            <w:rPr>
              <w:color w:val="auto"/>
            </w:rPr>
            <w:instrText xml:space="preserve"> PAGEREF _Toc7440 \h </w:instrText>
          </w:r>
          <w:r>
            <w:rPr>
              <w:color w:val="auto"/>
            </w:rPr>
            <w:fldChar w:fldCharType="separate"/>
          </w:r>
          <w:r>
            <w:rPr>
              <w:color w:val="auto"/>
            </w:rPr>
            <w:t>133</w:t>
          </w:r>
          <w:r>
            <w:rPr>
              <w:color w:val="auto"/>
            </w:rPr>
            <w:fldChar w:fldCharType="end"/>
          </w:r>
          <w:r>
            <w:rPr>
              <w:rFonts w:hint="eastAsia" w:ascii="宋体" w:hAnsi="宋体" w:eastAsia="宋体" w:cs="宋体"/>
              <w:color w:val="auto"/>
              <w:szCs w:val="24"/>
              <w:highlight w:val="none"/>
            </w:rPr>
            <w:fldChar w:fldCharType="end"/>
          </w:r>
        </w:p>
        <w:p>
          <w:pPr>
            <w:pStyle w:val="12"/>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_Toc1692 </w:instrText>
          </w:r>
          <w:r>
            <w:rPr>
              <w:rFonts w:hint="eastAsia" w:ascii="宋体" w:hAnsi="宋体" w:eastAsia="宋体" w:cs="宋体"/>
              <w:color w:val="auto"/>
              <w:szCs w:val="24"/>
              <w:highlight w:val="none"/>
            </w:rPr>
            <w:fldChar w:fldCharType="separate"/>
          </w:r>
          <w:r>
            <w:rPr>
              <w:rFonts w:hint="eastAsia"/>
              <w:color w:val="auto"/>
              <w:lang w:val="en-US" w:eastAsia="zh-CN"/>
            </w:rPr>
            <w:t>17.7发包人的质量检查</w:t>
          </w:r>
          <w:r>
            <w:rPr>
              <w:color w:val="auto"/>
            </w:rPr>
            <w:tab/>
          </w:r>
          <w:r>
            <w:rPr>
              <w:color w:val="auto"/>
            </w:rPr>
            <w:fldChar w:fldCharType="begin"/>
          </w:r>
          <w:r>
            <w:rPr>
              <w:color w:val="auto"/>
            </w:rPr>
            <w:instrText xml:space="preserve"> PAGEREF _Toc1692 \h </w:instrText>
          </w:r>
          <w:r>
            <w:rPr>
              <w:color w:val="auto"/>
            </w:rPr>
            <w:fldChar w:fldCharType="separate"/>
          </w:r>
          <w:r>
            <w:rPr>
              <w:color w:val="auto"/>
            </w:rPr>
            <w:t>133</w:t>
          </w:r>
          <w:r>
            <w:rPr>
              <w:color w:val="auto"/>
            </w:rPr>
            <w:fldChar w:fldCharType="end"/>
          </w:r>
          <w:r>
            <w:rPr>
              <w:rFonts w:hint="eastAsia" w:ascii="宋体" w:hAnsi="宋体" w:eastAsia="宋体" w:cs="宋体"/>
              <w:color w:val="auto"/>
              <w:szCs w:val="24"/>
              <w:highlight w:val="none"/>
            </w:rPr>
            <w:fldChar w:fldCharType="end"/>
          </w:r>
        </w:p>
        <w:p>
          <w:pPr>
            <w:pStyle w:val="18"/>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_Toc17247 </w:instrText>
          </w:r>
          <w:r>
            <w:rPr>
              <w:rFonts w:hint="eastAsia" w:ascii="宋体" w:hAnsi="宋体" w:eastAsia="宋体" w:cs="宋体"/>
              <w:color w:val="auto"/>
              <w:szCs w:val="24"/>
              <w:highlight w:val="none"/>
            </w:rPr>
            <w:fldChar w:fldCharType="separate"/>
          </w:r>
          <w:r>
            <w:rPr>
              <w:rFonts w:hint="eastAsia" w:cs="宋体"/>
              <w:color w:val="auto"/>
              <w:szCs w:val="24"/>
              <w:lang w:val="en-US" w:eastAsia="zh-CN"/>
            </w:rPr>
            <w:t>18</w:t>
          </w:r>
          <w:r>
            <w:rPr>
              <w:rFonts w:hint="eastAsia" w:ascii="宋体" w:hAnsi="宋体" w:eastAsia="宋体" w:cs="宋体"/>
              <w:color w:val="auto"/>
              <w:szCs w:val="24"/>
              <w:lang w:val="en-US" w:eastAsia="zh-CN"/>
            </w:rPr>
            <w:t>. 施工安全防护</w:t>
          </w:r>
          <w:r>
            <w:rPr>
              <w:color w:val="auto"/>
            </w:rPr>
            <w:tab/>
          </w:r>
          <w:r>
            <w:rPr>
              <w:color w:val="auto"/>
            </w:rPr>
            <w:fldChar w:fldCharType="begin"/>
          </w:r>
          <w:r>
            <w:rPr>
              <w:color w:val="auto"/>
            </w:rPr>
            <w:instrText xml:space="preserve"> PAGEREF _Toc17247 \h </w:instrText>
          </w:r>
          <w:r>
            <w:rPr>
              <w:color w:val="auto"/>
            </w:rPr>
            <w:fldChar w:fldCharType="separate"/>
          </w:r>
          <w:r>
            <w:rPr>
              <w:color w:val="auto"/>
            </w:rPr>
            <w:t>133</w:t>
          </w:r>
          <w:r>
            <w:rPr>
              <w:color w:val="auto"/>
            </w:rPr>
            <w:fldChar w:fldCharType="end"/>
          </w:r>
          <w:r>
            <w:rPr>
              <w:rFonts w:hint="eastAsia" w:ascii="宋体" w:hAnsi="宋体" w:eastAsia="宋体" w:cs="宋体"/>
              <w:color w:val="auto"/>
              <w:szCs w:val="24"/>
              <w:highlight w:val="none"/>
            </w:rPr>
            <w:fldChar w:fldCharType="end"/>
          </w:r>
        </w:p>
        <w:p>
          <w:pPr>
            <w:pStyle w:val="18"/>
            <w:tabs>
              <w:tab w:val="right" w:leader="dot" w:pos="8306"/>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_Toc1229 </w:instrText>
          </w:r>
          <w:r>
            <w:rPr>
              <w:rFonts w:hint="eastAsia" w:ascii="宋体" w:hAnsi="宋体" w:eastAsia="宋体" w:cs="宋体"/>
              <w:color w:val="auto"/>
              <w:szCs w:val="24"/>
              <w:highlight w:val="none"/>
            </w:rPr>
            <w:fldChar w:fldCharType="separate"/>
          </w:r>
          <w:r>
            <w:rPr>
              <w:rFonts w:hint="eastAsia" w:cs="宋体"/>
              <w:color w:val="auto"/>
              <w:szCs w:val="24"/>
              <w:lang w:val="en-US" w:eastAsia="zh-CN"/>
            </w:rPr>
            <w:t>19</w:t>
          </w:r>
          <w:r>
            <w:rPr>
              <w:rFonts w:hint="eastAsia" w:ascii="宋体" w:hAnsi="宋体" w:eastAsia="宋体" w:cs="宋体"/>
              <w:color w:val="auto"/>
              <w:szCs w:val="24"/>
              <w:lang w:val="en-US" w:eastAsia="zh-CN"/>
            </w:rPr>
            <w:t>.</w:t>
          </w:r>
          <w:r>
            <w:rPr>
              <w:rFonts w:hint="eastAsia" w:ascii="宋体" w:hAnsi="宋体" w:cs="宋体"/>
              <w:color w:val="auto"/>
              <w:szCs w:val="24"/>
              <w:lang w:val="en-US" w:eastAsia="zh-CN"/>
            </w:rPr>
            <w:t xml:space="preserve"> </w:t>
          </w:r>
          <w:r>
            <w:rPr>
              <w:rFonts w:hint="eastAsia" w:ascii="宋体" w:hAnsi="宋体" w:eastAsia="宋体" w:cs="宋体"/>
              <w:color w:val="auto"/>
              <w:szCs w:val="24"/>
            </w:rPr>
            <w:t>环境保护和水土保持</w:t>
          </w:r>
          <w:r>
            <w:rPr>
              <w:color w:val="auto"/>
            </w:rPr>
            <w:tab/>
          </w:r>
          <w:r>
            <w:rPr>
              <w:color w:val="auto"/>
            </w:rPr>
            <w:fldChar w:fldCharType="begin"/>
          </w:r>
          <w:r>
            <w:rPr>
              <w:color w:val="auto"/>
            </w:rPr>
            <w:instrText xml:space="preserve"> PAGEREF _Toc1229 \h </w:instrText>
          </w:r>
          <w:r>
            <w:rPr>
              <w:color w:val="auto"/>
            </w:rPr>
            <w:fldChar w:fldCharType="separate"/>
          </w:r>
          <w:r>
            <w:rPr>
              <w:color w:val="auto"/>
            </w:rPr>
            <w:t>133</w:t>
          </w:r>
          <w:r>
            <w:rPr>
              <w:color w:val="auto"/>
            </w:rPr>
            <w:fldChar w:fldCharType="end"/>
          </w:r>
          <w:r>
            <w:rPr>
              <w:rFonts w:hint="eastAsia" w:ascii="宋体" w:hAnsi="宋体" w:eastAsia="宋体" w:cs="宋体"/>
              <w:color w:val="auto"/>
              <w:szCs w:val="24"/>
              <w:highlight w:val="none"/>
            </w:rPr>
            <w:fldChar w:fldCharType="end"/>
          </w:r>
        </w:p>
        <w:p>
          <w:pPr>
            <w:pStyle w:val="18"/>
            <w:tabs>
              <w:tab w:val="right" w:leader="dot" w:pos="8306"/>
            </w:tabs>
            <w:rPr>
              <w:rFonts w:hint="default" w:eastAsia="宋体"/>
              <w:color w:val="auto"/>
              <w:lang w:val="en-US" w:eastAsia="zh-CN"/>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_Toc28045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lang w:val="en-US" w:eastAsia="zh-CN"/>
            </w:rPr>
            <w:t>附录</w:t>
          </w:r>
          <w:r>
            <w:rPr>
              <w:rFonts w:hint="eastAsia" w:ascii="宋体" w:hAnsi="宋体" w:eastAsia="宋体" w:cs="宋体"/>
              <w:color w:val="auto"/>
              <w:szCs w:val="24"/>
            </w:rPr>
            <w:t xml:space="preserve"> </w:t>
          </w:r>
          <w:r>
            <w:rPr>
              <w:rFonts w:hint="eastAsia" w:ascii="宋体" w:hAnsi="宋体" w:cs="宋体"/>
              <w:color w:val="auto"/>
              <w:szCs w:val="24"/>
              <w:lang w:val="en-US" w:eastAsia="zh-CN"/>
            </w:rPr>
            <w:t>附件</w:t>
          </w:r>
          <w:r>
            <w:rPr>
              <w:color w:val="auto"/>
            </w:rPr>
            <w:tab/>
          </w:r>
          <w:r>
            <w:rPr>
              <w:rFonts w:hint="eastAsia"/>
              <w:color w:val="auto"/>
              <w:lang w:val="en-US" w:eastAsia="zh-CN"/>
            </w:rPr>
            <w:t>1</w:t>
          </w:r>
          <w:r>
            <w:rPr>
              <w:rFonts w:hint="eastAsia" w:ascii="宋体" w:hAnsi="宋体" w:eastAsia="宋体" w:cs="宋体"/>
              <w:color w:val="auto"/>
              <w:szCs w:val="24"/>
              <w:highlight w:val="none"/>
            </w:rPr>
            <w:fldChar w:fldCharType="end"/>
          </w:r>
          <w:r>
            <w:rPr>
              <w:rFonts w:hint="eastAsia" w:ascii="宋体" w:hAnsi="宋体" w:cs="宋体"/>
              <w:color w:val="auto"/>
              <w:szCs w:val="24"/>
              <w:highlight w:val="none"/>
              <w:lang w:val="en-US" w:eastAsia="zh-CN"/>
            </w:rPr>
            <w:t>35</w:t>
          </w:r>
        </w:p>
        <w:p>
          <w:pPr>
            <w:pStyle w:val="17"/>
            <w:tabs>
              <w:tab w:val="right" w:leader="dot" w:pos="8306"/>
            </w:tabs>
            <w:rPr>
              <w:color w:val="auto"/>
            </w:rPr>
          </w:pPr>
        </w:p>
        <w:p>
          <w:pPr>
            <w:spacing w:line="360" w:lineRule="auto"/>
            <w:rPr>
              <w:rFonts w:hint="default" w:ascii="Times New Roman" w:hAnsi="Times New Roman" w:eastAsia="宋体" w:cs="Times New Roman"/>
              <w:color w:val="auto"/>
              <w:kern w:val="2"/>
              <w:sz w:val="21"/>
              <w:szCs w:val="24"/>
              <w:highlight w:val="none"/>
              <w:lang w:val="en-US" w:eastAsia="zh-CN" w:bidi="ar-SA"/>
            </w:rPr>
          </w:pPr>
          <w:r>
            <w:rPr>
              <w:rFonts w:hint="eastAsia" w:ascii="宋体" w:hAnsi="宋体" w:eastAsia="宋体" w:cs="宋体"/>
              <w:color w:val="auto"/>
              <w:szCs w:val="24"/>
              <w:highlight w:val="none"/>
            </w:rPr>
            <w:fldChar w:fldCharType="end"/>
          </w:r>
        </w:p>
      </w:sdtContent>
    </w:sdt>
    <w:p>
      <w:pPr>
        <w:rPr>
          <w:rFonts w:hint="default" w:ascii="Times New Roman" w:hAnsi="Times New Roman" w:eastAsia="宋体" w:cs="Times New Roman"/>
          <w:color w:val="auto"/>
          <w:kern w:val="2"/>
          <w:sz w:val="21"/>
          <w:szCs w:val="24"/>
          <w:highlight w:val="none"/>
          <w:lang w:val="en-US" w:eastAsia="zh-CN" w:bidi="ar-SA"/>
        </w:rPr>
      </w:pPr>
    </w:p>
    <w:p>
      <w:pPr>
        <w:ind w:firstLine="0" w:firstLineChars="0"/>
        <w:jc w:val="center"/>
        <w:rPr>
          <w:rFonts w:hint="default" w:ascii="Times New Roman" w:hAnsi="Times New Roman" w:cs="Times New Roman"/>
          <w:color w:val="auto"/>
          <w:sz w:val="28"/>
          <w:highlight w:val="none"/>
        </w:rPr>
      </w:pPr>
    </w:p>
    <w:p>
      <w:pPr>
        <w:rPr>
          <w:rFonts w:hint="default" w:ascii="Times New Roman" w:hAnsi="Times New Roman" w:eastAsia="黑体" w:cs="Times New Roman"/>
          <w:b/>
          <w:bCs/>
          <w:color w:val="auto"/>
          <w:sz w:val="32"/>
          <w:szCs w:val="32"/>
        </w:rPr>
      </w:pPr>
      <w:r>
        <w:rPr>
          <w:rFonts w:hint="default" w:ascii="Times New Roman" w:hAnsi="Times New Roman" w:eastAsia="黑体" w:cs="Times New Roman"/>
          <w:b/>
          <w:bCs/>
          <w:color w:val="auto"/>
          <w:sz w:val="32"/>
          <w:szCs w:val="32"/>
        </w:rPr>
        <w:br w:type="page"/>
      </w:r>
    </w:p>
    <w:p>
      <w:pPr>
        <w:pStyle w:val="49"/>
        <w:jc w:val="center"/>
        <w:outlineLvl w:val="0"/>
        <w:rPr>
          <w:rFonts w:hint="default" w:ascii="Times New Roman" w:hAnsi="Times New Roman" w:eastAsia="黑体" w:cs="Times New Roman"/>
          <w:b/>
          <w:bCs/>
          <w:color w:val="auto"/>
          <w:sz w:val="32"/>
          <w:szCs w:val="32"/>
        </w:rPr>
        <w:sectPr>
          <w:footerReference r:id="rId3" w:type="default"/>
          <w:pgSz w:w="11906" w:h="16838"/>
          <w:pgMar w:top="1440" w:right="1800" w:bottom="1440" w:left="1800" w:header="851" w:footer="992" w:gutter="0"/>
          <w:pgNumType w:fmt="decimal"/>
          <w:cols w:space="425" w:num="1"/>
          <w:docGrid w:type="lines" w:linePitch="312" w:charSpace="0"/>
        </w:sectPr>
      </w:pPr>
    </w:p>
    <w:p>
      <w:pPr>
        <w:pStyle w:val="3"/>
        <w:numPr>
          <w:ilvl w:val="2"/>
          <w:numId w:val="0"/>
        </w:numPr>
        <w:adjustRightInd w:val="0"/>
        <w:snapToGrid w:val="0"/>
        <w:spacing w:before="0" w:after="0" w:line="360" w:lineRule="auto"/>
        <w:ind w:left="0" w:leftChars="0" w:firstLine="0" w:firstLineChars="0"/>
        <w:outlineLvl w:val="1"/>
        <w:rPr>
          <w:rFonts w:hint="eastAsia" w:ascii="宋体" w:hAnsi="宋体" w:eastAsia="宋体" w:cs="宋体"/>
          <w:b/>
          <w:bCs w:val="0"/>
          <w:color w:val="auto"/>
          <w:sz w:val="24"/>
          <w:szCs w:val="24"/>
          <w:lang w:val="en-US" w:eastAsia="zh-CN"/>
        </w:rPr>
      </w:pPr>
      <w:bookmarkStart w:id="10" w:name="_Toc6835"/>
      <w:bookmarkStart w:id="11" w:name="_Toc7712"/>
      <w:bookmarkStart w:id="12" w:name="_Toc16842"/>
      <w:bookmarkStart w:id="13" w:name="_Toc29005"/>
      <w:bookmarkStart w:id="14" w:name="_Toc12092"/>
      <w:r>
        <w:rPr>
          <w:rFonts w:hint="eastAsia" w:ascii="宋体" w:hAnsi="宋体" w:eastAsia="宋体" w:cs="宋体"/>
          <w:b/>
          <w:bCs w:val="0"/>
          <w:color w:val="auto"/>
          <w:sz w:val="24"/>
          <w:szCs w:val="24"/>
          <w:lang w:val="en-US" w:eastAsia="zh-CN"/>
        </w:rPr>
        <w:t>1. 项目</w:t>
      </w:r>
      <w:bookmarkEnd w:id="10"/>
      <w:r>
        <w:rPr>
          <w:rFonts w:hint="eastAsia" w:ascii="宋体" w:hAnsi="宋体" w:eastAsia="宋体" w:cs="宋体"/>
          <w:b/>
          <w:bCs w:val="0"/>
          <w:color w:val="auto"/>
          <w:sz w:val="24"/>
          <w:szCs w:val="24"/>
          <w:lang w:val="en-US" w:eastAsia="zh-CN"/>
        </w:rPr>
        <w:t>概况</w:t>
      </w:r>
      <w:bookmarkEnd w:id="11"/>
      <w:bookmarkEnd w:id="12"/>
      <w:bookmarkEnd w:id="13"/>
      <w:bookmarkEnd w:id="14"/>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海南商业航天发射场微电网项目包含储能系统、柴油发电系统及微电网建设。建设项目与规模如下所示：</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表1-1 海南商业航天发射场智慧微电网项目</w:t>
      </w:r>
    </w:p>
    <w:tbl>
      <w:tblPr>
        <w:tblStyle w:val="23"/>
        <w:tblW w:w="8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4"/>
        <w:gridCol w:w="1961"/>
        <w:gridCol w:w="57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4" w:type="dxa"/>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both"/>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strike w:val="0"/>
                <w:dstrike w:val="0"/>
                <w:color w:val="auto"/>
                <w:kern w:val="0"/>
                <w:sz w:val="21"/>
                <w:szCs w:val="21"/>
                <w:highlight w:val="none"/>
                <w:lang w:val="en-US" w:eastAsia="zh-CN" w:bidi="ar-SA"/>
              </w:rPr>
              <w:t>序号</w:t>
            </w:r>
          </w:p>
        </w:tc>
        <w:tc>
          <w:tcPr>
            <w:tcW w:w="1961" w:type="dxa"/>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both"/>
              <w:textAlignment w:val="auto"/>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strike w:val="0"/>
                <w:dstrike w:val="0"/>
                <w:color w:val="auto"/>
                <w:kern w:val="0"/>
                <w:sz w:val="21"/>
                <w:szCs w:val="21"/>
                <w:highlight w:val="none"/>
                <w:lang w:val="en-US" w:eastAsia="zh-CN" w:bidi="ar-SA"/>
              </w:rPr>
              <w:t>项目</w:t>
            </w:r>
          </w:p>
        </w:tc>
        <w:tc>
          <w:tcPr>
            <w:tcW w:w="5735" w:type="dxa"/>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both"/>
              <w:textAlignment w:val="auto"/>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strike w:val="0"/>
                <w:dstrike w:val="0"/>
                <w:color w:val="auto"/>
                <w:kern w:val="0"/>
                <w:sz w:val="21"/>
                <w:szCs w:val="21"/>
                <w:highlight w:val="none"/>
                <w:lang w:val="en-US" w:eastAsia="zh-CN" w:bidi="ar-SA"/>
              </w:rPr>
              <w:t>建设规模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4" w:type="dxa"/>
            <w:vAlign w:val="center"/>
          </w:tcPr>
          <w:p>
            <w:pPr>
              <w:pStyle w:val="19"/>
              <w:keepNext w:val="0"/>
              <w:keepLines w:val="0"/>
              <w:widowControl w:val="0"/>
              <w:suppressLineNumbers w:val="0"/>
              <w:adjustRightInd w:val="0"/>
              <w:snapToGrid w:val="0"/>
              <w:spacing w:before="0" w:beforeAutospacing="1" w:after="0" w:afterAutospacing="1" w:line="400" w:lineRule="exact"/>
              <w:ind w:left="0" w:leftChars="0" w:right="0" w:rightChars="0" w:firstLine="0" w:firstLineChars="0"/>
              <w:jc w:val="left"/>
              <w:rPr>
                <w:rFonts w:hint="eastAsia" w:ascii="宋体" w:hAnsi="宋体" w:eastAsia="宋体" w:cs="宋体"/>
                <w:color w:val="auto"/>
                <w:kern w:val="0"/>
                <w:sz w:val="21"/>
                <w:szCs w:val="21"/>
                <w:highlight w:val="none"/>
                <w:vertAlign w:val="baseline"/>
                <w:lang w:val="en-US" w:eastAsia="zh-CN" w:bidi="ar-SA"/>
              </w:rPr>
            </w:pPr>
            <w:r>
              <w:rPr>
                <w:rFonts w:hint="eastAsia" w:ascii="宋体" w:hAnsi="宋体" w:eastAsia="宋体" w:cs="宋体"/>
                <w:snapToGrid/>
                <w:color w:val="auto"/>
                <w:kern w:val="0"/>
                <w:sz w:val="21"/>
                <w:szCs w:val="21"/>
                <w:highlight w:val="none"/>
                <w:lang w:val="en-US" w:eastAsia="zh-CN" w:bidi="ar-SA"/>
              </w:rPr>
              <w:t>1</w:t>
            </w:r>
          </w:p>
        </w:tc>
        <w:tc>
          <w:tcPr>
            <w:tcW w:w="1961" w:type="dxa"/>
            <w:vAlign w:val="center"/>
          </w:tcPr>
          <w:p>
            <w:pPr>
              <w:pStyle w:val="19"/>
              <w:keepNext w:val="0"/>
              <w:keepLines w:val="0"/>
              <w:widowControl w:val="0"/>
              <w:suppressLineNumbers w:val="0"/>
              <w:adjustRightInd w:val="0"/>
              <w:snapToGrid w:val="0"/>
              <w:spacing w:before="0" w:beforeAutospacing="1" w:after="0" w:afterAutospacing="1" w:line="400" w:lineRule="exact"/>
              <w:ind w:left="0" w:leftChars="0" w:right="0" w:rightChars="0" w:firstLine="0" w:firstLineChars="0"/>
              <w:jc w:val="left"/>
              <w:rPr>
                <w:rFonts w:hint="eastAsia" w:ascii="宋体" w:hAnsi="宋体" w:eastAsia="宋体" w:cs="宋体"/>
                <w:color w:val="auto"/>
                <w:kern w:val="0"/>
                <w:sz w:val="21"/>
                <w:szCs w:val="21"/>
                <w:highlight w:val="none"/>
                <w:vertAlign w:val="baseline"/>
                <w:lang w:val="en-US" w:eastAsia="zh-CN" w:bidi="ar-SA"/>
              </w:rPr>
            </w:pPr>
            <w:r>
              <w:rPr>
                <w:rFonts w:hint="eastAsia" w:ascii="宋体" w:hAnsi="宋体" w:eastAsia="宋体" w:cs="宋体"/>
                <w:snapToGrid/>
                <w:color w:val="auto"/>
                <w:kern w:val="0"/>
                <w:sz w:val="21"/>
                <w:szCs w:val="21"/>
                <w:highlight w:val="none"/>
                <w:lang w:val="en-US" w:eastAsia="zh-CN" w:bidi="ar-SA"/>
              </w:rPr>
              <w:t>微电网控制平台</w:t>
            </w:r>
          </w:p>
        </w:tc>
        <w:tc>
          <w:tcPr>
            <w:tcW w:w="5735" w:type="dxa"/>
            <w:vAlign w:val="center"/>
          </w:tcPr>
          <w:p>
            <w:pPr>
              <w:pStyle w:val="19"/>
              <w:keepNext w:val="0"/>
              <w:keepLines w:val="0"/>
              <w:widowControl w:val="0"/>
              <w:suppressLineNumbers w:val="0"/>
              <w:adjustRightInd w:val="0"/>
              <w:snapToGrid w:val="0"/>
              <w:spacing w:before="0" w:beforeAutospacing="1" w:after="0" w:afterAutospacing="1" w:line="400" w:lineRule="exact"/>
              <w:ind w:left="0" w:leftChars="0" w:right="0" w:rightChars="0" w:firstLine="0" w:firstLineChars="0"/>
              <w:jc w:val="left"/>
              <w:rPr>
                <w:rFonts w:hint="eastAsia" w:ascii="宋体" w:hAnsi="宋体" w:eastAsia="宋体" w:cs="宋体"/>
                <w:color w:val="auto"/>
                <w:kern w:val="0"/>
                <w:sz w:val="21"/>
                <w:szCs w:val="21"/>
                <w:highlight w:val="none"/>
                <w:vertAlign w:val="baseline"/>
                <w:lang w:val="en-US" w:eastAsia="zh-CN" w:bidi="ar-SA"/>
              </w:rPr>
            </w:pPr>
            <w:r>
              <w:rPr>
                <w:rFonts w:hint="eastAsia" w:ascii="宋体" w:hAnsi="宋体" w:eastAsia="宋体" w:cs="宋体"/>
                <w:snapToGrid/>
                <w:color w:val="auto"/>
                <w:kern w:val="0"/>
                <w:sz w:val="21"/>
                <w:szCs w:val="21"/>
                <w:highlight w:val="none"/>
                <w:lang w:val="en-US" w:eastAsia="zh-CN" w:bidi="ar-SA"/>
              </w:rPr>
              <w:t>一套（利用原110kV变电站监测平台数据建设）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4" w:type="dxa"/>
            <w:vAlign w:val="center"/>
          </w:tcPr>
          <w:p>
            <w:pPr>
              <w:pStyle w:val="19"/>
              <w:keepNext w:val="0"/>
              <w:keepLines w:val="0"/>
              <w:widowControl w:val="0"/>
              <w:suppressLineNumbers w:val="0"/>
              <w:adjustRightInd w:val="0"/>
              <w:snapToGrid w:val="0"/>
              <w:spacing w:before="0" w:beforeAutospacing="1" w:after="0" w:afterAutospacing="1" w:line="400" w:lineRule="exact"/>
              <w:ind w:left="0" w:leftChars="0" w:right="0" w:rightChars="0" w:firstLine="0" w:firstLineChars="0"/>
              <w:jc w:val="left"/>
              <w:rPr>
                <w:rFonts w:hint="eastAsia" w:ascii="宋体" w:hAnsi="宋体" w:eastAsia="宋体" w:cs="宋体"/>
                <w:color w:val="auto"/>
                <w:kern w:val="0"/>
                <w:sz w:val="21"/>
                <w:szCs w:val="21"/>
                <w:highlight w:val="none"/>
                <w:vertAlign w:val="baseline"/>
                <w:lang w:val="en-US" w:eastAsia="zh-CN" w:bidi="ar-SA"/>
              </w:rPr>
            </w:pPr>
            <w:r>
              <w:rPr>
                <w:rFonts w:hint="eastAsia" w:ascii="宋体" w:hAnsi="宋体" w:eastAsia="宋体" w:cs="宋体"/>
                <w:snapToGrid/>
                <w:color w:val="auto"/>
                <w:kern w:val="0"/>
                <w:sz w:val="21"/>
                <w:szCs w:val="21"/>
                <w:highlight w:val="none"/>
                <w:lang w:val="en-US" w:eastAsia="zh-CN" w:bidi="ar-SA"/>
              </w:rPr>
              <w:t>2</w:t>
            </w:r>
          </w:p>
        </w:tc>
        <w:tc>
          <w:tcPr>
            <w:tcW w:w="1961" w:type="dxa"/>
            <w:vAlign w:val="center"/>
          </w:tcPr>
          <w:p>
            <w:pPr>
              <w:pStyle w:val="19"/>
              <w:keepNext w:val="0"/>
              <w:keepLines w:val="0"/>
              <w:widowControl w:val="0"/>
              <w:suppressLineNumbers w:val="0"/>
              <w:adjustRightInd w:val="0"/>
              <w:snapToGrid w:val="0"/>
              <w:spacing w:before="0" w:beforeAutospacing="1" w:after="0" w:afterAutospacing="1" w:line="400" w:lineRule="exact"/>
              <w:ind w:left="0" w:leftChars="0" w:right="0" w:rightChars="0" w:firstLine="0" w:firstLineChars="0"/>
              <w:jc w:val="left"/>
              <w:rPr>
                <w:rFonts w:hint="eastAsia" w:ascii="宋体" w:hAnsi="宋体" w:eastAsia="宋体" w:cs="宋体"/>
                <w:color w:val="auto"/>
                <w:kern w:val="0"/>
                <w:sz w:val="21"/>
                <w:szCs w:val="21"/>
                <w:highlight w:val="none"/>
                <w:vertAlign w:val="baseline"/>
                <w:lang w:val="en-US" w:eastAsia="zh-CN" w:bidi="ar-SA"/>
              </w:rPr>
            </w:pPr>
            <w:r>
              <w:rPr>
                <w:rFonts w:hint="eastAsia" w:ascii="宋体" w:hAnsi="宋体" w:eastAsia="宋体" w:cs="宋体"/>
                <w:snapToGrid/>
                <w:color w:val="auto"/>
                <w:kern w:val="0"/>
                <w:sz w:val="21"/>
                <w:szCs w:val="21"/>
                <w:highlight w:val="none"/>
                <w:lang w:val="en-US" w:eastAsia="zh-CN" w:bidi="ar-SA"/>
              </w:rPr>
              <w:t>储能系统</w:t>
            </w:r>
          </w:p>
        </w:tc>
        <w:tc>
          <w:tcPr>
            <w:tcW w:w="5735" w:type="dxa"/>
            <w:vAlign w:val="center"/>
          </w:tcPr>
          <w:p>
            <w:pPr>
              <w:pStyle w:val="19"/>
              <w:keepNext w:val="0"/>
              <w:keepLines w:val="0"/>
              <w:widowControl w:val="0"/>
              <w:suppressLineNumbers w:val="0"/>
              <w:adjustRightInd w:val="0"/>
              <w:snapToGrid w:val="0"/>
              <w:spacing w:before="0" w:beforeAutospacing="1" w:after="0" w:afterAutospacing="1" w:line="400" w:lineRule="exact"/>
              <w:ind w:left="0" w:leftChars="0" w:right="0" w:rightChars="0" w:firstLine="0" w:firstLineChars="0"/>
              <w:jc w:val="left"/>
              <w:rPr>
                <w:rFonts w:hint="eastAsia" w:ascii="宋体" w:hAnsi="宋体" w:eastAsia="宋体" w:cs="宋体"/>
                <w:color w:val="auto"/>
                <w:kern w:val="0"/>
                <w:sz w:val="21"/>
                <w:szCs w:val="21"/>
                <w:highlight w:val="none"/>
                <w:vertAlign w:val="baseline"/>
                <w:lang w:val="en-US" w:eastAsia="zh-CN" w:bidi="ar-SA"/>
              </w:rPr>
            </w:pPr>
            <w:r>
              <w:rPr>
                <w:rFonts w:hint="eastAsia" w:ascii="宋体" w:hAnsi="宋体" w:eastAsia="宋体" w:cs="宋体"/>
                <w:snapToGrid/>
                <w:color w:val="auto"/>
                <w:kern w:val="0"/>
                <w:sz w:val="21"/>
                <w:szCs w:val="21"/>
                <w:highlight w:val="none"/>
                <w:lang w:val="en-US" w:eastAsia="zh-CN" w:bidi="ar-SA"/>
              </w:rPr>
              <w:t>构网型</w:t>
            </w:r>
            <w:r>
              <w:rPr>
                <w:rFonts w:hint="eastAsia" w:ascii="Calibri" w:hAnsi="宋体" w:eastAsia="宋体" w:cs="宋体"/>
                <w:snapToGrid/>
                <w:color w:val="auto"/>
                <w:kern w:val="0"/>
                <w:sz w:val="21"/>
                <w:szCs w:val="21"/>
                <w:highlight w:val="none"/>
                <w:lang w:val="en-US" w:eastAsia="zh-CN" w:bidi="ar-SA"/>
              </w:rPr>
              <w:t>4</w:t>
            </w:r>
            <w:r>
              <w:rPr>
                <w:rFonts w:hint="eastAsia" w:ascii="宋体" w:hAnsi="宋体" w:eastAsia="宋体" w:cs="宋体"/>
                <w:snapToGrid/>
                <w:color w:val="auto"/>
                <w:kern w:val="0"/>
                <w:sz w:val="21"/>
                <w:szCs w:val="21"/>
                <w:highlight w:val="none"/>
                <w:lang w:val="en-US" w:eastAsia="zh-CN" w:bidi="ar-SA"/>
              </w:rPr>
              <w:t>MW/</w:t>
            </w:r>
            <w:r>
              <w:rPr>
                <w:rFonts w:hint="eastAsia" w:ascii="Calibri" w:hAnsi="宋体" w:eastAsia="宋体" w:cs="宋体"/>
                <w:snapToGrid/>
                <w:color w:val="auto"/>
                <w:kern w:val="0"/>
                <w:sz w:val="21"/>
                <w:szCs w:val="21"/>
                <w:highlight w:val="none"/>
                <w:lang w:val="en-US" w:eastAsia="zh-CN" w:bidi="ar-SA"/>
              </w:rPr>
              <w:t>8</w:t>
            </w:r>
            <w:r>
              <w:rPr>
                <w:rFonts w:hint="eastAsia" w:ascii="宋体" w:hAnsi="宋体" w:eastAsia="宋体" w:cs="宋体"/>
                <w:snapToGrid/>
                <w:color w:val="auto"/>
                <w:kern w:val="0"/>
                <w:sz w:val="21"/>
                <w:szCs w:val="21"/>
                <w:highlight w:val="none"/>
                <w:lang w:val="en-US" w:eastAsia="zh-CN" w:bidi="ar-SA"/>
              </w:rPr>
              <w:t>MWh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4" w:type="dxa"/>
            <w:vAlign w:val="center"/>
          </w:tcPr>
          <w:p>
            <w:pPr>
              <w:pStyle w:val="19"/>
              <w:keepNext w:val="0"/>
              <w:keepLines w:val="0"/>
              <w:widowControl w:val="0"/>
              <w:suppressLineNumbers w:val="0"/>
              <w:adjustRightInd w:val="0"/>
              <w:snapToGrid w:val="0"/>
              <w:spacing w:before="0" w:beforeAutospacing="1" w:after="0" w:afterAutospacing="1" w:line="400" w:lineRule="exact"/>
              <w:ind w:left="0" w:leftChars="0" w:right="0" w:rightChars="0" w:firstLine="0" w:firstLineChars="0"/>
              <w:jc w:val="left"/>
              <w:rPr>
                <w:rFonts w:hint="eastAsia" w:ascii="宋体" w:hAnsi="宋体" w:eastAsia="宋体" w:cs="宋体"/>
                <w:color w:val="auto"/>
                <w:kern w:val="0"/>
                <w:sz w:val="21"/>
                <w:szCs w:val="21"/>
                <w:highlight w:val="none"/>
                <w:vertAlign w:val="baseline"/>
                <w:lang w:val="en-US" w:eastAsia="zh-CN" w:bidi="ar-SA"/>
              </w:rPr>
            </w:pPr>
            <w:r>
              <w:rPr>
                <w:rFonts w:hint="eastAsia" w:ascii="宋体" w:hAnsi="宋体" w:eastAsia="宋体" w:cs="宋体"/>
                <w:snapToGrid/>
                <w:color w:val="auto"/>
                <w:kern w:val="0"/>
                <w:sz w:val="21"/>
                <w:szCs w:val="21"/>
                <w:highlight w:val="none"/>
                <w:lang w:val="en-US" w:eastAsia="zh-CN" w:bidi="ar-SA"/>
              </w:rPr>
              <w:t>3</w:t>
            </w:r>
          </w:p>
        </w:tc>
        <w:tc>
          <w:tcPr>
            <w:tcW w:w="1961" w:type="dxa"/>
            <w:vAlign w:val="center"/>
          </w:tcPr>
          <w:p>
            <w:pPr>
              <w:pStyle w:val="19"/>
              <w:keepNext w:val="0"/>
              <w:keepLines w:val="0"/>
              <w:widowControl w:val="0"/>
              <w:suppressLineNumbers w:val="0"/>
              <w:adjustRightInd w:val="0"/>
              <w:snapToGrid w:val="0"/>
              <w:spacing w:before="0" w:beforeAutospacing="1" w:after="0" w:afterAutospacing="1" w:line="400" w:lineRule="exact"/>
              <w:ind w:left="0" w:leftChars="0" w:right="0" w:rightChars="0" w:firstLine="0" w:firstLineChars="0"/>
              <w:jc w:val="left"/>
              <w:rPr>
                <w:rFonts w:hint="eastAsia" w:ascii="宋体" w:hAnsi="宋体" w:eastAsia="宋体" w:cs="宋体"/>
                <w:color w:val="auto"/>
                <w:kern w:val="0"/>
                <w:sz w:val="21"/>
                <w:szCs w:val="21"/>
                <w:highlight w:val="none"/>
                <w:vertAlign w:val="baseline"/>
                <w:lang w:val="en-US" w:eastAsia="zh-CN" w:bidi="ar-SA"/>
              </w:rPr>
            </w:pPr>
            <w:r>
              <w:rPr>
                <w:rFonts w:hint="eastAsia" w:ascii="宋体" w:hAnsi="宋体" w:eastAsia="宋体" w:cs="宋体"/>
                <w:snapToGrid/>
                <w:color w:val="auto"/>
                <w:kern w:val="0"/>
                <w:sz w:val="21"/>
                <w:szCs w:val="21"/>
                <w:highlight w:val="none"/>
                <w:lang w:val="en-US" w:eastAsia="zh-CN" w:bidi="ar-SA"/>
              </w:rPr>
              <w:t>柴油发电机系统</w:t>
            </w:r>
          </w:p>
        </w:tc>
        <w:tc>
          <w:tcPr>
            <w:tcW w:w="5735" w:type="dxa"/>
            <w:vAlign w:val="center"/>
          </w:tcPr>
          <w:p>
            <w:pPr>
              <w:pStyle w:val="19"/>
              <w:keepNext w:val="0"/>
              <w:keepLines w:val="0"/>
              <w:widowControl w:val="0"/>
              <w:suppressLineNumbers w:val="0"/>
              <w:adjustRightInd w:val="0"/>
              <w:snapToGrid w:val="0"/>
              <w:spacing w:before="0" w:beforeAutospacing="1" w:after="0" w:afterAutospacing="1" w:line="400" w:lineRule="exact"/>
              <w:ind w:left="0" w:leftChars="0" w:right="0" w:rightChars="0" w:firstLine="0" w:firstLineChars="0"/>
              <w:jc w:val="left"/>
              <w:rPr>
                <w:rFonts w:hint="eastAsia" w:ascii="宋体" w:hAnsi="宋体" w:eastAsia="宋体" w:cs="宋体"/>
                <w:color w:val="auto"/>
                <w:kern w:val="0"/>
                <w:sz w:val="21"/>
                <w:szCs w:val="21"/>
                <w:highlight w:val="none"/>
                <w:vertAlign w:val="baseline"/>
                <w:lang w:val="en-US" w:eastAsia="zh-CN" w:bidi="ar-SA"/>
              </w:rPr>
            </w:pPr>
            <w:r>
              <w:rPr>
                <w:rFonts w:hint="eastAsia" w:ascii="宋体" w:hAnsi="宋体" w:eastAsia="宋体" w:cs="宋体"/>
                <w:snapToGrid/>
                <w:color w:val="auto"/>
                <w:kern w:val="0"/>
                <w:sz w:val="21"/>
                <w:szCs w:val="21"/>
                <w:highlight w:val="none"/>
                <w:lang w:val="en-US" w:eastAsia="zh-CN" w:bidi="ar-SA"/>
              </w:rPr>
              <w:t>一期3台、二期2台2000kW-10kV柴发及一台380V 600kW移动柴油发电机车作为紧急备用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0" w:type="dxa"/>
            <w:gridSpan w:val="3"/>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both"/>
              <w:textAlignment w:val="auto"/>
              <w:rPr>
                <w:rFonts w:hint="eastAsia" w:ascii="宋体" w:hAnsi="宋体" w:eastAsia="宋体" w:cs="宋体"/>
                <w:strike w:val="0"/>
                <w:dstrike w:val="0"/>
                <w:color w:val="auto"/>
                <w:kern w:val="0"/>
                <w:sz w:val="21"/>
                <w:szCs w:val="21"/>
                <w:highlight w:val="none"/>
                <w:lang w:val="en-US" w:eastAsia="zh-CN" w:bidi="ar-SA"/>
              </w:rPr>
            </w:pPr>
            <w:bookmarkStart w:id="15" w:name="_Toc20670"/>
            <w:r>
              <w:rPr>
                <w:rFonts w:hint="eastAsia" w:ascii="宋体" w:hAnsi="宋体" w:eastAsia="宋体" w:cs="宋体"/>
                <w:strike w:val="0"/>
                <w:dstrike w:val="0"/>
                <w:color w:val="auto"/>
                <w:kern w:val="0"/>
                <w:sz w:val="21"/>
                <w:szCs w:val="21"/>
                <w:highlight w:val="none"/>
                <w:lang w:val="en-US" w:eastAsia="zh-CN" w:bidi="ar-SA"/>
              </w:rPr>
              <w:t>备注：以上每一专业系统均由一家单位整体实施，不允许拆分实施</w:t>
            </w:r>
          </w:p>
        </w:tc>
      </w:tr>
      <w:bookmarkEnd w:id="5"/>
    </w:tbl>
    <w:p>
      <w:pPr>
        <w:adjustRightInd w:val="0"/>
        <w:snapToGrid w:val="0"/>
        <w:spacing w:line="360" w:lineRule="auto"/>
        <w:ind w:firstLine="0" w:firstLineChars="0"/>
        <w:jc w:val="center"/>
        <w:rPr>
          <w:rFonts w:hint="eastAsia" w:eastAsia="宋体"/>
          <w:color w:val="auto"/>
          <w:highlight w:val="none"/>
          <w:lang w:val="en-US" w:eastAsia="zh-CN"/>
        </w:rPr>
      </w:pPr>
      <w:bookmarkStart w:id="16" w:name="_Toc27960"/>
      <w:bookmarkStart w:id="17" w:name="_Toc21676"/>
    </w:p>
    <w:p>
      <w:pPr>
        <w:pStyle w:val="3"/>
        <w:numPr>
          <w:ilvl w:val="0"/>
          <w:numId w:val="0"/>
        </w:numPr>
        <w:adjustRightInd w:val="0"/>
        <w:snapToGrid w:val="0"/>
        <w:spacing w:before="0" w:after="0" w:line="360" w:lineRule="auto"/>
        <w:outlineLvl w:val="1"/>
        <w:rPr>
          <w:rFonts w:hint="default" w:ascii="Times New Roman" w:hAnsi="Times New Roman" w:cs="Times New Roman"/>
          <w:b/>
          <w:bCs w:val="0"/>
          <w:color w:val="auto"/>
          <w:sz w:val="24"/>
          <w:szCs w:val="24"/>
          <w:lang w:val="en-US" w:eastAsia="zh-CN"/>
        </w:rPr>
      </w:pPr>
      <w:bookmarkStart w:id="18" w:name="_Toc8631"/>
      <w:bookmarkStart w:id="19" w:name="_Toc9825"/>
      <w:bookmarkStart w:id="20" w:name="_Toc5473"/>
      <w:r>
        <w:rPr>
          <w:rFonts w:hint="eastAsia" w:ascii="Times New Roman" w:hAnsi="Times New Roman" w:cs="Times New Roman"/>
          <w:b/>
          <w:bCs w:val="0"/>
          <w:color w:val="auto"/>
          <w:sz w:val="24"/>
          <w:szCs w:val="24"/>
          <w:lang w:val="en-US" w:eastAsia="zh-CN"/>
        </w:rPr>
        <w:t>2</w:t>
      </w:r>
      <w:r>
        <w:rPr>
          <w:rFonts w:hint="default" w:ascii="Times New Roman" w:hAnsi="Times New Roman" w:cs="Times New Roman"/>
          <w:b/>
          <w:bCs w:val="0"/>
          <w:color w:val="auto"/>
          <w:sz w:val="24"/>
          <w:szCs w:val="24"/>
          <w:lang w:val="en-US" w:eastAsia="zh-CN"/>
        </w:rPr>
        <w:t>. 总体原则</w:t>
      </w:r>
      <w:bookmarkEnd w:id="16"/>
      <w:bookmarkEnd w:id="17"/>
      <w:bookmarkEnd w:id="18"/>
      <w:bookmarkEnd w:id="19"/>
      <w:bookmarkEnd w:id="20"/>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1）</w:t>
      </w:r>
      <w:r>
        <w:rPr>
          <w:rFonts w:hint="eastAsia" w:ascii="宋体" w:hAnsi="宋体" w:eastAsia="宋体" w:cs="宋体"/>
          <w:color w:val="auto"/>
          <w:sz w:val="24"/>
          <w:szCs w:val="24"/>
          <w:lang w:val="en-US" w:eastAsia="zh-CN"/>
        </w:rPr>
        <w:t>本标书中所提标准、规范及规程仅是本工程的最基本依据，并未包括实施中所涉及到的所有标准、规范和规程，投标人在实施过程中所用标准和技术规范均应采用最新版本，投标人应保证提供符合本技术要求和有关最新工业标准的优质产品及其相应服务。投标人对国家有关安全、健康、环保等强制性标准必须满足其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val="en-US" w:eastAsia="zh-CN"/>
        </w:rPr>
        <w:t>单个项目工程所执行的规范和标准主要有（包含但不限于）：</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《供配电系统设计规范》GB50052-2009</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《低压配电设计规范》GB50054-2011</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《20kV及以下变电所设计规范》GB50053-2013</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《建筑物防雷设计规范》GB50057-2010</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《继电保护和安全自动装置技术规程》GB14285-2023</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《电能质量监测设备通用要求》GB/T19862-2016</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《电力系统调度自动化系统设计内容深度规定》DL/T5003-2017</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《电力系统通信系统设计内容深度规定》DL/T5447-2012</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《交流电气装置的接地设计规范》 GB/T 50065-2011</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《电化学储能电站设计规范》GB 51048-2014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《电化学储能电站安全规程》GB/T 42288-2022</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《电化学储能黑启动技术导则》 GB/T 43462-2023</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《电能质量 电力系统频率偏差》GB/T 15945-2008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《电能质量 供电电压偏差》GB/T 12325-2008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《电能质量 电压波动和闪变》GB/T 12326-2008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《电能质量 公用电网谐波》GB/T 24337-2009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《电能计量装置技术管理规程》DL/T448-2016</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《电能量计量系统设计技术规程》DL/T5202-2022</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《3~110kV高压配电装置设计规范》GB50060-2008</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《电力工程电缆设计标准》GB50217-2018</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《电测量及电能计量装置设计技术规程》DL/T5137-2001</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《导体和电器选择设计技术规定》DL/T5222-2021</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《交流电气装置的接地设计规范》GB50065-2011</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《交流电气装置的过电压保护绝缘配合设计规范》GB/T50064-2014</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《高压配电装置设计规范》DL/T5352-2018</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《电化学储能系统接入电网技术规定》GB/T36547-2024</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《电力工程直流系统设计技术规程》DL/T5044-2014</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《电力装置的继电保护和安全自动装置设计规范》GB/T50062-2008</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《继电保护和安全自动装置通用技术条件》DL/T478-2013</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《电化学储能电站接入电网设计规范》DLT 5810-2020</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《电池储能电站设计技术规程》Q GDW 11265-2014</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《预制舱式磷酸铁锂电池储能电站消防技术规范》T/CEC373-2020</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《中国南方电网有限责任公司反事故措施管理措施》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《建筑照明设计标准》GB 50034-2024</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《民用建筑设计统一标准》GB 50352-2019</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《通用用电设备配电设计规范》GB 50055-2011</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《消防应急照明和疏散指示系统技术标准》GB 51309-2018</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《交流电气装置的接地设计规范》 GB/T50065-2011</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《建筑物电子信息系统防雷技术规范》 GB 50343-2012</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《电力装置的继电保护和自动装置设计规范》GB50062-2008</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《矿物绝缘电缆敷设技术规程》JGJ232-2011</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《建筑抗震设计规范》GB50011-2010(2024年版)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《电力装置电测量仪表装置设计规范》GB/T 50063-2017</w:t>
      </w:r>
    </w:p>
    <w:p>
      <w:pPr>
        <w:numPr>
          <w:ilvl w:val="0"/>
          <w:numId w:val="0"/>
        </w:numPr>
        <w:spacing w:line="360" w:lineRule="auto"/>
        <w:ind w:leftChars="0" w:firstLine="480" w:firstLineChars="200"/>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w:t>
      </w:r>
      <w:r>
        <w:rPr>
          <w:rFonts w:hint="eastAsia" w:ascii="宋体" w:hAnsi="宋体" w:eastAsia="宋体" w:cs="宋体"/>
          <w:color w:val="auto"/>
          <w:sz w:val="24"/>
          <w:szCs w:val="24"/>
        </w:rPr>
        <w:t>储能系统安全测试</w:t>
      </w:r>
      <w:r>
        <w:rPr>
          <w:rFonts w:hint="eastAsia" w:ascii="宋体" w:hAnsi="宋体" w:cs="宋体"/>
          <w:color w:val="auto"/>
          <w:sz w:val="24"/>
          <w:szCs w:val="24"/>
          <w:lang w:eastAsia="zh-CN"/>
        </w:rPr>
        <w:t>》（</w:t>
      </w:r>
      <w:r>
        <w:rPr>
          <w:rFonts w:hint="eastAsia" w:ascii="宋体" w:hAnsi="宋体" w:eastAsia="宋体" w:cs="宋体"/>
          <w:color w:val="auto"/>
          <w:sz w:val="24"/>
          <w:szCs w:val="24"/>
        </w:rPr>
        <w:t>IEC 62933-5-2</w:t>
      </w:r>
      <w:r>
        <w:rPr>
          <w:rFonts w:hint="eastAsia" w:ascii="宋体" w:hAnsi="宋体" w:cs="宋体"/>
          <w:color w:val="auto"/>
          <w:sz w:val="24"/>
          <w:szCs w:val="24"/>
          <w:lang w:eastAsia="zh-CN"/>
        </w:rPr>
        <w:t>）</w:t>
      </w:r>
    </w:p>
    <w:p>
      <w:pPr>
        <w:numPr>
          <w:ilvl w:val="0"/>
          <w:numId w:val="0"/>
        </w:numPr>
        <w:spacing w:line="360" w:lineRule="auto"/>
        <w:ind w:leftChars="0" w:firstLine="480" w:firstLineChars="200"/>
        <w:rPr>
          <w:rFonts w:hint="eastAsia" w:ascii="宋体" w:hAnsi="宋体" w:cs="宋体"/>
          <w:color w:val="auto"/>
          <w:sz w:val="24"/>
          <w:szCs w:val="24"/>
          <w:lang w:eastAsia="zh-CN"/>
        </w:rPr>
      </w:pPr>
      <w:r>
        <w:rPr>
          <w:rFonts w:hint="eastAsia" w:ascii="宋体" w:hAnsi="宋体" w:cs="宋体"/>
          <w:color w:val="auto"/>
          <w:sz w:val="24"/>
          <w:szCs w:val="24"/>
          <w:lang w:eastAsia="zh-CN"/>
        </w:rPr>
        <w:t>《</w:t>
      </w:r>
      <w:r>
        <w:rPr>
          <w:rFonts w:hint="eastAsia" w:ascii="宋体" w:hAnsi="宋体" w:eastAsia="宋体" w:cs="宋体"/>
          <w:color w:val="auto"/>
          <w:sz w:val="24"/>
          <w:szCs w:val="24"/>
        </w:rPr>
        <w:t>微电网离网运行标准</w:t>
      </w:r>
      <w:r>
        <w:rPr>
          <w:rFonts w:hint="eastAsia" w:ascii="宋体" w:hAnsi="宋体" w:cs="宋体"/>
          <w:color w:val="auto"/>
          <w:sz w:val="24"/>
          <w:szCs w:val="24"/>
          <w:lang w:eastAsia="zh-CN"/>
        </w:rPr>
        <w:t>》（</w:t>
      </w:r>
      <w:r>
        <w:rPr>
          <w:rFonts w:hint="eastAsia" w:ascii="宋体" w:hAnsi="宋体" w:eastAsia="宋体" w:cs="宋体"/>
          <w:color w:val="auto"/>
          <w:sz w:val="24"/>
          <w:szCs w:val="24"/>
        </w:rPr>
        <w:t>IEEE 1547.4</w:t>
      </w:r>
      <w:r>
        <w:rPr>
          <w:rFonts w:hint="eastAsia" w:ascii="宋体" w:hAnsi="宋体" w:cs="宋体"/>
          <w:color w:val="auto"/>
          <w:sz w:val="24"/>
          <w:szCs w:val="24"/>
          <w:lang w:eastAsia="zh-CN"/>
        </w:rPr>
        <w:t>）</w:t>
      </w:r>
    </w:p>
    <w:p>
      <w:pPr>
        <w:numPr>
          <w:ilvl w:val="0"/>
          <w:numId w:val="0"/>
        </w:numPr>
        <w:spacing w:line="360" w:lineRule="auto"/>
        <w:ind w:leftChars="0" w:firstLine="480" w:firstLineChars="200"/>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《分布式电源并网标准》（</w:t>
      </w:r>
      <w:r>
        <w:rPr>
          <w:rFonts w:hint="eastAsia" w:ascii="宋体" w:hAnsi="宋体" w:eastAsia="宋体" w:cs="宋体"/>
          <w:color w:val="auto"/>
          <w:sz w:val="24"/>
          <w:szCs w:val="24"/>
        </w:rPr>
        <w:t>IEEE 1547</w:t>
      </w:r>
      <w:r>
        <w:rPr>
          <w:rFonts w:hint="eastAsia" w:ascii="宋体" w:hAnsi="宋体" w:cs="宋体"/>
          <w:color w:val="auto"/>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cs="宋体"/>
          <w:color w:val="auto"/>
          <w:sz w:val="24"/>
        </w:rPr>
        <w:t>《非道路柴油移动机械排气烟度限值》（GB 36886-2018 Stage Ⅳ）</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储能、柴发、供配电网及各专业相关的设计规程规定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同时，投标人还应遵循电网公司、地方政府机构以及发包人对项目工程建设的规范和要求。</w:t>
      </w:r>
    </w:p>
    <w:p>
      <w:pPr>
        <w:pStyle w:val="3"/>
        <w:numPr>
          <w:ilvl w:val="0"/>
          <w:numId w:val="0"/>
        </w:numPr>
        <w:adjustRightInd w:val="0"/>
        <w:snapToGrid w:val="0"/>
        <w:spacing w:before="0" w:after="0" w:line="360" w:lineRule="auto"/>
        <w:outlineLvl w:val="1"/>
        <w:rPr>
          <w:rFonts w:hint="eastAsia" w:ascii="宋体" w:hAnsi="宋体" w:eastAsia="宋体" w:cs="宋体"/>
          <w:b/>
          <w:bCs w:val="0"/>
          <w:color w:val="auto"/>
          <w:sz w:val="24"/>
          <w:szCs w:val="24"/>
          <w:lang w:val="en-US" w:eastAsia="zh-CN"/>
        </w:rPr>
      </w:pPr>
      <w:bookmarkStart w:id="21" w:name="bookmark15"/>
      <w:bookmarkEnd w:id="21"/>
      <w:bookmarkStart w:id="22" w:name="_Toc1018"/>
      <w:bookmarkStart w:id="23" w:name="_Toc23588"/>
      <w:bookmarkStart w:id="24" w:name="_Toc15649"/>
      <w:bookmarkStart w:id="25" w:name="_Toc1014"/>
      <w:bookmarkStart w:id="26" w:name="_Toc22820"/>
      <w:r>
        <w:rPr>
          <w:rFonts w:hint="eastAsia" w:ascii="宋体" w:hAnsi="宋体" w:eastAsia="宋体" w:cs="宋体"/>
          <w:b/>
          <w:bCs w:val="0"/>
          <w:color w:val="auto"/>
          <w:sz w:val="24"/>
          <w:szCs w:val="24"/>
          <w:lang w:val="en-US" w:eastAsia="zh-CN"/>
        </w:rPr>
        <w:t>3. 总体技术要求</w:t>
      </w:r>
      <w:bookmarkEnd w:id="22"/>
      <w:bookmarkEnd w:id="23"/>
      <w:bookmarkEnd w:id="24"/>
      <w:bookmarkEnd w:id="25"/>
      <w:bookmarkEnd w:id="26"/>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1）</w:t>
      </w:r>
      <w:r>
        <w:rPr>
          <w:rFonts w:hint="default" w:ascii="Times New Roman" w:hAnsi="Times New Roman" w:eastAsia="宋体" w:cs="Times New Roman"/>
          <w:color w:val="auto"/>
          <w:sz w:val="24"/>
          <w:szCs w:val="24"/>
          <w:lang w:val="en-US" w:eastAsia="zh-CN"/>
        </w:rPr>
        <w:t>本需求中提出的技术方案仅为参考，如无明确限制，投标人可以进行</w:t>
      </w:r>
      <w:r>
        <w:rPr>
          <w:rFonts w:hint="eastAsia" w:ascii="Times New Roman" w:hAnsi="Times New Roman" w:eastAsia="宋体" w:cs="Times New Roman"/>
          <w:color w:val="auto"/>
          <w:sz w:val="24"/>
          <w:szCs w:val="24"/>
          <w:lang w:val="en-US" w:eastAsia="zh-CN"/>
        </w:rPr>
        <w:t>施工图</w:t>
      </w:r>
      <w:r>
        <w:rPr>
          <w:rFonts w:hint="default" w:ascii="Times New Roman" w:hAnsi="Times New Roman" w:eastAsia="宋体" w:cs="Times New Roman"/>
          <w:color w:val="auto"/>
          <w:sz w:val="24"/>
          <w:szCs w:val="24"/>
          <w:lang w:val="en-US" w:eastAsia="zh-CN"/>
        </w:rPr>
        <w:t>优化，提供满足用户实际需要的更优（或者性能实质上不低于的）技术方案或者设备配置，且此方案或配置须经</w:t>
      </w:r>
      <w:r>
        <w:rPr>
          <w:rFonts w:hint="eastAsia" w:ascii="Times New Roman" w:hAnsi="Times New Roman" w:eastAsia="宋体" w:cs="Times New Roman"/>
          <w:color w:val="auto"/>
          <w:sz w:val="24"/>
          <w:szCs w:val="24"/>
          <w:lang w:val="en-US" w:eastAsia="zh-CN"/>
        </w:rPr>
        <w:t>招标人</w:t>
      </w:r>
      <w:r>
        <w:rPr>
          <w:rFonts w:hint="default" w:ascii="Times New Roman" w:hAnsi="Times New Roman" w:eastAsia="宋体" w:cs="Times New Roman"/>
          <w:color w:val="auto"/>
          <w:sz w:val="24"/>
          <w:szCs w:val="24"/>
          <w:lang w:val="en-US" w:eastAsia="zh-CN"/>
        </w:rPr>
        <w:t>审核认可；</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2）</w:t>
      </w:r>
      <w:r>
        <w:rPr>
          <w:rFonts w:hint="default" w:ascii="Times New Roman" w:hAnsi="Times New Roman" w:eastAsia="宋体" w:cs="Times New Roman"/>
          <w:color w:val="auto"/>
          <w:sz w:val="24"/>
          <w:szCs w:val="24"/>
          <w:lang w:val="en-US" w:eastAsia="zh-CN"/>
        </w:rPr>
        <w:t>为鼓励不同品牌的充分竞争，如某设备的某技术参数或要求属于个别品牌专有，则该技术参数及要求不具有限制性，投标人可对该参数或要求进行适当调整，并应当说明调整的理由，且此调整须经</w:t>
      </w:r>
      <w:r>
        <w:rPr>
          <w:rFonts w:hint="eastAsia" w:cs="Times New Roman"/>
          <w:color w:val="auto"/>
          <w:sz w:val="24"/>
          <w:szCs w:val="24"/>
          <w:lang w:val="en-US" w:eastAsia="zh-CN"/>
        </w:rPr>
        <w:t>招标人</w:t>
      </w:r>
      <w:r>
        <w:rPr>
          <w:rFonts w:hint="default" w:ascii="Times New Roman" w:hAnsi="Times New Roman" w:eastAsia="宋体" w:cs="Times New Roman"/>
          <w:color w:val="auto"/>
          <w:sz w:val="24"/>
          <w:szCs w:val="24"/>
          <w:lang w:val="en-US" w:eastAsia="zh-CN"/>
        </w:rPr>
        <w:t>审核认可；</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cs="Times New Roman"/>
          <w:color w:val="auto"/>
          <w:sz w:val="24"/>
          <w:szCs w:val="24"/>
          <w:lang w:val="en-US" w:eastAsia="zh-CN"/>
        </w:rPr>
        <w:t>3）</w:t>
      </w:r>
      <w:r>
        <w:rPr>
          <w:rFonts w:hint="default" w:ascii="Times New Roman" w:hAnsi="Times New Roman" w:eastAsia="宋体" w:cs="Times New Roman"/>
          <w:color w:val="auto"/>
          <w:sz w:val="24"/>
          <w:szCs w:val="24"/>
          <w:lang w:val="en-US" w:eastAsia="zh-CN"/>
        </w:rPr>
        <w:t>投标人应当在投标文件中列出完成本项目并通过验收所需的所有各项服务等明细表及全部费用。中标人必须确保整体通过</w:t>
      </w:r>
      <w:r>
        <w:rPr>
          <w:rFonts w:hint="default" w:cs="Times New Roman"/>
          <w:color w:val="auto"/>
          <w:sz w:val="24"/>
          <w:szCs w:val="24"/>
          <w:lang w:val="en-US" w:eastAsia="zh-CN"/>
        </w:rPr>
        <w:t>招标人</w:t>
      </w:r>
      <w:r>
        <w:rPr>
          <w:rFonts w:hint="default" w:ascii="Times New Roman" w:hAnsi="Times New Roman" w:eastAsia="宋体" w:cs="Times New Roman"/>
          <w:color w:val="auto"/>
          <w:sz w:val="24"/>
          <w:szCs w:val="24"/>
          <w:lang w:val="en-US" w:eastAsia="zh-CN"/>
        </w:rPr>
        <w:t>及有关主管部门验收,所发生的验收费用由中标人承担；投标人应自行踏勘施工建设现场，如投标人因未及时踏勘现场而导致的报价缺项漏项废标、或中标后无法完工，投标人自行承担一切后果；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cs="Times New Roman"/>
          <w:color w:val="auto"/>
          <w:sz w:val="24"/>
          <w:szCs w:val="24"/>
          <w:lang w:val="en-US" w:eastAsia="zh-CN"/>
        </w:rPr>
        <w:t>4）</w:t>
      </w:r>
      <w:r>
        <w:rPr>
          <w:rFonts w:hint="default" w:ascii="Times New Roman" w:hAnsi="Times New Roman" w:eastAsia="宋体" w:cs="Times New Roman"/>
          <w:color w:val="auto"/>
          <w:sz w:val="24"/>
          <w:szCs w:val="24"/>
          <w:lang w:val="en-US" w:eastAsia="zh-CN"/>
        </w:rPr>
        <w:t>如对本招标文件有任何疑问或澄清要求，请按本招标文件“投标人须知前附表”中的约定方式联系交易中心，或接受答疑截止时间前联系</w:t>
      </w:r>
      <w:r>
        <w:rPr>
          <w:rFonts w:hint="default" w:cs="Times New Roman"/>
          <w:color w:val="auto"/>
          <w:sz w:val="24"/>
          <w:szCs w:val="24"/>
          <w:lang w:val="en-US" w:eastAsia="zh-CN"/>
        </w:rPr>
        <w:t>招标</w:t>
      </w:r>
      <w:r>
        <w:rPr>
          <w:rFonts w:hint="default" w:ascii="Times New Roman" w:hAnsi="Times New Roman" w:eastAsia="宋体" w:cs="Times New Roman"/>
          <w:color w:val="auto"/>
          <w:sz w:val="24"/>
          <w:szCs w:val="24"/>
          <w:lang w:val="en-US" w:eastAsia="zh-CN"/>
        </w:rPr>
        <w:t>人。否则视同理解和接受。</w:t>
      </w:r>
    </w:p>
    <w:p>
      <w:pPr>
        <w:pStyle w:val="3"/>
        <w:numPr>
          <w:ilvl w:val="0"/>
          <w:numId w:val="0"/>
        </w:numPr>
        <w:adjustRightInd w:val="0"/>
        <w:snapToGrid w:val="0"/>
        <w:spacing w:before="0" w:after="0" w:line="360" w:lineRule="auto"/>
        <w:outlineLvl w:val="1"/>
        <w:rPr>
          <w:rFonts w:hint="eastAsia" w:ascii="宋体" w:hAnsi="宋体" w:eastAsia="宋体" w:cs="宋体"/>
          <w:b/>
          <w:bCs w:val="0"/>
          <w:color w:val="auto"/>
          <w:sz w:val="24"/>
          <w:szCs w:val="24"/>
          <w:lang w:val="en-US" w:eastAsia="zh-CN"/>
        </w:rPr>
      </w:pPr>
      <w:bookmarkStart w:id="27" w:name="bookmark16"/>
      <w:bookmarkEnd w:id="27"/>
      <w:bookmarkStart w:id="28" w:name="_Toc30599"/>
      <w:bookmarkStart w:id="29" w:name="_Toc16965"/>
      <w:bookmarkStart w:id="30" w:name="_Toc10862"/>
      <w:bookmarkStart w:id="31" w:name="_Toc820"/>
      <w:bookmarkStart w:id="32" w:name="_Toc9075"/>
      <w:r>
        <w:rPr>
          <w:rFonts w:hint="eastAsia" w:ascii="宋体" w:hAnsi="宋体" w:eastAsia="宋体" w:cs="宋体"/>
          <w:b/>
          <w:bCs w:val="0"/>
          <w:color w:val="auto"/>
          <w:sz w:val="24"/>
          <w:szCs w:val="24"/>
          <w:lang w:val="en-US" w:eastAsia="zh-CN"/>
        </w:rPr>
        <w:t xml:space="preserve">4. </w:t>
      </w:r>
      <w:bookmarkEnd w:id="28"/>
      <w:r>
        <w:rPr>
          <w:rFonts w:hint="eastAsia" w:ascii="宋体" w:hAnsi="宋体" w:eastAsia="宋体" w:cs="宋体"/>
          <w:b/>
          <w:bCs w:val="0"/>
          <w:color w:val="auto"/>
          <w:sz w:val="24"/>
          <w:szCs w:val="24"/>
          <w:lang w:val="en-US" w:eastAsia="zh-CN"/>
        </w:rPr>
        <w:t>主要设备品牌要求短名单</w:t>
      </w:r>
      <w:bookmarkEnd w:id="29"/>
      <w:bookmarkEnd w:id="30"/>
      <w:bookmarkEnd w:id="31"/>
      <w:bookmarkEnd w:id="32"/>
    </w:p>
    <w:tbl>
      <w:tblPr>
        <w:tblStyle w:val="22"/>
        <w:tblW w:w="8417"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72"/>
        <w:gridCol w:w="2916"/>
        <w:gridCol w:w="452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41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bookmarkStart w:id="33" w:name="_Toc3828"/>
            <w:r>
              <w:rPr>
                <w:rFonts w:hint="eastAsia" w:ascii="Calibri" w:eastAsia="宋体"/>
                <w:color w:val="auto"/>
                <w:lang w:val="en-US" w:eastAsia="zh-CN"/>
              </w:rPr>
              <w:t>1.强电类材料设备参考品牌名单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8" w:hRule="atLeast"/>
        </w:trPr>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r>
              <w:rPr>
                <w:rFonts w:hint="eastAsia" w:ascii="Calibri" w:eastAsia="宋体"/>
                <w:color w:val="auto"/>
                <w:lang w:val="en-US" w:eastAsia="zh-CN"/>
              </w:rPr>
              <w:t>编号</w:t>
            </w:r>
          </w:p>
        </w:tc>
        <w:tc>
          <w:tcPr>
            <w:tcW w:w="2916"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r>
              <w:rPr>
                <w:rFonts w:hint="eastAsia" w:ascii="Calibri" w:eastAsia="宋体"/>
                <w:color w:val="auto"/>
                <w:lang w:val="en-US" w:eastAsia="zh-CN"/>
              </w:rPr>
              <w:t>材料设备品种</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r>
              <w:rPr>
                <w:rFonts w:hint="eastAsia" w:ascii="Calibri" w:eastAsia="宋体"/>
                <w:color w:val="auto"/>
                <w:lang w:val="en-US" w:eastAsia="zh-CN"/>
              </w:rPr>
              <w:t>参考品牌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8" w:hRule="atLeast"/>
        </w:trPr>
        <w:tc>
          <w:tcPr>
            <w:tcW w:w="9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r>
              <w:rPr>
                <w:rFonts w:hint="eastAsia" w:ascii="Calibri" w:eastAsia="宋体"/>
                <w:color w:val="auto"/>
                <w:lang w:val="en-US" w:eastAsia="zh-CN"/>
              </w:rPr>
              <w:t>1</w:t>
            </w:r>
          </w:p>
        </w:tc>
        <w:tc>
          <w:tcPr>
            <w:tcW w:w="29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r>
              <w:rPr>
                <w:rFonts w:hint="eastAsia" w:ascii="Calibri" w:eastAsia="宋体"/>
                <w:color w:val="auto"/>
                <w:lang w:val="en-US" w:eastAsia="zh-CN"/>
              </w:rPr>
              <w:t>10kV箱变</w:t>
            </w:r>
          </w:p>
        </w:tc>
        <w:tc>
          <w:tcPr>
            <w:tcW w:w="452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r>
              <w:rPr>
                <w:rFonts w:hint="eastAsia" w:ascii="Calibri" w:eastAsia="宋体"/>
                <w:color w:val="auto"/>
                <w:lang w:val="en-US" w:eastAsia="zh-CN"/>
              </w:rPr>
              <w:t>特变电工股份有限公司（新疆）、金盘科技、青岛特锐德、江苏大全、 许继电气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8"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val="0"/>
              <w:bidi w:val="0"/>
              <w:ind w:firstLine="0" w:firstLineChars="0"/>
              <w:jc w:val="both"/>
              <w:rPr>
                <w:rFonts w:hint="eastAsia" w:ascii="Calibri" w:hAnsi="Calibri" w:eastAsia="宋体" w:cs="Calibri"/>
                <w:color w:val="auto"/>
                <w:kern w:val="2"/>
                <w:sz w:val="21"/>
                <w:szCs w:val="21"/>
                <w:lang w:val="en-US" w:eastAsia="zh-CN" w:bidi="ar-SA"/>
              </w:rPr>
            </w:pPr>
          </w:p>
        </w:tc>
        <w:tc>
          <w:tcPr>
            <w:tcW w:w="29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val="0"/>
              <w:bidi w:val="0"/>
              <w:ind w:firstLine="0" w:firstLineChars="0"/>
              <w:jc w:val="both"/>
              <w:rPr>
                <w:rFonts w:hint="eastAsia" w:ascii="Calibri" w:hAnsi="Calibri" w:eastAsia="宋体" w:cs="Calibri"/>
                <w:color w:val="auto"/>
                <w:kern w:val="2"/>
                <w:sz w:val="21"/>
                <w:szCs w:val="21"/>
                <w:lang w:val="en-US" w:eastAsia="zh-CN" w:bidi="ar-SA"/>
              </w:rPr>
            </w:pPr>
          </w:p>
        </w:tc>
        <w:tc>
          <w:tcPr>
            <w:tcW w:w="45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val="0"/>
              <w:bidi w:val="0"/>
              <w:ind w:firstLine="0" w:firstLineChars="0"/>
              <w:jc w:val="both"/>
              <w:rPr>
                <w:rFonts w:hint="eastAsia" w:ascii="Calibri" w:hAnsi="Calibri" w:eastAsia="宋体" w:cs="Calibri"/>
                <w:color w:val="auto"/>
                <w:kern w:val="2"/>
                <w:sz w:val="21"/>
                <w:szCs w:val="21"/>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8" w:hRule="atLeast"/>
        </w:trPr>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r>
              <w:rPr>
                <w:rFonts w:hint="eastAsia" w:ascii="Calibri" w:eastAsia="宋体"/>
                <w:color w:val="auto"/>
                <w:lang w:val="en-US" w:eastAsia="zh-CN"/>
              </w:rPr>
              <w:t>2</w:t>
            </w:r>
          </w:p>
        </w:tc>
        <w:tc>
          <w:tcPr>
            <w:tcW w:w="2916"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r>
              <w:rPr>
                <w:rFonts w:hint="eastAsia" w:ascii="Calibri" w:eastAsia="宋体"/>
                <w:color w:val="auto"/>
                <w:lang w:val="en-US" w:eastAsia="zh-CN"/>
              </w:rPr>
              <w:t>一次舱</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r>
              <w:rPr>
                <w:rFonts w:hint="eastAsia" w:ascii="Calibri" w:eastAsia="宋体"/>
                <w:color w:val="auto"/>
                <w:lang w:val="en-US" w:eastAsia="zh-CN"/>
              </w:rPr>
              <w:t>阳光电源、特变电工、许继电气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8" w:hRule="atLeast"/>
        </w:trPr>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r>
              <w:rPr>
                <w:rFonts w:hint="eastAsia" w:ascii="Calibri" w:eastAsia="宋体"/>
                <w:color w:val="auto"/>
                <w:lang w:val="en-US" w:eastAsia="zh-CN"/>
              </w:rPr>
              <w:t>3</w:t>
            </w:r>
          </w:p>
        </w:tc>
        <w:tc>
          <w:tcPr>
            <w:tcW w:w="2916"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r>
              <w:rPr>
                <w:rFonts w:hint="eastAsia" w:ascii="Calibri" w:eastAsia="宋体"/>
                <w:color w:val="auto"/>
                <w:lang w:val="en-US" w:eastAsia="zh-CN"/>
              </w:rPr>
              <w:t>二次舱</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r>
              <w:rPr>
                <w:rFonts w:hint="eastAsia" w:ascii="Calibri" w:eastAsia="宋体"/>
                <w:color w:val="auto"/>
                <w:lang w:val="en-US" w:eastAsia="zh-CN"/>
              </w:rPr>
              <w:t>四方股份、许继电气、南瑞继保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8" w:hRule="atLeast"/>
        </w:trPr>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r>
              <w:rPr>
                <w:rFonts w:hint="eastAsia" w:ascii="Calibri" w:eastAsia="宋体"/>
                <w:color w:val="auto"/>
                <w:lang w:val="en-US" w:eastAsia="zh-CN"/>
              </w:rPr>
              <w:t>4</w:t>
            </w:r>
          </w:p>
        </w:tc>
        <w:tc>
          <w:tcPr>
            <w:tcW w:w="2916"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r>
              <w:rPr>
                <w:rFonts w:hint="eastAsia" w:ascii="Calibri" w:eastAsia="宋体"/>
                <w:color w:val="auto"/>
                <w:lang w:val="en-US" w:eastAsia="zh-CN"/>
              </w:rPr>
              <w:t>中低压开关柜</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r>
              <w:rPr>
                <w:rFonts w:hint="eastAsia" w:ascii="Calibri" w:eastAsia="宋体"/>
                <w:color w:val="auto"/>
                <w:lang w:val="en-US" w:eastAsia="zh-CN"/>
              </w:rPr>
              <w:t>川开电气、华核电气、大全集团、许继电气、威特电气、江苏海航电气科技有限公司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8" w:hRule="atLeast"/>
        </w:trPr>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r>
              <w:rPr>
                <w:rFonts w:hint="eastAsia" w:ascii="Calibri" w:eastAsia="宋体"/>
                <w:color w:val="auto"/>
                <w:lang w:val="en-US" w:eastAsia="zh-CN"/>
              </w:rPr>
              <w:t>5</w:t>
            </w:r>
          </w:p>
        </w:tc>
        <w:tc>
          <w:tcPr>
            <w:tcW w:w="2916"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r>
              <w:rPr>
                <w:rFonts w:hint="eastAsia" w:ascii="Calibri" w:eastAsia="宋体"/>
                <w:color w:val="auto"/>
                <w:lang w:val="en-US" w:eastAsia="zh-CN"/>
              </w:rPr>
              <w:t>高、低压断路器</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r>
              <w:rPr>
                <w:rFonts w:hint="eastAsia" w:ascii="Calibri" w:eastAsia="宋体"/>
                <w:color w:val="auto"/>
                <w:lang w:val="en-US" w:eastAsia="zh-CN"/>
              </w:rPr>
              <w:t>施耐德、ABB、西门子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8" w:hRule="atLeast"/>
        </w:trPr>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r>
              <w:rPr>
                <w:rFonts w:hint="eastAsia" w:ascii="Calibri" w:eastAsia="宋体"/>
                <w:color w:val="auto"/>
                <w:lang w:val="en-US" w:eastAsia="zh-CN"/>
              </w:rPr>
              <w:t>6</w:t>
            </w:r>
          </w:p>
        </w:tc>
        <w:tc>
          <w:tcPr>
            <w:tcW w:w="2916"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r>
              <w:rPr>
                <w:rFonts w:hint="eastAsia" w:ascii="Calibri" w:eastAsia="宋体"/>
                <w:color w:val="auto"/>
                <w:lang w:val="en-US" w:eastAsia="zh-CN"/>
              </w:rPr>
              <w:t>避雷器</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r>
              <w:rPr>
                <w:rFonts w:hint="eastAsia" w:ascii="Calibri" w:eastAsia="宋体"/>
                <w:color w:val="auto"/>
                <w:lang w:val="en-US" w:eastAsia="zh-CN"/>
              </w:rPr>
              <w:t>金冠电气、中国西电、平高电气、南瑞继保、思源电气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8" w:hRule="atLeast"/>
        </w:trPr>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r>
              <w:rPr>
                <w:rFonts w:hint="eastAsia" w:ascii="Calibri" w:eastAsia="宋体"/>
                <w:color w:val="auto"/>
                <w:lang w:val="en-US" w:eastAsia="zh-CN"/>
              </w:rPr>
              <w:t>7</w:t>
            </w:r>
          </w:p>
        </w:tc>
        <w:tc>
          <w:tcPr>
            <w:tcW w:w="2916"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r>
              <w:rPr>
                <w:rFonts w:hint="eastAsia" w:ascii="Calibri" w:eastAsia="宋体"/>
                <w:color w:val="auto"/>
                <w:lang w:val="en-US" w:eastAsia="zh-CN"/>
              </w:rPr>
              <w:t>接地刀开关</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r>
              <w:rPr>
                <w:rFonts w:hint="eastAsia" w:ascii="Calibri" w:eastAsia="宋体"/>
                <w:color w:val="auto"/>
                <w:lang w:val="en-US" w:eastAsia="zh-CN"/>
              </w:rPr>
              <w:t>平高电气、中国西电、长高电新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8" w:hRule="atLeast"/>
        </w:trPr>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r>
              <w:rPr>
                <w:rFonts w:hint="eastAsia" w:ascii="Calibri" w:eastAsia="宋体"/>
                <w:color w:val="auto"/>
                <w:lang w:val="en-US" w:eastAsia="zh-CN"/>
              </w:rPr>
              <w:t>8</w:t>
            </w:r>
          </w:p>
        </w:tc>
        <w:tc>
          <w:tcPr>
            <w:tcW w:w="2916"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r>
              <w:rPr>
                <w:rFonts w:hint="eastAsia" w:ascii="Calibri" w:eastAsia="宋体"/>
                <w:color w:val="auto"/>
                <w:lang w:val="en-US" w:eastAsia="zh-CN"/>
              </w:rPr>
              <w:t>互感器</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default"/>
                <w:color w:val="auto"/>
                <w:lang w:val="en-US" w:eastAsia="zh-CN"/>
              </w:rPr>
            </w:pPr>
            <w:r>
              <w:rPr>
                <w:rFonts w:hint="eastAsia" w:ascii="Calibri" w:eastAsia="宋体"/>
                <w:color w:val="auto"/>
                <w:lang w:val="en-US" w:eastAsia="zh-CN"/>
              </w:rPr>
              <w:t>大连一互、大连二互、广东四会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8" w:hRule="atLeast"/>
        </w:trPr>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r>
              <w:rPr>
                <w:rFonts w:hint="eastAsia" w:ascii="Calibri" w:eastAsia="宋体"/>
                <w:color w:val="auto"/>
                <w:lang w:val="en-US" w:eastAsia="zh-CN"/>
              </w:rPr>
              <w:t>9</w:t>
            </w:r>
          </w:p>
        </w:tc>
        <w:tc>
          <w:tcPr>
            <w:tcW w:w="2916"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r>
              <w:rPr>
                <w:rFonts w:hint="eastAsia" w:ascii="Calibri" w:eastAsia="宋体"/>
                <w:color w:val="auto"/>
                <w:lang w:val="en-US" w:eastAsia="zh-CN"/>
              </w:rPr>
              <w:t>综合继电保护装置二次设备</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r>
              <w:rPr>
                <w:rFonts w:hint="eastAsia" w:ascii="Calibri" w:eastAsia="宋体"/>
                <w:color w:val="auto"/>
                <w:lang w:val="en-US" w:eastAsia="zh-CN"/>
              </w:rPr>
              <w:t>南瑞继保、四方继保、国电南自、长园深瑞、国电南瑞</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8" w:hRule="atLeast"/>
        </w:trPr>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r>
              <w:rPr>
                <w:rFonts w:hint="eastAsia" w:ascii="Calibri" w:eastAsia="宋体"/>
                <w:color w:val="auto"/>
                <w:lang w:val="en-US" w:eastAsia="zh-CN"/>
              </w:rPr>
              <w:t>10</w:t>
            </w:r>
          </w:p>
        </w:tc>
        <w:tc>
          <w:tcPr>
            <w:tcW w:w="2916"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r>
              <w:rPr>
                <w:rFonts w:hint="eastAsia" w:ascii="Calibri" w:eastAsia="宋体"/>
                <w:color w:val="auto"/>
                <w:lang w:val="en-US" w:eastAsia="zh-CN"/>
              </w:rPr>
              <w:t>电能质量监测系统</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r>
              <w:rPr>
                <w:rFonts w:hint="eastAsia" w:ascii="Calibri" w:eastAsia="宋体"/>
                <w:color w:val="auto"/>
                <w:lang w:val="en-US" w:eastAsia="zh-CN"/>
              </w:rPr>
              <w:t>北京特域、深圳中电、南瑞继保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8" w:hRule="atLeast"/>
        </w:trPr>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r>
              <w:rPr>
                <w:rFonts w:hint="eastAsia" w:ascii="Calibri" w:eastAsia="宋体"/>
                <w:color w:val="auto"/>
                <w:lang w:val="en-US" w:eastAsia="zh-CN"/>
              </w:rPr>
              <w:t>11</w:t>
            </w:r>
          </w:p>
        </w:tc>
        <w:tc>
          <w:tcPr>
            <w:tcW w:w="2916"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r>
              <w:rPr>
                <w:rFonts w:hint="eastAsia" w:ascii="Calibri" w:eastAsia="宋体"/>
                <w:color w:val="auto"/>
                <w:lang w:val="en-US" w:eastAsia="zh-CN"/>
              </w:rPr>
              <w:t>多功能仪表</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r>
              <w:rPr>
                <w:rFonts w:hint="eastAsia" w:ascii="Calibri" w:eastAsia="宋体"/>
                <w:color w:val="auto"/>
                <w:lang w:val="en-US" w:eastAsia="zh-CN"/>
              </w:rPr>
              <w:t>许继电气、深圳中电、德力西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8" w:hRule="atLeast"/>
        </w:trPr>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ascii="Times New Roman" w:hAnsi="Times New Roman" w:eastAsia="宋体" w:cs="Times New Roman"/>
                <w:color w:val="auto"/>
                <w:kern w:val="2"/>
                <w:sz w:val="21"/>
                <w:szCs w:val="21"/>
                <w:lang w:val="en-US" w:eastAsia="zh-CN" w:bidi="ar-SA"/>
              </w:rPr>
            </w:pPr>
            <w:r>
              <w:rPr>
                <w:rFonts w:hint="eastAsia" w:ascii="Calibri" w:eastAsia="宋体"/>
                <w:color w:val="auto"/>
                <w:lang w:val="en-US" w:eastAsia="zh-CN"/>
              </w:rPr>
              <w:t>12</w:t>
            </w:r>
          </w:p>
        </w:tc>
        <w:tc>
          <w:tcPr>
            <w:tcW w:w="2916"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r>
              <w:rPr>
                <w:rFonts w:hint="eastAsia" w:ascii="Calibri" w:eastAsia="宋体"/>
                <w:color w:val="auto"/>
                <w:lang w:val="en-US" w:eastAsia="zh-CN"/>
              </w:rPr>
              <w:t>计量表</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r>
              <w:rPr>
                <w:rFonts w:hint="eastAsia" w:ascii="Calibri" w:eastAsia="宋体"/>
                <w:color w:val="auto"/>
                <w:lang w:val="en-US" w:eastAsia="zh-CN"/>
              </w:rPr>
              <w:t>威胜集团、南瑞、许继电气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8" w:hRule="atLeast"/>
        </w:trPr>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ascii="Times New Roman" w:hAnsi="Times New Roman" w:eastAsia="宋体" w:cs="Times New Roman"/>
                <w:color w:val="auto"/>
                <w:kern w:val="2"/>
                <w:sz w:val="21"/>
                <w:szCs w:val="21"/>
                <w:lang w:val="en-US" w:eastAsia="zh-CN" w:bidi="ar-SA"/>
              </w:rPr>
            </w:pPr>
            <w:r>
              <w:rPr>
                <w:rFonts w:hint="eastAsia" w:ascii="Calibri" w:eastAsia="宋体"/>
                <w:color w:val="auto"/>
                <w:lang w:val="en-US" w:eastAsia="zh-CN"/>
              </w:rPr>
              <w:t>13</w:t>
            </w:r>
          </w:p>
        </w:tc>
        <w:tc>
          <w:tcPr>
            <w:tcW w:w="2916"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r>
              <w:rPr>
                <w:rFonts w:hint="eastAsia" w:ascii="Calibri" w:eastAsia="宋体"/>
                <w:color w:val="auto"/>
                <w:lang w:val="en-US" w:eastAsia="zh-CN"/>
              </w:rPr>
              <w:t>直流屏</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r>
              <w:rPr>
                <w:rFonts w:hint="eastAsia" w:ascii="Calibri" w:eastAsia="宋体"/>
                <w:color w:val="auto"/>
                <w:lang w:val="en-US" w:eastAsia="zh-CN"/>
              </w:rPr>
              <w:t>川开电气、珠海泰坦、许继、珠海瓦特、泰昂能源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8" w:hRule="atLeast"/>
        </w:trPr>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ascii="Times New Roman" w:hAnsi="Times New Roman" w:eastAsia="宋体" w:cs="Times New Roman"/>
                <w:color w:val="auto"/>
                <w:kern w:val="2"/>
                <w:sz w:val="21"/>
                <w:szCs w:val="21"/>
                <w:lang w:val="en-US" w:eastAsia="zh-CN" w:bidi="ar-SA"/>
              </w:rPr>
            </w:pPr>
            <w:r>
              <w:rPr>
                <w:rFonts w:hint="eastAsia" w:ascii="Calibri" w:eastAsia="宋体"/>
                <w:color w:val="auto"/>
                <w:lang w:val="en-US" w:eastAsia="zh-CN"/>
              </w:rPr>
              <w:t>14</w:t>
            </w:r>
          </w:p>
        </w:tc>
        <w:tc>
          <w:tcPr>
            <w:tcW w:w="2916"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r>
              <w:rPr>
                <w:rFonts w:hint="eastAsia" w:ascii="Calibri" w:eastAsia="宋体"/>
                <w:color w:val="auto"/>
                <w:lang w:val="en-US" w:eastAsia="zh-CN"/>
              </w:rPr>
              <w:t>浪涌保护器</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r>
              <w:rPr>
                <w:rFonts w:hint="eastAsia" w:ascii="Calibri" w:eastAsia="宋体"/>
                <w:color w:val="auto"/>
                <w:lang w:val="en-US" w:eastAsia="zh-CN"/>
              </w:rPr>
              <w:t>德力西、宗意、沪雷、四川中光、金冠电气、安徽金立电气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8" w:hRule="atLeast"/>
        </w:trPr>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ascii="Times New Roman" w:hAnsi="Times New Roman" w:eastAsia="宋体" w:cs="Times New Roman"/>
                <w:color w:val="auto"/>
                <w:kern w:val="2"/>
                <w:sz w:val="21"/>
                <w:szCs w:val="21"/>
                <w:lang w:val="en-US" w:eastAsia="zh-CN" w:bidi="ar-SA"/>
              </w:rPr>
            </w:pPr>
            <w:r>
              <w:rPr>
                <w:rFonts w:hint="eastAsia" w:ascii="Calibri" w:eastAsia="宋体"/>
                <w:color w:val="auto"/>
                <w:lang w:val="en-US" w:eastAsia="zh-CN"/>
              </w:rPr>
              <w:t>15</w:t>
            </w:r>
          </w:p>
        </w:tc>
        <w:tc>
          <w:tcPr>
            <w:tcW w:w="2916"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r>
              <w:rPr>
                <w:rFonts w:hint="eastAsia" w:ascii="Calibri" w:eastAsia="宋体"/>
                <w:color w:val="auto"/>
                <w:lang w:val="en-US" w:eastAsia="zh-CN"/>
              </w:rPr>
              <w:t>UPS机组</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default"/>
                <w:color w:val="auto"/>
                <w:lang w:val="en-US" w:eastAsia="zh-CN"/>
              </w:rPr>
            </w:pPr>
            <w:r>
              <w:rPr>
                <w:rFonts w:hint="eastAsia" w:ascii="Calibri" w:eastAsia="宋体"/>
                <w:color w:val="auto"/>
                <w:lang w:val="en-US" w:eastAsia="zh-CN"/>
              </w:rPr>
              <w:t>科华、维谛、华为、山特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8" w:hRule="atLeast"/>
        </w:trPr>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ascii="Times New Roman" w:hAnsi="Times New Roman" w:eastAsia="宋体" w:cs="Times New Roman"/>
                <w:color w:val="auto"/>
                <w:kern w:val="2"/>
                <w:sz w:val="21"/>
                <w:szCs w:val="21"/>
                <w:lang w:val="en-US" w:eastAsia="zh-CN" w:bidi="ar-SA"/>
              </w:rPr>
            </w:pPr>
            <w:r>
              <w:rPr>
                <w:rFonts w:hint="eastAsia" w:ascii="Calibri" w:eastAsia="宋体"/>
                <w:color w:val="auto"/>
                <w:lang w:val="en-US" w:eastAsia="zh-CN"/>
              </w:rPr>
              <w:t>16</w:t>
            </w:r>
          </w:p>
        </w:tc>
        <w:tc>
          <w:tcPr>
            <w:tcW w:w="2916"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r>
              <w:rPr>
                <w:rFonts w:hint="eastAsia" w:ascii="Calibri" w:eastAsia="宋体"/>
                <w:color w:val="auto"/>
                <w:lang w:val="en-US" w:eastAsia="zh-CN"/>
              </w:rPr>
              <w:t>柴油发电机</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r>
              <w:rPr>
                <w:rFonts w:hint="eastAsia" w:ascii="Calibri" w:eastAsia="宋体"/>
                <w:color w:val="auto"/>
                <w:lang w:val="en-US" w:eastAsia="zh-CN"/>
              </w:rPr>
              <w:t>河南柴油机重工、玉柴、潍柴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8" w:hRule="atLeast"/>
        </w:trPr>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ascii="Times New Roman" w:hAnsi="Times New Roman" w:eastAsia="宋体" w:cs="Times New Roman"/>
                <w:color w:val="auto"/>
                <w:kern w:val="2"/>
                <w:sz w:val="21"/>
                <w:szCs w:val="21"/>
                <w:lang w:val="en-US" w:eastAsia="zh-CN" w:bidi="ar-SA"/>
              </w:rPr>
            </w:pPr>
            <w:r>
              <w:rPr>
                <w:rFonts w:hint="eastAsia" w:ascii="Calibri" w:eastAsia="宋体"/>
                <w:color w:val="auto"/>
                <w:lang w:val="en-US" w:eastAsia="zh-CN"/>
              </w:rPr>
              <w:t>17</w:t>
            </w:r>
          </w:p>
        </w:tc>
        <w:tc>
          <w:tcPr>
            <w:tcW w:w="2916"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r>
              <w:rPr>
                <w:rFonts w:hint="eastAsia" w:ascii="Calibri" w:eastAsia="宋体"/>
                <w:color w:val="auto"/>
                <w:lang w:val="en-US" w:eastAsia="zh-CN"/>
              </w:rPr>
              <w:t>双电源（ATS）</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r>
              <w:rPr>
                <w:rFonts w:hint="eastAsia" w:ascii="Calibri" w:eastAsia="宋体"/>
                <w:color w:val="auto"/>
                <w:lang w:val="en-US" w:eastAsia="zh-CN"/>
              </w:rPr>
              <w:t>施耐德（ATMT 系列）、ABB（OT系列）、西门子（SIVACON 8PS系列）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8" w:hRule="atLeast"/>
        </w:trPr>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ascii="Times New Roman" w:hAnsi="Times New Roman" w:eastAsia="宋体" w:cs="Times New Roman"/>
                <w:color w:val="auto"/>
                <w:kern w:val="2"/>
                <w:sz w:val="21"/>
                <w:szCs w:val="21"/>
                <w:lang w:val="en-US" w:eastAsia="zh-CN" w:bidi="ar-SA"/>
              </w:rPr>
            </w:pPr>
            <w:r>
              <w:rPr>
                <w:rFonts w:hint="eastAsia" w:ascii="Calibri" w:eastAsia="宋体"/>
                <w:color w:val="auto"/>
                <w:lang w:val="en-US" w:eastAsia="zh-CN"/>
              </w:rPr>
              <w:t>18</w:t>
            </w:r>
          </w:p>
        </w:tc>
        <w:tc>
          <w:tcPr>
            <w:tcW w:w="2916"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r>
              <w:rPr>
                <w:rFonts w:hint="eastAsia" w:ascii="Calibri" w:eastAsia="宋体"/>
                <w:color w:val="auto"/>
                <w:lang w:val="en-US" w:eastAsia="zh-CN"/>
              </w:rPr>
              <w:t>低压配电箱</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r>
              <w:rPr>
                <w:rFonts w:hint="eastAsia" w:ascii="Calibri" w:eastAsia="宋体"/>
                <w:color w:val="auto"/>
                <w:lang w:val="en-US" w:eastAsia="zh-CN"/>
              </w:rPr>
              <w:t>川开电气、许继电气、华核电气、威特电气、江苏海航电气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8" w:hRule="atLeast"/>
        </w:trPr>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ascii="Times New Roman" w:hAnsi="Times New Roman" w:eastAsia="宋体" w:cs="Times New Roman"/>
                <w:color w:val="auto"/>
                <w:kern w:val="2"/>
                <w:sz w:val="21"/>
                <w:szCs w:val="21"/>
                <w:lang w:val="en-US" w:eastAsia="zh-CN" w:bidi="ar-SA"/>
              </w:rPr>
            </w:pPr>
            <w:r>
              <w:rPr>
                <w:rFonts w:hint="eastAsia" w:ascii="Calibri" w:eastAsia="宋体"/>
                <w:color w:val="auto"/>
                <w:lang w:val="en-US" w:eastAsia="zh-CN"/>
              </w:rPr>
              <w:t>19</w:t>
            </w:r>
          </w:p>
        </w:tc>
        <w:tc>
          <w:tcPr>
            <w:tcW w:w="2916"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r>
              <w:rPr>
                <w:rFonts w:hint="eastAsia" w:ascii="Calibri" w:eastAsia="宋体"/>
                <w:color w:val="auto"/>
                <w:lang w:val="en-US" w:eastAsia="zh-CN"/>
              </w:rPr>
              <w:t>高、低压电缆</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r>
              <w:rPr>
                <w:rFonts w:hint="eastAsia" w:ascii="Calibri" w:eastAsia="宋体"/>
                <w:color w:val="auto"/>
                <w:lang w:val="en-US" w:eastAsia="zh-CN"/>
              </w:rPr>
              <w:t>远东、威特、山东华能、湖北航天、江苏上上、河北宏亮、宝胜集团、重庆鸽牌、湖南华菱</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8" w:hRule="atLeast"/>
        </w:trPr>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ascii="Times New Roman" w:hAnsi="Times New Roman" w:eastAsia="宋体" w:cs="Times New Roman"/>
                <w:color w:val="auto"/>
                <w:kern w:val="2"/>
                <w:sz w:val="21"/>
                <w:szCs w:val="21"/>
                <w:lang w:val="en-US" w:eastAsia="zh-CN" w:bidi="ar-SA"/>
              </w:rPr>
            </w:pPr>
            <w:r>
              <w:rPr>
                <w:rFonts w:hint="eastAsia" w:ascii="Calibri" w:eastAsia="宋体"/>
                <w:color w:val="auto"/>
                <w:lang w:val="en-US" w:eastAsia="zh-CN"/>
              </w:rPr>
              <w:t>20</w:t>
            </w:r>
          </w:p>
        </w:tc>
        <w:tc>
          <w:tcPr>
            <w:tcW w:w="2916"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r>
              <w:rPr>
                <w:rFonts w:hint="eastAsia" w:ascii="Calibri" w:eastAsia="宋体"/>
                <w:color w:val="auto"/>
                <w:lang w:val="en-US" w:eastAsia="zh-CN"/>
              </w:rPr>
              <w:t>桥架线槽</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r>
              <w:rPr>
                <w:rFonts w:hint="eastAsia" w:ascii="Calibri" w:eastAsia="宋体"/>
                <w:color w:val="auto"/>
                <w:lang w:val="en-US" w:eastAsia="zh-CN"/>
              </w:rPr>
              <w:t>华鹏、万奇、大全、有能、欧宝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8" w:hRule="atLeast"/>
        </w:trPr>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ascii="Times New Roman" w:hAnsi="Times New Roman" w:eastAsia="宋体" w:cs="Times New Roman"/>
                <w:color w:val="auto"/>
                <w:kern w:val="2"/>
                <w:sz w:val="21"/>
                <w:szCs w:val="21"/>
                <w:lang w:val="en-US" w:eastAsia="zh-CN" w:bidi="ar-SA"/>
              </w:rPr>
            </w:pPr>
            <w:r>
              <w:rPr>
                <w:rFonts w:hint="eastAsia" w:ascii="Calibri" w:eastAsia="宋体"/>
                <w:color w:val="auto"/>
                <w:lang w:val="en-US" w:eastAsia="zh-CN"/>
              </w:rPr>
              <w:t>21</w:t>
            </w:r>
          </w:p>
        </w:tc>
        <w:tc>
          <w:tcPr>
            <w:tcW w:w="2916"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r>
              <w:rPr>
                <w:rFonts w:hint="eastAsia" w:ascii="Calibri" w:eastAsia="宋体"/>
                <w:color w:val="auto"/>
                <w:lang w:val="en-US" w:eastAsia="zh-CN"/>
              </w:rPr>
              <w:t>电气塑料管</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r>
              <w:rPr>
                <w:rFonts w:hint="eastAsia" w:ascii="Calibri" w:eastAsia="宋体"/>
                <w:color w:val="auto"/>
                <w:lang w:val="en-US" w:eastAsia="zh-CN"/>
              </w:rPr>
              <w:t>联塑、雄塑、日丰、顾地、伟星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8" w:hRule="atLeast"/>
        </w:trPr>
        <w:tc>
          <w:tcPr>
            <w:tcW w:w="9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r>
              <w:rPr>
                <w:rFonts w:hint="eastAsia" w:ascii="Calibri" w:eastAsia="宋体"/>
                <w:color w:val="auto"/>
                <w:lang w:val="en-US" w:eastAsia="zh-CN"/>
              </w:rPr>
              <w:t>22</w:t>
            </w:r>
          </w:p>
        </w:tc>
        <w:tc>
          <w:tcPr>
            <w:tcW w:w="29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r>
              <w:rPr>
                <w:rFonts w:hint="eastAsia" w:ascii="Calibri" w:eastAsia="宋体"/>
                <w:color w:val="auto"/>
                <w:lang w:val="en-US" w:eastAsia="zh-CN"/>
              </w:rPr>
              <w:t>常规灯具(含LED 灯)</w:t>
            </w:r>
          </w:p>
        </w:tc>
        <w:tc>
          <w:tcPr>
            <w:tcW w:w="452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r>
              <w:rPr>
                <w:rFonts w:hint="eastAsia" w:ascii="Calibri" w:eastAsia="宋体"/>
                <w:color w:val="auto"/>
                <w:lang w:val="en-US" w:eastAsia="zh-CN"/>
              </w:rPr>
              <w:t>飞利浦、松下、索恩、欧司朗、通用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8"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val="0"/>
              <w:bidi w:val="0"/>
              <w:ind w:firstLine="0" w:firstLineChars="0"/>
              <w:jc w:val="both"/>
              <w:rPr>
                <w:rFonts w:hint="eastAsia" w:ascii="Calibri" w:hAnsi="Calibri" w:eastAsia="宋体" w:cs="Calibri"/>
                <w:color w:val="auto"/>
                <w:kern w:val="2"/>
                <w:sz w:val="21"/>
                <w:szCs w:val="21"/>
                <w:lang w:val="en-US" w:eastAsia="zh-CN" w:bidi="ar-SA"/>
              </w:rPr>
            </w:pPr>
          </w:p>
        </w:tc>
        <w:tc>
          <w:tcPr>
            <w:tcW w:w="29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val="0"/>
              <w:bidi w:val="0"/>
              <w:ind w:firstLine="0" w:firstLineChars="0"/>
              <w:jc w:val="both"/>
              <w:rPr>
                <w:rFonts w:hint="eastAsia" w:ascii="Calibri" w:hAnsi="Calibri" w:eastAsia="宋体" w:cs="Calibri"/>
                <w:color w:val="auto"/>
                <w:kern w:val="2"/>
                <w:sz w:val="21"/>
                <w:szCs w:val="21"/>
                <w:lang w:val="en-US" w:eastAsia="zh-CN" w:bidi="ar-SA"/>
              </w:rPr>
            </w:pPr>
          </w:p>
        </w:tc>
        <w:tc>
          <w:tcPr>
            <w:tcW w:w="45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val="0"/>
              <w:bidi w:val="0"/>
              <w:ind w:firstLine="0" w:firstLineChars="0"/>
              <w:jc w:val="both"/>
              <w:rPr>
                <w:rFonts w:hint="eastAsia" w:ascii="Calibri" w:hAnsi="Calibri" w:eastAsia="宋体" w:cs="Calibri"/>
                <w:color w:val="auto"/>
                <w:kern w:val="2"/>
                <w:sz w:val="21"/>
                <w:szCs w:val="21"/>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8" w:hRule="atLeast"/>
        </w:trPr>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r>
              <w:rPr>
                <w:rFonts w:hint="eastAsia" w:ascii="Calibri" w:eastAsia="宋体"/>
                <w:color w:val="auto"/>
                <w:lang w:val="en-US" w:eastAsia="zh-CN"/>
              </w:rPr>
              <w:t>23</w:t>
            </w:r>
          </w:p>
        </w:tc>
        <w:tc>
          <w:tcPr>
            <w:tcW w:w="2916"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r>
              <w:rPr>
                <w:rFonts w:hint="eastAsia" w:ascii="Calibri" w:eastAsia="宋体"/>
                <w:color w:val="auto"/>
                <w:lang w:val="en-US" w:eastAsia="zh-CN"/>
              </w:rPr>
              <w:t>开关插座</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r>
              <w:rPr>
                <w:rFonts w:hint="eastAsia" w:ascii="Calibri" w:eastAsia="宋体"/>
                <w:color w:val="auto"/>
                <w:lang w:val="en-US" w:eastAsia="zh-CN"/>
              </w:rPr>
              <w:t>西门子、施耐德、ABB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8" w:hRule="atLeast"/>
        </w:trPr>
        <w:tc>
          <w:tcPr>
            <w:tcW w:w="9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r>
              <w:rPr>
                <w:rFonts w:hint="eastAsia" w:ascii="Calibri" w:eastAsia="宋体"/>
                <w:color w:val="auto"/>
                <w:lang w:val="en-US" w:eastAsia="zh-CN"/>
              </w:rPr>
              <w:t>24</w:t>
            </w:r>
          </w:p>
        </w:tc>
        <w:tc>
          <w:tcPr>
            <w:tcW w:w="29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r>
              <w:rPr>
                <w:rFonts w:hint="eastAsia" w:ascii="Calibri" w:eastAsia="宋体"/>
                <w:color w:val="auto"/>
                <w:lang w:val="en-US" w:eastAsia="zh-CN"/>
              </w:rPr>
              <w:t>防爆电气：灯具、指示灯、应急灯、开关插座、配电箱、软管、管道配件等</w:t>
            </w:r>
          </w:p>
        </w:tc>
        <w:tc>
          <w:tcPr>
            <w:tcW w:w="452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r>
              <w:rPr>
                <w:rFonts w:hint="eastAsia" w:ascii="Calibri" w:eastAsia="宋体"/>
                <w:color w:val="auto"/>
                <w:lang w:val="en-US" w:eastAsia="zh-CN"/>
              </w:rPr>
              <w:t>海洋王、飞策、长城、华荣</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8"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val="0"/>
              <w:bidi w:val="0"/>
              <w:ind w:firstLine="0" w:firstLineChars="0"/>
              <w:jc w:val="both"/>
              <w:rPr>
                <w:rFonts w:hint="eastAsia" w:ascii="Calibri" w:hAnsi="Calibri" w:eastAsia="宋体" w:cs="Calibri"/>
                <w:color w:val="auto"/>
                <w:kern w:val="2"/>
                <w:sz w:val="21"/>
                <w:szCs w:val="21"/>
                <w:lang w:val="en-US" w:eastAsia="zh-CN" w:bidi="ar-SA"/>
              </w:rPr>
            </w:pPr>
          </w:p>
        </w:tc>
        <w:tc>
          <w:tcPr>
            <w:tcW w:w="29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val="0"/>
              <w:bidi w:val="0"/>
              <w:ind w:firstLine="0" w:firstLineChars="0"/>
              <w:jc w:val="both"/>
              <w:rPr>
                <w:rFonts w:hint="eastAsia" w:ascii="Calibri" w:hAnsi="Calibri" w:eastAsia="宋体" w:cs="Calibri"/>
                <w:color w:val="auto"/>
                <w:kern w:val="2"/>
                <w:sz w:val="21"/>
                <w:szCs w:val="21"/>
                <w:lang w:val="en-US" w:eastAsia="zh-CN" w:bidi="ar-SA"/>
              </w:rPr>
            </w:pPr>
          </w:p>
        </w:tc>
        <w:tc>
          <w:tcPr>
            <w:tcW w:w="45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val="0"/>
              <w:bidi w:val="0"/>
              <w:ind w:firstLine="0" w:firstLineChars="0"/>
              <w:jc w:val="both"/>
              <w:rPr>
                <w:rFonts w:hint="eastAsia" w:ascii="Calibri" w:hAnsi="Calibri" w:eastAsia="宋体" w:cs="Calibri"/>
                <w:color w:val="auto"/>
                <w:kern w:val="2"/>
                <w:sz w:val="21"/>
                <w:szCs w:val="21"/>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8" w:hRule="atLeast"/>
        </w:trPr>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r>
              <w:rPr>
                <w:rFonts w:hint="eastAsia" w:ascii="Calibri" w:eastAsia="宋体"/>
                <w:color w:val="auto"/>
                <w:lang w:val="en-US" w:eastAsia="zh-CN"/>
              </w:rPr>
              <w:t>25</w:t>
            </w:r>
          </w:p>
        </w:tc>
        <w:tc>
          <w:tcPr>
            <w:tcW w:w="2916"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r>
              <w:rPr>
                <w:rFonts w:hint="eastAsia" w:ascii="Calibri" w:eastAsia="宋体"/>
                <w:color w:val="auto"/>
                <w:lang w:val="en-US" w:eastAsia="zh-CN"/>
              </w:rPr>
              <w:t>通讯设备</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r>
              <w:rPr>
                <w:rFonts w:hint="eastAsia" w:ascii="Calibri" w:eastAsia="宋体"/>
                <w:color w:val="auto"/>
                <w:lang w:val="en-US" w:eastAsia="zh-CN"/>
              </w:rPr>
              <w:t>华为、中兴、华三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8" w:hRule="atLeast"/>
        </w:trPr>
        <w:tc>
          <w:tcPr>
            <w:tcW w:w="9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default"/>
                <w:color w:val="auto"/>
                <w:lang w:val="en-US" w:eastAsia="zh-CN"/>
              </w:rPr>
            </w:pPr>
            <w:r>
              <w:rPr>
                <w:rFonts w:hint="eastAsia" w:ascii="Calibri" w:eastAsia="宋体"/>
                <w:color w:val="auto"/>
                <w:lang w:val="en-US" w:eastAsia="zh-CN"/>
              </w:rPr>
              <w:t>26</w:t>
            </w:r>
          </w:p>
        </w:tc>
        <w:tc>
          <w:tcPr>
            <w:tcW w:w="29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r>
              <w:rPr>
                <w:rFonts w:hint="eastAsia" w:ascii="Calibri" w:eastAsia="宋体"/>
                <w:color w:val="auto"/>
                <w:lang w:val="en-US" w:eastAsia="zh-CN"/>
              </w:rPr>
              <w:t>交直流一体化电源</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r>
              <w:rPr>
                <w:rFonts w:hint="eastAsia" w:ascii="Calibri" w:eastAsia="宋体"/>
                <w:color w:val="auto"/>
                <w:lang w:val="en-US" w:eastAsia="zh-CN"/>
              </w:rPr>
              <w:t>浙江三辰电器股份有限公司、安徽明瑞智能科技股份有限公司、上海诚意电气有限公司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trPr>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default"/>
                <w:color w:val="auto"/>
                <w:lang w:val="en-US" w:eastAsia="zh-CN"/>
              </w:rPr>
            </w:pPr>
            <w:r>
              <w:rPr>
                <w:rFonts w:hint="eastAsia" w:ascii="Calibri" w:eastAsia="宋体"/>
                <w:color w:val="auto"/>
                <w:lang w:val="en-US" w:eastAsia="zh-CN"/>
              </w:rPr>
              <w:t>27</w:t>
            </w:r>
          </w:p>
        </w:tc>
        <w:tc>
          <w:tcPr>
            <w:tcW w:w="2916"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r>
              <w:rPr>
                <w:rFonts w:hint="eastAsia" w:ascii="Calibri" w:eastAsia="宋体"/>
                <w:color w:val="auto"/>
                <w:lang w:val="en-US" w:eastAsia="zh-CN"/>
              </w:rPr>
              <w:t>储能系统</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r>
              <w:rPr>
                <w:rFonts w:hint="eastAsia" w:ascii="Calibri" w:eastAsia="宋体"/>
                <w:color w:val="auto"/>
                <w:lang w:val="en-US" w:eastAsia="zh-CN"/>
              </w:rPr>
              <w:t>宁德时代、上能电气、苏州汇川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8" w:hRule="atLeast"/>
        </w:trPr>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default"/>
                <w:color w:val="auto"/>
                <w:lang w:val="en-US" w:eastAsia="zh-CN"/>
              </w:rPr>
            </w:pPr>
            <w:r>
              <w:rPr>
                <w:rFonts w:hint="eastAsia" w:ascii="Calibri" w:eastAsia="宋体"/>
                <w:color w:val="auto"/>
                <w:lang w:val="en-US" w:eastAsia="zh-CN"/>
              </w:rPr>
              <w:t>28</w:t>
            </w:r>
          </w:p>
        </w:tc>
        <w:tc>
          <w:tcPr>
            <w:tcW w:w="2916"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r>
              <w:rPr>
                <w:rFonts w:hint="eastAsia" w:ascii="Calibri" w:eastAsia="宋体"/>
                <w:color w:val="auto"/>
                <w:lang w:val="en-US" w:eastAsia="zh-CN"/>
              </w:rPr>
              <w:t>微电网系统</w:t>
            </w:r>
          </w:p>
        </w:tc>
        <w:tc>
          <w:tcPr>
            <w:tcW w:w="4529"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ind w:firstLine="0" w:firstLineChars="0"/>
              <w:rPr>
                <w:rFonts w:hint="eastAsia"/>
                <w:color w:val="auto"/>
                <w:lang w:val="en-US" w:eastAsia="zh-CN"/>
              </w:rPr>
            </w:pPr>
            <w:r>
              <w:rPr>
                <w:rFonts w:hint="eastAsia" w:ascii="Calibri" w:eastAsia="宋体"/>
                <w:color w:val="auto"/>
                <w:lang w:val="en-US" w:eastAsia="zh-CN"/>
              </w:rPr>
              <w:t>宁德时代、深圳中电、长园深瑞能源技术</w:t>
            </w:r>
          </w:p>
        </w:tc>
      </w:tr>
    </w:tbl>
    <w:p>
      <w:pPr>
        <w:bidi w:val="0"/>
        <w:rPr>
          <w:rFonts w:hint="eastAsia"/>
          <w:color w:val="auto"/>
          <w:lang w:val="en-US" w:eastAsia="zh-CN"/>
        </w:rPr>
      </w:pPr>
    </w:p>
    <w:bookmarkEnd w:id="15"/>
    <w:bookmarkEnd w:id="33"/>
    <w:p>
      <w:pPr>
        <w:pStyle w:val="3"/>
        <w:numPr>
          <w:ilvl w:val="0"/>
          <w:numId w:val="0"/>
        </w:numPr>
        <w:adjustRightInd w:val="0"/>
        <w:snapToGrid w:val="0"/>
        <w:spacing w:before="0" w:after="0" w:line="360" w:lineRule="auto"/>
        <w:ind w:left="0" w:leftChars="0" w:firstLine="0" w:firstLineChars="0"/>
        <w:outlineLvl w:val="1"/>
        <w:rPr>
          <w:rFonts w:hint="eastAsia" w:ascii="宋体" w:hAnsi="宋体" w:eastAsia="宋体" w:cs="宋体"/>
          <w:b/>
          <w:bCs w:val="0"/>
          <w:color w:val="auto"/>
          <w:sz w:val="24"/>
          <w:szCs w:val="24"/>
          <w:lang w:val="en-US" w:eastAsia="zh-CN"/>
        </w:rPr>
      </w:pPr>
      <w:bookmarkStart w:id="34" w:name="_Toc18739"/>
      <w:bookmarkStart w:id="35" w:name="_Toc21042"/>
      <w:bookmarkStart w:id="36" w:name="_Toc25167"/>
      <w:bookmarkStart w:id="37" w:name="_Toc3246"/>
      <w:bookmarkStart w:id="38" w:name="_Toc16173"/>
      <w:r>
        <w:rPr>
          <w:rFonts w:hint="eastAsia" w:ascii="宋体" w:hAnsi="宋体" w:cs="宋体"/>
          <w:b/>
          <w:bCs w:val="0"/>
          <w:color w:val="auto"/>
          <w:sz w:val="24"/>
          <w:szCs w:val="24"/>
          <w:lang w:val="en-US" w:eastAsia="zh-CN"/>
        </w:rPr>
        <w:t>5</w:t>
      </w:r>
      <w:r>
        <w:rPr>
          <w:rFonts w:hint="eastAsia" w:ascii="宋体" w:hAnsi="宋体" w:eastAsia="宋体" w:cs="宋体"/>
          <w:b/>
          <w:bCs w:val="0"/>
          <w:color w:val="auto"/>
          <w:sz w:val="24"/>
          <w:szCs w:val="24"/>
          <w:lang w:val="en-US" w:eastAsia="zh-CN"/>
        </w:rPr>
        <w:t>. 400V低压交流配电柜</w:t>
      </w:r>
      <w:bookmarkEnd w:id="34"/>
      <w:r>
        <w:rPr>
          <w:rFonts w:hint="eastAsia" w:ascii="宋体" w:hAnsi="宋体" w:eastAsia="宋体" w:cs="宋体"/>
          <w:b/>
          <w:bCs w:val="0"/>
          <w:color w:val="auto"/>
          <w:sz w:val="24"/>
          <w:szCs w:val="24"/>
          <w:lang w:val="en-US" w:eastAsia="zh-CN"/>
        </w:rPr>
        <w:t>技术要求</w:t>
      </w:r>
      <w:bookmarkEnd w:id="35"/>
      <w:bookmarkEnd w:id="36"/>
      <w:bookmarkEnd w:id="37"/>
      <w:bookmarkEnd w:id="38"/>
    </w:p>
    <w:p>
      <w:pPr>
        <w:pStyle w:val="4"/>
        <w:numPr>
          <w:ilvl w:val="2"/>
          <w:numId w:val="0"/>
        </w:numPr>
        <w:adjustRightInd w:val="0"/>
        <w:snapToGrid w:val="0"/>
        <w:spacing w:before="156" w:beforeLines="50" w:after="156" w:afterLines="50" w:line="360" w:lineRule="auto"/>
        <w:ind w:left="0" w:leftChars="0" w:firstLine="0" w:firstLineChars="0"/>
        <w:outlineLvl w:val="2"/>
        <w:rPr>
          <w:rFonts w:hint="eastAsia" w:ascii="宋体" w:hAnsi="宋体" w:eastAsia="宋体" w:cs="宋体"/>
          <w:b/>
          <w:bCs w:val="0"/>
          <w:color w:val="auto"/>
          <w:sz w:val="24"/>
          <w:szCs w:val="24"/>
          <w:lang w:val="en-US" w:eastAsia="zh-CN"/>
        </w:rPr>
      </w:pPr>
      <w:bookmarkStart w:id="39" w:name="_Toc19092"/>
      <w:bookmarkStart w:id="40" w:name="_Toc257"/>
      <w:bookmarkStart w:id="41" w:name="_Toc16415"/>
      <w:bookmarkStart w:id="42" w:name="_Toc2489"/>
      <w:r>
        <w:rPr>
          <w:rFonts w:hint="eastAsia" w:ascii="宋体" w:eastAsia="宋体" w:cs="宋体"/>
          <w:b/>
          <w:bCs w:val="0"/>
          <w:color w:val="auto"/>
          <w:sz w:val="24"/>
          <w:szCs w:val="24"/>
          <w:lang w:val="en-US" w:eastAsia="zh-CN"/>
        </w:rPr>
        <w:t>5</w:t>
      </w:r>
      <w:r>
        <w:rPr>
          <w:rFonts w:hint="eastAsia" w:ascii="宋体" w:hAnsi="宋体" w:eastAsia="宋体" w:cs="宋体"/>
          <w:b/>
          <w:bCs w:val="0"/>
          <w:color w:val="auto"/>
          <w:sz w:val="24"/>
          <w:szCs w:val="24"/>
          <w:lang w:val="en-US" w:eastAsia="zh-CN"/>
        </w:rPr>
        <w:t>.1产品认证及相关标准要求</w:t>
      </w:r>
      <w:bookmarkEnd w:id="39"/>
      <w:bookmarkEnd w:id="40"/>
      <w:bookmarkEnd w:id="41"/>
      <w:bookmarkEnd w:id="42"/>
    </w:p>
    <w:p>
      <w:pPr>
        <w:spacing w:line="360" w:lineRule="auto"/>
        <w:ind w:firstLine="480" w:firstLineChars="200"/>
        <w:rPr>
          <w:rFonts w:hint="default"/>
          <w:color w:val="auto"/>
          <w:sz w:val="24"/>
        </w:rPr>
      </w:pPr>
      <w:r>
        <w:rPr>
          <w:rFonts w:hint="default"/>
          <w:color w:val="auto"/>
          <w:sz w:val="24"/>
        </w:rPr>
        <w:t>（1）低压交流配电柜应具有相关产品认证证书（不限于以下几种）：</w:t>
      </w:r>
    </w:p>
    <w:p>
      <w:pPr>
        <w:spacing w:line="360" w:lineRule="auto"/>
        <w:ind w:firstLine="480" w:firstLineChars="200"/>
        <w:rPr>
          <w:rFonts w:hint="default"/>
          <w:color w:val="auto"/>
          <w:sz w:val="24"/>
        </w:rPr>
      </w:pPr>
      <w:r>
        <w:rPr>
          <w:rFonts w:hint="default"/>
          <w:color w:val="auto"/>
          <w:sz w:val="24"/>
        </w:rPr>
        <w:t>国内项目所选用的低压交流配电柜必须通过3C认证，且证书在有效期内。</w:t>
      </w:r>
    </w:p>
    <w:p>
      <w:pPr>
        <w:spacing w:line="360" w:lineRule="auto"/>
        <w:ind w:firstLine="480" w:firstLineChars="200"/>
        <w:rPr>
          <w:rFonts w:hint="default"/>
          <w:color w:val="auto"/>
          <w:sz w:val="24"/>
        </w:rPr>
      </w:pPr>
      <w:r>
        <w:rPr>
          <w:rFonts w:hint="default"/>
          <w:color w:val="auto"/>
          <w:sz w:val="24"/>
        </w:rPr>
        <w:t>（2）低压交流配电柜的各项性能指标应满足以下标准的要求：</w:t>
      </w:r>
    </w:p>
    <w:p>
      <w:pPr>
        <w:spacing w:line="360" w:lineRule="auto"/>
        <w:ind w:firstLine="480" w:firstLineChars="200"/>
        <w:rPr>
          <w:rFonts w:hint="default"/>
          <w:color w:val="auto"/>
          <w:sz w:val="24"/>
        </w:rPr>
      </w:pPr>
      <w:r>
        <w:rPr>
          <w:rFonts w:hint="default"/>
          <w:color w:val="auto"/>
          <w:sz w:val="24"/>
        </w:rPr>
        <w:t>产品应执行中国现行国家标准及相关行业标准，但不限于如下标准。当下列规范和标准之间不一致，应按较高标准执行。</w:t>
      </w:r>
    </w:p>
    <w:p>
      <w:pPr>
        <w:spacing w:line="360" w:lineRule="auto"/>
        <w:ind w:firstLine="480" w:firstLineChars="200"/>
        <w:rPr>
          <w:rFonts w:hint="default"/>
          <w:color w:val="auto"/>
          <w:sz w:val="24"/>
        </w:rPr>
      </w:pPr>
      <w:r>
        <w:rPr>
          <w:rFonts w:hint="default"/>
          <w:color w:val="auto"/>
          <w:sz w:val="24"/>
        </w:rPr>
        <w:t>GB50065-2011</w:t>
      </w:r>
      <w:r>
        <w:rPr>
          <w:rFonts w:hint="default"/>
          <w:color w:val="auto"/>
          <w:sz w:val="24"/>
        </w:rPr>
        <w:tab/>
      </w:r>
      <w:r>
        <w:rPr>
          <w:rFonts w:hint="default"/>
          <w:color w:val="auto"/>
          <w:sz w:val="24"/>
        </w:rPr>
        <w:tab/>
      </w:r>
      <w:r>
        <w:rPr>
          <w:rFonts w:hint="default"/>
          <w:color w:val="auto"/>
          <w:sz w:val="24"/>
        </w:rPr>
        <w:t>《交流电气装置的接地设计规范》</w:t>
      </w:r>
    </w:p>
    <w:p>
      <w:pPr>
        <w:spacing w:line="360" w:lineRule="auto"/>
        <w:ind w:firstLine="480" w:firstLineChars="200"/>
        <w:rPr>
          <w:rFonts w:hint="default"/>
          <w:color w:val="auto"/>
          <w:sz w:val="24"/>
        </w:rPr>
      </w:pPr>
      <w:r>
        <w:rPr>
          <w:rFonts w:hint="default"/>
          <w:color w:val="auto"/>
          <w:sz w:val="24"/>
        </w:rPr>
        <w:fldChar w:fldCharType="begin"/>
      </w:r>
      <w:r>
        <w:rPr>
          <w:rFonts w:hint="default"/>
          <w:color w:val="auto"/>
          <w:sz w:val="24"/>
        </w:rPr>
        <w:instrText xml:space="preserve"> HYPERLINK "http://www.cqvip.com/qk/98486A/200702/24944585.html" \t "_blank" </w:instrText>
      </w:r>
      <w:r>
        <w:rPr>
          <w:rFonts w:hint="default"/>
          <w:color w:val="auto"/>
          <w:sz w:val="24"/>
        </w:rPr>
        <w:fldChar w:fldCharType="separate"/>
      </w:r>
      <w:r>
        <w:rPr>
          <w:rFonts w:hint="default"/>
          <w:color w:val="auto"/>
          <w:sz w:val="24"/>
        </w:rPr>
        <w:t>GB 50150-2006     《电气装置安装工程电气设备交接试验标准》</w:t>
      </w:r>
      <w:r>
        <w:rPr>
          <w:rFonts w:hint="default"/>
          <w:color w:val="auto"/>
          <w:sz w:val="24"/>
        </w:rPr>
        <w:fldChar w:fldCharType="end"/>
      </w:r>
    </w:p>
    <w:p>
      <w:pPr>
        <w:spacing w:line="360" w:lineRule="auto"/>
        <w:ind w:firstLine="480" w:firstLineChars="200"/>
        <w:rPr>
          <w:rFonts w:hint="default"/>
          <w:color w:val="auto"/>
          <w:sz w:val="24"/>
        </w:rPr>
      </w:pPr>
      <w:r>
        <w:rPr>
          <w:rFonts w:hint="default"/>
          <w:color w:val="auto"/>
          <w:sz w:val="24"/>
        </w:rPr>
        <w:t>GB/T14048.1-2012  《低压开关设备和控制设备 第1部分：总则》</w:t>
      </w:r>
    </w:p>
    <w:p>
      <w:pPr>
        <w:spacing w:line="360" w:lineRule="auto"/>
        <w:ind w:firstLine="480" w:firstLineChars="200"/>
        <w:rPr>
          <w:rFonts w:hint="default"/>
          <w:color w:val="auto"/>
          <w:sz w:val="24"/>
        </w:rPr>
      </w:pPr>
      <w:r>
        <w:rPr>
          <w:rFonts w:hint="default"/>
          <w:color w:val="auto"/>
          <w:sz w:val="24"/>
        </w:rPr>
        <w:t>GB7251-2013      《低压成套开关设备和控制设备》</w:t>
      </w:r>
    </w:p>
    <w:p>
      <w:pPr>
        <w:spacing w:line="360" w:lineRule="auto"/>
        <w:ind w:firstLine="480" w:firstLineChars="200"/>
        <w:rPr>
          <w:rFonts w:hint="default" w:ascii="Times New Roman" w:hAnsi="Times New Roman" w:eastAsia="宋体" w:cs="Times New Roman"/>
          <w:color w:val="auto"/>
          <w:szCs w:val="24"/>
        </w:rPr>
      </w:pPr>
      <w:r>
        <w:rPr>
          <w:rFonts w:hint="default"/>
          <w:color w:val="auto"/>
          <w:sz w:val="24"/>
        </w:rPr>
        <w:t>GB/T 24274-2009   《低压抽出式成套开关设备和控制设备》</w:t>
      </w:r>
    </w:p>
    <w:p>
      <w:pPr>
        <w:pStyle w:val="4"/>
        <w:numPr>
          <w:ilvl w:val="2"/>
          <w:numId w:val="0"/>
        </w:numPr>
        <w:adjustRightInd w:val="0"/>
        <w:snapToGrid w:val="0"/>
        <w:spacing w:before="156" w:beforeLines="50" w:after="156" w:afterLines="50" w:line="360" w:lineRule="auto"/>
        <w:ind w:left="0" w:leftChars="0" w:firstLine="0" w:firstLineChars="0"/>
        <w:outlineLvl w:val="2"/>
        <w:rPr>
          <w:rFonts w:hint="eastAsia" w:ascii="宋体" w:hAnsi="宋体" w:eastAsia="宋体" w:cs="宋体"/>
          <w:b/>
          <w:bCs w:val="0"/>
          <w:color w:val="auto"/>
          <w:sz w:val="24"/>
          <w:szCs w:val="24"/>
          <w:lang w:val="en-US" w:eastAsia="zh-CN"/>
        </w:rPr>
      </w:pPr>
      <w:bookmarkStart w:id="43" w:name="_Toc23402"/>
      <w:bookmarkStart w:id="44" w:name="_Toc3404"/>
      <w:bookmarkStart w:id="45" w:name="_Toc3926"/>
      <w:bookmarkStart w:id="46" w:name="_Toc30534"/>
      <w:r>
        <w:rPr>
          <w:rFonts w:hint="eastAsia" w:ascii="宋体" w:eastAsia="宋体" w:cs="宋体"/>
          <w:b/>
          <w:bCs w:val="0"/>
          <w:color w:val="auto"/>
          <w:sz w:val="24"/>
          <w:szCs w:val="24"/>
          <w:lang w:val="en-US" w:eastAsia="zh-CN"/>
        </w:rPr>
        <w:t>5</w:t>
      </w:r>
      <w:r>
        <w:rPr>
          <w:rFonts w:hint="eastAsia" w:ascii="宋体" w:hAnsi="宋体" w:eastAsia="宋体" w:cs="宋体"/>
          <w:b/>
          <w:bCs w:val="0"/>
          <w:color w:val="auto"/>
          <w:sz w:val="24"/>
          <w:szCs w:val="24"/>
          <w:lang w:val="en-US" w:eastAsia="zh-CN"/>
        </w:rPr>
        <w:t>.2对产品及主要元器件的要求</w:t>
      </w:r>
      <w:bookmarkEnd w:id="43"/>
      <w:bookmarkEnd w:id="44"/>
      <w:bookmarkEnd w:id="45"/>
      <w:bookmarkEnd w:id="46"/>
    </w:p>
    <w:p>
      <w:pPr>
        <w:spacing w:line="360" w:lineRule="auto"/>
        <w:ind w:firstLine="640"/>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低压柜</w:t>
      </w:r>
      <w:r>
        <w:rPr>
          <w:rFonts w:hint="eastAsia" w:ascii="宋体" w:hAnsi="宋体" w:cs="宋体"/>
          <w:color w:val="auto"/>
          <w:sz w:val="24"/>
          <w:szCs w:val="24"/>
          <w:highlight w:val="none"/>
          <w:lang w:val="en-US" w:eastAsia="zh-CN"/>
        </w:rPr>
        <w:t>选择西门子、ABB、施耐德国内授权柜，柜内断路器选择西门子、ABB、施耐德产品。</w:t>
      </w:r>
    </w:p>
    <w:p>
      <w:pPr>
        <w:spacing w:line="360" w:lineRule="auto"/>
        <w:ind w:firstLine="64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其他</w:t>
      </w:r>
      <w:r>
        <w:rPr>
          <w:rFonts w:hint="eastAsia" w:ascii="宋体" w:hAnsi="宋体" w:eastAsia="宋体" w:cs="宋体"/>
          <w:color w:val="auto"/>
          <w:sz w:val="24"/>
          <w:szCs w:val="24"/>
        </w:rPr>
        <w:t>各类元器件应用到低压交流配电柜之前必须按照严格的导入流程通过严格的测试筛选。</w:t>
      </w:r>
    </w:p>
    <w:p>
      <w:pPr>
        <w:pStyle w:val="4"/>
        <w:numPr>
          <w:ilvl w:val="2"/>
          <w:numId w:val="0"/>
        </w:numPr>
        <w:adjustRightInd w:val="0"/>
        <w:snapToGrid w:val="0"/>
        <w:spacing w:before="156" w:beforeLines="50" w:after="156" w:afterLines="50" w:line="360" w:lineRule="auto"/>
        <w:ind w:left="0" w:leftChars="0" w:firstLine="0" w:firstLineChars="0"/>
        <w:outlineLvl w:val="2"/>
        <w:rPr>
          <w:rFonts w:hint="eastAsia" w:ascii="宋体" w:hAnsi="宋体" w:eastAsia="宋体" w:cs="宋体"/>
          <w:b/>
          <w:bCs w:val="0"/>
          <w:color w:val="auto"/>
          <w:sz w:val="24"/>
          <w:szCs w:val="24"/>
          <w:lang w:val="en-US" w:eastAsia="zh-CN"/>
        </w:rPr>
      </w:pPr>
      <w:bookmarkStart w:id="47" w:name="_Toc16627"/>
      <w:bookmarkStart w:id="48" w:name="_Toc8626"/>
      <w:bookmarkStart w:id="49" w:name="_Toc10528"/>
      <w:bookmarkStart w:id="50" w:name="_Toc17933"/>
      <w:r>
        <w:rPr>
          <w:rFonts w:hint="eastAsia" w:ascii="宋体" w:eastAsia="宋体" w:cs="宋体"/>
          <w:b/>
          <w:bCs w:val="0"/>
          <w:color w:val="auto"/>
          <w:sz w:val="24"/>
          <w:szCs w:val="24"/>
          <w:lang w:val="en-US" w:eastAsia="zh-CN"/>
        </w:rPr>
        <w:t>5</w:t>
      </w:r>
      <w:r>
        <w:rPr>
          <w:rFonts w:hint="eastAsia" w:ascii="宋体" w:hAnsi="宋体" w:eastAsia="宋体" w:cs="宋体"/>
          <w:b/>
          <w:bCs w:val="0"/>
          <w:color w:val="auto"/>
          <w:sz w:val="24"/>
          <w:szCs w:val="24"/>
          <w:lang w:val="en-US" w:eastAsia="zh-CN"/>
        </w:rPr>
        <w:t>.3对产品技术要求</w:t>
      </w:r>
      <w:bookmarkEnd w:id="47"/>
      <w:bookmarkEnd w:id="48"/>
      <w:bookmarkEnd w:id="49"/>
      <w:bookmarkEnd w:id="50"/>
    </w:p>
    <w:p>
      <w:pPr>
        <w:spacing w:line="360" w:lineRule="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（1）产品正常使用的环境条件</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1）使用环境温度：户内型为</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℃～+50℃；相对湿度≤95%，</w:t>
      </w:r>
      <w:r>
        <w:rPr>
          <w:rFonts w:hint="eastAsia" w:ascii="宋体" w:hAnsi="宋体" w:eastAsia="宋体" w:cs="宋体"/>
          <w:color w:val="auto"/>
          <w:sz w:val="24"/>
          <w:szCs w:val="24"/>
          <w:lang w:val="en-US" w:eastAsia="zh-CN"/>
        </w:rPr>
        <w:t>有</w:t>
      </w:r>
      <w:r>
        <w:rPr>
          <w:rFonts w:hint="eastAsia" w:ascii="宋体" w:hAnsi="宋体" w:eastAsia="宋体" w:cs="宋体"/>
          <w:color w:val="auto"/>
          <w:sz w:val="24"/>
          <w:szCs w:val="24"/>
        </w:rPr>
        <w:t>凝露；</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2）海拔高度：  ≤</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00m</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3）工作环境：室内</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4）无剧烈震动冲击, 垂直倾斜度≤5º；</w:t>
      </w:r>
    </w:p>
    <w:p>
      <w:pPr>
        <w:spacing w:line="360" w:lineRule="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（2）低压交流配电柜主要技术参数要求</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额定绝缘电压：660V</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额定工作电压：400V</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辅助电路的额定工作电压：AC380V或AC220V</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水平母线额定短时耐受电流：50kA（有效值）1秒</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水平母线额定峰值耐受电流：105kA</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中性母线额定短时耐受电流：50kA（有效值）1秒</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保护接地母线导体额定短时耐受电流：50kA（有效值）1秒</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开关柜的形式为：GGD(固定式)、GCK（抽屉式）、</w:t>
      </w:r>
      <w:r>
        <w:rPr>
          <w:rFonts w:hint="eastAsia" w:ascii="宋体" w:hAnsi="宋体" w:cs="宋体"/>
          <w:color w:val="auto"/>
          <w:sz w:val="24"/>
          <w:szCs w:val="24"/>
          <w:lang w:val="en-US" w:eastAsia="zh-CN"/>
        </w:rPr>
        <w:t>GCS</w:t>
      </w:r>
      <w:r>
        <w:rPr>
          <w:rFonts w:hint="eastAsia" w:ascii="宋体" w:hAnsi="宋体" w:eastAsia="宋体" w:cs="宋体"/>
          <w:color w:val="auto"/>
          <w:sz w:val="24"/>
          <w:szCs w:val="24"/>
        </w:rPr>
        <w:t>（抽屉式）</w:t>
      </w:r>
    </w:p>
    <w:p>
      <w:pPr>
        <w:spacing w:line="360" w:lineRule="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低压交流配电柜技术要求</w:t>
      </w:r>
    </w:p>
    <w:p>
      <w:pPr>
        <w:numPr>
          <w:ilvl w:val="0"/>
          <w:numId w:val="6"/>
        </w:numPr>
        <w:topLinePunct/>
        <w:spacing w:line="360" w:lineRule="auto"/>
        <w:ind w:left="0"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设备外壳平整、严密、美观、要求30年不变形、腐蚀。</w:t>
      </w:r>
    </w:p>
    <w:p>
      <w:pPr>
        <w:numPr>
          <w:ilvl w:val="0"/>
          <w:numId w:val="6"/>
        </w:numPr>
        <w:topLinePunct/>
        <w:spacing w:line="360" w:lineRule="auto"/>
        <w:ind w:left="0"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主构架采用不小于2mm厚覆铝锌钢板，内部安装灵活方便，主构架装配形式设计为全组装式结构。柜体构架及金属结构件均应有足够钢性及承载能力，能满足电气元件的安装要求及操作和短路时所产生的机械应力和热应力电动力，同时不因成套设备的吊装、运输等情况而损坏或影响开关柜及所安装元件的性能，柜内支架并可自由调节</w:t>
      </w:r>
      <w:r>
        <w:rPr>
          <w:rFonts w:hint="eastAsia" w:ascii="宋体" w:hAnsi="宋体" w:cs="宋体"/>
          <w:bCs/>
          <w:color w:val="auto"/>
          <w:sz w:val="24"/>
          <w:szCs w:val="24"/>
          <w:lang w:eastAsia="zh-CN"/>
        </w:rPr>
        <w:t>。</w:t>
      </w:r>
    </w:p>
    <w:p>
      <w:pPr>
        <w:numPr>
          <w:ilvl w:val="0"/>
          <w:numId w:val="6"/>
        </w:numPr>
        <w:topLinePunct/>
        <w:spacing w:line="360" w:lineRule="auto"/>
        <w:ind w:left="0"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低压2500A及以上进线、分段柜绝缘件安装粱采用2mm不锈钢，其余安装粱均采用2mm抗腐蚀敷铝锌钢板，采用双重折边工艺。</w:t>
      </w:r>
    </w:p>
    <w:p>
      <w:pPr>
        <w:numPr>
          <w:ilvl w:val="0"/>
          <w:numId w:val="6"/>
        </w:numPr>
        <w:topLinePunct/>
        <w:spacing w:line="360" w:lineRule="auto"/>
        <w:ind w:left="0"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柜体材料采用厚度不小于2mm的覆铝锌钢板并喷塑,颜色采用RAL7035,柜体防护等级不小于IP31。地板和墙壁均不能作为壳体的一部分，柜底采用敷铝锌板封闭，电缆孔带变径胶圈，电缆由下部引入，电缆室应有足够的空间以便安装电缆。</w:t>
      </w:r>
    </w:p>
    <w:p>
      <w:pPr>
        <w:numPr>
          <w:ilvl w:val="0"/>
          <w:numId w:val="6"/>
        </w:numPr>
        <w:spacing w:line="360" w:lineRule="auto"/>
        <w:ind w:left="0"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柜内的母线和分支接线须用T2铜材，并应满足以下要求：</w:t>
      </w:r>
    </w:p>
    <w:p>
      <w:pPr>
        <w:numPr>
          <w:ilvl w:val="0"/>
          <w:numId w:val="7"/>
        </w:num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母线连接采用高强度专用螺栓连接，接触面应镀锡，应有足够和持久接触压力。</w:t>
      </w:r>
    </w:p>
    <w:p>
      <w:pPr>
        <w:numPr>
          <w:ilvl w:val="0"/>
          <w:numId w:val="7"/>
        </w:num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母线的震动和温度变化在母线上产生的膨胀和收缩不致影响母线连接部位的接触特性。</w:t>
      </w:r>
    </w:p>
    <w:p>
      <w:pPr>
        <w:numPr>
          <w:ilvl w:val="0"/>
          <w:numId w:val="7"/>
        </w:num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母线固定应选用不饱合增强树脂（SMC）为材质制做的专用绝缘支撑件，以保证母线之间和母线与其它部件之间的安全距离和绝缘强度。</w:t>
      </w:r>
    </w:p>
    <w:p>
      <w:pPr>
        <w:numPr>
          <w:ilvl w:val="0"/>
          <w:numId w:val="7"/>
        </w:num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母线的布置和连接及绝缘支撑件应能承受装置额定短时耐受电流和额定峰值耐受电流所产生的热应力和电动力的冲击。</w:t>
      </w:r>
    </w:p>
    <w:p>
      <w:pPr>
        <w:numPr>
          <w:ilvl w:val="0"/>
          <w:numId w:val="7"/>
        </w:num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母线穿过金属隔板之外，应设计绝缘强度、机械强度符合要求、且安装简单而又牢固、可靠的绝缘套管和其它绝缘件。</w:t>
      </w:r>
    </w:p>
    <w:p>
      <w:pPr>
        <w:numPr>
          <w:ilvl w:val="0"/>
          <w:numId w:val="7"/>
        </w:num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每台柜内母线相对独立，适于现场安装，柜间母线连接设计有专用的连接板。</w:t>
      </w:r>
    </w:p>
    <w:p>
      <w:pPr>
        <w:numPr>
          <w:ilvl w:val="0"/>
          <w:numId w:val="7"/>
        </w:num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color w:val="auto"/>
          <w:sz w:val="24"/>
          <w:szCs w:val="24"/>
        </w:rPr>
        <w:t>母线及馈出均绝缘封闭，并具有检修时能可靠验电、接地的功能，保障检修人员的人身安全</w:t>
      </w:r>
      <w:r>
        <w:rPr>
          <w:rFonts w:hint="eastAsia" w:ascii="宋体" w:hAnsi="宋体" w:eastAsia="宋体" w:cs="宋体"/>
          <w:bCs/>
          <w:color w:val="auto"/>
          <w:sz w:val="24"/>
          <w:szCs w:val="24"/>
        </w:rPr>
        <w:t>。</w:t>
      </w:r>
    </w:p>
    <w:p>
      <w:pPr>
        <w:numPr>
          <w:ilvl w:val="0"/>
          <w:numId w:val="7"/>
        </w:num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铜排其折弯应无砸痕、裂口、毛刺，符合DL/T 499的规定，其最小允许弯曲半径见DL/T 375表7。</w:t>
      </w:r>
    </w:p>
    <w:p>
      <w:pPr>
        <w:numPr>
          <w:ilvl w:val="0"/>
          <w:numId w:val="7"/>
        </w:num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导体、主母线及支线均采用矩形母线，并采用不同相色热缩套管做绝缘处理。热缩套管不得开裂和起皱，母线接头处用热缩绝缘盒封闭。绝缘热缩护套材料应具备阻燃、防腐、抗老化的要求，老化寿命不小于30年，具体试验方法和要求参照GB/T 2951.14中规定执行。</w:t>
      </w:r>
    </w:p>
    <w:p>
      <w:pPr>
        <w:numPr>
          <w:ilvl w:val="0"/>
          <w:numId w:val="0"/>
        </w:numPr>
        <w:spacing w:line="360" w:lineRule="auto"/>
        <w:ind w:leftChars="200"/>
        <w:rPr>
          <w:rFonts w:hint="eastAsia" w:ascii="宋体" w:hAnsi="宋体" w:eastAsia="宋体" w:cs="宋体"/>
          <w:bCs/>
          <w:color w:val="auto"/>
          <w:sz w:val="24"/>
          <w:szCs w:val="24"/>
        </w:rPr>
      </w:pPr>
      <w:r>
        <w:rPr>
          <w:rFonts w:hint="eastAsia" w:ascii="宋体" w:hAnsi="宋体" w:eastAsia="宋体" w:cs="宋体"/>
          <w:bCs/>
          <w:color w:val="auto"/>
          <w:sz w:val="24"/>
          <w:szCs w:val="24"/>
        </w:rPr>
        <w:t>10）导体须满足额定短时和峰值耐受电流的要求。N相（L0）母线与三相母线规格相同,PE排截面不低于相排截面的1/2。</w:t>
      </w:r>
    </w:p>
    <w:p>
      <w:pPr>
        <w:numPr>
          <w:ilvl w:val="0"/>
          <w:numId w:val="7"/>
        </w:numPr>
        <w:topLinePunct/>
        <w:adjustRightInd w:val="0"/>
        <w:snapToGrid w:val="0"/>
        <w:spacing w:line="360" w:lineRule="auto"/>
        <w:ind w:firstLine="480" w:firstLineChars="200"/>
        <w:rPr>
          <w:rFonts w:hint="eastAsia" w:ascii="宋体" w:hAnsi="宋体" w:eastAsia="宋体" w:cs="宋体"/>
          <w:snapToGrid w:val="0"/>
          <w:color w:val="auto"/>
          <w:sz w:val="24"/>
          <w:szCs w:val="24"/>
        </w:rPr>
      </w:pPr>
      <w:r>
        <w:rPr>
          <w:rFonts w:hint="eastAsia" w:ascii="宋体" w:hAnsi="宋体" w:eastAsia="宋体" w:cs="宋体"/>
          <w:bCs/>
          <w:color w:val="auto"/>
          <w:sz w:val="24"/>
          <w:szCs w:val="24"/>
        </w:rPr>
        <w:t>相序的排列参见表3。</w:t>
      </w:r>
    </w:p>
    <w:p>
      <w:pPr>
        <w:topLinePunct/>
        <w:spacing w:line="360" w:lineRule="auto"/>
        <w:ind w:left="554" w:hanging="210"/>
        <w:jc w:val="center"/>
        <w:rPr>
          <w:rFonts w:hint="eastAsia" w:ascii="宋体" w:hAnsi="宋体" w:eastAsia="宋体" w:cs="宋体"/>
          <w:color w:val="auto"/>
          <w:sz w:val="24"/>
          <w:szCs w:val="24"/>
        </w:rPr>
      </w:pPr>
      <w:r>
        <w:rPr>
          <w:rFonts w:hint="eastAsia" w:ascii="宋体" w:hAnsi="宋体" w:eastAsia="宋体" w:cs="宋体"/>
          <w:color w:val="auto"/>
          <w:sz w:val="24"/>
          <w:szCs w:val="24"/>
        </w:rPr>
        <w:t>表3　母线相序排列表</w:t>
      </w:r>
    </w:p>
    <w:tbl>
      <w:tblPr>
        <w:tblStyle w:val="22"/>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2620"/>
        <w:gridCol w:w="2492"/>
        <w:gridCol w:w="2381"/>
        <w:gridCol w:w="1918"/>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cantSplit/>
          <w:jc w:val="center"/>
        </w:trPr>
        <w:tc>
          <w:tcPr>
            <w:tcW w:w="2620" w:type="dxa"/>
            <w:tcBorders>
              <w:top w:val="single" w:color="auto" w:sz="8" w:space="0"/>
              <w:left w:val="single" w:color="auto" w:sz="8" w:space="0"/>
              <w:bottom w:val="single" w:color="auto" w:sz="4" w:space="0"/>
              <w:right w:val="single" w:color="auto" w:sz="4" w:space="0"/>
            </w:tcBorders>
            <w:noWrap w:val="0"/>
            <w:vAlign w:val="center"/>
          </w:tcPr>
          <w:p>
            <w:pPr>
              <w:topLinePunct/>
              <w:snapToGrid w:val="0"/>
              <w:spacing w:before="50" w:after="50"/>
              <w:jc w:val="center"/>
              <w:rPr>
                <w:rFonts w:hint="eastAsia" w:ascii="宋体" w:hAnsi="宋体" w:eastAsia="宋体" w:cs="宋体"/>
                <w:color w:val="auto"/>
                <w:sz w:val="21"/>
                <w:szCs w:val="21"/>
              </w:rPr>
            </w:pPr>
            <w:r>
              <w:rPr>
                <w:rFonts w:hint="eastAsia" w:ascii="宋体" w:hAnsi="宋体" w:eastAsia="宋体" w:cs="宋体"/>
                <w:color w:val="auto"/>
                <w:sz w:val="21"/>
                <w:szCs w:val="21"/>
              </w:rPr>
              <w:t>类别</w:t>
            </w:r>
          </w:p>
        </w:tc>
        <w:tc>
          <w:tcPr>
            <w:tcW w:w="2492" w:type="dxa"/>
            <w:tcBorders>
              <w:top w:val="single" w:color="auto" w:sz="8" w:space="0"/>
              <w:left w:val="single" w:color="auto" w:sz="4" w:space="0"/>
              <w:bottom w:val="single" w:color="auto" w:sz="4" w:space="0"/>
              <w:right w:val="single" w:color="auto" w:sz="4" w:space="0"/>
            </w:tcBorders>
            <w:noWrap w:val="0"/>
            <w:vAlign w:val="center"/>
          </w:tcPr>
          <w:p>
            <w:pPr>
              <w:topLinePunct/>
              <w:snapToGrid w:val="0"/>
              <w:spacing w:before="50" w:after="50"/>
              <w:jc w:val="center"/>
              <w:rPr>
                <w:rFonts w:hint="eastAsia" w:ascii="宋体" w:hAnsi="宋体" w:eastAsia="宋体" w:cs="宋体"/>
                <w:color w:val="auto"/>
                <w:sz w:val="21"/>
                <w:szCs w:val="21"/>
              </w:rPr>
            </w:pPr>
            <w:r>
              <w:rPr>
                <w:rFonts w:hint="eastAsia" w:ascii="宋体" w:hAnsi="宋体" w:eastAsia="宋体" w:cs="宋体"/>
                <w:color w:val="auto"/>
                <w:sz w:val="21"/>
                <w:szCs w:val="21"/>
              </w:rPr>
              <w:t>上下排列</w:t>
            </w:r>
          </w:p>
        </w:tc>
        <w:tc>
          <w:tcPr>
            <w:tcW w:w="2381" w:type="dxa"/>
            <w:tcBorders>
              <w:top w:val="single" w:color="auto" w:sz="8" w:space="0"/>
              <w:left w:val="single" w:color="auto" w:sz="4" w:space="0"/>
              <w:bottom w:val="single" w:color="auto" w:sz="4" w:space="0"/>
              <w:right w:val="single" w:color="auto" w:sz="4" w:space="0"/>
            </w:tcBorders>
            <w:noWrap w:val="0"/>
            <w:vAlign w:val="center"/>
          </w:tcPr>
          <w:p>
            <w:pPr>
              <w:topLinePunct/>
              <w:snapToGrid w:val="0"/>
              <w:spacing w:before="50" w:after="50"/>
              <w:jc w:val="center"/>
              <w:rPr>
                <w:rFonts w:hint="eastAsia" w:ascii="宋体" w:hAnsi="宋体" w:eastAsia="宋体" w:cs="宋体"/>
                <w:color w:val="auto"/>
                <w:sz w:val="21"/>
                <w:szCs w:val="21"/>
              </w:rPr>
            </w:pPr>
            <w:r>
              <w:rPr>
                <w:rFonts w:hint="eastAsia" w:ascii="宋体" w:hAnsi="宋体" w:eastAsia="宋体" w:cs="宋体"/>
                <w:color w:val="auto"/>
                <w:sz w:val="21"/>
                <w:szCs w:val="21"/>
              </w:rPr>
              <w:t>左右排列</w:t>
            </w:r>
          </w:p>
        </w:tc>
        <w:tc>
          <w:tcPr>
            <w:tcW w:w="1918" w:type="dxa"/>
            <w:tcBorders>
              <w:top w:val="single" w:color="auto" w:sz="8" w:space="0"/>
              <w:left w:val="single" w:color="auto" w:sz="4" w:space="0"/>
              <w:bottom w:val="single" w:color="auto" w:sz="4" w:space="0"/>
              <w:right w:val="single" w:color="auto" w:sz="8" w:space="0"/>
            </w:tcBorders>
            <w:noWrap w:val="0"/>
            <w:vAlign w:val="center"/>
          </w:tcPr>
          <w:p>
            <w:pPr>
              <w:topLinePunct/>
              <w:snapToGrid w:val="0"/>
              <w:spacing w:before="50" w:after="50"/>
              <w:jc w:val="center"/>
              <w:rPr>
                <w:rFonts w:hint="eastAsia" w:ascii="宋体" w:hAnsi="宋体" w:eastAsia="宋体" w:cs="宋体"/>
                <w:color w:val="auto"/>
                <w:sz w:val="21"/>
                <w:szCs w:val="21"/>
              </w:rPr>
            </w:pPr>
            <w:r>
              <w:rPr>
                <w:rFonts w:hint="eastAsia" w:ascii="宋体" w:hAnsi="宋体" w:eastAsia="宋体" w:cs="宋体"/>
                <w:color w:val="auto"/>
                <w:sz w:val="21"/>
                <w:szCs w:val="21"/>
              </w:rPr>
              <w:t>前后排列</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620" w:type="dxa"/>
            <w:tcBorders>
              <w:top w:val="single" w:color="auto" w:sz="4" w:space="0"/>
              <w:left w:val="single" w:color="auto" w:sz="8" w:space="0"/>
              <w:bottom w:val="single" w:color="auto" w:sz="4" w:space="0"/>
              <w:right w:val="single" w:color="auto" w:sz="4" w:space="0"/>
            </w:tcBorders>
            <w:noWrap w:val="0"/>
            <w:vAlign w:val="center"/>
          </w:tcPr>
          <w:p>
            <w:pPr>
              <w:topLinePunct/>
              <w:snapToGrid w:val="0"/>
              <w:spacing w:before="50" w:after="50"/>
              <w:jc w:val="center"/>
              <w:rPr>
                <w:rFonts w:hint="eastAsia" w:ascii="宋体" w:hAnsi="宋体" w:eastAsia="宋体" w:cs="宋体"/>
                <w:color w:val="auto"/>
                <w:sz w:val="21"/>
                <w:szCs w:val="21"/>
              </w:rPr>
            </w:pPr>
            <w:r>
              <w:rPr>
                <w:rFonts w:hint="eastAsia" w:ascii="宋体" w:hAnsi="宋体" w:eastAsia="宋体" w:cs="宋体"/>
                <w:color w:val="auto"/>
                <w:sz w:val="21"/>
                <w:szCs w:val="21"/>
              </w:rPr>
              <w:t>A相</w:t>
            </w:r>
          </w:p>
        </w:tc>
        <w:tc>
          <w:tcPr>
            <w:tcW w:w="2492" w:type="dxa"/>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50" w:after="50"/>
              <w:jc w:val="center"/>
              <w:rPr>
                <w:rFonts w:hint="eastAsia" w:ascii="宋体" w:hAnsi="宋体" w:eastAsia="宋体" w:cs="宋体"/>
                <w:color w:val="auto"/>
                <w:sz w:val="21"/>
                <w:szCs w:val="21"/>
              </w:rPr>
            </w:pPr>
            <w:r>
              <w:rPr>
                <w:rFonts w:hint="eastAsia" w:ascii="宋体" w:hAnsi="宋体" w:eastAsia="宋体" w:cs="宋体"/>
                <w:color w:val="auto"/>
                <w:sz w:val="21"/>
                <w:szCs w:val="21"/>
              </w:rPr>
              <w:t>上</w:t>
            </w:r>
          </w:p>
        </w:tc>
        <w:tc>
          <w:tcPr>
            <w:tcW w:w="2381" w:type="dxa"/>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50" w:after="50"/>
              <w:jc w:val="center"/>
              <w:rPr>
                <w:rFonts w:hint="eastAsia" w:ascii="宋体" w:hAnsi="宋体" w:eastAsia="宋体" w:cs="宋体"/>
                <w:color w:val="auto"/>
                <w:sz w:val="21"/>
                <w:szCs w:val="21"/>
              </w:rPr>
            </w:pPr>
            <w:r>
              <w:rPr>
                <w:rFonts w:hint="eastAsia" w:ascii="宋体" w:hAnsi="宋体" w:eastAsia="宋体" w:cs="宋体"/>
                <w:color w:val="auto"/>
                <w:sz w:val="21"/>
                <w:szCs w:val="21"/>
              </w:rPr>
              <w:t>左</w:t>
            </w:r>
          </w:p>
        </w:tc>
        <w:tc>
          <w:tcPr>
            <w:tcW w:w="1918" w:type="dxa"/>
            <w:tcBorders>
              <w:top w:val="single" w:color="auto" w:sz="4" w:space="0"/>
              <w:left w:val="single" w:color="auto" w:sz="4" w:space="0"/>
              <w:bottom w:val="single" w:color="auto" w:sz="4" w:space="0"/>
              <w:right w:val="single" w:color="auto" w:sz="8" w:space="0"/>
            </w:tcBorders>
            <w:noWrap w:val="0"/>
            <w:vAlign w:val="center"/>
          </w:tcPr>
          <w:p>
            <w:pPr>
              <w:topLinePunct/>
              <w:snapToGrid w:val="0"/>
              <w:spacing w:before="50" w:after="50"/>
              <w:jc w:val="center"/>
              <w:rPr>
                <w:rFonts w:hint="eastAsia" w:ascii="宋体" w:hAnsi="宋体" w:eastAsia="宋体" w:cs="宋体"/>
                <w:color w:val="auto"/>
                <w:sz w:val="21"/>
                <w:szCs w:val="21"/>
              </w:rPr>
            </w:pPr>
            <w:r>
              <w:rPr>
                <w:rFonts w:hint="eastAsia" w:ascii="宋体" w:hAnsi="宋体" w:eastAsia="宋体" w:cs="宋体"/>
                <w:color w:val="auto"/>
                <w:sz w:val="21"/>
                <w:szCs w:val="21"/>
              </w:rPr>
              <w:t>远</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620" w:type="dxa"/>
            <w:tcBorders>
              <w:top w:val="single" w:color="auto" w:sz="4" w:space="0"/>
              <w:left w:val="single" w:color="auto" w:sz="8" w:space="0"/>
              <w:bottom w:val="single" w:color="auto" w:sz="4" w:space="0"/>
              <w:right w:val="single" w:color="auto" w:sz="4" w:space="0"/>
            </w:tcBorders>
            <w:noWrap w:val="0"/>
            <w:vAlign w:val="center"/>
          </w:tcPr>
          <w:p>
            <w:pPr>
              <w:topLinePunct/>
              <w:snapToGrid w:val="0"/>
              <w:spacing w:before="50" w:after="50"/>
              <w:jc w:val="center"/>
              <w:rPr>
                <w:rFonts w:hint="eastAsia" w:ascii="宋体" w:hAnsi="宋体" w:eastAsia="宋体" w:cs="宋体"/>
                <w:color w:val="auto"/>
                <w:sz w:val="21"/>
                <w:szCs w:val="21"/>
              </w:rPr>
            </w:pPr>
            <w:r>
              <w:rPr>
                <w:rFonts w:hint="eastAsia" w:ascii="宋体" w:hAnsi="宋体" w:eastAsia="宋体" w:cs="宋体"/>
                <w:color w:val="auto"/>
                <w:sz w:val="21"/>
                <w:szCs w:val="21"/>
              </w:rPr>
              <w:t>B相</w:t>
            </w:r>
          </w:p>
        </w:tc>
        <w:tc>
          <w:tcPr>
            <w:tcW w:w="2492" w:type="dxa"/>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50" w:after="50"/>
              <w:jc w:val="center"/>
              <w:rPr>
                <w:rFonts w:hint="eastAsia" w:ascii="宋体" w:hAnsi="宋体" w:eastAsia="宋体" w:cs="宋体"/>
                <w:color w:val="auto"/>
                <w:sz w:val="21"/>
                <w:szCs w:val="21"/>
              </w:rPr>
            </w:pPr>
            <w:r>
              <w:rPr>
                <w:rFonts w:hint="eastAsia" w:ascii="宋体" w:hAnsi="宋体" w:eastAsia="宋体" w:cs="宋体"/>
                <w:color w:val="auto"/>
                <w:sz w:val="21"/>
                <w:szCs w:val="21"/>
              </w:rPr>
              <w:t>中</w:t>
            </w:r>
          </w:p>
        </w:tc>
        <w:tc>
          <w:tcPr>
            <w:tcW w:w="2381" w:type="dxa"/>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50" w:after="50"/>
              <w:jc w:val="center"/>
              <w:rPr>
                <w:rFonts w:hint="eastAsia" w:ascii="宋体" w:hAnsi="宋体" w:eastAsia="宋体" w:cs="宋体"/>
                <w:color w:val="auto"/>
                <w:sz w:val="21"/>
                <w:szCs w:val="21"/>
              </w:rPr>
            </w:pPr>
            <w:r>
              <w:rPr>
                <w:rFonts w:hint="eastAsia" w:ascii="宋体" w:hAnsi="宋体" w:eastAsia="宋体" w:cs="宋体"/>
                <w:color w:val="auto"/>
                <w:sz w:val="21"/>
                <w:szCs w:val="21"/>
              </w:rPr>
              <w:t>中</w:t>
            </w:r>
          </w:p>
        </w:tc>
        <w:tc>
          <w:tcPr>
            <w:tcW w:w="1918" w:type="dxa"/>
            <w:tcBorders>
              <w:top w:val="single" w:color="auto" w:sz="4" w:space="0"/>
              <w:left w:val="single" w:color="auto" w:sz="4" w:space="0"/>
              <w:bottom w:val="single" w:color="auto" w:sz="4" w:space="0"/>
              <w:right w:val="single" w:color="auto" w:sz="8" w:space="0"/>
            </w:tcBorders>
            <w:noWrap w:val="0"/>
            <w:vAlign w:val="center"/>
          </w:tcPr>
          <w:p>
            <w:pPr>
              <w:topLinePunct/>
              <w:snapToGrid w:val="0"/>
              <w:spacing w:before="50" w:after="50"/>
              <w:jc w:val="center"/>
              <w:rPr>
                <w:rFonts w:hint="eastAsia" w:ascii="宋体" w:hAnsi="宋体" w:eastAsia="宋体" w:cs="宋体"/>
                <w:color w:val="auto"/>
                <w:sz w:val="21"/>
                <w:szCs w:val="21"/>
              </w:rPr>
            </w:pPr>
            <w:r>
              <w:rPr>
                <w:rFonts w:hint="eastAsia" w:ascii="宋体" w:hAnsi="宋体" w:eastAsia="宋体" w:cs="宋体"/>
                <w:color w:val="auto"/>
                <w:sz w:val="21"/>
                <w:szCs w:val="21"/>
              </w:rPr>
              <w:t>中</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620" w:type="dxa"/>
            <w:tcBorders>
              <w:top w:val="single" w:color="auto" w:sz="4" w:space="0"/>
              <w:left w:val="single" w:color="auto" w:sz="8" w:space="0"/>
              <w:bottom w:val="single" w:color="auto" w:sz="4" w:space="0"/>
              <w:right w:val="single" w:color="auto" w:sz="4" w:space="0"/>
            </w:tcBorders>
            <w:noWrap w:val="0"/>
            <w:vAlign w:val="center"/>
          </w:tcPr>
          <w:p>
            <w:pPr>
              <w:topLinePunct/>
              <w:snapToGrid w:val="0"/>
              <w:spacing w:before="50" w:after="50"/>
              <w:jc w:val="center"/>
              <w:rPr>
                <w:rFonts w:hint="eastAsia" w:ascii="宋体" w:hAnsi="宋体" w:eastAsia="宋体" w:cs="宋体"/>
                <w:color w:val="auto"/>
                <w:sz w:val="21"/>
                <w:szCs w:val="21"/>
              </w:rPr>
            </w:pPr>
            <w:r>
              <w:rPr>
                <w:rFonts w:hint="eastAsia" w:ascii="宋体" w:hAnsi="宋体" w:eastAsia="宋体" w:cs="宋体"/>
                <w:color w:val="auto"/>
                <w:sz w:val="21"/>
                <w:szCs w:val="21"/>
              </w:rPr>
              <w:t>C相</w:t>
            </w:r>
          </w:p>
        </w:tc>
        <w:tc>
          <w:tcPr>
            <w:tcW w:w="2492" w:type="dxa"/>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50" w:after="50"/>
              <w:jc w:val="center"/>
              <w:rPr>
                <w:rFonts w:hint="eastAsia" w:ascii="宋体" w:hAnsi="宋体" w:eastAsia="宋体" w:cs="宋体"/>
                <w:color w:val="auto"/>
                <w:sz w:val="21"/>
                <w:szCs w:val="21"/>
              </w:rPr>
            </w:pPr>
            <w:r>
              <w:rPr>
                <w:rFonts w:hint="eastAsia" w:ascii="宋体" w:hAnsi="宋体" w:eastAsia="宋体" w:cs="宋体"/>
                <w:color w:val="auto"/>
                <w:sz w:val="21"/>
                <w:szCs w:val="21"/>
              </w:rPr>
              <w:t>下</w:t>
            </w:r>
          </w:p>
        </w:tc>
        <w:tc>
          <w:tcPr>
            <w:tcW w:w="2381" w:type="dxa"/>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50" w:after="50"/>
              <w:jc w:val="center"/>
              <w:rPr>
                <w:rFonts w:hint="eastAsia" w:ascii="宋体" w:hAnsi="宋体" w:eastAsia="宋体" w:cs="宋体"/>
                <w:color w:val="auto"/>
                <w:sz w:val="21"/>
                <w:szCs w:val="21"/>
              </w:rPr>
            </w:pPr>
            <w:r>
              <w:rPr>
                <w:rFonts w:hint="eastAsia" w:ascii="宋体" w:hAnsi="宋体" w:eastAsia="宋体" w:cs="宋体"/>
                <w:color w:val="auto"/>
                <w:sz w:val="21"/>
                <w:szCs w:val="21"/>
              </w:rPr>
              <w:t>右</w:t>
            </w:r>
          </w:p>
        </w:tc>
        <w:tc>
          <w:tcPr>
            <w:tcW w:w="1918" w:type="dxa"/>
            <w:tcBorders>
              <w:top w:val="single" w:color="auto" w:sz="4" w:space="0"/>
              <w:left w:val="single" w:color="auto" w:sz="4" w:space="0"/>
              <w:bottom w:val="single" w:color="auto" w:sz="4" w:space="0"/>
              <w:right w:val="single" w:color="auto" w:sz="8" w:space="0"/>
            </w:tcBorders>
            <w:noWrap w:val="0"/>
            <w:vAlign w:val="center"/>
          </w:tcPr>
          <w:p>
            <w:pPr>
              <w:topLinePunct/>
              <w:snapToGrid w:val="0"/>
              <w:spacing w:before="50" w:after="50"/>
              <w:jc w:val="center"/>
              <w:rPr>
                <w:rFonts w:hint="eastAsia" w:ascii="宋体" w:hAnsi="宋体" w:eastAsia="宋体" w:cs="宋体"/>
                <w:color w:val="auto"/>
                <w:sz w:val="21"/>
                <w:szCs w:val="21"/>
              </w:rPr>
            </w:pPr>
            <w:r>
              <w:rPr>
                <w:rFonts w:hint="eastAsia" w:ascii="宋体" w:hAnsi="宋体" w:eastAsia="宋体" w:cs="宋体"/>
                <w:color w:val="auto"/>
                <w:sz w:val="21"/>
                <w:szCs w:val="21"/>
              </w:rPr>
              <w:t>近</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620" w:type="dxa"/>
            <w:tcBorders>
              <w:top w:val="single" w:color="auto" w:sz="4" w:space="0"/>
              <w:left w:val="single" w:color="auto" w:sz="8" w:space="0"/>
              <w:bottom w:val="single" w:color="auto" w:sz="8" w:space="0"/>
              <w:right w:val="single" w:color="auto" w:sz="4" w:space="0"/>
            </w:tcBorders>
            <w:noWrap w:val="0"/>
            <w:vAlign w:val="center"/>
          </w:tcPr>
          <w:p>
            <w:pPr>
              <w:topLinePunct/>
              <w:snapToGrid w:val="0"/>
              <w:spacing w:before="50" w:after="50"/>
              <w:jc w:val="center"/>
              <w:rPr>
                <w:rFonts w:hint="eastAsia" w:ascii="宋体" w:hAnsi="宋体" w:eastAsia="宋体" w:cs="宋体"/>
                <w:color w:val="auto"/>
                <w:sz w:val="21"/>
                <w:szCs w:val="21"/>
              </w:rPr>
            </w:pPr>
            <w:r>
              <w:rPr>
                <w:rFonts w:hint="eastAsia" w:ascii="宋体" w:hAnsi="宋体" w:eastAsia="宋体" w:cs="宋体"/>
                <w:color w:val="auto"/>
                <w:sz w:val="21"/>
                <w:szCs w:val="21"/>
              </w:rPr>
              <w:t>中性线、中性保护线</w:t>
            </w:r>
          </w:p>
        </w:tc>
        <w:tc>
          <w:tcPr>
            <w:tcW w:w="2492" w:type="dxa"/>
            <w:tcBorders>
              <w:top w:val="single" w:color="auto" w:sz="4" w:space="0"/>
              <w:left w:val="single" w:color="auto" w:sz="4" w:space="0"/>
              <w:bottom w:val="single" w:color="auto" w:sz="8" w:space="0"/>
              <w:right w:val="single" w:color="auto" w:sz="4" w:space="0"/>
            </w:tcBorders>
            <w:noWrap w:val="0"/>
            <w:vAlign w:val="center"/>
          </w:tcPr>
          <w:p>
            <w:pPr>
              <w:topLinePunct/>
              <w:snapToGrid w:val="0"/>
              <w:spacing w:before="50" w:after="50"/>
              <w:jc w:val="center"/>
              <w:rPr>
                <w:rFonts w:hint="eastAsia" w:ascii="宋体" w:hAnsi="宋体" w:eastAsia="宋体" w:cs="宋体"/>
                <w:color w:val="auto"/>
                <w:sz w:val="21"/>
                <w:szCs w:val="21"/>
              </w:rPr>
            </w:pPr>
            <w:r>
              <w:rPr>
                <w:rFonts w:hint="eastAsia" w:ascii="宋体" w:hAnsi="宋体" w:eastAsia="宋体" w:cs="宋体"/>
                <w:color w:val="auto"/>
                <w:sz w:val="21"/>
                <w:szCs w:val="21"/>
              </w:rPr>
              <w:t>最下</w:t>
            </w:r>
          </w:p>
        </w:tc>
        <w:tc>
          <w:tcPr>
            <w:tcW w:w="2381" w:type="dxa"/>
            <w:tcBorders>
              <w:top w:val="single" w:color="auto" w:sz="4" w:space="0"/>
              <w:left w:val="single" w:color="auto" w:sz="4" w:space="0"/>
              <w:bottom w:val="single" w:color="auto" w:sz="8" w:space="0"/>
              <w:right w:val="single" w:color="auto" w:sz="4" w:space="0"/>
            </w:tcBorders>
            <w:noWrap w:val="0"/>
            <w:vAlign w:val="center"/>
          </w:tcPr>
          <w:p>
            <w:pPr>
              <w:topLinePunct/>
              <w:snapToGrid w:val="0"/>
              <w:spacing w:before="50" w:after="50"/>
              <w:jc w:val="center"/>
              <w:rPr>
                <w:rFonts w:hint="eastAsia" w:ascii="宋体" w:hAnsi="宋体" w:eastAsia="宋体" w:cs="宋体"/>
                <w:color w:val="auto"/>
                <w:sz w:val="21"/>
                <w:szCs w:val="21"/>
              </w:rPr>
            </w:pPr>
            <w:r>
              <w:rPr>
                <w:rFonts w:hint="eastAsia" w:ascii="宋体" w:hAnsi="宋体" w:eastAsia="宋体" w:cs="宋体"/>
                <w:color w:val="auto"/>
                <w:sz w:val="21"/>
                <w:szCs w:val="21"/>
              </w:rPr>
              <w:t>最右</w:t>
            </w:r>
          </w:p>
        </w:tc>
        <w:tc>
          <w:tcPr>
            <w:tcW w:w="1918" w:type="dxa"/>
            <w:tcBorders>
              <w:top w:val="single" w:color="auto" w:sz="4" w:space="0"/>
              <w:left w:val="single" w:color="auto" w:sz="4" w:space="0"/>
              <w:bottom w:val="single" w:color="auto" w:sz="8" w:space="0"/>
              <w:right w:val="single" w:color="auto" w:sz="8" w:space="0"/>
            </w:tcBorders>
            <w:noWrap w:val="0"/>
            <w:vAlign w:val="center"/>
          </w:tcPr>
          <w:p>
            <w:pPr>
              <w:topLinePunct/>
              <w:snapToGrid w:val="0"/>
              <w:spacing w:before="50" w:after="50"/>
              <w:jc w:val="center"/>
              <w:rPr>
                <w:rFonts w:hint="eastAsia" w:ascii="宋体" w:hAnsi="宋体" w:eastAsia="宋体" w:cs="宋体"/>
                <w:color w:val="auto"/>
                <w:sz w:val="21"/>
                <w:szCs w:val="21"/>
              </w:rPr>
            </w:pPr>
            <w:r>
              <w:rPr>
                <w:rFonts w:hint="eastAsia" w:ascii="宋体" w:hAnsi="宋体" w:eastAsia="宋体" w:cs="宋体"/>
                <w:color w:val="auto"/>
                <w:sz w:val="21"/>
                <w:szCs w:val="21"/>
              </w:rPr>
              <w:t>最近</w:t>
            </w:r>
          </w:p>
        </w:tc>
      </w:tr>
    </w:tbl>
    <w:p>
      <w:pPr>
        <w:numPr>
          <w:ilvl w:val="0"/>
          <w:numId w:val="7"/>
        </w:numPr>
        <w:topLinePunct/>
        <w:adjustRightInd w:val="0"/>
        <w:snapToGrid w:val="0"/>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母线相色参见表5。</w:t>
      </w:r>
    </w:p>
    <w:p>
      <w:pPr>
        <w:topLinePunct/>
        <w:adjustRightInd w:val="0"/>
        <w:snapToGrid w:val="0"/>
        <w:spacing w:line="360" w:lineRule="auto"/>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表5　电工成套装置中的母线相色</w:t>
      </w:r>
    </w:p>
    <w:tbl>
      <w:tblPr>
        <w:tblStyle w:val="22"/>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4705"/>
        <w:gridCol w:w="4706"/>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blHeader/>
          <w:jc w:val="center"/>
        </w:trPr>
        <w:tc>
          <w:tcPr>
            <w:tcW w:w="4705" w:type="dxa"/>
            <w:tcBorders>
              <w:top w:val="single" w:color="auto" w:sz="8" w:space="0"/>
              <w:left w:val="single" w:color="auto" w:sz="8" w:space="0"/>
              <w:bottom w:val="single" w:color="auto" w:sz="4" w:space="0"/>
              <w:right w:val="single" w:color="auto" w:sz="4" w:space="0"/>
            </w:tcBorders>
            <w:noWrap w:val="0"/>
            <w:vAlign w:val="center"/>
          </w:tcPr>
          <w:p>
            <w:pPr>
              <w:topLinePunct/>
              <w:snapToGrid w:val="0"/>
              <w:spacing w:before="56" w:after="56"/>
              <w:jc w:val="center"/>
              <w:rPr>
                <w:rFonts w:hint="eastAsia" w:ascii="宋体" w:hAnsi="宋体" w:eastAsia="宋体" w:cs="宋体"/>
                <w:color w:val="auto"/>
                <w:sz w:val="21"/>
                <w:szCs w:val="21"/>
              </w:rPr>
            </w:pPr>
            <w:r>
              <w:rPr>
                <w:rFonts w:hint="eastAsia" w:ascii="宋体" w:hAnsi="宋体" w:eastAsia="宋体" w:cs="宋体"/>
                <w:color w:val="auto"/>
                <w:sz w:val="21"/>
                <w:szCs w:val="21"/>
              </w:rPr>
              <w:t>颜　　色</w:t>
            </w:r>
          </w:p>
        </w:tc>
        <w:tc>
          <w:tcPr>
            <w:tcW w:w="4706" w:type="dxa"/>
            <w:tcBorders>
              <w:top w:val="single" w:color="auto" w:sz="8" w:space="0"/>
              <w:left w:val="single" w:color="auto" w:sz="4" w:space="0"/>
              <w:bottom w:val="single" w:color="auto" w:sz="4" w:space="0"/>
              <w:right w:val="single" w:color="auto" w:sz="8" w:space="0"/>
            </w:tcBorders>
            <w:noWrap w:val="0"/>
            <w:vAlign w:val="center"/>
          </w:tcPr>
          <w:p>
            <w:pPr>
              <w:topLinePunct/>
              <w:snapToGrid w:val="0"/>
              <w:spacing w:before="56" w:after="56"/>
              <w:jc w:val="center"/>
              <w:rPr>
                <w:rFonts w:hint="eastAsia" w:ascii="宋体" w:hAnsi="宋体" w:eastAsia="宋体" w:cs="宋体"/>
                <w:color w:val="auto"/>
                <w:sz w:val="21"/>
                <w:szCs w:val="21"/>
              </w:rPr>
            </w:pPr>
            <w:r>
              <w:rPr>
                <w:rFonts w:hint="eastAsia" w:ascii="宋体" w:hAnsi="宋体" w:eastAsia="宋体" w:cs="宋体"/>
                <w:color w:val="auto"/>
                <w:sz w:val="21"/>
                <w:szCs w:val="21"/>
              </w:rPr>
              <w:t>用　　途</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4705" w:type="dxa"/>
            <w:tcBorders>
              <w:top w:val="single" w:color="auto" w:sz="4" w:space="0"/>
              <w:left w:val="single" w:color="auto" w:sz="8" w:space="0"/>
              <w:bottom w:val="single" w:color="auto" w:sz="4" w:space="0"/>
              <w:right w:val="single" w:color="auto" w:sz="4" w:space="0"/>
            </w:tcBorders>
            <w:noWrap w:val="0"/>
            <w:vAlign w:val="center"/>
          </w:tcPr>
          <w:p>
            <w:pPr>
              <w:topLinePunct/>
              <w:snapToGrid w:val="0"/>
              <w:spacing w:before="56" w:after="56"/>
              <w:jc w:val="center"/>
              <w:rPr>
                <w:rFonts w:hint="eastAsia" w:ascii="宋体" w:hAnsi="宋体" w:eastAsia="宋体" w:cs="宋体"/>
                <w:color w:val="auto"/>
                <w:sz w:val="21"/>
                <w:szCs w:val="21"/>
              </w:rPr>
            </w:pPr>
            <w:r>
              <w:rPr>
                <w:rFonts w:hint="eastAsia" w:ascii="宋体" w:hAnsi="宋体" w:eastAsia="宋体" w:cs="宋体"/>
                <w:color w:val="auto"/>
                <w:sz w:val="21"/>
                <w:szCs w:val="21"/>
              </w:rPr>
              <w:t>黄</w:t>
            </w:r>
          </w:p>
        </w:tc>
        <w:tc>
          <w:tcPr>
            <w:tcW w:w="4706" w:type="dxa"/>
            <w:tcBorders>
              <w:top w:val="single" w:color="auto" w:sz="4" w:space="0"/>
              <w:left w:val="single" w:color="auto" w:sz="4" w:space="0"/>
              <w:bottom w:val="single" w:color="auto" w:sz="4" w:space="0"/>
              <w:right w:val="single" w:color="auto" w:sz="8" w:space="0"/>
            </w:tcBorders>
            <w:noWrap w:val="0"/>
            <w:vAlign w:val="center"/>
          </w:tcPr>
          <w:p>
            <w:pPr>
              <w:topLinePunct/>
              <w:snapToGrid w:val="0"/>
              <w:spacing w:before="56" w:after="56"/>
              <w:jc w:val="center"/>
              <w:rPr>
                <w:rFonts w:hint="eastAsia" w:ascii="宋体" w:hAnsi="宋体" w:eastAsia="宋体" w:cs="宋体"/>
                <w:color w:val="auto"/>
                <w:sz w:val="21"/>
                <w:szCs w:val="21"/>
              </w:rPr>
            </w:pPr>
            <w:r>
              <w:rPr>
                <w:rFonts w:hint="eastAsia" w:ascii="宋体" w:hAnsi="宋体" w:eastAsia="宋体" w:cs="宋体"/>
                <w:color w:val="auto"/>
                <w:sz w:val="21"/>
                <w:szCs w:val="21"/>
              </w:rPr>
              <w:t>交流A相线</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4705" w:type="dxa"/>
            <w:tcBorders>
              <w:top w:val="single" w:color="auto" w:sz="4" w:space="0"/>
              <w:left w:val="single" w:color="auto" w:sz="8" w:space="0"/>
              <w:bottom w:val="single" w:color="auto" w:sz="4" w:space="0"/>
              <w:right w:val="single" w:color="auto" w:sz="4" w:space="0"/>
            </w:tcBorders>
            <w:noWrap w:val="0"/>
            <w:vAlign w:val="center"/>
          </w:tcPr>
          <w:p>
            <w:pPr>
              <w:topLinePunct/>
              <w:snapToGrid w:val="0"/>
              <w:spacing w:before="56" w:after="56"/>
              <w:jc w:val="center"/>
              <w:rPr>
                <w:rFonts w:hint="eastAsia" w:ascii="宋体" w:hAnsi="宋体" w:eastAsia="宋体" w:cs="宋体"/>
                <w:color w:val="auto"/>
                <w:sz w:val="21"/>
                <w:szCs w:val="21"/>
              </w:rPr>
            </w:pPr>
            <w:r>
              <w:rPr>
                <w:rFonts w:hint="eastAsia" w:ascii="宋体" w:hAnsi="宋体" w:eastAsia="宋体" w:cs="宋体"/>
                <w:color w:val="auto"/>
                <w:sz w:val="21"/>
                <w:szCs w:val="21"/>
              </w:rPr>
              <w:t>绿</w:t>
            </w:r>
          </w:p>
        </w:tc>
        <w:tc>
          <w:tcPr>
            <w:tcW w:w="4706" w:type="dxa"/>
            <w:tcBorders>
              <w:top w:val="single" w:color="auto" w:sz="4" w:space="0"/>
              <w:left w:val="single" w:color="auto" w:sz="4" w:space="0"/>
              <w:bottom w:val="single" w:color="auto" w:sz="4" w:space="0"/>
              <w:right w:val="single" w:color="auto" w:sz="8" w:space="0"/>
            </w:tcBorders>
            <w:noWrap w:val="0"/>
            <w:vAlign w:val="center"/>
          </w:tcPr>
          <w:p>
            <w:pPr>
              <w:topLinePunct/>
              <w:snapToGrid w:val="0"/>
              <w:spacing w:before="56" w:after="56"/>
              <w:jc w:val="center"/>
              <w:rPr>
                <w:rFonts w:hint="eastAsia" w:ascii="宋体" w:hAnsi="宋体" w:eastAsia="宋体" w:cs="宋体"/>
                <w:color w:val="auto"/>
                <w:sz w:val="21"/>
                <w:szCs w:val="21"/>
              </w:rPr>
            </w:pPr>
            <w:r>
              <w:rPr>
                <w:rFonts w:hint="eastAsia" w:ascii="宋体" w:hAnsi="宋体" w:eastAsia="宋体" w:cs="宋体"/>
                <w:color w:val="auto"/>
                <w:sz w:val="21"/>
                <w:szCs w:val="21"/>
              </w:rPr>
              <w:t>交流B相线</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4705" w:type="dxa"/>
            <w:tcBorders>
              <w:top w:val="single" w:color="auto" w:sz="4" w:space="0"/>
              <w:left w:val="single" w:color="auto" w:sz="8" w:space="0"/>
              <w:bottom w:val="single" w:color="auto" w:sz="4" w:space="0"/>
              <w:right w:val="single" w:color="auto" w:sz="4" w:space="0"/>
            </w:tcBorders>
            <w:noWrap w:val="0"/>
            <w:vAlign w:val="center"/>
          </w:tcPr>
          <w:p>
            <w:pPr>
              <w:topLinePunct/>
              <w:snapToGrid w:val="0"/>
              <w:spacing w:before="56" w:after="56"/>
              <w:jc w:val="center"/>
              <w:rPr>
                <w:rFonts w:hint="eastAsia" w:ascii="宋体" w:hAnsi="宋体" w:eastAsia="宋体" w:cs="宋体"/>
                <w:color w:val="auto"/>
                <w:sz w:val="21"/>
                <w:szCs w:val="21"/>
              </w:rPr>
            </w:pPr>
            <w:r>
              <w:rPr>
                <w:rFonts w:hint="eastAsia" w:ascii="宋体" w:hAnsi="宋体" w:eastAsia="宋体" w:cs="宋体"/>
                <w:color w:val="auto"/>
                <w:sz w:val="21"/>
                <w:szCs w:val="21"/>
              </w:rPr>
              <w:t>红</w:t>
            </w:r>
          </w:p>
        </w:tc>
        <w:tc>
          <w:tcPr>
            <w:tcW w:w="4706" w:type="dxa"/>
            <w:tcBorders>
              <w:top w:val="single" w:color="auto" w:sz="4" w:space="0"/>
              <w:left w:val="single" w:color="auto" w:sz="4" w:space="0"/>
              <w:bottom w:val="single" w:color="auto" w:sz="4" w:space="0"/>
              <w:right w:val="single" w:color="auto" w:sz="8" w:space="0"/>
            </w:tcBorders>
            <w:noWrap w:val="0"/>
            <w:vAlign w:val="center"/>
          </w:tcPr>
          <w:p>
            <w:pPr>
              <w:topLinePunct/>
              <w:snapToGrid w:val="0"/>
              <w:spacing w:before="56" w:after="56"/>
              <w:jc w:val="center"/>
              <w:rPr>
                <w:rFonts w:hint="eastAsia" w:ascii="宋体" w:hAnsi="宋体" w:eastAsia="宋体" w:cs="宋体"/>
                <w:color w:val="auto"/>
                <w:sz w:val="21"/>
                <w:szCs w:val="21"/>
              </w:rPr>
            </w:pPr>
            <w:r>
              <w:rPr>
                <w:rFonts w:hint="eastAsia" w:ascii="宋体" w:hAnsi="宋体" w:eastAsia="宋体" w:cs="宋体"/>
                <w:color w:val="auto"/>
                <w:sz w:val="21"/>
                <w:szCs w:val="21"/>
              </w:rPr>
              <w:t>交流C相线</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4705" w:type="dxa"/>
            <w:tcBorders>
              <w:top w:val="single" w:color="auto" w:sz="4" w:space="0"/>
              <w:left w:val="single" w:color="auto" w:sz="8" w:space="0"/>
              <w:bottom w:val="single" w:color="auto" w:sz="4" w:space="0"/>
              <w:right w:val="single" w:color="auto" w:sz="4" w:space="0"/>
            </w:tcBorders>
            <w:noWrap w:val="0"/>
            <w:vAlign w:val="center"/>
          </w:tcPr>
          <w:p>
            <w:pPr>
              <w:topLinePunct/>
              <w:snapToGrid w:val="0"/>
              <w:spacing w:before="56" w:after="56"/>
              <w:jc w:val="center"/>
              <w:rPr>
                <w:rFonts w:hint="eastAsia" w:ascii="宋体" w:hAnsi="宋体" w:eastAsia="宋体" w:cs="宋体"/>
                <w:color w:val="auto"/>
                <w:sz w:val="21"/>
                <w:szCs w:val="21"/>
              </w:rPr>
            </w:pPr>
            <w:r>
              <w:rPr>
                <w:rFonts w:hint="eastAsia" w:ascii="宋体" w:hAnsi="宋体" w:eastAsia="宋体" w:cs="宋体"/>
                <w:color w:val="auto"/>
                <w:sz w:val="21"/>
                <w:szCs w:val="21"/>
              </w:rPr>
              <w:t>黄绿间隔（绿/黄）</w:t>
            </w:r>
          </w:p>
        </w:tc>
        <w:tc>
          <w:tcPr>
            <w:tcW w:w="4706" w:type="dxa"/>
            <w:tcBorders>
              <w:top w:val="single" w:color="auto" w:sz="4" w:space="0"/>
              <w:left w:val="single" w:color="auto" w:sz="4" w:space="0"/>
              <w:bottom w:val="single" w:color="auto" w:sz="4" w:space="0"/>
              <w:right w:val="single" w:color="auto" w:sz="8" w:space="0"/>
            </w:tcBorders>
            <w:noWrap w:val="0"/>
            <w:vAlign w:val="center"/>
          </w:tcPr>
          <w:p>
            <w:pPr>
              <w:topLinePunct/>
              <w:snapToGrid w:val="0"/>
              <w:spacing w:before="56" w:after="56"/>
              <w:jc w:val="center"/>
              <w:rPr>
                <w:rFonts w:hint="eastAsia" w:ascii="宋体" w:hAnsi="宋体" w:eastAsia="宋体" w:cs="宋体"/>
                <w:color w:val="auto"/>
                <w:sz w:val="21"/>
                <w:szCs w:val="21"/>
              </w:rPr>
            </w:pPr>
            <w:r>
              <w:rPr>
                <w:rFonts w:hint="eastAsia" w:ascii="宋体" w:hAnsi="宋体" w:eastAsia="宋体" w:cs="宋体"/>
                <w:color w:val="auto"/>
                <w:sz w:val="21"/>
                <w:szCs w:val="21"/>
              </w:rPr>
              <w:t>PE或PEN线</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4705" w:type="dxa"/>
            <w:tcBorders>
              <w:top w:val="single" w:color="auto" w:sz="4" w:space="0"/>
              <w:left w:val="single" w:color="auto" w:sz="8" w:space="0"/>
              <w:bottom w:val="single" w:color="auto" w:sz="4" w:space="0"/>
              <w:right w:val="single" w:color="auto" w:sz="4" w:space="0"/>
            </w:tcBorders>
            <w:noWrap w:val="0"/>
            <w:vAlign w:val="center"/>
          </w:tcPr>
          <w:p>
            <w:pPr>
              <w:topLinePunct/>
              <w:snapToGrid w:val="0"/>
              <w:spacing w:before="56" w:after="56"/>
              <w:jc w:val="center"/>
              <w:rPr>
                <w:rFonts w:hint="eastAsia" w:ascii="宋体" w:hAnsi="宋体" w:eastAsia="宋体" w:cs="宋体"/>
                <w:color w:val="auto"/>
                <w:sz w:val="21"/>
                <w:szCs w:val="21"/>
              </w:rPr>
            </w:pPr>
            <w:r>
              <w:rPr>
                <w:rFonts w:hint="eastAsia" w:ascii="宋体" w:hAnsi="宋体" w:eastAsia="宋体" w:cs="宋体"/>
                <w:color w:val="auto"/>
                <w:sz w:val="21"/>
                <w:szCs w:val="21"/>
              </w:rPr>
              <w:t>黑色</w:t>
            </w:r>
          </w:p>
        </w:tc>
        <w:tc>
          <w:tcPr>
            <w:tcW w:w="4706" w:type="dxa"/>
            <w:tcBorders>
              <w:top w:val="single" w:color="auto" w:sz="4" w:space="0"/>
              <w:left w:val="single" w:color="auto" w:sz="4" w:space="0"/>
              <w:bottom w:val="single" w:color="auto" w:sz="4" w:space="0"/>
              <w:right w:val="single" w:color="auto" w:sz="8" w:space="0"/>
            </w:tcBorders>
            <w:noWrap w:val="0"/>
            <w:vAlign w:val="center"/>
          </w:tcPr>
          <w:p>
            <w:pPr>
              <w:topLinePunct/>
              <w:snapToGrid w:val="0"/>
              <w:spacing w:before="56" w:after="56"/>
              <w:jc w:val="center"/>
              <w:rPr>
                <w:rFonts w:hint="eastAsia" w:ascii="宋体" w:hAnsi="宋体" w:eastAsia="宋体" w:cs="宋体"/>
                <w:color w:val="auto"/>
                <w:sz w:val="21"/>
                <w:szCs w:val="21"/>
              </w:rPr>
            </w:pPr>
            <w:r>
              <w:rPr>
                <w:rFonts w:hint="eastAsia" w:ascii="宋体" w:hAnsi="宋体" w:eastAsia="宋体" w:cs="宋体"/>
                <w:color w:val="auto"/>
                <w:sz w:val="21"/>
                <w:szCs w:val="21"/>
              </w:rPr>
              <w:t>装置和设备内的布线</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4705" w:type="dxa"/>
            <w:tcBorders>
              <w:top w:val="single" w:color="auto" w:sz="4" w:space="0"/>
              <w:left w:val="single" w:color="auto" w:sz="8" w:space="0"/>
              <w:bottom w:val="single" w:color="auto" w:sz="4" w:space="0"/>
              <w:right w:val="single" w:color="auto" w:sz="4" w:space="0"/>
            </w:tcBorders>
            <w:noWrap w:val="0"/>
            <w:vAlign w:val="center"/>
          </w:tcPr>
          <w:p>
            <w:pPr>
              <w:topLinePunct/>
              <w:snapToGrid w:val="0"/>
              <w:spacing w:before="56" w:after="56"/>
              <w:jc w:val="center"/>
              <w:rPr>
                <w:rFonts w:hint="eastAsia" w:ascii="宋体" w:hAnsi="宋体" w:eastAsia="宋体" w:cs="宋体"/>
                <w:color w:val="auto"/>
                <w:sz w:val="21"/>
                <w:szCs w:val="21"/>
              </w:rPr>
            </w:pPr>
            <w:r>
              <w:rPr>
                <w:rFonts w:hint="eastAsia" w:ascii="宋体" w:hAnsi="宋体" w:eastAsia="宋体" w:cs="宋体"/>
                <w:color w:val="auto"/>
                <w:sz w:val="21"/>
                <w:szCs w:val="21"/>
              </w:rPr>
              <w:t>淡蓝色</w:t>
            </w:r>
          </w:p>
        </w:tc>
        <w:tc>
          <w:tcPr>
            <w:tcW w:w="4706" w:type="dxa"/>
            <w:tcBorders>
              <w:top w:val="single" w:color="auto" w:sz="4" w:space="0"/>
              <w:left w:val="single" w:color="auto" w:sz="4" w:space="0"/>
              <w:bottom w:val="single" w:color="auto" w:sz="4" w:space="0"/>
              <w:right w:val="single" w:color="auto" w:sz="8" w:space="0"/>
            </w:tcBorders>
            <w:noWrap w:val="0"/>
            <w:vAlign w:val="center"/>
          </w:tcPr>
          <w:p>
            <w:pPr>
              <w:topLinePunct/>
              <w:snapToGrid w:val="0"/>
              <w:spacing w:before="56" w:after="56"/>
              <w:jc w:val="center"/>
              <w:rPr>
                <w:rFonts w:hint="eastAsia" w:ascii="宋体" w:hAnsi="宋体" w:eastAsia="宋体" w:cs="宋体"/>
                <w:color w:val="auto"/>
                <w:sz w:val="21"/>
                <w:szCs w:val="21"/>
              </w:rPr>
            </w:pPr>
            <w:r>
              <w:rPr>
                <w:rFonts w:hint="eastAsia" w:ascii="宋体" w:hAnsi="宋体" w:eastAsia="宋体" w:cs="宋体"/>
                <w:color w:val="auto"/>
                <w:sz w:val="21"/>
                <w:szCs w:val="21"/>
              </w:rPr>
              <w:t>交流N相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4705" w:type="dxa"/>
            <w:tcBorders>
              <w:top w:val="single" w:color="auto" w:sz="4" w:space="0"/>
              <w:left w:val="single" w:color="auto" w:sz="8" w:space="0"/>
              <w:bottom w:val="single" w:color="auto" w:sz="4" w:space="0"/>
              <w:right w:val="single" w:color="auto" w:sz="4" w:space="0"/>
            </w:tcBorders>
            <w:noWrap w:val="0"/>
            <w:vAlign w:val="center"/>
          </w:tcPr>
          <w:p>
            <w:pPr>
              <w:topLinePunct/>
              <w:snapToGrid w:val="0"/>
              <w:spacing w:before="56" w:after="56"/>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rPr>
              <w:t>三芯电缆颜色由下列颜色构成：绿/黄+淡蓝+</w:t>
            </w:r>
          </w:p>
          <w:p>
            <w:pPr>
              <w:topLinePunct/>
              <w:snapToGrid w:val="0"/>
              <w:spacing w:before="56" w:after="56"/>
              <w:jc w:val="center"/>
              <w:rPr>
                <w:rFonts w:hint="eastAsia" w:ascii="宋体" w:hAnsi="宋体" w:eastAsia="宋体" w:cs="宋体"/>
                <w:color w:val="auto"/>
                <w:sz w:val="21"/>
                <w:szCs w:val="21"/>
              </w:rPr>
            </w:pPr>
            <w:r>
              <w:rPr>
                <w:rFonts w:hint="eastAsia" w:ascii="宋体" w:hAnsi="宋体" w:eastAsia="宋体" w:cs="宋体"/>
                <w:color w:val="auto"/>
                <w:sz w:val="21"/>
                <w:szCs w:val="21"/>
              </w:rPr>
              <w:t>棕色或者黑+淡蓝+棕色</w:t>
            </w:r>
          </w:p>
        </w:tc>
        <w:tc>
          <w:tcPr>
            <w:tcW w:w="4706" w:type="dxa"/>
            <w:tcBorders>
              <w:top w:val="single" w:color="auto" w:sz="4" w:space="0"/>
              <w:left w:val="single" w:color="auto" w:sz="4" w:space="0"/>
              <w:bottom w:val="single" w:color="auto" w:sz="4" w:space="0"/>
              <w:right w:val="single" w:color="auto" w:sz="8" w:space="0"/>
            </w:tcBorders>
            <w:noWrap w:val="0"/>
            <w:vAlign w:val="center"/>
          </w:tcPr>
          <w:p>
            <w:pPr>
              <w:topLinePunct/>
              <w:snapToGrid w:val="0"/>
              <w:spacing w:before="56" w:after="56"/>
              <w:jc w:val="center"/>
              <w:rPr>
                <w:rFonts w:hint="eastAsia" w:ascii="宋体" w:hAnsi="宋体" w:eastAsia="宋体" w:cs="宋体"/>
                <w:color w:val="auto"/>
                <w:sz w:val="21"/>
                <w:szCs w:val="21"/>
              </w:rPr>
            </w:pPr>
            <w:r>
              <w:rPr>
                <w:rFonts w:hint="eastAsia" w:ascii="宋体" w:hAnsi="宋体" w:eastAsia="宋体" w:cs="宋体"/>
                <w:color w:val="auto"/>
                <w:sz w:val="21"/>
                <w:szCs w:val="21"/>
              </w:rPr>
              <w:t>连接三相交流电路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4705" w:type="dxa"/>
            <w:tcBorders>
              <w:top w:val="single" w:color="auto" w:sz="4" w:space="0"/>
              <w:left w:val="single" w:color="auto" w:sz="8" w:space="0"/>
              <w:bottom w:val="single" w:color="auto" w:sz="4" w:space="0"/>
              <w:right w:val="single" w:color="auto" w:sz="4" w:space="0"/>
            </w:tcBorders>
            <w:noWrap w:val="0"/>
            <w:vAlign w:val="center"/>
          </w:tcPr>
          <w:p>
            <w:pPr>
              <w:topLinePunct/>
              <w:snapToGrid w:val="0"/>
              <w:spacing w:before="56" w:after="56"/>
              <w:jc w:val="center"/>
              <w:rPr>
                <w:rFonts w:hint="eastAsia" w:ascii="宋体" w:hAnsi="宋体" w:eastAsia="宋体" w:cs="宋体"/>
                <w:color w:val="auto"/>
                <w:sz w:val="21"/>
                <w:szCs w:val="21"/>
              </w:rPr>
            </w:pPr>
            <w:r>
              <w:rPr>
                <w:rFonts w:hint="eastAsia" w:ascii="宋体" w:hAnsi="宋体" w:eastAsia="宋体" w:cs="宋体"/>
                <w:color w:val="auto"/>
                <w:sz w:val="21"/>
                <w:szCs w:val="21"/>
              </w:rPr>
              <w:t>四芯颜色构成：绿/黄+淡蓝+黑+棕色</w:t>
            </w:r>
          </w:p>
        </w:tc>
        <w:tc>
          <w:tcPr>
            <w:tcW w:w="4706" w:type="dxa"/>
            <w:tcBorders>
              <w:top w:val="single" w:color="auto" w:sz="4" w:space="0"/>
              <w:left w:val="single" w:color="auto" w:sz="4" w:space="0"/>
              <w:bottom w:val="single" w:color="auto" w:sz="4" w:space="0"/>
              <w:right w:val="single" w:color="auto" w:sz="8" w:space="0"/>
            </w:tcBorders>
            <w:noWrap w:val="0"/>
            <w:vAlign w:val="center"/>
          </w:tcPr>
          <w:p>
            <w:pPr>
              <w:topLinePunct/>
              <w:snapToGrid w:val="0"/>
              <w:spacing w:before="56" w:after="56"/>
              <w:jc w:val="center"/>
              <w:rPr>
                <w:rFonts w:hint="eastAsia" w:ascii="宋体" w:hAnsi="宋体" w:eastAsia="宋体" w:cs="宋体"/>
                <w:color w:val="auto"/>
                <w:sz w:val="21"/>
                <w:szCs w:val="21"/>
              </w:rPr>
            </w:pPr>
            <w:r>
              <w:rPr>
                <w:rFonts w:hint="eastAsia" w:ascii="宋体" w:hAnsi="宋体" w:eastAsia="宋体" w:cs="宋体"/>
                <w:color w:val="auto"/>
                <w:sz w:val="21"/>
                <w:szCs w:val="21"/>
              </w:rPr>
              <w:t>连接三相交流电路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9411" w:type="dxa"/>
            <w:gridSpan w:val="2"/>
            <w:tcBorders>
              <w:top w:val="single" w:color="auto" w:sz="4" w:space="0"/>
              <w:left w:val="single" w:color="auto" w:sz="8" w:space="0"/>
              <w:bottom w:val="single" w:color="auto" w:sz="8" w:space="0"/>
              <w:right w:val="single" w:color="auto" w:sz="8" w:space="0"/>
            </w:tcBorders>
            <w:noWrap w:val="0"/>
            <w:vAlign w:val="center"/>
          </w:tcPr>
          <w:p>
            <w:pPr>
              <w:topLinePunct/>
              <w:snapToGrid w:val="0"/>
              <w:spacing w:before="56" w:after="56"/>
              <w:ind w:firstLine="170"/>
              <w:rPr>
                <w:rFonts w:hint="eastAsia" w:ascii="宋体" w:hAnsi="宋体" w:eastAsia="宋体" w:cs="宋体"/>
                <w:color w:val="auto"/>
                <w:sz w:val="21"/>
                <w:szCs w:val="21"/>
              </w:rPr>
            </w:pPr>
            <w:r>
              <w:rPr>
                <w:rFonts w:hint="eastAsia" w:ascii="宋体" w:hAnsi="宋体" w:eastAsia="宋体" w:cs="宋体"/>
                <w:color w:val="auto"/>
                <w:sz w:val="21"/>
                <w:szCs w:val="21"/>
              </w:rPr>
              <w:t>二次交流系统选择：A、B、C全部选择单一黑色，PE或PEN线为黄绿间隔条形线</w:t>
            </w:r>
          </w:p>
        </w:tc>
      </w:tr>
    </w:tbl>
    <w:p>
      <w:pPr>
        <w:numPr>
          <w:ilvl w:val="0"/>
          <w:numId w:val="6"/>
        </w:numPr>
        <w:topLinePunct/>
        <w:spacing w:line="360" w:lineRule="auto"/>
        <w:ind w:left="0"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电气间隙：相间及相对地之间不小于10mm，爬电距离不小于14mm。</w:t>
      </w:r>
    </w:p>
    <w:p>
      <w:pPr>
        <w:numPr>
          <w:ilvl w:val="0"/>
          <w:numId w:val="6"/>
        </w:numPr>
        <w:topLinePunct/>
        <w:spacing w:line="360" w:lineRule="auto"/>
        <w:ind w:left="0"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抽屉层高分为1单元、2单元、3单元三个尺寸系列。单元回路额定电流400A及以下的抽屉单元，抽屉改变仅在高度尺寸上变化，其宽度、深度尺寸不变。相同功能单元的抽屉具有良好的互换性。</w:t>
      </w:r>
    </w:p>
    <w:p>
      <w:pPr>
        <w:numPr>
          <w:ilvl w:val="0"/>
          <w:numId w:val="6"/>
        </w:numPr>
        <w:topLinePunct/>
        <w:spacing w:line="360" w:lineRule="auto"/>
        <w:ind w:left="0"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功能单元之间、隔室之间的分隔清晰、可靠，不因某一单元的故障而影响其他单元工作，使故障局限在最小范围。</w:t>
      </w:r>
    </w:p>
    <w:p>
      <w:pPr>
        <w:numPr>
          <w:ilvl w:val="0"/>
          <w:numId w:val="6"/>
        </w:numPr>
        <w:topLinePunct/>
        <w:spacing w:line="360" w:lineRule="auto"/>
        <w:ind w:left="0"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抽屉进出线根据电流大小采用不同片数的同一规格片式结构的接插件。</w:t>
      </w:r>
    </w:p>
    <w:p>
      <w:pPr>
        <w:numPr>
          <w:ilvl w:val="0"/>
          <w:numId w:val="6"/>
        </w:numPr>
        <w:topLinePunct/>
        <w:spacing w:line="360" w:lineRule="auto"/>
        <w:ind w:left="0"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抽屉单元有足够数量的二次接插件（1单元及以上为16对，特殊要求时可达32对），可满足计算机接口和自控回路对接点数量的要求。</w:t>
      </w:r>
    </w:p>
    <w:p>
      <w:pPr>
        <w:numPr>
          <w:ilvl w:val="0"/>
          <w:numId w:val="6"/>
        </w:numPr>
        <w:topLinePunct/>
        <w:spacing w:line="360" w:lineRule="auto"/>
        <w:ind w:left="0"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开关柜设计及制造期间，应积极与同一项目的干式变压器制造厂就接口问题相互配合，以确保开关柜与干式变压器母线的可靠连接，并保持现场立面安装整齐。</w:t>
      </w:r>
    </w:p>
    <w:p>
      <w:pPr>
        <w:numPr>
          <w:ilvl w:val="0"/>
          <w:numId w:val="6"/>
        </w:numPr>
        <w:topLinePunct/>
        <w:spacing w:line="360" w:lineRule="auto"/>
        <w:ind w:left="0"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出线柜与外部采用电缆连接时在柜后完成接线，出线方式为下出线；与外部采用母线连接时在柜顶完成接线，出线方式为上出线</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变压器至低压柜进线的软连接及铜母排由低压柜厂家配套提供。</w:t>
      </w:r>
    </w:p>
    <w:p>
      <w:pPr>
        <w:numPr>
          <w:ilvl w:val="0"/>
          <w:numId w:val="6"/>
        </w:numPr>
        <w:topLinePunct/>
        <w:spacing w:line="360" w:lineRule="auto"/>
        <w:ind w:left="0"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柜内二次引线采用铜芯绝缘导线，电流回路引线截面不小于2.5mm2；电压回路引线截面不小于1.5mm2。</w:t>
      </w:r>
    </w:p>
    <w:p>
      <w:pPr>
        <w:numPr>
          <w:ilvl w:val="0"/>
          <w:numId w:val="6"/>
        </w:numPr>
        <w:topLinePunct/>
        <w:spacing w:line="360" w:lineRule="auto"/>
        <w:ind w:left="0"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每台开关柜的外壳应通过专门的接地点可靠接地，接地回路应满足短路电流的动、热稳定要求。凡不属主回路或辅助回路的预定要接地的所有金属部分都应接地。外壳、框架等的相互电气连接宜用紧固连接，以保证电气上连通。接地点的接触面和接地连线的截面积应能安全地通过故障接地电流。紧固接地螺栓的直径不得小于12mm。接地点应标有接地符号。主回路应有可靠的接地措施，以保证维修工作的安全。</w:t>
      </w:r>
    </w:p>
    <w:p>
      <w:pPr>
        <w:numPr>
          <w:ilvl w:val="0"/>
          <w:numId w:val="6"/>
        </w:numPr>
        <w:topLinePunct/>
        <w:spacing w:line="360" w:lineRule="auto"/>
        <w:ind w:left="0"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接地母线须为扁铜排，所有需要接地的设备和回路须接于此排。至少须备有2个适用于120mm2铜电缆的端末连接，以便将此接地母线接至变电站接地系统。</w:t>
      </w:r>
    </w:p>
    <w:p>
      <w:pPr>
        <w:numPr>
          <w:ilvl w:val="0"/>
          <w:numId w:val="6"/>
        </w:numPr>
        <w:topLinePunct/>
        <w:spacing w:line="360" w:lineRule="auto"/>
        <w:ind w:left="0"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装有电器元件的仪表门用4mm2多股软铜线（加装透明绝缘护套）与构架相连，整柜构架完整的接地保护由保护接地铜排完成相互有效的连接以确保保护电路的连续性。保护接地连续性其电阻值应在0.01欧姆以下。</w:t>
      </w:r>
    </w:p>
    <w:p>
      <w:pPr>
        <w:numPr>
          <w:ilvl w:val="0"/>
          <w:numId w:val="0"/>
        </w:numPr>
        <w:spacing w:line="360" w:lineRule="auto"/>
        <w:ind w:left="0" w:leftChars="0"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断路器技术要求</w:t>
      </w:r>
    </w:p>
    <w:p>
      <w:pPr>
        <w:numPr>
          <w:ilvl w:val="0"/>
          <w:numId w:val="8"/>
        </w:numPr>
        <w:topLinePunct/>
        <w:spacing w:line="360" w:lineRule="auto"/>
        <w:ind w:left="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highlight w:val="none"/>
        </w:rPr>
        <w:t>框架断路器</w:t>
      </w:r>
      <w:r>
        <w:rPr>
          <w:rFonts w:hint="eastAsia" w:ascii="宋体" w:hAnsi="宋体" w:cs="宋体"/>
          <w:color w:val="auto"/>
          <w:sz w:val="24"/>
          <w:szCs w:val="24"/>
          <w:highlight w:val="none"/>
          <w:lang w:val="en-US" w:eastAsia="zh-CN"/>
        </w:rPr>
        <w:t>电子</w:t>
      </w:r>
      <w:r>
        <w:rPr>
          <w:rFonts w:hint="eastAsia" w:ascii="宋体" w:hAnsi="宋体" w:eastAsia="宋体" w:cs="宋体"/>
          <w:color w:val="auto"/>
          <w:sz w:val="24"/>
          <w:szCs w:val="24"/>
          <w:highlight w:val="none"/>
        </w:rPr>
        <w:t>脱扣器</w:t>
      </w:r>
      <w:r>
        <w:rPr>
          <w:rFonts w:hint="eastAsia" w:ascii="宋体" w:hAnsi="宋体" w:eastAsia="宋体" w:cs="宋体"/>
          <w:color w:val="auto"/>
          <w:sz w:val="24"/>
          <w:szCs w:val="24"/>
        </w:rPr>
        <w:t>，液晶显示，中文菜单操作及参数整定,能显示电流、电压、开关位置信号、故障信息等。</w:t>
      </w:r>
      <w:r>
        <w:rPr>
          <w:rFonts w:hint="eastAsia" w:ascii="宋体" w:hAnsi="宋体" w:eastAsia="宋体" w:cs="宋体"/>
          <w:bCs/>
          <w:color w:val="auto"/>
          <w:sz w:val="24"/>
          <w:szCs w:val="24"/>
        </w:rPr>
        <w:t>框架断路器采用电动并可手动操作。</w:t>
      </w:r>
      <w:r>
        <w:rPr>
          <w:rFonts w:hint="eastAsia" w:ascii="宋体" w:hAnsi="宋体" w:eastAsia="宋体" w:cs="宋体"/>
          <w:color w:val="auto"/>
          <w:sz w:val="24"/>
          <w:szCs w:val="24"/>
        </w:rPr>
        <w:t>框架断路器采用三段保护，配置通讯模块，实现“三遥”功能。</w:t>
      </w:r>
    </w:p>
    <w:p>
      <w:pPr>
        <w:numPr>
          <w:ilvl w:val="0"/>
          <w:numId w:val="8"/>
        </w:numPr>
        <w:topLinePunct/>
        <w:spacing w:line="360" w:lineRule="auto"/>
        <w:ind w:left="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进线开关柜需配置三相综合多功能数显表。母联及馈线开关柜需配置三相电流数显表，能显示电流等信息。</w:t>
      </w:r>
    </w:p>
    <w:p>
      <w:pPr>
        <w:numPr>
          <w:ilvl w:val="0"/>
          <w:numId w:val="8"/>
        </w:numPr>
        <w:topLinePunct/>
        <w:spacing w:line="360" w:lineRule="auto"/>
        <w:ind w:left="0" w:firstLine="480" w:firstLineChars="200"/>
        <w:rPr>
          <w:rFonts w:hint="eastAsia" w:ascii="宋体" w:hAnsi="宋体" w:eastAsia="宋体" w:cs="宋体"/>
          <w:color w:val="auto"/>
          <w:sz w:val="24"/>
          <w:szCs w:val="24"/>
        </w:rPr>
      </w:pPr>
      <w:r>
        <w:rPr>
          <w:rFonts w:hint="eastAsia" w:ascii="宋体" w:hAnsi="宋体" w:eastAsia="宋体" w:cs="宋体"/>
          <w:bCs/>
          <w:color w:val="auto"/>
          <w:sz w:val="24"/>
          <w:szCs w:val="24"/>
        </w:rPr>
        <w:t>塑壳断路器采用手动操作</w:t>
      </w:r>
      <w:r>
        <w:rPr>
          <w:rFonts w:hint="eastAsia" w:ascii="宋体" w:hAnsi="宋体" w:eastAsia="宋体" w:cs="宋体"/>
          <w:color w:val="auto"/>
          <w:sz w:val="24"/>
          <w:szCs w:val="24"/>
        </w:rPr>
        <w:t>，配电子脱扣器，应具备瞬时脱扣、短延时脱扣、长延时脱扣三段保护。</w:t>
      </w:r>
    </w:p>
    <w:p>
      <w:pPr>
        <w:numPr>
          <w:ilvl w:val="0"/>
          <w:numId w:val="8"/>
        </w:numPr>
        <w:topLinePunct/>
        <w:spacing w:line="360" w:lineRule="auto"/>
        <w:ind w:left="0" w:firstLine="480" w:firstLineChars="200"/>
        <w:rPr>
          <w:rFonts w:hint="eastAsia" w:ascii="宋体" w:hAnsi="宋体" w:eastAsia="宋体" w:cs="宋体"/>
          <w:bCs/>
          <w:color w:val="auto"/>
          <w:sz w:val="24"/>
          <w:szCs w:val="24"/>
        </w:rPr>
      </w:pPr>
      <w:r>
        <w:rPr>
          <w:rFonts w:hint="eastAsia" w:ascii="宋体" w:hAnsi="宋体" w:eastAsia="宋体" w:cs="宋体"/>
          <w:color w:val="auto"/>
          <w:sz w:val="24"/>
          <w:szCs w:val="24"/>
        </w:rPr>
        <w:t>抽屉柜</w:t>
      </w:r>
      <w:r>
        <w:rPr>
          <w:rFonts w:hint="eastAsia" w:ascii="宋体" w:hAnsi="宋体" w:eastAsia="宋体" w:cs="宋体"/>
          <w:bCs/>
          <w:color w:val="auto"/>
          <w:sz w:val="24"/>
          <w:szCs w:val="24"/>
        </w:rPr>
        <w:t>出线单元为抽出式，采用面板旋转手柄操作方式，塑壳断路器为固定式断路器，框架断路器为抽出式断路器。</w:t>
      </w:r>
      <w:r>
        <w:rPr>
          <w:rFonts w:hint="eastAsia" w:ascii="宋体" w:hAnsi="宋体" w:eastAsia="宋体" w:cs="宋体"/>
          <w:color w:val="auto"/>
          <w:sz w:val="24"/>
          <w:szCs w:val="24"/>
        </w:rPr>
        <w:t>固定分隔柜</w:t>
      </w:r>
      <w:r>
        <w:rPr>
          <w:rFonts w:hint="eastAsia" w:ascii="宋体" w:hAnsi="宋体" w:eastAsia="宋体" w:cs="宋体"/>
          <w:bCs/>
          <w:color w:val="auto"/>
          <w:sz w:val="24"/>
          <w:szCs w:val="24"/>
        </w:rPr>
        <w:t>内断路器采用抽出式或插拔式断路器。</w:t>
      </w:r>
      <w:r>
        <w:rPr>
          <w:rFonts w:hint="eastAsia" w:ascii="宋体" w:hAnsi="宋体" w:eastAsia="宋体" w:cs="宋体"/>
          <w:color w:val="auto"/>
          <w:sz w:val="24"/>
          <w:szCs w:val="24"/>
        </w:rPr>
        <w:t>固定柜</w:t>
      </w:r>
      <w:r>
        <w:rPr>
          <w:rFonts w:hint="eastAsia" w:ascii="宋体" w:hAnsi="宋体" w:eastAsia="宋体" w:cs="宋体"/>
          <w:bCs/>
          <w:color w:val="auto"/>
          <w:sz w:val="24"/>
          <w:szCs w:val="24"/>
        </w:rPr>
        <w:t>内断路器采用固定式。</w:t>
      </w:r>
    </w:p>
    <w:p>
      <w:pPr>
        <w:numPr>
          <w:ilvl w:val="0"/>
          <w:numId w:val="8"/>
        </w:numPr>
        <w:topLinePunct/>
        <w:spacing w:line="360" w:lineRule="auto"/>
        <w:ind w:left="0" w:firstLine="480" w:firstLineChars="200"/>
        <w:rPr>
          <w:rFonts w:hint="eastAsia" w:ascii="宋体" w:hAnsi="宋体" w:eastAsia="宋体" w:cs="宋体"/>
          <w:color w:val="auto"/>
          <w:sz w:val="24"/>
          <w:szCs w:val="24"/>
        </w:rPr>
      </w:pPr>
      <w:r>
        <w:rPr>
          <w:rFonts w:hint="eastAsia" w:ascii="宋体" w:hAnsi="宋体" w:eastAsia="宋体" w:cs="宋体"/>
          <w:bCs/>
          <w:color w:val="auto"/>
          <w:sz w:val="24"/>
          <w:szCs w:val="24"/>
        </w:rPr>
        <w:t>抽屉柜断路器应有三个明显的位置：运行位置、试验位置、分离位置。本体（动触头）插入断路器底座（静触头）后，在断路器处于分闸状态时，断路器可视为试验位置；本体（动触头）拨出断路器底座（静触头）后，为分离位置，并形成明显断开点。</w:t>
      </w:r>
    </w:p>
    <w:p>
      <w:pPr>
        <w:numPr>
          <w:ilvl w:val="0"/>
          <w:numId w:val="8"/>
        </w:numPr>
        <w:topLinePunct/>
        <w:spacing w:line="360" w:lineRule="auto"/>
        <w:ind w:left="0"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塑壳断路器的位置应与面板有可靠闭锁，在断路器处于合闸位置时，严禁打开面板进行工作。</w:t>
      </w:r>
    </w:p>
    <w:p>
      <w:pPr>
        <w:numPr>
          <w:ilvl w:val="0"/>
          <w:numId w:val="8"/>
        </w:numPr>
        <w:topLinePunct/>
        <w:spacing w:line="360" w:lineRule="auto"/>
        <w:ind w:left="0" w:firstLine="480" w:firstLineChars="200"/>
        <w:rPr>
          <w:rFonts w:hint="eastAsia" w:ascii="宋体" w:hAnsi="宋体" w:eastAsia="宋体" w:cs="宋体"/>
          <w:color w:val="auto"/>
          <w:sz w:val="24"/>
          <w:szCs w:val="24"/>
        </w:rPr>
      </w:pPr>
      <w:r>
        <w:rPr>
          <w:rFonts w:hint="eastAsia" w:ascii="宋体" w:hAnsi="宋体" w:eastAsia="宋体" w:cs="宋体"/>
          <w:bCs/>
          <w:color w:val="auto"/>
          <w:sz w:val="24"/>
          <w:szCs w:val="24"/>
        </w:rPr>
        <w:t>断路器位置指示可采用双色位置指示灯，也可借助于操作手柄的位置变化加以识别。</w:t>
      </w:r>
    </w:p>
    <w:p>
      <w:pPr>
        <w:numPr>
          <w:ilvl w:val="0"/>
          <w:numId w:val="8"/>
        </w:numPr>
        <w:topLinePunct/>
        <w:spacing w:line="360" w:lineRule="auto"/>
        <w:ind w:left="0"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断路器的辅助电路的插接件应跟随断路器的动作自动地接通和分离。</w:t>
      </w:r>
    </w:p>
    <w:p>
      <w:pPr>
        <w:numPr>
          <w:ilvl w:val="0"/>
          <w:numId w:val="8"/>
        </w:numPr>
        <w:spacing w:line="360" w:lineRule="auto"/>
        <w:ind w:left="0" w:firstLine="480" w:firstLineChars="200"/>
        <w:rPr>
          <w:rFonts w:hint="eastAsia" w:ascii="宋体" w:hAnsi="宋体" w:eastAsia="宋体" w:cs="宋体"/>
          <w:color w:val="auto"/>
          <w:sz w:val="24"/>
          <w:szCs w:val="24"/>
        </w:rPr>
      </w:pPr>
      <w:r>
        <w:rPr>
          <w:rFonts w:hint="eastAsia" w:ascii="宋体" w:hAnsi="宋体" w:eastAsia="宋体" w:cs="宋体"/>
          <w:bCs/>
          <w:color w:val="auto"/>
          <w:sz w:val="24"/>
          <w:szCs w:val="24"/>
        </w:rPr>
        <w:t>框架断路器及抽屉单元内的塑壳断路器，在分闸后，即使断路器上口带电，也能直接或借助于工具安全地将断路器本体从断路器固定装置上移除。</w:t>
      </w:r>
      <w:r>
        <w:rPr>
          <w:rFonts w:hint="eastAsia" w:ascii="宋体" w:hAnsi="宋体" w:eastAsia="宋体" w:cs="宋体"/>
          <w:color w:val="auto"/>
          <w:sz w:val="24"/>
          <w:szCs w:val="24"/>
        </w:rPr>
        <w:t xml:space="preserve"> </w:t>
      </w:r>
    </w:p>
    <w:p>
      <w:pPr>
        <w:numPr>
          <w:ilvl w:val="0"/>
          <w:numId w:val="0"/>
        </w:numPr>
        <w:spacing w:line="360" w:lineRule="auto"/>
        <w:ind w:left="0" w:leftChars="0"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电流互感器技术要求</w:t>
      </w:r>
    </w:p>
    <w:p>
      <w:pPr>
        <w:keepNext w:val="0"/>
        <w:keepLines w:val="0"/>
        <w:pageBreakBefore w:val="0"/>
        <w:widowControl w:val="0"/>
        <w:kinsoku/>
        <w:wordWrap/>
        <w:overflowPunct/>
        <w:topLinePunct/>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color w:val="auto"/>
          <w:sz w:val="24"/>
          <w:szCs w:val="24"/>
        </w:rPr>
        <w:t>进线，母联和出线等框架断路器配套选用环氧树脂浇铸，400A及以下塑壳开关可选用塑壳式（塑壳式材质应具有阻燃性能），所有端子及紧固件应有足够的机械强度和良好的导电接触，有可靠的防腐镀层。</w:t>
      </w:r>
    </w:p>
    <w:p>
      <w:pPr>
        <w:numPr>
          <w:ilvl w:val="0"/>
          <w:numId w:val="0"/>
        </w:numPr>
        <w:spacing w:line="360" w:lineRule="auto"/>
        <w:ind w:left="0" w:leftChars="0"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电路</w:t>
      </w:r>
    </w:p>
    <w:p>
      <w:pPr>
        <w:numPr>
          <w:ilvl w:val="0"/>
          <w:numId w:val="9"/>
        </w:numPr>
        <w:topLinePunct/>
        <w:spacing w:line="360" w:lineRule="auto"/>
        <w:ind w:left="425" w:leftChars="0" w:hanging="425"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主电路</w:t>
      </w:r>
    </w:p>
    <w:p>
      <w:pPr>
        <w:numPr>
          <w:ilvl w:val="0"/>
          <w:numId w:val="10"/>
        </w:numPr>
        <w:topLinePunct/>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各断路器主电路的导体和串联元件，应充分考虑各元件的参数配合。各元件的额定电流、额定短时耐受电流、额定峰值耐受电流应满足本技术条件的要求。</w:t>
      </w:r>
    </w:p>
    <w:p>
      <w:pPr>
        <w:numPr>
          <w:ilvl w:val="0"/>
          <w:numId w:val="10"/>
        </w:numPr>
        <w:topLinePunct/>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短路保护元件在额定的参数范围内，应能可靠地分断短路电流。</w:t>
      </w:r>
    </w:p>
    <w:p>
      <w:pPr>
        <w:numPr>
          <w:ilvl w:val="0"/>
          <w:numId w:val="10"/>
        </w:numPr>
        <w:topLinePunct/>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装置内短路保护元件的动作值应具有选择性。</w:t>
      </w:r>
    </w:p>
    <w:p>
      <w:pPr>
        <w:numPr>
          <w:ilvl w:val="0"/>
          <w:numId w:val="9"/>
        </w:numPr>
        <w:topLinePunct/>
        <w:spacing w:line="360" w:lineRule="auto"/>
        <w:ind w:left="425" w:leftChars="0" w:hanging="425"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辅助电路</w:t>
      </w:r>
    </w:p>
    <w:p>
      <w:pPr>
        <w:numPr>
          <w:ilvl w:val="0"/>
          <w:numId w:val="11"/>
        </w:numPr>
        <w:topLinePunct/>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用于控制、测量、信号、调节、数据处理等辅助电路的设计应采用电源接地系统，并保证接地故障或带电部件和裸露导电部件之间的故障不会引起误动作。</w:t>
      </w:r>
    </w:p>
    <w:p>
      <w:pPr>
        <w:numPr>
          <w:ilvl w:val="0"/>
          <w:numId w:val="11"/>
        </w:numPr>
        <w:topLinePunct/>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辅助电路应装设保护元件，如果与主电路连接，则保护元件的短路分断能力应与主电路保护元件相同；</w:t>
      </w:r>
    </w:p>
    <w:p>
      <w:pPr>
        <w:numPr>
          <w:ilvl w:val="0"/>
          <w:numId w:val="11"/>
        </w:numPr>
        <w:topLinePunct/>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辅助设备（仪表、继电器等）应能承受开关分、合闸产生的振动，而不会发生误动作；</w:t>
      </w:r>
    </w:p>
    <w:p>
      <w:pPr>
        <w:numPr>
          <w:ilvl w:val="0"/>
          <w:numId w:val="11"/>
        </w:numPr>
        <w:topLinePunct/>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辅助电路、辅助设备的接线应有适当的保护，以防来自主电路意外燃弧的损坏。</w:t>
      </w:r>
    </w:p>
    <w:p>
      <w:pPr>
        <w:numPr>
          <w:ilvl w:val="0"/>
          <w:numId w:val="0"/>
        </w:numPr>
        <w:spacing w:line="360" w:lineRule="auto"/>
        <w:ind w:left="0" w:leftChars="0"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电气间隙、爬电距离和间隔距离</w:t>
      </w:r>
    </w:p>
    <w:p>
      <w:pPr>
        <w:numPr>
          <w:ilvl w:val="0"/>
          <w:numId w:val="12"/>
        </w:numPr>
        <w:topLinePunct/>
        <w:spacing w:line="360" w:lineRule="auto"/>
        <w:ind w:left="0" w:firstLine="480" w:firstLineChars="200"/>
        <w:rPr>
          <w:rFonts w:hint="eastAsia" w:ascii="宋体" w:hAnsi="宋体" w:eastAsia="宋体" w:cs="宋体"/>
          <w:color w:val="auto"/>
          <w:sz w:val="24"/>
          <w:szCs w:val="24"/>
        </w:rPr>
      </w:pPr>
      <w:r>
        <w:rPr>
          <w:rFonts w:hint="eastAsia" w:ascii="宋体" w:hAnsi="宋体" w:eastAsia="宋体" w:cs="宋体"/>
          <w:bCs/>
          <w:color w:val="auto"/>
          <w:sz w:val="24"/>
          <w:szCs w:val="24"/>
        </w:rPr>
        <w:t>主母线、配电母线、分支母线和主电路插接件带电部分之间以及带电部分与接地金属构件之间的电气间隙应满足相关标准要求。</w:t>
      </w:r>
    </w:p>
    <w:p>
      <w:pPr>
        <w:numPr>
          <w:ilvl w:val="0"/>
          <w:numId w:val="12"/>
        </w:numPr>
        <w:topLinePunct/>
        <w:spacing w:line="360" w:lineRule="auto"/>
        <w:ind w:left="0"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断路器处于分离位置时，断路器本体的插接件与配电母线（或静触头）的间隔距离应不小于25mm。即使机械寿命到期后亦应保持此距离。</w:t>
      </w:r>
    </w:p>
    <w:p>
      <w:pPr>
        <w:numPr>
          <w:ilvl w:val="0"/>
          <w:numId w:val="0"/>
        </w:numPr>
        <w:spacing w:line="360" w:lineRule="auto"/>
        <w:ind w:left="0" w:leftChars="0"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电磁兼容性</w:t>
      </w:r>
    </w:p>
    <w:p>
      <w:pPr>
        <w:topLinePunct/>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装置的电磁兼容性应满足GB/T 17626.2、GB/T 17626.3、GB/T 17626.4、GB/T 17626.5的试验技术要求。</w:t>
      </w:r>
    </w:p>
    <w:p>
      <w:pPr>
        <w:numPr>
          <w:ilvl w:val="0"/>
          <w:numId w:val="0"/>
        </w:numPr>
        <w:spacing w:line="360" w:lineRule="auto"/>
        <w:ind w:left="0" w:leftChars="0"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其它要求</w:t>
      </w:r>
    </w:p>
    <w:p>
      <w:pPr>
        <w:numPr>
          <w:ilvl w:val="0"/>
          <w:numId w:val="13"/>
        </w:numPr>
        <w:topLinePunct/>
        <w:spacing w:line="360" w:lineRule="auto"/>
        <w:ind w:left="0" w:firstLine="480" w:firstLineChars="200"/>
        <w:rPr>
          <w:rFonts w:hint="eastAsia" w:ascii="宋体" w:hAnsi="宋体" w:eastAsia="宋体" w:cs="宋体"/>
          <w:color w:val="auto"/>
          <w:sz w:val="24"/>
          <w:szCs w:val="24"/>
        </w:rPr>
      </w:pPr>
      <w:r>
        <w:rPr>
          <w:rFonts w:hint="eastAsia" w:ascii="宋体" w:hAnsi="宋体" w:eastAsia="宋体" w:cs="宋体"/>
          <w:bCs/>
          <w:color w:val="auto"/>
          <w:sz w:val="24"/>
          <w:szCs w:val="24"/>
        </w:rPr>
        <w:t>进线开关柜上部应按标准计量仓大小预留接线盒、考核计量表，计量互感器安装位置。</w:t>
      </w:r>
    </w:p>
    <w:p>
      <w:pPr>
        <w:numPr>
          <w:ilvl w:val="0"/>
          <w:numId w:val="13"/>
        </w:numPr>
        <w:topLinePunct/>
        <w:spacing w:line="360" w:lineRule="auto"/>
        <w:ind w:left="0" w:firstLine="480" w:firstLineChars="200"/>
        <w:rPr>
          <w:rFonts w:hint="eastAsia" w:ascii="宋体" w:hAnsi="宋体" w:eastAsia="宋体" w:cs="宋体"/>
          <w:color w:val="auto"/>
          <w:sz w:val="24"/>
          <w:szCs w:val="24"/>
        </w:rPr>
      </w:pPr>
      <w:r>
        <w:rPr>
          <w:rFonts w:hint="eastAsia" w:ascii="宋体" w:hAnsi="宋体" w:eastAsia="宋体" w:cs="宋体"/>
          <w:bCs/>
          <w:color w:val="auto"/>
          <w:sz w:val="24"/>
          <w:szCs w:val="24"/>
        </w:rPr>
        <w:t>分段柜柜内翻排，与主变压器低压进线柜间采取“三选二”的电气及机械闭锁。</w:t>
      </w:r>
    </w:p>
    <w:p>
      <w:pPr>
        <w:numPr>
          <w:ilvl w:val="0"/>
          <w:numId w:val="13"/>
        </w:numPr>
        <w:topLinePunct/>
        <w:spacing w:line="360" w:lineRule="auto"/>
        <w:ind w:left="0"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分段柜柜内两段母线由两组100A熔断器经ATS后接至站用电回路，具体见图纸</w:t>
      </w:r>
      <w:r>
        <w:rPr>
          <w:rFonts w:hint="eastAsia" w:ascii="宋体" w:hAnsi="宋体" w:eastAsia="宋体" w:cs="宋体"/>
          <w:color w:val="auto"/>
          <w:sz w:val="24"/>
          <w:szCs w:val="24"/>
        </w:rPr>
        <w:t>。</w:t>
      </w:r>
      <w:r>
        <w:rPr>
          <w:rFonts w:hint="eastAsia" w:ascii="宋体" w:hAnsi="宋体" w:eastAsia="宋体" w:cs="宋体"/>
          <w:bCs/>
          <w:color w:val="auto"/>
          <w:sz w:val="24"/>
          <w:szCs w:val="24"/>
        </w:rPr>
        <w:t>对组件的要求：同型号产品内额定值和结构相同的组件安装与柜内应能互换。装于开关柜内的各组件应符合各自的技术标准。</w:t>
      </w:r>
    </w:p>
    <w:p>
      <w:pPr>
        <w:numPr>
          <w:ilvl w:val="0"/>
          <w:numId w:val="13"/>
        </w:numPr>
        <w:tabs>
          <w:tab w:val="left" w:pos="420"/>
        </w:tabs>
        <w:topLinePunct/>
        <w:spacing w:line="360" w:lineRule="auto"/>
        <w:ind w:left="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铰链</w:t>
      </w:r>
    </w:p>
    <w:p>
      <w:pPr>
        <w:numPr>
          <w:ilvl w:val="0"/>
          <w:numId w:val="14"/>
        </w:numPr>
        <w:topLinePunct/>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门的铰链应采用表面经过防腐处理的铅锌合金制或铸钢静电环氧喷涂铰链，并选用优质橡胶材料做为门板的密封材料。铰链的轴和套应配合紧密并分别牢固地固定在门及装置的壳体支架上，同时保证防护等级的要求。</w:t>
      </w:r>
    </w:p>
    <w:p>
      <w:pPr>
        <w:numPr>
          <w:ilvl w:val="0"/>
          <w:numId w:val="14"/>
        </w:numPr>
        <w:topLinePunct/>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对开门的高度（安装铰链边）小于1000mm时，设两个铰链。门的高度≥1000mm时，应设三个铰链。</w:t>
      </w:r>
    </w:p>
    <w:p>
      <w:pPr>
        <w:numPr>
          <w:ilvl w:val="0"/>
          <w:numId w:val="14"/>
        </w:numPr>
        <w:topLinePunct/>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单开门的高度（安装铰链边）小于600mm时，设两个铰链。门的高度≥600mm时，应设三个铰链；</w:t>
      </w:r>
    </w:p>
    <w:p>
      <w:pPr>
        <w:numPr>
          <w:ilvl w:val="0"/>
          <w:numId w:val="14"/>
        </w:numPr>
        <w:topLinePunct/>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门的开启角度≥120度（允许±5°公差）。</w:t>
      </w:r>
    </w:p>
    <w:p>
      <w:pPr>
        <w:numPr>
          <w:ilvl w:val="0"/>
          <w:numId w:val="0"/>
        </w:numPr>
        <w:spacing w:line="360" w:lineRule="auto"/>
        <w:ind w:left="0" w:leftChars="0"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标志及铭牌</w:t>
      </w:r>
    </w:p>
    <w:p>
      <w:pPr>
        <w:numPr>
          <w:ilvl w:val="0"/>
          <w:numId w:val="15"/>
        </w:numPr>
        <w:topLinePunct/>
        <w:spacing w:line="360" w:lineRule="auto"/>
        <w:ind w:left="425" w:leftChars="0" w:hanging="425"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标志</w:t>
      </w:r>
    </w:p>
    <w:p>
      <w:pPr>
        <w:numPr>
          <w:ilvl w:val="0"/>
          <w:numId w:val="16"/>
        </w:numPr>
        <w:topLinePunct/>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在装置内部，应能辨别出单独的电路及电器元器件。电器元器件所用的标记应与随同装置一起提供的电路图上的标记一致。</w:t>
      </w:r>
    </w:p>
    <w:p>
      <w:pPr>
        <w:numPr>
          <w:ilvl w:val="0"/>
          <w:numId w:val="16"/>
        </w:numPr>
        <w:topLinePunct/>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bCs/>
          <w:color w:val="auto"/>
          <w:sz w:val="24"/>
          <w:szCs w:val="24"/>
        </w:rPr>
        <w:t>开关柜后门内侧粘贴所有主要元器件的铭牌。</w:t>
      </w:r>
    </w:p>
    <w:p>
      <w:pPr>
        <w:numPr>
          <w:ilvl w:val="0"/>
          <w:numId w:val="15"/>
        </w:numPr>
        <w:topLinePunct/>
        <w:spacing w:line="360" w:lineRule="auto"/>
        <w:ind w:left="425" w:leftChars="0" w:hanging="425"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铭牌</w:t>
      </w:r>
    </w:p>
    <w:p>
      <w:pPr>
        <w:numPr>
          <w:ilvl w:val="0"/>
          <w:numId w:val="17"/>
        </w:numPr>
        <w:topLinePunct/>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每台开关柜应配备铭牌，铭牌应字迹清晰，安装应坚固、耐久，其位置应该是在装置安装好后，易于看见的地方。</w:t>
      </w:r>
    </w:p>
    <w:p>
      <w:pPr>
        <w:topLinePunc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a) 制造商（生产厂）或商标；</w:t>
      </w:r>
    </w:p>
    <w:p>
      <w:pPr>
        <w:topLinePunc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b) 产品名称或型号；</w:t>
      </w:r>
    </w:p>
    <w:p>
      <w:pPr>
        <w:topLinePunc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c) 制造日期及出厂编号；</w:t>
      </w:r>
    </w:p>
    <w:p>
      <w:pPr>
        <w:topLinePunc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d) 额定电流；</w:t>
      </w:r>
    </w:p>
    <w:p>
      <w:pPr>
        <w:topLinePunc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e) 额定电压；</w:t>
      </w:r>
    </w:p>
    <w:p>
      <w:pPr>
        <w:topLinePunc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f) 额定绝缘电压；</w:t>
      </w:r>
    </w:p>
    <w:p>
      <w:pPr>
        <w:topLinePunc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g) 额定频率；</w:t>
      </w:r>
    </w:p>
    <w:p>
      <w:pPr>
        <w:topLinePunc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h) 防护等级</w:t>
      </w:r>
    </w:p>
    <w:p>
      <w:pPr>
        <w:numPr>
          <w:ilvl w:val="0"/>
          <w:numId w:val="17"/>
        </w:numPr>
        <w:topLinePunct/>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开关柜内的电器组件铭牌，如断路器、互感器等均应有耐久清晰的铭牌；在正常运行中，各组件的铭牌应便于识别。</w:t>
      </w:r>
    </w:p>
    <w:p>
      <w:pPr>
        <w:numPr>
          <w:ilvl w:val="0"/>
          <w:numId w:val="17"/>
        </w:numPr>
        <w:topLinePunct/>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设备铭牌为2mm</w:t>
      </w:r>
      <w:r>
        <w:rPr>
          <w:rFonts w:hint="eastAsia" w:ascii="宋体" w:hAnsi="宋体" w:eastAsia="宋体" w:cs="宋体"/>
          <w:bCs/>
          <w:color w:val="auto"/>
          <w:sz w:val="24"/>
          <w:szCs w:val="24"/>
          <w:lang w:val="en-US" w:eastAsia="zh-CN"/>
        </w:rPr>
        <w:t>不锈钢</w:t>
      </w:r>
      <w:r>
        <w:rPr>
          <w:rFonts w:hint="eastAsia" w:ascii="宋体" w:hAnsi="宋体" w:eastAsia="宋体" w:cs="宋体"/>
          <w:bCs/>
          <w:color w:val="auto"/>
          <w:sz w:val="24"/>
          <w:szCs w:val="24"/>
        </w:rPr>
        <w:t>材料，规格为200*50 mm。</w:t>
      </w:r>
    </w:p>
    <w:p>
      <w:pPr>
        <w:numPr>
          <w:ilvl w:val="0"/>
          <w:numId w:val="17"/>
        </w:numPr>
        <w:topLinePunct/>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设备二次铭牌为</w:t>
      </w:r>
      <w:r>
        <w:rPr>
          <w:rFonts w:hint="eastAsia" w:ascii="宋体" w:hAnsi="宋体" w:eastAsia="宋体" w:cs="宋体"/>
          <w:bCs/>
          <w:color w:val="auto"/>
          <w:sz w:val="24"/>
          <w:szCs w:val="24"/>
          <w:lang w:val="en-US" w:eastAsia="zh-CN"/>
        </w:rPr>
        <w:t>不锈钢</w:t>
      </w:r>
      <w:r>
        <w:rPr>
          <w:rFonts w:hint="eastAsia" w:ascii="宋体" w:hAnsi="宋体" w:eastAsia="宋体" w:cs="宋体"/>
          <w:bCs/>
          <w:color w:val="auto"/>
          <w:sz w:val="24"/>
          <w:szCs w:val="24"/>
        </w:rPr>
        <w:t>材料，规格为60*15 mm（仪表面板）。</w:t>
      </w:r>
    </w:p>
    <w:p>
      <w:pPr>
        <w:pStyle w:val="3"/>
        <w:numPr>
          <w:ilvl w:val="0"/>
          <w:numId w:val="0"/>
        </w:numPr>
        <w:adjustRightInd w:val="0"/>
        <w:snapToGrid w:val="0"/>
        <w:spacing w:before="0" w:after="0" w:line="360" w:lineRule="auto"/>
        <w:ind w:left="0" w:leftChars="0" w:firstLine="0" w:firstLineChars="0"/>
        <w:outlineLvl w:val="1"/>
        <w:rPr>
          <w:rFonts w:hint="eastAsia" w:ascii="宋体" w:hAnsi="宋体" w:eastAsia="宋体" w:cs="宋体"/>
          <w:b/>
          <w:bCs w:val="0"/>
          <w:color w:val="auto"/>
          <w:sz w:val="24"/>
          <w:szCs w:val="24"/>
          <w:lang w:val="en-US" w:eastAsia="zh-CN"/>
        </w:rPr>
      </w:pPr>
      <w:bookmarkStart w:id="51" w:name="_Toc32137"/>
      <w:bookmarkStart w:id="52" w:name="_Toc13535"/>
      <w:bookmarkStart w:id="53" w:name="_Toc11215"/>
      <w:bookmarkStart w:id="54" w:name="_Toc9446"/>
      <w:bookmarkStart w:id="55" w:name="_Toc26303"/>
      <w:r>
        <w:rPr>
          <w:rFonts w:hint="eastAsia" w:ascii="宋体" w:hAnsi="宋体" w:cs="宋体"/>
          <w:b/>
          <w:bCs w:val="0"/>
          <w:color w:val="auto"/>
          <w:sz w:val="24"/>
          <w:szCs w:val="24"/>
          <w:lang w:val="en-US" w:eastAsia="zh-CN"/>
        </w:rPr>
        <w:t>6</w:t>
      </w:r>
      <w:r>
        <w:rPr>
          <w:rFonts w:hint="eastAsia" w:ascii="宋体" w:hAnsi="宋体" w:eastAsia="宋体" w:cs="宋体"/>
          <w:b/>
          <w:bCs w:val="0"/>
          <w:color w:val="auto"/>
          <w:sz w:val="24"/>
          <w:szCs w:val="24"/>
          <w:lang w:val="en-US" w:eastAsia="zh-CN"/>
        </w:rPr>
        <w:t>. 10kV金属铠装移开式开关柜</w:t>
      </w:r>
      <w:bookmarkEnd w:id="51"/>
      <w:r>
        <w:rPr>
          <w:rFonts w:hint="eastAsia" w:ascii="宋体" w:hAnsi="宋体" w:eastAsia="宋体" w:cs="宋体"/>
          <w:b/>
          <w:bCs w:val="0"/>
          <w:color w:val="auto"/>
          <w:sz w:val="24"/>
          <w:szCs w:val="24"/>
          <w:lang w:val="en-US" w:eastAsia="zh-CN"/>
        </w:rPr>
        <w:t>技术要求</w:t>
      </w:r>
      <w:bookmarkEnd w:id="52"/>
      <w:bookmarkEnd w:id="53"/>
      <w:bookmarkEnd w:id="54"/>
      <w:bookmarkEnd w:id="55"/>
    </w:p>
    <w:p>
      <w:pPr>
        <w:pStyle w:val="4"/>
        <w:numPr>
          <w:ilvl w:val="2"/>
          <w:numId w:val="0"/>
        </w:numPr>
        <w:adjustRightInd w:val="0"/>
        <w:snapToGrid w:val="0"/>
        <w:spacing w:before="156" w:beforeLines="50" w:after="156" w:afterLines="50" w:line="360" w:lineRule="auto"/>
        <w:ind w:left="0" w:leftChars="0" w:firstLine="0" w:firstLineChars="0"/>
        <w:outlineLvl w:val="2"/>
        <w:rPr>
          <w:rFonts w:hint="eastAsia" w:ascii="宋体" w:hAnsi="宋体" w:eastAsia="宋体" w:cs="宋体"/>
          <w:b/>
          <w:bCs w:val="0"/>
          <w:color w:val="auto"/>
          <w:sz w:val="24"/>
          <w:szCs w:val="24"/>
          <w:lang w:val="en-US" w:eastAsia="zh-CN"/>
        </w:rPr>
      </w:pPr>
      <w:bookmarkStart w:id="56" w:name="_Toc20459"/>
      <w:bookmarkStart w:id="57" w:name="_Toc1048"/>
      <w:bookmarkStart w:id="58" w:name="_Toc11777"/>
      <w:bookmarkStart w:id="59" w:name="_Toc11876"/>
      <w:r>
        <w:rPr>
          <w:rFonts w:hint="eastAsia" w:ascii="宋体" w:eastAsia="宋体" w:cs="宋体"/>
          <w:b/>
          <w:bCs w:val="0"/>
          <w:color w:val="auto"/>
          <w:sz w:val="24"/>
          <w:szCs w:val="24"/>
          <w:lang w:val="en-US" w:eastAsia="zh-CN"/>
        </w:rPr>
        <w:t>6</w:t>
      </w:r>
      <w:r>
        <w:rPr>
          <w:rFonts w:hint="eastAsia" w:ascii="宋体" w:hAnsi="宋体" w:eastAsia="宋体" w:cs="宋体"/>
          <w:b/>
          <w:bCs w:val="0"/>
          <w:color w:val="auto"/>
          <w:sz w:val="24"/>
          <w:szCs w:val="24"/>
          <w:lang w:val="en-US" w:eastAsia="zh-CN"/>
        </w:rPr>
        <w:t>.1产品认证及相关标准要求</w:t>
      </w:r>
      <w:bookmarkEnd w:id="56"/>
      <w:bookmarkEnd w:id="57"/>
      <w:bookmarkEnd w:id="58"/>
      <w:bookmarkEnd w:id="59"/>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1.10</w:t>
      </w:r>
      <w:r>
        <w:rPr>
          <w:rFonts w:hint="eastAsia" w:ascii="宋体" w:hAnsi="宋体" w:eastAsia="宋体" w:cs="宋体"/>
          <w:color w:val="auto"/>
          <w:sz w:val="24"/>
          <w:szCs w:val="24"/>
          <w:lang w:eastAsia="zh-CN"/>
        </w:rPr>
        <w:t>kV</w:t>
      </w:r>
      <w:r>
        <w:rPr>
          <w:rFonts w:hint="eastAsia" w:ascii="宋体" w:hAnsi="宋体" w:eastAsia="宋体" w:cs="宋体"/>
          <w:color w:val="auto"/>
          <w:sz w:val="24"/>
          <w:szCs w:val="24"/>
        </w:rPr>
        <w:t>金属铠装移开式开关柜应具有相关产品认证证书（不限于以下几种）：</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项目所选用的10</w:t>
      </w:r>
      <w:r>
        <w:rPr>
          <w:rFonts w:hint="eastAsia" w:ascii="宋体" w:hAnsi="宋体" w:eastAsia="宋体" w:cs="宋体"/>
          <w:color w:val="auto"/>
          <w:sz w:val="24"/>
          <w:szCs w:val="24"/>
          <w:lang w:eastAsia="zh-CN"/>
        </w:rPr>
        <w:t>kV</w:t>
      </w:r>
      <w:r>
        <w:rPr>
          <w:rFonts w:hint="eastAsia" w:ascii="宋体" w:hAnsi="宋体" w:eastAsia="宋体" w:cs="宋体"/>
          <w:color w:val="auto"/>
          <w:sz w:val="24"/>
          <w:szCs w:val="24"/>
        </w:rPr>
        <w:t>金属铠装移开式开关柜必须通过型式试验报告，且证书在有效期内。</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2.10</w:t>
      </w:r>
      <w:r>
        <w:rPr>
          <w:rFonts w:hint="eastAsia" w:ascii="宋体" w:hAnsi="宋体" w:eastAsia="宋体" w:cs="宋体"/>
          <w:color w:val="auto"/>
          <w:sz w:val="24"/>
          <w:szCs w:val="24"/>
          <w:lang w:eastAsia="zh-CN"/>
        </w:rPr>
        <w:t>kV</w:t>
      </w:r>
      <w:r>
        <w:rPr>
          <w:rFonts w:hint="eastAsia" w:ascii="宋体" w:hAnsi="宋体" w:eastAsia="宋体" w:cs="宋体"/>
          <w:color w:val="auto"/>
          <w:sz w:val="24"/>
          <w:szCs w:val="24"/>
        </w:rPr>
        <w:t>金属铠装移开式开关柜的各项性能指标应满足以下标准的要求：</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产品应执行中国现行国家标准及相关行业标准，但不限于如下标准。当下列规范和标准之间不一致或与投标人所执行的标准不相同时，应按较高标准执行。</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（1）GB/T 156-2007      《标准电压》</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（2）GB311.1-2012      《绝缘配合 第1部分：定义、原则和规则》</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（3）DL/T 404-2007      《3.10</w:t>
      </w:r>
      <w:r>
        <w:rPr>
          <w:rFonts w:hint="eastAsia" w:ascii="宋体" w:hAnsi="宋体" w:eastAsia="宋体" w:cs="宋体"/>
          <w:color w:val="auto"/>
          <w:sz w:val="24"/>
          <w:szCs w:val="24"/>
          <w:lang w:eastAsia="zh-CN"/>
        </w:rPr>
        <w:t>kV</w:t>
      </w:r>
      <w:r>
        <w:rPr>
          <w:rFonts w:hint="eastAsia" w:ascii="宋体" w:hAnsi="宋体" w:eastAsia="宋体" w:cs="宋体"/>
          <w:color w:val="auto"/>
          <w:sz w:val="24"/>
          <w:szCs w:val="24"/>
        </w:rPr>
        <w:t>~40.5</w:t>
      </w:r>
      <w:r>
        <w:rPr>
          <w:rFonts w:hint="eastAsia" w:ascii="宋体" w:hAnsi="宋体" w:eastAsia="宋体" w:cs="宋体"/>
          <w:color w:val="auto"/>
          <w:sz w:val="24"/>
          <w:szCs w:val="24"/>
          <w:lang w:eastAsia="zh-CN"/>
        </w:rPr>
        <w:t>kV</w:t>
      </w:r>
      <w:r>
        <w:rPr>
          <w:rFonts w:hint="eastAsia" w:ascii="宋体" w:hAnsi="宋体" w:eastAsia="宋体" w:cs="宋体"/>
          <w:color w:val="auto"/>
          <w:sz w:val="24"/>
          <w:szCs w:val="24"/>
        </w:rPr>
        <w:t>交流金属封闭开关设备和控制设备》</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（4）JB 8738-2008       《高压交流开关设备用真空灭弧室》</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（5）JB 3855-2008       《高压交流真空断路器》</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（6）GB/T 16927.1-2011   《高电压试验技术 第1部分：一般定义及试验要求》</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（7）GB/T 1408.1-2006    《绝缘材料电气强度试验方法 第1部分：工频下试验》</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（8）GB/T 2900.20-1994   《电工术语 高压开关设备》</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（9）GB/T 3309-1989     《高压开关设备常温下的机械试验》</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（10）GB/T 11022-2011    《高压开关设备和控制设备标准的共用技术要求》</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（11）GB3804-2004       《3.6～40.5</w:t>
      </w:r>
      <w:r>
        <w:rPr>
          <w:rFonts w:hint="eastAsia" w:ascii="宋体" w:hAnsi="宋体" w:eastAsia="宋体" w:cs="宋体"/>
          <w:color w:val="auto"/>
          <w:sz w:val="24"/>
          <w:szCs w:val="24"/>
          <w:lang w:eastAsia="zh-CN"/>
        </w:rPr>
        <w:t>kV</w:t>
      </w:r>
      <w:r>
        <w:rPr>
          <w:rFonts w:hint="eastAsia" w:ascii="宋体" w:hAnsi="宋体" w:eastAsia="宋体" w:cs="宋体"/>
          <w:color w:val="auto"/>
          <w:sz w:val="24"/>
          <w:szCs w:val="24"/>
        </w:rPr>
        <w:t>高压交流负荷开关》</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（12）GB/T 7354-2003     《局部放电测量》</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（13）DL/T 620-1997      《交流电气装置的过电压保护和绝缘配合》</w:t>
      </w:r>
    </w:p>
    <w:p>
      <w:pPr>
        <w:pStyle w:val="4"/>
        <w:numPr>
          <w:ilvl w:val="2"/>
          <w:numId w:val="0"/>
        </w:numPr>
        <w:adjustRightInd w:val="0"/>
        <w:snapToGrid w:val="0"/>
        <w:spacing w:before="156" w:beforeLines="50" w:after="156" w:afterLines="50" w:line="360" w:lineRule="auto"/>
        <w:ind w:left="0" w:leftChars="0" w:firstLine="0" w:firstLineChars="0"/>
        <w:outlineLvl w:val="2"/>
        <w:rPr>
          <w:rFonts w:hint="eastAsia" w:ascii="宋体" w:hAnsi="宋体" w:eastAsia="宋体" w:cs="宋体"/>
          <w:b/>
          <w:bCs w:val="0"/>
          <w:color w:val="auto"/>
          <w:sz w:val="24"/>
          <w:szCs w:val="24"/>
          <w:lang w:val="en-US" w:eastAsia="zh-CN"/>
        </w:rPr>
      </w:pPr>
      <w:bookmarkStart w:id="60" w:name="_Toc2028"/>
      <w:bookmarkStart w:id="61" w:name="_Toc21198"/>
      <w:bookmarkStart w:id="62" w:name="_Toc20428"/>
      <w:bookmarkStart w:id="63" w:name="_Toc11550"/>
      <w:r>
        <w:rPr>
          <w:rFonts w:hint="eastAsia" w:ascii="宋体" w:eastAsia="宋体" w:cs="宋体"/>
          <w:b/>
          <w:bCs w:val="0"/>
          <w:color w:val="auto"/>
          <w:sz w:val="24"/>
          <w:szCs w:val="24"/>
          <w:lang w:val="en-US" w:eastAsia="zh-CN"/>
        </w:rPr>
        <w:t>6</w:t>
      </w:r>
      <w:r>
        <w:rPr>
          <w:rFonts w:hint="eastAsia" w:ascii="宋体" w:hAnsi="宋体" w:eastAsia="宋体" w:cs="宋体"/>
          <w:b/>
          <w:bCs w:val="0"/>
          <w:color w:val="auto"/>
          <w:sz w:val="24"/>
          <w:szCs w:val="24"/>
          <w:lang w:val="en-US" w:eastAsia="zh-CN"/>
        </w:rPr>
        <w:t>.2设备文件的要求</w:t>
      </w:r>
      <w:bookmarkEnd w:id="60"/>
      <w:bookmarkEnd w:id="61"/>
      <w:bookmarkEnd w:id="62"/>
      <w:bookmarkEnd w:id="63"/>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1.厂家应根据提出的设计条件，技术要求，供货范围，保证条件等提供完整的标书文件和图纸资料（包括但不限于此）：</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（1）产品样本</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（2）产品接线图纸</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（3）装配图纸</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（4）材料清单</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（5）备品备件清单</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（6）产品使用说明书</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（7）产品出厂试验报告</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（8）产品认证及检验报告</w:t>
      </w:r>
    </w:p>
    <w:p>
      <w:pPr>
        <w:pStyle w:val="4"/>
        <w:numPr>
          <w:ilvl w:val="2"/>
          <w:numId w:val="0"/>
        </w:numPr>
        <w:adjustRightInd w:val="0"/>
        <w:snapToGrid w:val="0"/>
        <w:spacing w:before="156" w:beforeLines="50" w:after="156" w:afterLines="50" w:line="360" w:lineRule="auto"/>
        <w:ind w:left="0" w:leftChars="0" w:firstLine="0" w:firstLineChars="0"/>
        <w:outlineLvl w:val="2"/>
        <w:rPr>
          <w:rFonts w:hint="eastAsia" w:ascii="宋体" w:hAnsi="宋体" w:eastAsia="宋体" w:cs="宋体"/>
          <w:b/>
          <w:bCs w:val="0"/>
          <w:color w:val="auto"/>
          <w:sz w:val="24"/>
          <w:szCs w:val="24"/>
          <w:lang w:val="en-US" w:eastAsia="zh-CN"/>
        </w:rPr>
      </w:pPr>
      <w:bookmarkStart w:id="64" w:name="_Toc24373"/>
      <w:bookmarkStart w:id="65" w:name="_Toc6729"/>
      <w:bookmarkStart w:id="66" w:name="_Toc29774"/>
      <w:bookmarkStart w:id="67" w:name="_Toc3824"/>
      <w:r>
        <w:rPr>
          <w:rFonts w:hint="eastAsia" w:ascii="宋体" w:eastAsia="宋体" w:cs="宋体"/>
          <w:b/>
          <w:bCs w:val="0"/>
          <w:color w:val="auto"/>
          <w:sz w:val="24"/>
          <w:szCs w:val="24"/>
          <w:lang w:val="en-US" w:eastAsia="zh-CN"/>
        </w:rPr>
        <w:t>6</w:t>
      </w:r>
      <w:r>
        <w:rPr>
          <w:rFonts w:hint="eastAsia" w:ascii="宋体" w:hAnsi="宋体" w:eastAsia="宋体" w:cs="宋体"/>
          <w:b/>
          <w:bCs w:val="0"/>
          <w:color w:val="auto"/>
          <w:sz w:val="24"/>
          <w:szCs w:val="24"/>
          <w:lang w:val="en-US" w:eastAsia="zh-CN"/>
        </w:rPr>
        <w:t>.3对产品及主要元器件的要求</w:t>
      </w:r>
      <w:bookmarkEnd w:id="64"/>
      <w:bookmarkEnd w:id="65"/>
      <w:bookmarkEnd w:id="66"/>
      <w:bookmarkEnd w:id="67"/>
    </w:p>
    <w:p>
      <w:pPr>
        <w:spacing w:line="360" w:lineRule="auto"/>
        <w:ind w:firstLine="410" w:firstLineChars="17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开关柜</w:t>
      </w:r>
      <w:r>
        <w:rPr>
          <w:rFonts w:hint="eastAsia" w:ascii="宋体" w:hAnsi="宋体" w:cs="宋体"/>
          <w:color w:val="auto"/>
          <w:sz w:val="24"/>
          <w:szCs w:val="24"/>
          <w:highlight w:val="none"/>
          <w:lang w:val="en-US" w:eastAsia="zh-CN"/>
        </w:rPr>
        <w:t>柜体及</w:t>
      </w:r>
      <w:r>
        <w:rPr>
          <w:rFonts w:hint="eastAsia" w:ascii="宋体" w:hAnsi="宋体" w:eastAsia="宋体" w:cs="宋体"/>
          <w:color w:val="auto"/>
          <w:sz w:val="24"/>
          <w:szCs w:val="24"/>
          <w:highlight w:val="none"/>
          <w:lang w:val="en-US" w:eastAsia="zh-CN"/>
        </w:rPr>
        <w:t>高、低压断路器采用ABB、施耐德、西门子</w:t>
      </w:r>
      <w:r>
        <w:rPr>
          <w:rFonts w:hint="eastAsia" w:ascii="宋体" w:hAnsi="宋体" w:cs="宋体"/>
          <w:color w:val="auto"/>
          <w:sz w:val="24"/>
          <w:szCs w:val="24"/>
          <w:highlight w:val="none"/>
          <w:lang w:val="en-US" w:eastAsia="zh-CN"/>
        </w:rPr>
        <w:t>授权</w:t>
      </w:r>
      <w:r>
        <w:rPr>
          <w:rFonts w:hint="eastAsia" w:ascii="宋体" w:hAnsi="宋体" w:eastAsia="宋体" w:cs="宋体"/>
          <w:color w:val="auto"/>
          <w:sz w:val="24"/>
          <w:szCs w:val="24"/>
          <w:highlight w:val="none"/>
          <w:lang w:val="en-US" w:eastAsia="zh-CN"/>
        </w:rPr>
        <w:t>品牌。</w:t>
      </w:r>
    </w:p>
    <w:p>
      <w:pPr>
        <w:spacing w:line="360" w:lineRule="auto"/>
        <w:ind w:firstLine="410" w:firstLineChars="17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参数满足设计图纸要求，必须具备相应电压等级高压开关柜的生产条件和全部出厂试验条件。柜内装设与开关柜同品牌优质断路器（包括底盘车，手车动触头，二次接插组件等）、接地开关。其他各类元器件</w:t>
      </w:r>
      <w:r>
        <w:rPr>
          <w:rFonts w:hint="eastAsia" w:ascii="宋体" w:hAnsi="宋体" w:eastAsia="宋体" w:cs="宋体"/>
          <w:color w:val="auto"/>
          <w:sz w:val="24"/>
          <w:szCs w:val="24"/>
          <w:highlight w:val="none"/>
        </w:rPr>
        <w:t>应用到</w:t>
      </w:r>
      <w:r>
        <w:rPr>
          <w:rFonts w:hint="eastAsia" w:ascii="宋体" w:hAnsi="宋体" w:eastAsia="宋体" w:cs="宋体"/>
          <w:color w:val="auto"/>
          <w:sz w:val="24"/>
          <w:szCs w:val="24"/>
          <w:highlight w:val="none"/>
          <w:lang w:val="en-US" w:eastAsia="zh-CN"/>
        </w:rPr>
        <w:t>开关</w:t>
      </w:r>
      <w:r>
        <w:rPr>
          <w:rFonts w:hint="eastAsia" w:ascii="宋体" w:hAnsi="宋体" w:eastAsia="宋体" w:cs="宋体"/>
          <w:color w:val="auto"/>
          <w:sz w:val="24"/>
          <w:szCs w:val="24"/>
          <w:highlight w:val="none"/>
        </w:rPr>
        <w:t>柜之前必须按照严格的导入流程通过严格的测试筛选。</w:t>
      </w:r>
    </w:p>
    <w:p>
      <w:pPr>
        <w:pStyle w:val="4"/>
        <w:numPr>
          <w:ilvl w:val="2"/>
          <w:numId w:val="0"/>
        </w:numPr>
        <w:adjustRightInd w:val="0"/>
        <w:snapToGrid w:val="0"/>
        <w:spacing w:before="156" w:beforeLines="50" w:after="156" w:afterLines="50" w:line="360" w:lineRule="auto"/>
        <w:ind w:left="0" w:leftChars="0" w:firstLine="0" w:firstLineChars="0"/>
        <w:outlineLvl w:val="2"/>
        <w:rPr>
          <w:rFonts w:hint="eastAsia" w:ascii="宋体" w:hAnsi="宋体" w:eastAsia="宋体" w:cs="宋体"/>
          <w:b/>
          <w:bCs w:val="0"/>
          <w:color w:val="auto"/>
          <w:sz w:val="24"/>
          <w:szCs w:val="24"/>
          <w:lang w:val="en-US" w:eastAsia="zh-CN"/>
        </w:rPr>
      </w:pPr>
      <w:bookmarkStart w:id="68" w:name="_Toc18641"/>
      <w:bookmarkStart w:id="69" w:name="_Toc13660"/>
      <w:bookmarkStart w:id="70" w:name="_Toc12097"/>
      <w:bookmarkStart w:id="71" w:name="_Toc12260"/>
      <w:r>
        <w:rPr>
          <w:rFonts w:hint="eastAsia" w:ascii="宋体" w:eastAsia="宋体" w:cs="宋体"/>
          <w:b/>
          <w:bCs w:val="0"/>
          <w:color w:val="auto"/>
          <w:sz w:val="24"/>
          <w:szCs w:val="24"/>
          <w:lang w:val="en-US" w:eastAsia="zh-CN"/>
        </w:rPr>
        <w:t>6</w:t>
      </w:r>
      <w:r>
        <w:rPr>
          <w:rFonts w:hint="eastAsia" w:ascii="宋体" w:hAnsi="宋体" w:eastAsia="宋体" w:cs="宋体"/>
          <w:b/>
          <w:bCs w:val="0"/>
          <w:color w:val="auto"/>
          <w:sz w:val="24"/>
          <w:szCs w:val="24"/>
          <w:lang w:val="en-US" w:eastAsia="zh-CN"/>
        </w:rPr>
        <w:t>.4对产品技术要求</w:t>
      </w:r>
      <w:bookmarkEnd w:id="68"/>
      <w:bookmarkEnd w:id="69"/>
      <w:bookmarkEnd w:id="70"/>
      <w:bookmarkEnd w:id="71"/>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1.产品正常使用的环境条件</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）使用环境温度：户内型为</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℃～+50℃；相对湿度≤95%，</w:t>
      </w:r>
      <w:r>
        <w:rPr>
          <w:rFonts w:hint="eastAsia" w:ascii="宋体" w:hAnsi="宋体" w:eastAsia="宋体" w:cs="宋体"/>
          <w:color w:val="auto"/>
          <w:sz w:val="24"/>
          <w:szCs w:val="24"/>
          <w:lang w:val="en-US" w:eastAsia="zh-CN"/>
        </w:rPr>
        <w:t>有</w:t>
      </w:r>
      <w:r>
        <w:rPr>
          <w:rFonts w:hint="eastAsia" w:ascii="宋体" w:hAnsi="宋体" w:eastAsia="宋体" w:cs="宋体"/>
          <w:color w:val="auto"/>
          <w:sz w:val="24"/>
          <w:szCs w:val="24"/>
        </w:rPr>
        <w:t>凝露；</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）海拔高度：  ≤</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00m</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（3）工作环境：室内</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（4）无剧烈震动冲击, 垂直倾斜度≤5º；</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注：如果10</w:t>
      </w:r>
      <w:r>
        <w:rPr>
          <w:rFonts w:hint="eastAsia" w:ascii="宋体" w:hAnsi="宋体" w:eastAsia="宋体" w:cs="宋体"/>
          <w:color w:val="auto"/>
          <w:sz w:val="24"/>
          <w:szCs w:val="24"/>
          <w:lang w:val="en-US" w:eastAsia="zh-CN"/>
        </w:rPr>
        <w:t>kV</w:t>
      </w:r>
      <w:r>
        <w:rPr>
          <w:rFonts w:hint="eastAsia" w:ascii="宋体" w:hAnsi="宋体" w:eastAsia="宋体" w:cs="宋体"/>
          <w:color w:val="auto"/>
          <w:sz w:val="24"/>
          <w:szCs w:val="24"/>
        </w:rPr>
        <w:t xml:space="preserve">金属铠装移开式开关柜在异于规定的条件下使用，用户应在订货时提出，并与制造厂商或供货商取得协议。 </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2.产品正常使用的工程条件</w:t>
      </w:r>
    </w:p>
    <w:p>
      <w:pPr>
        <w:spacing w:line="360" w:lineRule="auto"/>
        <w:ind w:firstLine="410" w:firstLineChars="171"/>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（1）系统额定电压：  10</w:t>
      </w:r>
      <w:r>
        <w:rPr>
          <w:rFonts w:hint="eastAsia" w:ascii="宋体" w:hAnsi="宋体" w:eastAsia="宋体" w:cs="宋体"/>
          <w:color w:val="auto"/>
          <w:sz w:val="24"/>
          <w:szCs w:val="24"/>
          <w:lang w:eastAsia="zh-CN"/>
        </w:rPr>
        <w:t>kV</w:t>
      </w:r>
    </w:p>
    <w:p>
      <w:pPr>
        <w:spacing w:line="360" w:lineRule="auto"/>
        <w:ind w:firstLine="410" w:firstLineChars="171"/>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（2）系统最高电压：  12</w:t>
      </w:r>
      <w:r>
        <w:rPr>
          <w:rFonts w:hint="eastAsia" w:ascii="宋体" w:hAnsi="宋体" w:eastAsia="宋体" w:cs="宋体"/>
          <w:color w:val="auto"/>
          <w:sz w:val="24"/>
          <w:szCs w:val="24"/>
          <w:lang w:eastAsia="zh-CN"/>
        </w:rPr>
        <w:t>kV</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（3）系统额定频率：  50Hz</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（4）安装地点：户内，正装直立</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3.10</w:t>
      </w:r>
      <w:r>
        <w:rPr>
          <w:rFonts w:hint="eastAsia" w:ascii="宋体" w:hAnsi="宋体" w:eastAsia="宋体" w:cs="宋体"/>
          <w:color w:val="auto"/>
          <w:sz w:val="24"/>
          <w:szCs w:val="24"/>
          <w:lang w:eastAsia="zh-CN"/>
        </w:rPr>
        <w:t>kV</w:t>
      </w:r>
      <w:r>
        <w:rPr>
          <w:rFonts w:hint="eastAsia" w:ascii="宋体" w:hAnsi="宋体" w:eastAsia="宋体" w:cs="宋体"/>
          <w:color w:val="auto"/>
          <w:sz w:val="24"/>
          <w:szCs w:val="24"/>
        </w:rPr>
        <w:t>金属铠装移开式开关柜主要技术参数要求</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（1）开关柜基本技术参数</w:t>
      </w:r>
    </w:p>
    <w:p>
      <w:pPr>
        <w:spacing w:line="360" w:lineRule="auto"/>
        <w:ind w:firstLine="410" w:firstLineChars="171"/>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额定电压（最高运行电压）  12</w:t>
      </w:r>
      <w:r>
        <w:rPr>
          <w:rFonts w:hint="eastAsia" w:ascii="宋体" w:hAnsi="宋体" w:eastAsia="宋体" w:cs="宋体"/>
          <w:color w:val="auto"/>
          <w:sz w:val="24"/>
          <w:szCs w:val="24"/>
          <w:lang w:eastAsia="zh-CN"/>
        </w:rPr>
        <w:t>kV</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额定频率</w:t>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50Hz</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1分钟额定工频耐受电压（有效值）</w:t>
      </w:r>
    </w:p>
    <w:p>
      <w:pPr>
        <w:spacing w:line="360" w:lineRule="auto"/>
        <w:ind w:firstLine="410" w:firstLineChars="171"/>
        <w:rPr>
          <w:rFonts w:hint="eastAsia" w:ascii="宋体" w:hAnsi="宋体" w:eastAsia="宋体" w:cs="宋体"/>
          <w:color w:val="auto"/>
          <w:sz w:val="24"/>
          <w:szCs w:val="24"/>
          <w:lang w:eastAsia="zh-CN"/>
        </w:rPr>
      </w:pPr>
      <w:r>
        <w:rPr>
          <w:rFonts w:hint="eastAsia" w:ascii="宋体" w:hAnsi="宋体" w:eastAsia="宋体" w:cs="宋体"/>
          <w:color w:val="auto"/>
          <w:sz w:val="24"/>
          <w:szCs w:val="24"/>
        </w:rPr>
        <w:t>相间及对地</w:t>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42</w:t>
      </w:r>
      <w:r>
        <w:rPr>
          <w:rFonts w:hint="eastAsia" w:ascii="宋体" w:hAnsi="宋体" w:eastAsia="宋体" w:cs="宋体"/>
          <w:color w:val="auto"/>
          <w:sz w:val="24"/>
          <w:szCs w:val="24"/>
          <w:lang w:eastAsia="zh-CN"/>
        </w:rPr>
        <w:t>kV</w:t>
      </w:r>
    </w:p>
    <w:p>
      <w:pPr>
        <w:spacing w:line="360" w:lineRule="auto"/>
        <w:ind w:firstLine="410" w:firstLineChars="171"/>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隔离断口</w:t>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48</w:t>
      </w:r>
      <w:r>
        <w:rPr>
          <w:rFonts w:hint="eastAsia" w:ascii="宋体" w:hAnsi="宋体" w:eastAsia="宋体" w:cs="宋体"/>
          <w:color w:val="auto"/>
          <w:sz w:val="24"/>
          <w:szCs w:val="24"/>
          <w:lang w:eastAsia="zh-CN"/>
        </w:rPr>
        <w:t>kV</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额定雷电冲击耐受电压（峰值）</w:t>
      </w:r>
    </w:p>
    <w:p>
      <w:pPr>
        <w:spacing w:line="360" w:lineRule="auto"/>
        <w:ind w:firstLine="410" w:firstLineChars="171"/>
        <w:rPr>
          <w:rFonts w:hint="eastAsia" w:ascii="宋体" w:hAnsi="宋体" w:eastAsia="宋体" w:cs="宋体"/>
          <w:color w:val="auto"/>
          <w:sz w:val="24"/>
          <w:szCs w:val="24"/>
          <w:lang w:eastAsia="zh-CN"/>
        </w:rPr>
      </w:pPr>
      <w:r>
        <w:rPr>
          <w:rFonts w:hint="eastAsia" w:ascii="宋体" w:hAnsi="宋体" w:eastAsia="宋体" w:cs="宋体"/>
          <w:color w:val="auto"/>
          <w:sz w:val="24"/>
          <w:szCs w:val="24"/>
        </w:rPr>
        <w:t>相间及对地</w:t>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75</w:t>
      </w:r>
      <w:r>
        <w:rPr>
          <w:rFonts w:hint="eastAsia" w:ascii="宋体" w:hAnsi="宋体" w:eastAsia="宋体" w:cs="宋体"/>
          <w:color w:val="auto"/>
          <w:sz w:val="24"/>
          <w:szCs w:val="24"/>
          <w:lang w:eastAsia="zh-CN"/>
        </w:rPr>
        <w:t>kV</w:t>
      </w:r>
    </w:p>
    <w:p>
      <w:pPr>
        <w:spacing w:line="360" w:lineRule="auto"/>
        <w:ind w:firstLine="410" w:firstLineChars="171"/>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隔离断口</w:t>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85</w:t>
      </w:r>
      <w:r>
        <w:rPr>
          <w:rFonts w:hint="eastAsia" w:ascii="宋体" w:hAnsi="宋体" w:eastAsia="宋体" w:cs="宋体"/>
          <w:color w:val="auto"/>
          <w:sz w:val="24"/>
          <w:szCs w:val="24"/>
          <w:lang w:eastAsia="zh-CN"/>
        </w:rPr>
        <w:t>kV</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额定电流</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母线额定电流</w:t>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630A、1250A、1600A、2000A、2500A、3150、4000A</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额定热稳定电流       20KA、25KA、31.5kA、40KA</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持续短路时间         4S</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额定动稳定电流（峰值）：50KA、63KA、80KA、100KA</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母线额定电流、额定热稳定电流、额定动稳定电流需根据项目条件进行配置。</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（2）柜内主要设备技术参数</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a.真空断路器</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型式：户内真空开关。</w:t>
      </w:r>
    </w:p>
    <w:p>
      <w:pPr>
        <w:spacing w:line="360" w:lineRule="auto"/>
        <w:ind w:firstLine="410" w:firstLineChars="171"/>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额定电压： 10</w:t>
      </w:r>
      <w:r>
        <w:rPr>
          <w:rFonts w:hint="eastAsia" w:ascii="宋体" w:hAnsi="宋体" w:eastAsia="宋体" w:cs="宋体"/>
          <w:color w:val="auto"/>
          <w:sz w:val="24"/>
          <w:szCs w:val="24"/>
          <w:lang w:eastAsia="zh-CN"/>
        </w:rPr>
        <w:t>kV</w:t>
      </w:r>
    </w:p>
    <w:p>
      <w:pPr>
        <w:spacing w:line="360" w:lineRule="auto"/>
        <w:ind w:firstLine="410" w:firstLineChars="171"/>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最高工作电压： 12</w:t>
      </w:r>
      <w:r>
        <w:rPr>
          <w:rFonts w:hint="eastAsia" w:ascii="宋体" w:hAnsi="宋体" w:eastAsia="宋体" w:cs="宋体"/>
          <w:color w:val="auto"/>
          <w:sz w:val="24"/>
          <w:szCs w:val="24"/>
          <w:lang w:eastAsia="zh-CN"/>
        </w:rPr>
        <w:t>kV</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额定频率： 5OHz</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额定电流：630A、125OA、1600A、2000A、2500A、3150A、4000A</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额定动稳定电流（峰值）：50KA、63KA、80KA、100KA</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额定热稳定电流（有效值）：20KA、25KA、31.5kA、40KA</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母线额定电流、额定热稳定电流、额定动稳定电流需根据项目条件进行配置。</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持续短路时间         4S</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额定绝缘水平1分钟工频耐受电压（有效值）：</w:t>
      </w:r>
    </w:p>
    <w:p>
      <w:pPr>
        <w:spacing w:line="360" w:lineRule="auto"/>
        <w:ind w:firstLine="410" w:firstLineChars="171"/>
        <w:rPr>
          <w:rFonts w:hint="eastAsia" w:ascii="宋体" w:hAnsi="宋体" w:eastAsia="宋体" w:cs="宋体"/>
          <w:color w:val="auto"/>
          <w:sz w:val="24"/>
          <w:szCs w:val="24"/>
          <w:lang w:eastAsia="zh-CN"/>
        </w:rPr>
      </w:pPr>
      <w:r>
        <w:rPr>
          <w:rFonts w:hint="eastAsia" w:ascii="宋体" w:hAnsi="宋体" w:eastAsia="宋体" w:cs="宋体"/>
          <w:color w:val="auto"/>
          <w:sz w:val="24"/>
          <w:szCs w:val="24"/>
        </w:rPr>
        <w:t>相间及对地</w:t>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42</w:t>
      </w:r>
      <w:r>
        <w:rPr>
          <w:rFonts w:hint="eastAsia" w:ascii="宋体" w:hAnsi="宋体" w:eastAsia="宋体" w:cs="宋体"/>
          <w:color w:val="auto"/>
          <w:sz w:val="24"/>
          <w:szCs w:val="24"/>
          <w:lang w:eastAsia="zh-CN"/>
        </w:rPr>
        <w:t>kV</w:t>
      </w:r>
    </w:p>
    <w:p>
      <w:pPr>
        <w:spacing w:line="360" w:lineRule="auto"/>
        <w:ind w:firstLine="410" w:firstLineChars="171"/>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隔离断口</w:t>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48</w:t>
      </w:r>
      <w:r>
        <w:rPr>
          <w:rFonts w:hint="eastAsia" w:ascii="宋体" w:hAnsi="宋体" w:eastAsia="宋体" w:cs="宋体"/>
          <w:color w:val="auto"/>
          <w:sz w:val="24"/>
          <w:szCs w:val="24"/>
          <w:lang w:eastAsia="zh-CN"/>
        </w:rPr>
        <w:t>kV</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额定雷电冲击耐受电压（峰值）：</w:t>
      </w:r>
    </w:p>
    <w:p>
      <w:pPr>
        <w:spacing w:line="360" w:lineRule="auto"/>
        <w:ind w:firstLine="410" w:firstLineChars="171"/>
        <w:rPr>
          <w:rFonts w:hint="eastAsia" w:ascii="宋体" w:hAnsi="宋体" w:eastAsia="宋体" w:cs="宋体"/>
          <w:color w:val="auto"/>
          <w:sz w:val="24"/>
          <w:szCs w:val="24"/>
          <w:lang w:eastAsia="zh-CN"/>
        </w:rPr>
      </w:pPr>
      <w:r>
        <w:rPr>
          <w:rFonts w:hint="eastAsia" w:ascii="宋体" w:hAnsi="宋体" w:eastAsia="宋体" w:cs="宋体"/>
          <w:color w:val="auto"/>
          <w:sz w:val="24"/>
          <w:szCs w:val="24"/>
        </w:rPr>
        <w:t>相间及对地</w:t>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75</w:t>
      </w:r>
      <w:r>
        <w:rPr>
          <w:rFonts w:hint="eastAsia" w:ascii="宋体" w:hAnsi="宋体" w:eastAsia="宋体" w:cs="宋体"/>
          <w:color w:val="auto"/>
          <w:sz w:val="24"/>
          <w:szCs w:val="24"/>
          <w:lang w:eastAsia="zh-CN"/>
        </w:rPr>
        <w:t>kV</w:t>
      </w:r>
    </w:p>
    <w:p>
      <w:pPr>
        <w:spacing w:line="360" w:lineRule="auto"/>
        <w:ind w:firstLine="410" w:firstLineChars="171"/>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隔离断口</w:t>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85</w:t>
      </w:r>
      <w:r>
        <w:rPr>
          <w:rFonts w:hint="eastAsia" w:ascii="宋体" w:hAnsi="宋体" w:eastAsia="宋体" w:cs="宋体"/>
          <w:color w:val="auto"/>
          <w:sz w:val="24"/>
          <w:szCs w:val="24"/>
          <w:lang w:eastAsia="zh-CN"/>
        </w:rPr>
        <w:t>kV</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b．接地开关</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额定绝缘水平</w:t>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同开关柜</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不做维修允许操作次数</w:t>
      </w:r>
      <w:r>
        <w:rPr>
          <w:rFonts w:hint="eastAsia" w:ascii="宋体" w:hAnsi="宋体" w:eastAsia="宋体" w:cs="宋体"/>
          <w:color w:val="auto"/>
          <w:sz w:val="24"/>
          <w:szCs w:val="24"/>
        </w:rPr>
        <w:tab/>
      </w:r>
      <w:r>
        <w:rPr>
          <w:rFonts w:hint="eastAsia" w:ascii="宋体" w:hAnsi="宋体" w:eastAsia="宋体" w:cs="宋体"/>
          <w:color w:val="auto"/>
          <w:sz w:val="24"/>
          <w:szCs w:val="24"/>
        </w:rPr>
        <w:t>1000次</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动稳定电流  　       50KA、63KA、80KA、100KA</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热稳定电流    　     20KA、25KA、31.5kA、40KA</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持续短路时间         4S</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热稳定电流、动稳定电流需根据项目条件进行配置</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c</w:t>
      </w:r>
      <w:r>
        <w:rPr>
          <w:rFonts w:hint="eastAsia" w:ascii="宋体" w:hAnsi="宋体" w:eastAsia="宋体" w:cs="宋体"/>
          <w:color w:val="auto"/>
          <w:sz w:val="24"/>
          <w:szCs w:val="24"/>
        </w:rPr>
        <w:t>.熔断器</w:t>
      </w:r>
    </w:p>
    <w:tbl>
      <w:tblPr>
        <w:tblStyle w:val="22"/>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4510"/>
        <w:gridCol w:w="380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712" w:type="pct"/>
            <w:tcBorders>
              <w:bottom w:val="single" w:color="000000" w:sz="6" w:space="0"/>
              <w:right w:val="single" w:color="000000" w:sz="6" w:space="0"/>
            </w:tcBorders>
            <w:noWrap w:val="0"/>
            <w:vAlign w:val="top"/>
          </w:tcPr>
          <w:p>
            <w:pPr>
              <w:pStyle w:val="50"/>
              <w:tabs>
                <w:tab w:val="left" w:pos="1472"/>
              </w:tabs>
              <w:spacing w:before="15"/>
              <w:rPr>
                <w:rFonts w:hint="eastAsia" w:ascii="宋体" w:hAnsi="宋体" w:eastAsia="宋体" w:cs="宋体"/>
                <w:color w:val="auto"/>
                <w:sz w:val="21"/>
                <w:szCs w:val="21"/>
              </w:rPr>
            </w:pPr>
            <w:r>
              <w:rPr>
                <w:rFonts w:hint="eastAsia" w:ascii="宋体" w:hAnsi="宋体" w:eastAsia="宋体" w:cs="宋体"/>
                <w:color w:val="auto"/>
                <w:sz w:val="21"/>
                <w:szCs w:val="21"/>
              </w:rPr>
              <w:t>描</w:t>
            </w:r>
            <w:r>
              <w:rPr>
                <w:rFonts w:hint="eastAsia" w:ascii="宋体" w:hAnsi="宋体" w:eastAsia="宋体" w:cs="宋体"/>
                <w:color w:val="auto"/>
                <w:sz w:val="21"/>
                <w:szCs w:val="21"/>
              </w:rPr>
              <w:tab/>
            </w:r>
            <w:r>
              <w:rPr>
                <w:rFonts w:hint="eastAsia" w:ascii="宋体" w:hAnsi="宋体" w:eastAsia="宋体" w:cs="宋体"/>
                <w:color w:val="auto"/>
                <w:sz w:val="21"/>
                <w:szCs w:val="21"/>
              </w:rPr>
              <w:t>述</w:t>
            </w:r>
          </w:p>
        </w:tc>
        <w:tc>
          <w:tcPr>
            <w:tcW w:w="2287" w:type="pct"/>
            <w:tcBorders>
              <w:left w:val="single" w:color="000000" w:sz="6" w:space="0"/>
              <w:bottom w:val="single" w:color="000000" w:sz="6" w:space="0"/>
            </w:tcBorders>
            <w:noWrap w:val="0"/>
            <w:vAlign w:val="top"/>
          </w:tcPr>
          <w:p>
            <w:pPr>
              <w:pStyle w:val="50"/>
              <w:spacing w:before="15"/>
              <w:rPr>
                <w:rFonts w:hint="eastAsia" w:ascii="宋体" w:hAnsi="宋体" w:eastAsia="宋体" w:cs="宋体"/>
                <w:color w:val="auto"/>
                <w:sz w:val="21"/>
                <w:szCs w:val="21"/>
              </w:rPr>
            </w:pPr>
            <w:r>
              <w:rPr>
                <w:rFonts w:hint="eastAsia" w:ascii="宋体" w:hAnsi="宋体" w:eastAsia="宋体" w:cs="宋体"/>
                <w:color w:val="auto"/>
                <w:sz w:val="21"/>
                <w:szCs w:val="21"/>
              </w:rPr>
              <w:t>电气参数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712" w:type="pct"/>
            <w:tcBorders>
              <w:top w:val="single" w:color="000000" w:sz="6" w:space="0"/>
              <w:bottom w:val="single" w:color="000000" w:sz="6" w:space="0"/>
              <w:right w:val="single" w:color="000000" w:sz="6" w:space="0"/>
            </w:tcBorders>
            <w:noWrap w:val="0"/>
            <w:vAlign w:val="top"/>
          </w:tcPr>
          <w:p>
            <w:pPr>
              <w:pStyle w:val="50"/>
              <w:rPr>
                <w:rFonts w:hint="eastAsia" w:ascii="宋体" w:hAnsi="宋体" w:eastAsia="宋体" w:cs="宋体"/>
                <w:color w:val="auto"/>
                <w:sz w:val="21"/>
                <w:szCs w:val="21"/>
              </w:rPr>
            </w:pPr>
            <w:r>
              <w:rPr>
                <w:rFonts w:hint="eastAsia" w:ascii="宋体" w:hAnsi="宋体" w:eastAsia="宋体" w:cs="宋体"/>
                <w:color w:val="auto"/>
                <w:sz w:val="21"/>
                <w:szCs w:val="21"/>
              </w:rPr>
              <w:t>额定电压（</w:t>
            </w:r>
            <w:r>
              <w:rPr>
                <w:rFonts w:hint="eastAsia" w:ascii="宋体" w:hAnsi="宋体" w:eastAsia="宋体" w:cs="宋体"/>
                <w:color w:val="auto"/>
                <w:sz w:val="21"/>
                <w:szCs w:val="21"/>
                <w:lang w:eastAsia="zh-CN"/>
              </w:rPr>
              <w:t>kV</w:t>
            </w:r>
            <w:r>
              <w:rPr>
                <w:rFonts w:hint="eastAsia" w:ascii="宋体" w:hAnsi="宋体" w:eastAsia="宋体" w:cs="宋体"/>
                <w:color w:val="auto"/>
                <w:sz w:val="21"/>
                <w:szCs w:val="21"/>
              </w:rPr>
              <w:t>）</w:t>
            </w:r>
          </w:p>
        </w:tc>
        <w:tc>
          <w:tcPr>
            <w:tcW w:w="2287" w:type="pct"/>
            <w:tcBorders>
              <w:top w:val="single" w:color="000000" w:sz="6" w:space="0"/>
              <w:left w:val="single" w:color="000000" w:sz="6" w:space="0"/>
              <w:bottom w:val="single" w:color="000000" w:sz="6" w:space="0"/>
            </w:tcBorders>
            <w:noWrap w:val="0"/>
            <w:vAlign w:val="top"/>
          </w:tcPr>
          <w:p>
            <w:pPr>
              <w:pStyle w:val="50"/>
              <w:spacing w:before="2"/>
              <w:rPr>
                <w:rFonts w:hint="eastAsia" w:ascii="宋体" w:hAnsi="宋体" w:eastAsia="宋体" w:cs="宋体"/>
                <w:color w:val="auto"/>
                <w:sz w:val="21"/>
                <w:szCs w:val="21"/>
              </w:rPr>
            </w:pPr>
            <w:r>
              <w:rPr>
                <w:rFonts w:hint="eastAsia" w:ascii="宋体" w:hAnsi="宋体" w:eastAsia="宋体" w:cs="宋体"/>
                <w:color w:val="auto"/>
                <w:w w:val="110"/>
                <w:sz w:val="21"/>
                <w:szCs w:val="21"/>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712" w:type="pct"/>
            <w:tcBorders>
              <w:top w:val="single" w:color="000000" w:sz="6" w:space="0"/>
              <w:bottom w:val="single" w:color="000000" w:sz="6" w:space="0"/>
              <w:right w:val="single" w:color="000000" w:sz="6" w:space="0"/>
            </w:tcBorders>
            <w:noWrap w:val="0"/>
            <w:vAlign w:val="top"/>
          </w:tcPr>
          <w:p>
            <w:pPr>
              <w:pStyle w:val="50"/>
              <w:rPr>
                <w:rFonts w:hint="eastAsia" w:ascii="宋体" w:hAnsi="宋体" w:eastAsia="宋体" w:cs="宋体"/>
                <w:color w:val="auto"/>
                <w:sz w:val="21"/>
                <w:szCs w:val="21"/>
              </w:rPr>
            </w:pPr>
            <w:r>
              <w:rPr>
                <w:rFonts w:hint="eastAsia" w:ascii="宋体" w:hAnsi="宋体" w:eastAsia="宋体" w:cs="宋体"/>
                <w:color w:val="auto"/>
                <w:sz w:val="21"/>
                <w:szCs w:val="21"/>
              </w:rPr>
              <w:t>最高电压（</w:t>
            </w:r>
            <w:r>
              <w:rPr>
                <w:rFonts w:hint="eastAsia" w:ascii="宋体" w:hAnsi="宋体" w:eastAsia="宋体" w:cs="宋体"/>
                <w:color w:val="auto"/>
                <w:sz w:val="21"/>
                <w:szCs w:val="21"/>
                <w:lang w:eastAsia="zh-CN"/>
              </w:rPr>
              <w:t>kV</w:t>
            </w:r>
            <w:r>
              <w:rPr>
                <w:rFonts w:hint="eastAsia" w:ascii="宋体" w:hAnsi="宋体" w:eastAsia="宋体" w:cs="宋体"/>
                <w:color w:val="auto"/>
                <w:sz w:val="21"/>
                <w:szCs w:val="21"/>
              </w:rPr>
              <w:t>）</w:t>
            </w:r>
          </w:p>
        </w:tc>
        <w:tc>
          <w:tcPr>
            <w:tcW w:w="2287" w:type="pct"/>
            <w:tcBorders>
              <w:top w:val="single" w:color="000000" w:sz="6" w:space="0"/>
              <w:left w:val="single" w:color="000000" w:sz="6" w:space="0"/>
              <w:bottom w:val="single" w:color="000000" w:sz="6" w:space="0"/>
            </w:tcBorders>
            <w:noWrap w:val="0"/>
            <w:vAlign w:val="top"/>
          </w:tcPr>
          <w:p>
            <w:pPr>
              <w:pStyle w:val="50"/>
              <w:spacing w:before="2"/>
              <w:rPr>
                <w:rFonts w:hint="eastAsia" w:ascii="宋体" w:hAnsi="宋体" w:eastAsia="宋体" w:cs="宋体"/>
                <w:color w:val="auto"/>
                <w:sz w:val="21"/>
                <w:szCs w:val="21"/>
              </w:rPr>
            </w:pPr>
            <w:r>
              <w:rPr>
                <w:rFonts w:hint="eastAsia" w:ascii="宋体" w:hAnsi="宋体" w:eastAsia="宋体" w:cs="宋体"/>
                <w:color w:val="auto"/>
                <w:sz w:val="21"/>
                <w:szCs w:val="21"/>
              </w:rPr>
              <w:t>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712" w:type="pct"/>
            <w:tcBorders>
              <w:top w:val="single" w:color="000000" w:sz="6" w:space="0"/>
              <w:bottom w:val="single" w:color="000000" w:sz="6" w:space="0"/>
              <w:right w:val="single" w:color="000000" w:sz="6" w:space="0"/>
            </w:tcBorders>
            <w:noWrap w:val="0"/>
            <w:vAlign w:val="top"/>
          </w:tcPr>
          <w:p>
            <w:pPr>
              <w:pStyle w:val="50"/>
              <w:rPr>
                <w:rFonts w:hint="eastAsia" w:ascii="宋体" w:hAnsi="宋体" w:eastAsia="宋体" w:cs="宋体"/>
                <w:color w:val="auto"/>
                <w:sz w:val="21"/>
                <w:szCs w:val="21"/>
              </w:rPr>
            </w:pPr>
            <w:r>
              <w:rPr>
                <w:rFonts w:hint="eastAsia" w:ascii="宋体" w:hAnsi="宋体" w:eastAsia="宋体" w:cs="宋体"/>
                <w:color w:val="auto"/>
                <w:sz w:val="21"/>
                <w:szCs w:val="21"/>
              </w:rPr>
              <w:t>额定频率（Hz）</w:t>
            </w:r>
          </w:p>
        </w:tc>
        <w:tc>
          <w:tcPr>
            <w:tcW w:w="2287" w:type="pct"/>
            <w:tcBorders>
              <w:top w:val="single" w:color="000000" w:sz="6" w:space="0"/>
              <w:left w:val="single" w:color="000000" w:sz="6" w:space="0"/>
              <w:bottom w:val="single" w:color="000000" w:sz="6" w:space="0"/>
            </w:tcBorders>
            <w:noWrap w:val="0"/>
            <w:vAlign w:val="top"/>
          </w:tcPr>
          <w:p>
            <w:pPr>
              <w:pStyle w:val="50"/>
              <w:spacing w:before="2"/>
              <w:rPr>
                <w:rFonts w:hint="eastAsia" w:ascii="宋体" w:hAnsi="宋体" w:eastAsia="宋体" w:cs="宋体"/>
                <w:color w:val="auto"/>
                <w:sz w:val="21"/>
                <w:szCs w:val="21"/>
              </w:rPr>
            </w:pPr>
            <w:r>
              <w:rPr>
                <w:rFonts w:hint="eastAsia" w:ascii="宋体" w:hAnsi="宋体" w:eastAsia="宋体" w:cs="宋体"/>
                <w:color w:val="auto"/>
                <w:sz w:val="21"/>
                <w:szCs w:val="21"/>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712" w:type="pct"/>
            <w:tcBorders>
              <w:top w:val="single" w:color="000000" w:sz="6" w:space="0"/>
              <w:bottom w:val="single" w:color="000000" w:sz="6" w:space="0"/>
              <w:right w:val="single" w:color="000000" w:sz="6" w:space="0"/>
            </w:tcBorders>
            <w:noWrap w:val="0"/>
            <w:vAlign w:val="top"/>
          </w:tcPr>
          <w:p>
            <w:pPr>
              <w:pStyle w:val="50"/>
              <w:rPr>
                <w:rFonts w:hint="eastAsia" w:ascii="宋体" w:hAnsi="宋体" w:eastAsia="宋体" w:cs="宋体"/>
                <w:color w:val="auto"/>
                <w:sz w:val="21"/>
                <w:szCs w:val="21"/>
              </w:rPr>
            </w:pPr>
            <w:r>
              <w:rPr>
                <w:rFonts w:hint="eastAsia" w:ascii="宋体" w:hAnsi="宋体" w:eastAsia="宋体" w:cs="宋体"/>
                <w:color w:val="auto"/>
                <w:sz w:val="21"/>
                <w:szCs w:val="21"/>
              </w:rPr>
              <w:t>额定短时工频耐受电压 Ud（</w:t>
            </w:r>
            <w:r>
              <w:rPr>
                <w:rFonts w:hint="eastAsia" w:ascii="宋体" w:hAnsi="宋体" w:eastAsia="宋体" w:cs="宋体"/>
                <w:color w:val="auto"/>
                <w:sz w:val="21"/>
                <w:szCs w:val="21"/>
                <w:lang w:eastAsia="zh-CN"/>
              </w:rPr>
              <w:t>kV</w:t>
            </w:r>
            <w:r>
              <w:rPr>
                <w:rFonts w:hint="eastAsia" w:ascii="宋体" w:hAnsi="宋体" w:eastAsia="宋体" w:cs="宋体"/>
                <w:color w:val="auto"/>
                <w:sz w:val="21"/>
                <w:szCs w:val="21"/>
              </w:rPr>
              <w:t>）</w:t>
            </w:r>
          </w:p>
        </w:tc>
        <w:tc>
          <w:tcPr>
            <w:tcW w:w="2287" w:type="pct"/>
            <w:tcBorders>
              <w:top w:val="single" w:color="000000" w:sz="6" w:space="0"/>
              <w:left w:val="single" w:color="000000" w:sz="6" w:space="0"/>
              <w:bottom w:val="single" w:color="000000" w:sz="6" w:space="0"/>
            </w:tcBorders>
            <w:noWrap w:val="0"/>
            <w:vAlign w:val="top"/>
          </w:tcPr>
          <w:p>
            <w:pPr>
              <w:pStyle w:val="50"/>
              <w:spacing w:before="2"/>
              <w:rPr>
                <w:rFonts w:hint="eastAsia" w:ascii="宋体" w:hAnsi="宋体" w:eastAsia="宋体" w:cs="宋体"/>
                <w:color w:val="auto"/>
                <w:sz w:val="21"/>
                <w:szCs w:val="21"/>
              </w:rPr>
            </w:pPr>
            <w:r>
              <w:rPr>
                <w:rFonts w:hint="eastAsia" w:ascii="宋体" w:hAnsi="宋体" w:eastAsia="宋体" w:cs="宋体"/>
                <w:color w:val="auto"/>
                <w:sz w:val="21"/>
                <w:szCs w:val="21"/>
              </w:rPr>
              <w:t>42/48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712" w:type="pct"/>
            <w:tcBorders>
              <w:top w:val="single" w:color="000000" w:sz="6" w:space="0"/>
              <w:bottom w:val="single" w:color="000000" w:sz="6" w:space="0"/>
              <w:right w:val="single" w:color="000000" w:sz="6" w:space="0"/>
            </w:tcBorders>
            <w:noWrap w:val="0"/>
            <w:vAlign w:val="top"/>
          </w:tcPr>
          <w:p>
            <w:pPr>
              <w:pStyle w:val="50"/>
              <w:rPr>
                <w:rFonts w:hint="eastAsia" w:ascii="宋体" w:hAnsi="宋体" w:eastAsia="宋体" w:cs="宋体"/>
                <w:color w:val="auto"/>
                <w:sz w:val="21"/>
                <w:szCs w:val="21"/>
              </w:rPr>
            </w:pPr>
            <w:r>
              <w:rPr>
                <w:rFonts w:hint="eastAsia" w:ascii="宋体" w:hAnsi="宋体" w:eastAsia="宋体" w:cs="宋体"/>
                <w:color w:val="auto"/>
                <w:sz w:val="21"/>
                <w:szCs w:val="21"/>
              </w:rPr>
              <w:t>额定雷电冲击耐受电压 Up（</w:t>
            </w:r>
            <w:r>
              <w:rPr>
                <w:rFonts w:hint="eastAsia" w:ascii="宋体" w:hAnsi="宋体" w:eastAsia="宋体" w:cs="宋体"/>
                <w:color w:val="auto"/>
                <w:sz w:val="21"/>
                <w:szCs w:val="21"/>
                <w:lang w:eastAsia="zh-CN"/>
              </w:rPr>
              <w:t>kV</w:t>
            </w:r>
            <w:r>
              <w:rPr>
                <w:rFonts w:hint="eastAsia" w:ascii="宋体" w:hAnsi="宋体" w:eastAsia="宋体" w:cs="宋体"/>
                <w:color w:val="auto"/>
                <w:sz w:val="21"/>
                <w:szCs w:val="21"/>
              </w:rPr>
              <w:t>）</w:t>
            </w:r>
          </w:p>
        </w:tc>
        <w:tc>
          <w:tcPr>
            <w:tcW w:w="2287" w:type="pct"/>
            <w:tcBorders>
              <w:top w:val="single" w:color="000000" w:sz="6" w:space="0"/>
              <w:left w:val="single" w:color="000000" w:sz="6" w:space="0"/>
              <w:bottom w:val="single" w:color="000000" w:sz="6" w:space="0"/>
            </w:tcBorders>
            <w:noWrap w:val="0"/>
            <w:vAlign w:val="top"/>
          </w:tcPr>
          <w:p>
            <w:pPr>
              <w:pStyle w:val="50"/>
              <w:spacing w:before="2"/>
              <w:rPr>
                <w:rFonts w:hint="eastAsia" w:ascii="宋体" w:hAnsi="宋体" w:eastAsia="宋体" w:cs="宋体"/>
                <w:color w:val="auto"/>
                <w:sz w:val="21"/>
                <w:szCs w:val="21"/>
              </w:rPr>
            </w:pPr>
            <w:r>
              <w:rPr>
                <w:rFonts w:hint="eastAsia" w:ascii="宋体" w:hAnsi="宋体" w:eastAsia="宋体" w:cs="宋体"/>
                <w:color w:val="auto"/>
                <w:sz w:val="21"/>
                <w:szCs w:val="21"/>
              </w:rPr>
              <w:t>75/85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712" w:type="pct"/>
            <w:tcBorders>
              <w:top w:val="single" w:color="000000" w:sz="6" w:space="0"/>
              <w:bottom w:val="single" w:color="000000" w:sz="6" w:space="0"/>
              <w:right w:val="single" w:color="000000" w:sz="6" w:space="0"/>
            </w:tcBorders>
            <w:noWrap w:val="0"/>
            <w:vAlign w:val="top"/>
          </w:tcPr>
          <w:p>
            <w:pPr>
              <w:pStyle w:val="50"/>
              <w:rPr>
                <w:rFonts w:hint="eastAsia" w:ascii="宋体" w:hAnsi="宋体" w:eastAsia="宋体" w:cs="宋体"/>
                <w:color w:val="auto"/>
                <w:sz w:val="21"/>
                <w:szCs w:val="21"/>
              </w:rPr>
            </w:pPr>
            <w:r>
              <w:rPr>
                <w:rFonts w:hint="eastAsia" w:ascii="宋体" w:hAnsi="宋体" w:eastAsia="宋体" w:cs="宋体"/>
                <w:color w:val="auto"/>
                <w:sz w:val="21"/>
                <w:szCs w:val="21"/>
              </w:rPr>
              <w:t>熔体额定电流（A）</w:t>
            </w:r>
          </w:p>
        </w:tc>
        <w:tc>
          <w:tcPr>
            <w:tcW w:w="2287" w:type="pct"/>
            <w:tcBorders>
              <w:top w:val="single" w:color="000000" w:sz="6" w:space="0"/>
              <w:left w:val="single" w:color="000000" w:sz="6" w:space="0"/>
              <w:bottom w:val="single" w:color="000000" w:sz="6" w:space="0"/>
            </w:tcBorders>
            <w:noWrap w:val="0"/>
            <w:vAlign w:val="top"/>
          </w:tcPr>
          <w:p>
            <w:pPr>
              <w:pStyle w:val="50"/>
              <w:spacing w:before="2"/>
              <w:rPr>
                <w:rFonts w:hint="eastAsia" w:ascii="宋体" w:hAnsi="宋体" w:eastAsia="宋体" w:cs="宋体"/>
                <w:color w:val="auto"/>
                <w:sz w:val="21"/>
                <w:szCs w:val="21"/>
              </w:rPr>
            </w:pPr>
            <w:r>
              <w:rPr>
                <w:rFonts w:hint="eastAsia" w:ascii="宋体" w:hAnsi="宋体" w:eastAsia="宋体" w:cs="宋体"/>
                <w:color w:val="auto"/>
                <w:sz w:val="21"/>
                <w:szCs w:val="21"/>
              </w:rPr>
              <w:t>200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712" w:type="pct"/>
            <w:tcBorders>
              <w:top w:val="single" w:color="000000" w:sz="6" w:space="0"/>
              <w:bottom w:val="single" w:color="000000" w:sz="6" w:space="0"/>
              <w:right w:val="single" w:color="000000" w:sz="6" w:space="0"/>
            </w:tcBorders>
            <w:noWrap w:val="0"/>
            <w:vAlign w:val="top"/>
          </w:tcPr>
          <w:p>
            <w:pPr>
              <w:pStyle w:val="50"/>
              <w:spacing w:before="15"/>
              <w:rPr>
                <w:rFonts w:hint="eastAsia" w:ascii="宋体" w:hAnsi="宋体" w:eastAsia="宋体" w:cs="宋体"/>
                <w:color w:val="auto"/>
                <w:sz w:val="21"/>
                <w:szCs w:val="21"/>
              </w:rPr>
            </w:pPr>
            <w:r>
              <w:rPr>
                <w:rFonts w:hint="eastAsia" w:ascii="宋体" w:hAnsi="宋体" w:eastAsia="宋体" w:cs="宋体"/>
                <w:color w:val="auto"/>
                <w:sz w:val="21"/>
                <w:szCs w:val="21"/>
              </w:rPr>
              <w:t>熔断器额定短路开断电流</w:t>
            </w:r>
          </w:p>
        </w:tc>
        <w:tc>
          <w:tcPr>
            <w:tcW w:w="2287" w:type="pct"/>
            <w:tcBorders>
              <w:top w:val="single" w:color="000000" w:sz="6" w:space="0"/>
              <w:left w:val="single" w:color="000000" w:sz="6" w:space="0"/>
              <w:bottom w:val="single" w:color="000000" w:sz="6" w:space="0"/>
            </w:tcBorders>
            <w:noWrap w:val="0"/>
            <w:vAlign w:val="top"/>
          </w:tcPr>
          <w:p>
            <w:pPr>
              <w:pStyle w:val="50"/>
              <w:spacing w:before="2"/>
              <w:rPr>
                <w:rFonts w:hint="eastAsia" w:ascii="宋体" w:hAnsi="宋体" w:eastAsia="宋体" w:cs="宋体"/>
                <w:color w:val="auto"/>
                <w:sz w:val="21"/>
                <w:szCs w:val="21"/>
              </w:rPr>
            </w:pPr>
            <w:r>
              <w:rPr>
                <w:rFonts w:hint="eastAsia" w:ascii="宋体" w:hAnsi="宋体" w:eastAsia="宋体" w:cs="宋体"/>
                <w:color w:val="auto"/>
                <w:sz w:val="21"/>
                <w:szCs w:val="21"/>
              </w:rPr>
              <w:t>31.5kA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5000" w:type="pct"/>
            <w:gridSpan w:val="2"/>
            <w:tcBorders>
              <w:top w:val="single" w:color="000000" w:sz="6" w:space="0"/>
            </w:tcBorders>
            <w:noWrap w:val="0"/>
            <w:vAlign w:val="top"/>
          </w:tcPr>
          <w:p>
            <w:pPr>
              <w:pStyle w:val="50"/>
              <w:spacing w:before="15"/>
              <w:rPr>
                <w:rFonts w:hint="eastAsia" w:ascii="宋体" w:hAnsi="宋体" w:eastAsia="宋体" w:cs="宋体"/>
                <w:color w:val="auto"/>
                <w:sz w:val="21"/>
                <w:szCs w:val="21"/>
              </w:rPr>
            </w:pPr>
            <w:r>
              <w:rPr>
                <w:rFonts w:hint="eastAsia" w:ascii="宋体" w:hAnsi="宋体" w:eastAsia="宋体" w:cs="宋体"/>
                <w:color w:val="auto"/>
                <w:sz w:val="21"/>
                <w:szCs w:val="21"/>
              </w:rPr>
              <w:t>熔断器熔断后，可以在现场方便地更换熔丝</w:t>
            </w:r>
          </w:p>
        </w:tc>
      </w:tr>
    </w:tbl>
    <w:p>
      <w:pPr>
        <w:spacing w:line="360" w:lineRule="auto"/>
        <w:ind w:firstLine="410" w:firstLineChars="171"/>
        <w:rPr>
          <w:rFonts w:hint="default" w:ascii="Times New Roman" w:hAnsi="Times New Roman" w:cs="Times New Roman"/>
          <w:color w:val="auto"/>
          <w:szCs w:val="21"/>
        </w:rPr>
      </w:pPr>
      <w:r>
        <w:rPr>
          <w:rFonts w:hint="eastAsia" w:ascii="宋体" w:hAnsi="宋体" w:eastAsia="宋体" w:cs="宋体"/>
          <w:color w:val="auto"/>
          <w:sz w:val="24"/>
          <w:szCs w:val="24"/>
          <w:lang w:val="en-US" w:eastAsia="zh-CN"/>
        </w:rPr>
        <w:t>d</w:t>
      </w:r>
      <w:r>
        <w:rPr>
          <w:rFonts w:hint="eastAsia" w:ascii="宋体" w:hAnsi="宋体" w:eastAsia="宋体" w:cs="宋体"/>
          <w:color w:val="auto"/>
          <w:sz w:val="24"/>
          <w:szCs w:val="24"/>
        </w:rPr>
        <w:t>．氧化锌避雷器</w:t>
      </w:r>
    </w:p>
    <w:tbl>
      <w:tblPr>
        <w:tblStyle w:val="22"/>
        <w:tblW w:w="501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4813"/>
        <w:gridCol w:w="1292"/>
        <w:gridCol w:w="223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6" w:hRule="atLeast"/>
        </w:trPr>
        <w:tc>
          <w:tcPr>
            <w:tcW w:w="2884" w:type="pct"/>
            <w:tcBorders>
              <w:bottom w:val="single" w:color="000000" w:sz="6" w:space="0"/>
              <w:right w:val="single" w:color="000000" w:sz="6" w:space="0"/>
            </w:tcBorders>
            <w:noWrap w:val="0"/>
            <w:vAlign w:val="center"/>
          </w:tcPr>
          <w:p>
            <w:pPr>
              <w:pStyle w:val="50"/>
              <w:rPr>
                <w:rFonts w:hint="eastAsia" w:ascii="宋体" w:hAnsi="宋体" w:eastAsia="宋体" w:cs="宋体"/>
                <w:color w:val="auto"/>
                <w:sz w:val="21"/>
                <w:szCs w:val="21"/>
              </w:rPr>
            </w:pPr>
            <w:r>
              <w:rPr>
                <w:rFonts w:hint="eastAsia" w:ascii="宋体" w:hAnsi="宋体" w:eastAsia="宋体" w:cs="宋体"/>
                <w:color w:val="auto"/>
                <w:sz w:val="21"/>
                <w:szCs w:val="21"/>
              </w:rPr>
              <w:t>型式</w:t>
            </w:r>
          </w:p>
        </w:tc>
        <w:tc>
          <w:tcPr>
            <w:tcW w:w="774" w:type="pct"/>
            <w:tcBorders>
              <w:left w:val="single" w:color="000000" w:sz="6" w:space="0"/>
              <w:bottom w:val="single" w:color="000000" w:sz="6" w:space="0"/>
              <w:right w:val="single" w:color="000000" w:sz="6" w:space="0"/>
            </w:tcBorders>
            <w:noWrap w:val="0"/>
            <w:vAlign w:val="center"/>
          </w:tcPr>
          <w:p>
            <w:pPr>
              <w:pStyle w:val="50"/>
              <w:rPr>
                <w:rFonts w:hint="eastAsia" w:ascii="宋体" w:hAnsi="宋体" w:eastAsia="宋体" w:cs="宋体"/>
                <w:color w:val="auto"/>
                <w:sz w:val="21"/>
                <w:szCs w:val="21"/>
              </w:rPr>
            </w:pPr>
            <w:r>
              <w:rPr>
                <w:rFonts w:hint="eastAsia" w:ascii="宋体" w:hAnsi="宋体" w:eastAsia="宋体" w:cs="宋体"/>
                <w:color w:val="auto"/>
                <w:sz w:val="21"/>
                <w:szCs w:val="21"/>
              </w:rPr>
              <w:t>单位</w:t>
            </w:r>
          </w:p>
        </w:tc>
        <w:tc>
          <w:tcPr>
            <w:tcW w:w="1341" w:type="pct"/>
            <w:tcBorders>
              <w:left w:val="single" w:color="000000" w:sz="6" w:space="0"/>
              <w:bottom w:val="single" w:color="000000" w:sz="6" w:space="0"/>
            </w:tcBorders>
            <w:noWrap w:val="0"/>
            <w:vAlign w:val="center"/>
          </w:tcPr>
          <w:p>
            <w:pPr>
              <w:pStyle w:val="50"/>
              <w:rPr>
                <w:rFonts w:hint="eastAsia" w:ascii="宋体" w:hAnsi="宋体" w:eastAsia="宋体" w:cs="宋体"/>
                <w:color w:val="auto"/>
                <w:sz w:val="21"/>
                <w:szCs w:val="21"/>
              </w:rPr>
            </w:pPr>
            <w:r>
              <w:rPr>
                <w:rFonts w:hint="eastAsia" w:ascii="宋体" w:hAnsi="宋体" w:eastAsia="宋体" w:cs="宋体"/>
                <w:color w:val="auto"/>
                <w:sz w:val="21"/>
                <w:szCs w:val="21"/>
              </w:rPr>
              <w:t>复合绝缘金属</w:t>
            </w:r>
          </w:p>
          <w:p>
            <w:pPr>
              <w:pStyle w:val="50"/>
              <w:rPr>
                <w:rFonts w:hint="eastAsia" w:ascii="宋体" w:hAnsi="宋体" w:eastAsia="宋体" w:cs="宋体"/>
                <w:color w:val="auto"/>
                <w:sz w:val="21"/>
                <w:szCs w:val="21"/>
              </w:rPr>
            </w:pPr>
            <w:r>
              <w:rPr>
                <w:rFonts w:hint="eastAsia" w:ascii="宋体" w:hAnsi="宋体" w:eastAsia="宋体" w:cs="宋体"/>
                <w:color w:val="auto"/>
                <w:sz w:val="21"/>
                <w:szCs w:val="21"/>
              </w:rPr>
              <w:t>氧化物避雷器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884" w:type="pct"/>
            <w:tcBorders>
              <w:top w:val="single" w:color="000000" w:sz="6" w:space="0"/>
              <w:bottom w:val="single" w:color="000000" w:sz="6" w:space="0"/>
              <w:right w:val="single" w:color="000000" w:sz="6" w:space="0"/>
            </w:tcBorders>
            <w:noWrap w:val="0"/>
            <w:vAlign w:val="center"/>
          </w:tcPr>
          <w:p>
            <w:pPr>
              <w:pStyle w:val="50"/>
              <w:rPr>
                <w:rFonts w:hint="eastAsia" w:ascii="宋体" w:hAnsi="宋体" w:eastAsia="宋体" w:cs="宋体"/>
                <w:color w:val="auto"/>
                <w:sz w:val="21"/>
                <w:szCs w:val="21"/>
              </w:rPr>
            </w:pPr>
            <w:r>
              <w:rPr>
                <w:rFonts w:hint="eastAsia" w:ascii="宋体" w:hAnsi="宋体" w:eastAsia="宋体" w:cs="宋体"/>
                <w:color w:val="auto"/>
                <w:sz w:val="21"/>
                <w:szCs w:val="21"/>
              </w:rPr>
              <w:t>额定电压</w:t>
            </w:r>
          </w:p>
        </w:tc>
        <w:tc>
          <w:tcPr>
            <w:tcW w:w="774" w:type="pct"/>
            <w:tcBorders>
              <w:top w:val="single" w:color="000000" w:sz="6" w:space="0"/>
              <w:left w:val="single" w:color="000000" w:sz="6" w:space="0"/>
              <w:bottom w:val="single" w:color="000000" w:sz="6" w:space="0"/>
              <w:right w:val="single" w:color="000000" w:sz="6" w:space="0"/>
            </w:tcBorders>
            <w:noWrap w:val="0"/>
            <w:vAlign w:val="center"/>
          </w:tcPr>
          <w:p>
            <w:pPr>
              <w:pStyle w:val="5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kV</w:t>
            </w:r>
          </w:p>
        </w:tc>
        <w:tc>
          <w:tcPr>
            <w:tcW w:w="1341" w:type="pct"/>
            <w:tcBorders>
              <w:top w:val="single" w:color="000000" w:sz="6" w:space="0"/>
              <w:left w:val="single" w:color="000000" w:sz="6" w:space="0"/>
              <w:bottom w:val="single" w:color="000000" w:sz="6" w:space="0"/>
            </w:tcBorders>
            <w:noWrap w:val="0"/>
            <w:vAlign w:val="center"/>
          </w:tcPr>
          <w:p>
            <w:pPr>
              <w:pStyle w:val="50"/>
              <w:rPr>
                <w:rFonts w:hint="eastAsia" w:ascii="宋体" w:hAnsi="宋体" w:eastAsia="宋体" w:cs="宋体"/>
                <w:color w:val="auto"/>
                <w:sz w:val="21"/>
                <w:szCs w:val="21"/>
              </w:rPr>
            </w:pPr>
            <w:r>
              <w:rPr>
                <w:rFonts w:hint="eastAsia" w:ascii="宋体" w:hAnsi="宋体" w:eastAsia="宋体" w:cs="宋体"/>
                <w:color w:val="auto"/>
                <w:sz w:val="21"/>
                <w:szCs w:val="21"/>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884" w:type="pct"/>
            <w:tcBorders>
              <w:top w:val="single" w:color="000000" w:sz="6" w:space="0"/>
              <w:bottom w:val="single" w:color="000000" w:sz="6" w:space="0"/>
              <w:right w:val="single" w:color="000000" w:sz="6" w:space="0"/>
            </w:tcBorders>
            <w:noWrap w:val="0"/>
            <w:vAlign w:val="center"/>
          </w:tcPr>
          <w:p>
            <w:pPr>
              <w:pStyle w:val="50"/>
              <w:rPr>
                <w:rFonts w:hint="eastAsia" w:ascii="宋体" w:hAnsi="宋体" w:eastAsia="宋体" w:cs="宋体"/>
                <w:color w:val="auto"/>
                <w:sz w:val="21"/>
                <w:szCs w:val="21"/>
              </w:rPr>
            </w:pPr>
            <w:r>
              <w:rPr>
                <w:rFonts w:hint="eastAsia" w:ascii="宋体" w:hAnsi="宋体" w:eastAsia="宋体" w:cs="宋体"/>
                <w:color w:val="auto"/>
                <w:sz w:val="21"/>
                <w:szCs w:val="21"/>
              </w:rPr>
              <w:t>持续运行电压</w:t>
            </w:r>
          </w:p>
        </w:tc>
        <w:tc>
          <w:tcPr>
            <w:tcW w:w="774" w:type="pct"/>
            <w:tcBorders>
              <w:top w:val="single" w:color="000000" w:sz="6" w:space="0"/>
              <w:left w:val="single" w:color="000000" w:sz="6" w:space="0"/>
              <w:bottom w:val="single" w:color="000000" w:sz="6" w:space="0"/>
              <w:right w:val="single" w:color="000000" w:sz="6" w:space="0"/>
            </w:tcBorders>
            <w:noWrap w:val="0"/>
            <w:vAlign w:val="center"/>
          </w:tcPr>
          <w:p>
            <w:pPr>
              <w:pStyle w:val="5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kV</w:t>
            </w:r>
          </w:p>
        </w:tc>
        <w:tc>
          <w:tcPr>
            <w:tcW w:w="1341" w:type="pct"/>
            <w:tcBorders>
              <w:top w:val="single" w:color="000000" w:sz="6" w:space="0"/>
              <w:left w:val="single" w:color="000000" w:sz="6" w:space="0"/>
              <w:bottom w:val="single" w:color="000000" w:sz="6" w:space="0"/>
            </w:tcBorders>
            <w:noWrap w:val="0"/>
            <w:vAlign w:val="center"/>
          </w:tcPr>
          <w:p>
            <w:pPr>
              <w:pStyle w:val="50"/>
              <w:rPr>
                <w:rFonts w:hint="eastAsia" w:ascii="宋体" w:hAnsi="宋体" w:eastAsia="宋体" w:cs="宋体"/>
                <w:color w:val="auto"/>
                <w:sz w:val="21"/>
                <w:szCs w:val="21"/>
              </w:rPr>
            </w:pPr>
            <w:r>
              <w:rPr>
                <w:rFonts w:hint="eastAsia" w:ascii="宋体" w:hAnsi="宋体" w:eastAsia="宋体" w:cs="宋体"/>
                <w:color w:val="auto"/>
                <w:sz w:val="21"/>
                <w:szCs w:val="21"/>
              </w:rPr>
              <w:t>10.5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884" w:type="pct"/>
            <w:tcBorders>
              <w:top w:val="single" w:color="000000" w:sz="6" w:space="0"/>
              <w:bottom w:val="single" w:color="000000" w:sz="6" w:space="0"/>
              <w:right w:val="single" w:color="000000" w:sz="6" w:space="0"/>
            </w:tcBorders>
            <w:noWrap w:val="0"/>
            <w:vAlign w:val="center"/>
          </w:tcPr>
          <w:p>
            <w:pPr>
              <w:pStyle w:val="50"/>
              <w:rPr>
                <w:rFonts w:hint="eastAsia" w:ascii="宋体" w:hAnsi="宋体" w:eastAsia="宋体" w:cs="宋体"/>
                <w:color w:val="auto"/>
                <w:sz w:val="21"/>
                <w:szCs w:val="21"/>
              </w:rPr>
            </w:pPr>
            <w:r>
              <w:rPr>
                <w:rFonts w:hint="eastAsia" w:ascii="宋体" w:hAnsi="宋体" w:eastAsia="宋体" w:cs="宋体"/>
                <w:color w:val="auto"/>
                <w:sz w:val="21"/>
                <w:szCs w:val="21"/>
              </w:rPr>
              <w:t>标称放电电流</w:t>
            </w:r>
          </w:p>
        </w:tc>
        <w:tc>
          <w:tcPr>
            <w:tcW w:w="774" w:type="pct"/>
            <w:tcBorders>
              <w:top w:val="single" w:color="000000" w:sz="6" w:space="0"/>
              <w:left w:val="single" w:color="000000" w:sz="6" w:space="0"/>
              <w:bottom w:val="single" w:color="000000" w:sz="6" w:space="0"/>
              <w:right w:val="single" w:color="000000" w:sz="6" w:space="0"/>
            </w:tcBorders>
            <w:noWrap w:val="0"/>
            <w:vAlign w:val="center"/>
          </w:tcPr>
          <w:p>
            <w:pPr>
              <w:pStyle w:val="50"/>
              <w:rPr>
                <w:rFonts w:hint="eastAsia" w:ascii="宋体" w:hAnsi="宋体" w:eastAsia="宋体" w:cs="宋体"/>
                <w:color w:val="auto"/>
                <w:sz w:val="21"/>
                <w:szCs w:val="21"/>
              </w:rPr>
            </w:pPr>
            <w:r>
              <w:rPr>
                <w:rFonts w:hint="eastAsia" w:ascii="宋体" w:hAnsi="宋体" w:eastAsia="宋体" w:cs="宋体"/>
                <w:color w:val="auto"/>
                <w:sz w:val="21"/>
                <w:szCs w:val="21"/>
              </w:rPr>
              <w:t>kA</w:t>
            </w:r>
          </w:p>
        </w:tc>
        <w:tc>
          <w:tcPr>
            <w:tcW w:w="1341" w:type="pct"/>
            <w:tcBorders>
              <w:top w:val="single" w:color="000000" w:sz="6" w:space="0"/>
              <w:left w:val="single" w:color="000000" w:sz="6" w:space="0"/>
              <w:bottom w:val="single" w:color="000000" w:sz="6" w:space="0"/>
            </w:tcBorders>
            <w:noWrap w:val="0"/>
            <w:vAlign w:val="center"/>
          </w:tcPr>
          <w:p>
            <w:pPr>
              <w:pStyle w:val="50"/>
              <w:rPr>
                <w:rFonts w:hint="eastAsia" w:ascii="宋体" w:hAnsi="宋体" w:eastAsia="宋体" w:cs="宋体"/>
                <w:color w:val="auto"/>
                <w:sz w:val="21"/>
                <w:szCs w:val="21"/>
              </w:rPr>
            </w:pPr>
            <w:r>
              <w:rPr>
                <w:rFonts w:hint="eastAsia" w:ascii="宋体" w:hAnsi="宋体" w:eastAsia="宋体" w:cs="宋体"/>
                <w:color w:val="auto"/>
                <w:sz w:val="21"/>
                <w:szCs w:val="21"/>
              </w:rPr>
              <w:t>5（峰值）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884" w:type="pct"/>
            <w:tcBorders>
              <w:top w:val="single" w:color="000000" w:sz="6" w:space="0"/>
              <w:bottom w:val="single" w:color="000000" w:sz="6" w:space="0"/>
              <w:right w:val="single" w:color="000000" w:sz="6" w:space="0"/>
            </w:tcBorders>
            <w:noWrap w:val="0"/>
            <w:vAlign w:val="center"/>
          </w:tcPr>
          <w:p>
            <w:pPr>
              <w:pStyle w:val="50"/>
              <w:rPr>
                <w:rFonts w:hint="eastAsia" w:ascii="宋体" w:hAnsi="宋体" w:eastAsia="宋体" w:cs="宋体"/>
                <w:color w:val="auto"/>
                <w:sz w:val="21"/>
                <w:szCs w:val="21"/>
              </w:rPr>
            </w:pPr>
            <w:r>
              <w:rPr>
                <w:rFonts w:hint="eastAsia" w:ascii="宋体" w:hAnsi="宋体" w:eastAsia="宋体" w:cs="宋体"/>
                <w:color w:val="auto"/>
                <w:sz w:val="21"/>
                <w:szCs w:val="21"/>
              </w:rPr>
              <w:t>陡波冲击电流下残压峰值（5kA，1/10μs）</w:t>
            </w:r>
          </w:p>
        </w:tc>
        <w:tc>
          <w:tcPr>
            <w:tcW w:w="774" w:type="pct"/>
            <w:tcBorders>
              <w:top w:val="single" w:color="000000" w:sz="6" w:space="0"/>
              <w:left w:val="single" w:color="000000" w:sz="6" w:space="0"/>
              <w:bottom w:val="single" w:color="000000" w:sz="6" w:space="0"/>
              <w:right w:val="single" w:color="000000" w:sz="6" w:space="0"/>
            </w:tcBorders>
            <w:noWrap w:val="0"/>
            <w:vAlign w:val="center"/>
          </w:tcPr>
          <w:p>
            <w:pPr>
              <w:pStyle w:val="5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kV</w:t>
            </w:r>
          </w:p>
        </w:tc>
        <w:tc>
          <w:tcPr>
            <w:tcW w:w="1341" w:type="pct"/>
            <w:tcBorders>
              <w:top w:val="single" w:color="000000" w:sz="6" w:space="0"/>
              <w:left w:val="single" w:color="000000" w:sz="6" w:space="0"/>
              <w:bottom w:val="single" w:color="000000" w:sz="6" w:space="0"/>
            </w:tcBorders>
            <w:noWrap w:val="0"/>
            <w:vAlign w:val="center"/>
          </w:tcPr>
          <w:p>
            <w:pPr>
              <w:pStyle w:val="50"/>
              <w:rPr>
                <w:rFonts w:hint="eastAsia" w:ascii="宋体" w:hAnsi="宋体" w:eastAsia="宋体" w:cs="宋体"/>
                <w:color w:val="auto"/>
                <w:sz w:val="21"/>
                <w:szCs w:val="21"/>
              </w:rPr>
            </w:pPr>
            <w:r>
              <w:rPr>
                <w:rFonts w:hint="eastAsia" w:ascii="宋体" w:hAnsi="宋体" w:eastAsia="宋体" w:cs="宋体"/>
                <w:color w:val="auto"/>
                <w:w w:val="105"/>
                <w:sz w:val="21"/>
                <w:szCs w:val="21"/>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884" w:type="pct"/>
            <w:tcBorders>
              <w:top w:val="single" w:color="000000" w:sz="6" w:space="0"/>
              <w:bottom w:val="single" w:color="000000" w:sz="6" w:space="0"/>
              <w:right w:val="single" w:color="000000" w:sz="6" w:space="0"/>
            </w:tcBorders>
            <w:noWrap w:val="0"/>
            <w:vAlign w:val="center"/>
          </w:tcPr>
          <w:p>
            <w:pPr>
              <w:pStyle w:val="50"/>
              <w:rPr>
                <w:rFonts w:hint="eastAsia" w:ascii="宋体" w:hAnsi="宋体" w:eastAsia="宋体" w:cs="宋体"/>
                <w:color w:val="auto"/>
                <w:sz w:val="21"/>
                <w:szCs w:val="21"/>
              </w:rPr>
            </w:pPr>
            <w:r>
              <w:rPr>
                <w:rFonts w:hint="eastAsia" w:ascii="宋体" w:hAnsi="宋体" w:eastAsia="宋体" w:cs="宋体"/>
                <w:color w:val="auto"/>
                <w:sz w:val="21"/>
                <w:szCs w:val="21"/>
              </w:rPr>
              <w:t>雷电冲击电流下残压峰值（5kA，8/20μs）</w:t>
            </w:r>
          </w:p>
        </w:tc>
        <w:tc>
          <w:tcPr>
            <w:tcW w:w="774" w:type="pct"/>
            <w:tcBorders>
              <w:top w:val="single" w:color="000000" w:sz="6" w:space="0"/>
              <w:left w:val="single" w:color="000000" w:sz="6" w:space="0"/>
              <w:bottom w:val="single" w:color="000000" w:sz="6" w:space="0"/>
              <w:right w:val="single" w:color="000000" w:sz="6" w:space="0"/>
            </w:tcBorders>
            <w:noWrap w:val="0"/>
            <w:vAlign w:val="center"/>
          </w:tcPr>
          <w:p>
            <w:pPr>
              <w:pStyle w:val="5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kV</w:t>
            </w:r>
          </w:p>
        </w:tc>
        <w:tc>
          <w:tcPr>
            <w:tcW w:w="1341" w:type="pct"/>
            <w:tcBorders>
              <w:top w:val="single" w:color="000000" w:sz="6" w:space="0"/>
              <w:left w:val="single" w:color="000000" w:sz="6" w:space="0"/>
              <w:bottom w:val="single" w:color="000000" w:sz="6" w:space="0"/>
            </w:tcBorders>
            <w:noWrap w:val="0"/>
            <w:vAlign w:val="center"/>
          </w:tcPr>
          <w:p>
            <w:pPr>
              <w:pStyle w:val="50"/>
              <w:rPr>
                <w:rFonts w:hint="eastAsia" w:ascii="宋体" w:hAnsi="宋体" w:eastAsia="宋体" w:cs="宋体"/>
                <w:color w:val="auto"/>
                <w:sz w:val="21"/>
                <w:szCs w:val="21"/>
              </w:rPr>
            </w:pPr>
            <w:r>
              <w:rPr>
                <w:rFonts w:hint="eastAsia" w:ascii="宋体" w:hAnsi="宋体" w:eastAsia="宋体" w:cs="宋体"/>
                <w:color w:val="auto"/>
                <w:sz w:val="21"/>
                <w:szCs w:val="21"/>
              </w:rPr>
              <w:t>≤34.6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884" w:type="pct"/>
            <w:tcBorders>
              <w:top w:val="single" w:color="000000" w:sz="6" w:space="0"/>
              <w:bottom w:val="single" w:color="000000" w:sz="6" w:space="0"/>
              <w:right w:val="single" w:color="000000" w:sz="6" w:space="0"/>
            </w:tcBorders>
            <w:noWrap w:val="0"/>
            <w:vAlign w:val="center"/>
          </w:tcPr>
          <w:p>
            <w:pPr>
              <w:pStyle w:val="50"/>
              <w:rPr>
                <w:rFonts w:hint="eastAsia" w:ascii="宋体" w:hAnsi="宋体" w:eastAsia="宋体" w:cs="宋体"/>
                <w:color w:val="auto"/>
                <w:sz w:val="21"/>
                <w:szCs w:val="21"/>
              </w:rPr>
            </w:pPr>
            <w:r>
              <w:rPr>
                <w:rFonts w:hint="eastAsia" w:ascii="宋体" w:hAnsi="宋体" w:eastAsia="宋体" w:cs="宋体"/>
                <w:color w:val="auto"/>
                <w:sz w:val="21"/>
                <w:szCs w:val="21"/>
              </w:rPr>
              <w:t>操作冲击电流下残压峰值（250A，30/60μs）</w:t>
            </w:r>
          </w:p>
        </w:tc>
        <w:tc>
          <w:tcPr>
            <w:tcW w:w="774" w:type="pct"/>
            <w:tcBorders>
              <w:top w:val="single" w:color="000000" w:sz="6" w:space="0"/>
              <w:left w:val="single" w:color="000000" w:sz="6" w:space="0"/>
              <w:bottom w:val="single" w:color="000000" w:sz="6" w:space="0"/>
              <w:right w:val="single" w:color="000000" w:sz="6" w:space="0"/>
            </w:tcBorders>
            <w:noWrap w:val="0"/>
            <w:vAlign w:val="center"/>
          </w:tcPr>
          <w:p>
            <w:pPr>
              <w:pStyle w:val="5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kV</w:t>
            </w:r>
          </w:p>
        </w:tc>
        <w:tc>
          <w:tcPr>
            <w:tcW w:w="1341" w:type="pct"/>
            <w:tcBorders>
              <w:top w:val="single" w:color="000000" w:sz="6" w:space="0"/>
              <w:left w:val="single" w:color="000000" w:sz="6" w:space="0"/>
              <w:bottom w:val="single" w:color="000000" w:sz="6" w:space="0"/>
            </w:tcBorders>
            <w:noWrap w:val="0"/>
            <w:vAlign w:val="center"/>
          </w:tcPr>
          <w:p>
            <w:pPr>
              <w:pStyle w:val="50"/>
              <w:rPr>
                <w:rFonts w:hint="eastAsia" w:ascii="宋体" w:hAnsi="宋体" w:eastAsia="宋体" w:cs="宋体"/>
                <w:color w:val="auto"/>
                <w:sz w:val="21"/>
                <w:szCs w:val="21"/>
              </w:rPr>
            </w:pPr>
            <w:r>
              <w:rPr>
                <w:rFonts w:hint="eastAsia" w:ascii="宋体" w:hAnsi="宋体" w:eastAsia="宋体" w:cs="宋体"/>
                <w:color w:val="auto"/>
                <w:w w:val="105"/>
                <w:sz w:val="21"/>
                <w:szCs w:val="21"/>
              </w:rPr>
              <w:t>≤25.6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884" w:type="pct"/>
            <w:tcBorders>
              <w:top w:val="single" w:color="000000" w:sz="6" w:space="0"/>
              <w:bottom w:val="single" w:color="000000" w:sz="6" w:space="0"/>
              <w:right w:val="single" w:color="000000" w:sz="6" w:space="0"/>
            </w:tcBorders>
            <w:noWrap w:val="0"/>
            <w:vAlign w:val="top"/>
          </w:tcPr>
          <w:p>
            <w:pPr>
              <w:pStyle w:val="50"/>
              <w:rPr>
                <w:rFonts w:hint="eastAsia" w:ascii="宋体" w:hAnsi="宋体" w:eastAsia="宋体" w:cs="宋体"/>
                <w:color w:val="auto"/>
                <w:sz w:val="21"/>
                <w:szCs w:val="21"/>
              </w:rPr>
            </w:pPr>
            <w:r>
              <w:rPr>
                <w:rFonts w:hint="eastAsia" w:ascii="宋体" w:hAnsi="宋体" w:eastAsia="宋体" w:cs="宋体"/>
                <w:color w:val="auto"/>
                <w:sz w:val="21"/>
                <w:szCs w:val="21"/>
              </w:rPr>
              <w:t>2ms 方波通流容量</w:t>
            </w:r>
          </w:p>
        </w:tc>
        <w:tc>
          <w:tcPr>
            <w:tcW w:w="774" w:type="pct"/>
            <w:tcBorders>
              <w:top w:val="single" w:color="000000" w:sz="6" w:space="0"/>
              <w:left w:val="single" w:color="000000" w:sz="6" w:space="0"/>
              <w:bottom w:val="single" w:color="000000" w:sz="6" w:space="0"/>
              <w:right w:val="single" w:color="000000" w:sz="6" w:space="0"/>
            </w:tcBorders>
            <w:noWrap w:val="0"/>
            <w:vAlign w:val="top"/>
          </w:tcPr>
          <w:p>
            <w:pPr>
              <w:pStyle w:val="50"/>
              <w:rPr>
                <w:rFonts w:hint="eastAsia" w:ascii="宋体" w:hAnsi="宋体" w:eastAsia="宋体" w:cs="宋体"/>
                <w:color w:val="auto"/>
                <w:sz w:val="21"/>
                <w:szCs w:val="21"/>
              </w:rPr>
            </w:pPr>
            <w:r>
              <w:rPr>
                <w:rFonts w:hint="eastAsia" w:ascii="宋体" w:hAnsi="宋体" w:eastAsia="宋体" w:cs="宋体"/>
                <w:color w:val="auto"/>
                <w:w w:val="87"/>
                <w:sz w:val="21"/>
                <w:szCs w:val="21"/>
              </w:rPr>
              <w:t>A</w:t>
            </w:r>
          </w:p>
        </w:tc>
        <w:tc>
          <w:tcPr>
            <w:tcW w:w="1341" w:type="pct"/>
            <w:tcBorders>
              <w:top w:val="single" w:color="000000" w:sz="6" w:space="0"/>
              <w:left w:val="single" w:color="000000" w:sz="6" w:space="0"/>
              <w:bottom w:val="single" w:color="000000" w:sz="6" w:space="0"/>
            </w:tcBorders>
            <w:noWrap w:val="0"/>
            <w:vAlign w:val="top"/>
          </w:tcPr>
          <w:p>
            <w:pPr>
              <w:pStyle w:val="50"/>
              <w:rPr>
                <w:rFonts w:hint="eastAsia" w:ascii="宋体" w:hAnsi="宋体" w:eastAsia="宋体" w:cs="宋体"/>
                <w:color w:val="auto"/>
                <w:sz w:val="21"/>
                <w:szCs w:val="21"/>
              </w:rPr>
            </w:pPr>
            <w:r>
              <w:rPr>
                <w:rFonts w:hint="eastAsia" w:ascii="宋体" w:hAnsi="宋体" w:eastAsia="宋体" w:cs="宋体"/>
                <w:color w:val="auto"/>
                <w:sz w:val="21"/>
                <w:szCs w:val="21"/>
              </w:rPr>
              <w:t>300（峰值）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884" w:type="pct"/>
            <w:tcBorders>
              <w:top w:val="single" w:color="000000" w:sz="6" w:space="0"/>
              <w:bottom w:val="single" w:color="000000" w:sz="6" w:space="0"/>
              <w:right w:val="single" w:color="000000" w:sz="6" w:space="0"/>
            </w:tcBorders>
            <w:noWrap w:val="0"/>
            <w:vAlign w:val="top"/>
          </w:tcPr>
          <w:p>
            <w:pPr>
              <w:pStyle w:val="50"/>
              <w:rPr>
                <w:rFonts w:hint="eastAsia" w:ascii="宋体" w:hAnsi="宋体" w:eastAsia="宋体" w:cs="宋体"/>
                <w:color w:val="auto"/>
                <w:sz w:val="21"/>
                <w:szCs w:val="21"/>
              </w:rPr>
            </w:pPr>
            <w:r>
              <w:rPr>
                <w:rFonts w:hint="eastAsia" w:ascii="宋体" w:hAnsi="宋体" w:eastAsia="宋体" w:cs="宋体"/>
                <w:color w:val="auto"/>
                <w:sz w:val="21"/>
                <w:szCs w:val="21"/>
              </w:rPr>
              <w:t>4/10μs 大冲击耐受电流</w:t>
            </w:r>
          </w:p>
        </w:tc>
        <w:tc>
          <w:tcPr>
            <w:tcW w:w="774" w:type="pct"/>
            <w:tcBorders>
              <w:top w:val="single" w:color="000000" w:sz="6" w:space="0"/>
              <w:left w:val="single" w:color="000000" w:sz="6" w:space="0"/>
              <w:bottom w:val="single" w:color="000000" w:sz="6" w:space="0"/>
              <w:right w:val="single" w:color="000000" w:sz="6" w:space="0"/>
            </w:tcBorders>
            <w:noWrap w:val="0"/>
            <w:vAlign w:val="top"/>
          </w:tcPr>
          <w:p>
            <w:pPr>
              <w:pStyle w:val="50"/>
              <w:rPr>
                <w:rFonts w:hint="eastAsia" w:ascii="宋体" w:hAnsi="宋体" w:eastAsia="宋体" w:cs="宋体"/>
                <w:color w:val="auto"/>
                <w:sz w:val="21"/>
                <w:szCs w:val="21"/>
              </w:rPr>
            </w:pPr>
            <w:r>
              <w:rPr>
                <w:rFonts w:hint="eastAsia" w:ascii="宋体" w:hAnsi="宋体" w:eastAsia="宋体" w:cs="宋体"/>
                <w:color w:val="auto"/>
                <w:sz w:val="21"/>
                <w:szCs w:val="21"/>
              </w:rPr>
              <w:t>kA</w:t>
            </w:r>
          </w:p>
        </w:tc>
        <w:tc>
          <w:tcPr>
            <w:tcW w:w="1341" w:type="pct"/>
            <w:tcBorders>
              <w:top w:val="single" w:color="000000" w:sz="6" w:space="0"/>
              <w:left w:val="single" w:color="000000" w:sz="6" w:space="0"/>
              <w:bottom w:val="single" w:color="000000" w:sz="6" w:space="0"/>
            </w:tcBorders>
            <w:noWrap w:val="0"/>
            <w:vAlign w:val="top"/>
          </w:tcPr>
          <w:p>
            <w:pPr>
              <w:pStyle w:val="50"/>
              <w:rPr>
                <w:rFonts w:hint="eastAsia" w:ascii="宋体" w:hAnsi="宋体" w:eastAsia="宋体" w:cs="宋体"/>
                <w:color w:val="auto"/>
                <w:sz w:val="21"/>
                <w:szCs w:val="21"/>
              </w:rPr>
            </w:pPr>
            <w:r>
              <w:rPr>
                <w:rFonts w:hint="eastAsia" w:ascii="宋体" w:hAnsi="宋体" w:eastAsia="宋体" w:cs="宋体"/>
                <w:color w:val="auto"/>
                <w:sz w:val="21"/>
                <w:szCs w:val="21"/>
              </w:rPr>
              <w:t>65（峰值）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884" w:type="pct"/>
            <w:tcBorders>
              <w:top w:val="single" w:color="000000" w:sz="6" w:space="0"/>
              <w:right w:val="single" w:color="000000" w:sz="6" w:space="0"/>
            </w:tcBorders>
            <w:noWrap w:val="0"/>
            <w:vAlign w:val="top"/>
          </w:tcPr>
          <w:p>
            <w:pPr>
              <w:pStyle w:val="50"/>
              <w:rPr>
                <w:rFonts w:hint="eastAsia" w:ascii="宋体" w:hAnsi="宋体" w:eastAsia="宋体" w:cs="宋体"/>
                <w:color w:val="auto"/>
                <w:sz w:val="21"/>
                <w:szCs w:val="21"/>
              </w:rPr>
            </w:pPr>
            <w:r>
              <w:rPr>
                <w:rFonts w:hint="eastAsia" w:ascii="宋体" w:hAnsi="宋体" w:eastAsia="宋体" w:cs="宋体"/>
                <w:color w:val="auto"/>
                <w:sz w:val="21"/>
                <w:szCs w:val="21"/>
              </w:rPr>
              <w:t>压力释放能力</w:t>
            </w:r>
          </w:p>
        </w:tc>
        <w:tc>
          <w:tcPr>
            <w:tcW w:w="774" w:type="pct"/>
            <w:tcBorders>
              <w:top w:val="single" w:color="000000" w:sz="6" w:space="0"/>
              <w:left w:val="single" w:color="000000" w:sz="6" w:space="0"/>
              <w:right w:val="single" w:color="000000" w:sz="6" w:space="0"/>
            </w:tcBorders>
            <w:noWrap w:val="0"/>
            <w:vAlign w:val="top"/>
          </w:tcPr>
          <w:p>
            <w:pPr>
              <w:pStyle w:val="50"/>
              <w:rPr>
                <w:rFonts w:hint="eastAsia" w:ascii="宋体" w:hAnsi="宋体" w:eastAsia="宋体" w:cs="宋体"/>
                <w:color w:val="auto"/>
                <w:sz w:val="21"/>
                <w:szCs w:val="21"/>
              </w:rPr>
            </w:pPr>
            <w:r>
              <w:rPr>
                <w:rFonts w:hint="eastAsia" w:ascii="宋体" w:hAnsi="宋体" w:eastAsia="宋体" w:cs="宋体"/>
                <w:color w:val="auto"/>
                <w:w w:val="105"/>
                <w:sz w:val="21"/>
                <w:szCs w:val="21"/>
              </w:rPr>
              <w:t>kA/s</w:t>
            </w:r>
          </w:p>
        </w:tc>
        <w:tc>
          <w:tcPr>
            <w:tcW w:w="1341" w:type="pct"/>
            <w:tcBorders>
              <w:top w:val="single" w:color="000000" w:sz="6" w:space="0"/>
              <w:left w:val="single" w:color="000000" w:sz="6" w:space="0"/>
            </w:tcBorders>
            <w:noWrap w:val="0"/>
            <w:vAlign w:val="top"/>
          </w:tcPr>
          <w:p>
            <w:pPr>
              <w:pStyle w:val="50"/>
              <w:rPr>
                <w:rFonts w:hint="eastAsia" w:ascii="宋体" w:hAnsi="宋体" w:eastAsia="宋体" w:cs="宋体"/>
                <w:color w:val="auto"/>
                <w:sz w:val="21"/>
                <w:szCs w:val="21"/>
              </w:rPr>
            </w:pPr>
            <w:r>
              <w:rPr>
                <w:rFonts w:hint="eastAsia" w:ascii="宋体" w:hAnsi="宋体" w:eastAsia="宋体" w:cs="宋体"/>
                <w:color w:val="auto"/>
                <w:w w:val="115"/>
                <w:sz w:val="21"/>
                <w:szCs w:val="21"/>
              </w:rPr>
              <w:t>31.5/0.2</w:t>
            </w:r>
          </w:p>
        </w:tc>
      </w:tr>
    </w:tbl>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开关柜内主要元件技术参数及型号详见柜体一次系统图。</w:t>
      </w:r>
    </w:p>
    <w:p>
      <w:pPr>
        <w:pStyle w:val="4"/>
        <w:numPr>
          <w:ilvl w:val="2"/>
          <w:numId w:val="0"/>
        </w:numPr>
        <w:adjustRightInd w:val="0"/>
        <w:snapToGrid w:val="0"/>
        <w:spacing w:before="156" w:beforeLines="50" w:after="156" w:afterLines="50" w:line="360" w:lineRule="auto"/>
        <w:ind w:left="0" w:leftChars="0" w:firstLine="0" w:firstLineChars="0"/>
        <w:outlineLvl w:val="2"/>
        <w:rPr>
          <w:rFonts w:hint="eastAsia" w:ascii="宋体" w:hAnsi="宋体" w:eastAsia="宋体" w:cs="宋体"/>
          <w:b/>
          <w:bCs w:val="0"/>
          <w:color w:val="auto"/>
          <w:sz w:val="24"/>
          <w:szCs w:val="24"/>
          <w:lang w:val="en-US" w:eastAsia="zh-CN"/>
        </w:rPr>
      </w:pPr>
      <w:bookmarkStart w:id="72" w:name="_Toc10899"/>
      <w:bookmarkStart w:id="73" w:name="_Toc32001"/>
      <w:bookmarkStart w:id="74" w:name="_Toc8636"/>
      <w:bookmarkStart w:id="75" w:name="_Toc8675"/>
      <w:r>
        <w:rPr>
          <w:rFonts w:hint="eastAsia" w:ascii="宋体" w:eastAsia="宋体" w:cs="宋体"/>
          <w:b/>
          <w:bCs w:val="0"/>
          <w:color w:val="auto"/>
          <w:sz w:val="24"/>
          <w:szCs w:val="24"/>
          <w:lang w:val="en-US" w:eastAsia="zh-CN"/>
        </w:rPr>
        <w:t>6</w:t>
      </w:r>
      <w:r>
        <w:rPr>
          <w:rFonts w:hint="eastAsia" w:ascii="宋体" w:hAnsi="宋体" w:eastAsia="宋体" w:cs="宋体"/>
          <w:b/>
          <w:bCs w:val="0"/>
          <w:color w:val="auto"/>
          <w:sz w:val="24"/>
          <w:szCs w:val="24"/>
          <w:lang w:val="en-US" w:eastAsia="zh-CN"/>
        </w:rPr>
        <w:t>.5 10kV属铠装移开式开关柜技术要求</w:t>
      </w:r>
      <w:bookmarkEnd w:id="72"/>
      <w:bookmarkEnd w:id="73"/>
      <w:bookmarkEnd w:id="74"/>
      <w:bookmarkEnd w:id="75"/>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1.断路器整体要求</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（1）柜内断路器优选采用整体式复合绝缘或全绝缘型断路器。复合式绝缘材料的选用，根据用途不同和形状构造不同，分别选用SMC和DMC模塑材。</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真空断路器采用固封式断路器，操作机构与断路器为一体化、模块化结构，手车导电臂应进行绝缘包裹。</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（2）断路器采用弹簧操作机构，该机构合闸电压为交流220V，跳合闸控制回路电源电压为交流220V。</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除断路器自身控制回路(如跳合闸等)所用接点外，至少应提供6常开、6常闭辅助接点供外部联锁用。这些辅助接点必须引至开关柜内的接线端子。辅助接点的允许载流量为不小于10A。</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（3）真空灭弧室应在出厂前进行“老化实验”，并附有报告。</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（4）断路器应具备“防跳”功能，在一次合闸指令下只能合闸一次。</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（5）真空断路器机械寿命不小于2万次，高压真空机械寿命不小于10万次。</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（6）断路器的分合闸指示，操动机构的计数器，储能状态指示应明显清晰，便于观察，且均用中文表示。计数器为合闸记数。</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（7）真空断路器接地金属外壳上应有防锈的、导电性能良好的、直径为12mm的接地螺钉。接地点附近应标有接地符号。</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2.其他元器件的要求</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（1）接地开关操作机构需手动操作，每组接地开关应装设一个机械式的分/合闸计数器。装设观察窗，使操作人员能够清晰的看出断路器的触头位置。</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（2）电压互感器放在单独的间隔内，并配有一次熔断器，当允许检查和进入开关柜内更换一次熔断器时，电压互感器与一次熔断器要完全隔离。在6~35</w:t>
      </w:r>
      <w:r>
        <w:rPr>
          <w:rFonts w:hint="eastAsia" w:ascii="宋体" w:hAnsi="宋体" w:eastAsia="宋体" w:cs="宋体"/>
          <w:color w:val="auto"/>
          <w:sz w:val="24"/>
          <w:szCs w:val="24"/>
          <w:lang w:eastAsia="zh-CN"/>
        </w:rPr>
        <w:t>kV</w:t>
      </w:r>
      <w:r>
        <w:rPr>
          <w:rFonts w:hint="eastAsia" w:ascii="宋体" w:hAnsi="宋体" w:eastAsia="宋体" w:cs="宋体"/>
          <w:color w:val="auto"/>
          <w:sz w:val="24"/>
          <w:szCs w:val="24"/>
        </w:rPr>
        <w:t>中性点不接地电网中，开关柜内PT中性点需增加一次消谐装置来保护设备安全。</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（3）开关柜内装设必要的控制、测量、保护设备。</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（4）当测量仪表及继电器保护装置盘面上的二次回路接线以插头与高压开关柜中其他二次回路相连接时，其插头及插座必须接触可靠，并有锁紧设施。</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（5）表计、控制、信号回路连接用线为铜芯绝缘线，最小截面不小于1.5mm2。所有导线应牢固的加紧，设备端子均有标字牌。</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（6）对外引接电缆均经过端子排，每排端子排留有15%的备用端子，所有端子的绝缘材料必须是阻燃的。</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（7）供电流互感器用的端子排应设计成短接型，电流不小于20A(500V)，并具有隔离板。</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（8）每个端子只接一根导线，内部跨线可以接两根导线，导线均选用电压不小于500V的单股铜导线（活动部分除外）。端子排上的导线固定采用平头铜螺丝。</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9）装在开关柜上的测控保护及自动化装置，由综合自动化厂家向开关厂提供装置及装置的原理图、设备表、端子排图及装置的开孔尺寸，并负责装置接线。二次回路接线端子采用凤凰或魏德米勒端子排，保护回路接线应为2.5 mm2,电流互感器二次侧电流导线为4 mm2。其终端附有类似于上面所述的接线端子。</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（10）控制和表计开关分别采用相同外形与手把的通用组合开关，相同用途的开关把手操作方向一致。通用组合开关的额定电压不小于500V，持续电流不小于5A。</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（11）开关柜二次接线排需预留空余端子，以备后续保护、控制等接线连接。</w:t>
      </w:r>
    </w:p>
    <w:p>
      <w:pPr>
        <w:pStyle w:val="4"/>
        <w:numPr>
          <w:ilvl w:val="2"/>
          <w:numId w:val="0"/>
        </w:numPr>
        <w:adjustRightInd w:val="0"/>
        <w:snapToGrid w:val="0"/>
        <w:spacing w:before="156" w:beforeLines="50" w:after="156" w:afterLines="50" w:line="360" w:lineRule="auto"/>
        <w:ind w:left="0" w:leftChars="0" w:firstLine="0" w:firstLineChars="0"/>
        <w:outlineLvl w:val="2"/>
        <w:rPr>
          <w:rFonts w:hint="eastAsia" w:ascii="宋体" w:hAnsi="宋体" w:eastAsia="宋体" w:cs="宋体"/>
          <w:b/>
          <w:bCs w:val="0"/>
          <w:color w:val="auto"/>
          <w:sz w:val="24"/>
          <w:szCs w:val="24"/>
          <w:lang w:val="en-US" w:eastAsia="zh-CN"/>
        </w:rPr>
      </w:pPr>
      <w:bookmarkStart w:id="76" w:name="_Toc31915"/>
      <w:bookmarkStart w:id="77" w:name="_Toc16679"/>
      <w:bookmarkStart w:id="78" w:name="_Toc202"/>
      <w:bookmarkStart w:id="79" w:name="_Toc5704"/>
      <w:r>
        <w:rPr>
          <w:rFonts w:hint="eastAsia" w:ascii="宋体" w:eastAsia="宋体" w:cs="宋体"/>
          <w:b/>
          <w:bCs w:val="0"/>
          <w:color w:val="auto"/>
          <w:sz w:val="24"/>
          <w:szCs w:val="24"/>
          <w:lang w:val="en-US" w:eastAsia="zh-CN"/>
        </w:rPr>
        <w:t>6</w:t>
      </w:r>
      <w:r>
        <w:rPr>
          <w:rFonts w:hint="eastAsia" w:ascii="宋体" w:hAnsi="宋体" w:eastAsia="宋体" w:cs="宋体"/>
          <w:b/>
          <w:bCs w:val="0"/>
          <w:color w:val="auto"/>
          <w:sz w:val="24"/>
          <w:szCs w:val="24"/>
          <w:lang w:val="en-US" w:eastAsia="zh-CN"/>
        </w:rPr>
        <w:t>.6开关柜通用部分技术要求</w:t>
      </w:r>
      <w:bookmarkEnd w:id="76"/>
      <w:bookmarkEnd w:id="77"/>
      <w:bookmarkEnd w:id="78"/>
      <w:bookmarkEnd w:id="79"/>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柜体应采用敷铝锌钢板弯折后栓接而成或采用优质防锈处理的冷轧钢板制成。金属铠装开关柜应分为断路器室、母线室、电缆室和控制仪表室等金属封闭的独立隔室，其中断路器室、母线室和电缆室均有独立的泄压通道。开关柜内应设照明装置。</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2．开关柜应为全组装式结构，并具有良好的密封性。在开关柜的柜门关闭时防护等级应达到IP4X或以上；当开关柜采用金属铠装封闭式结构时,在柜门打开时防护等级达到IP2X或以上。所有部件有足够的强度，能承受运输，安装和运行时短路所引起的作用力而不致损坏。</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3．开关柜的“五防”和联锁要求</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（1）开关柜应具有可靠的“五防”功能：防止误分、误合断路器；防止带负荷分、合隔离开关（插头）；防止带电分、合接地刀闸；防止带接地刀闸送电；防止误入带电间隔。</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（2）电缆室门与接地刀闸采取机械闭锁方式，并有紧急解锁装置。</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（3）当断路器处在合闸位置时，断路器小车无法推进或拉出。</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（4）当断路器小车未到工作或试验位置时，断路器无法进行合闸操作。</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（5）当接地刀闸处在合闸位置时，断路器小车无法从“试验”位置进入“工作”位置。</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（6）当断路器小车处在“试验”位置与“工作”位置之间（包括“工作”位置）时，无法操作接地刀闸。</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（7）进出线柜应装有能反映出线侧有无电压，并具有自检功能的带电显示装置。当出线侧带电时，应闭锁操作接地刀闸。</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（8）母线验电小车只有在母联分段柜开关小车及对应主变开关小车在试验或检修位置时才允许推入。母线接地时，该母线上的电流柜小车不能推入。</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（9）站用变柜的前门应具有带电显示强制闭锁，并留有方便站用变检修时接地线的部位，要求与柜前门有相互闭锁。</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（10）站用变柜内的隔离小车与柜内的低压总开关应设机械闭锁或电气闭锁。其程序过程为应先拉开低压总开关、再拉出隔离小车，然后再开站用变柜门，反之亦然。</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（11）开关柜电气闭锁应单独设置电源回路，且与其他回路独立。</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4．观察窗的要求</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（1）观察窗至少应达到对外壳规定的防护等级；</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（2）观察窗应使用机械强度与外壳相当的透明板，同时应有足够的电气间隙和静电屏蔽措施，防止危险的静电电荷；</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（3）主回路的带电部分与观察窗的可触及表面的绝缘应满足相对地的绝缘要求。</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5．开关柜内的控制，保护小室应牢固，便于设备的调试和维修。</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6．开关柜的前门应为铰链门，且在开关“试验”位置时也能关闭，开关柜背后为可拆卸的盖板。开关柜前门上应设有断路器机械的或电气的位置指示装置，在不开门的情况下应能方便地监视断路器的分合闸状态。</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7．开关柜应有良好的通风条件，如通风设有百叶窗或其它通风口时，应有防止漏水、防小动物进入的措施，防护等级应与外壳相同。通风窗采用的材料（如网状编织物等）应有足够的强度。通风窗和排气孔的位置应使排出的油气和蒸汽不致危及操作者和其他正常运行设备的安全。</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8．柜内采用绝缘母线，并应具有防潮和阻燃性能以及足够的介电强度，其对母线容量的影响由投标人考虑。为保证设备停运时潮气侵入，电缆室、手车室装设加热器。加热器应为常加热型，确保柜内潮气排放。</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9．所有螺栓固定的主母线和分支母线接头，对铜导体镀银，并保证其温升不超过标准值。在长期使用期间，从标准环境温度到额定满负荷温度，固定螺栓的初始接触压力值不应降低，每个连接点不应少于两个螺栓。</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10．厂家对母线的每个接点进行接触电阻测试，需达到标准，630A &lt;30μΩ、800-1000A &lt;20μΩ、2500A &lt;15μΩ，以保证母线接触可靠。母线应标明相别的颜色，A、B、C相分别为黄、绿、红色。开关柜相序按面对开关柜从左至右为A、B、C，从上到下排列为A、B、C。</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11．主母线支承绝缘子的吸潮性能应很低，在设备使用期间，不应降低机械和介质强度。</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12．对于需分开运输的开关柜的柜间联线(如小母线联络电缆)，要求互联的接线接在一个柜的端子排下，当开关柜分段组装时，再与其他柜连接。</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13．开关柜应配置带电指示器，并要求显示安装在柜后。</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14．对最小空气间隙的要求</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（1）单纯以空气作为绝缘介质的开关柜，相间和相对地的最小空气间隙应满足下列要求：12</w:t>
      </w:r>
      <w:r>
        <w:rPr>
          <w:rFonts w:hint="eastAsia" w:ascii="宋体" w:hAnsi="宋体" w:eastAsia="宋体" w:cs="宋体"/>
          <w:color w:val="auto"/>
          <w:sz w:val="24"/>
          <w:szCs w:val="24"/>
          <w:lang w:eastAsia="zh-CN"/>
        </w:rPr>
        <w:t>kV</w:t>
      </w:r>
      <w:r>
        <w:rPr>
          <w:rFonts w:hint="eastAsia" w:ascii="宋体" w:hAnsi="宋体" w:eastAsia="宋体" w:cs="宋体"/>
          <w:color w:val="auto"/>
          <w:sz w:val="24"/>
          <w:szCs w:val="24"/>
        </w:rPr>
        <w:t>：相间和相对地125mm，带电体至门155mm；</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2）以空气和绝缘隔板组成的复合绝缘作为绝缘介质的开关柜，绝缘隔板应选用耐电弧、耐高温、阻燃、低毒、不吸潮且具有优良机械强度和电气绝缘性能的材料。主回路带电部分对绝缘隔板的内表面之间，应能长期承受150%额定电压的作用。带电体与绝缘板之间的最小空气间隙应满足下述要求：</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对12</w:t>
      </w:r>
      <w:r>
        <w:rPr>
          <w:rFonts w:hint="eastAsia" w:ascii="宋体" w:hAnsi="宋体" w:eastAsia="宋体" w:cs="宋体"/>
          <w:color w:val="auto"/>
          <w:sz w:val="24"/>
          <w:szCs w:val="24"/>
          <w:lang w:eastAsia="zh-CN"/>
        </w:rPr>
        <w:t>kV</w:t>
      </w:r>
      <w:r>
        <w:rPr>
          <w:rFonts w:hint="eastAsia" w:ascii="宋体" w:hAnsi="宋体" w:eastAsia="宋体" w:cs="宋体"/>
          <w:color w:val="auto"/>
          <w:sz w:val="24"/>
          <w:szCs w:val="24"/>
        </w:rPr>
        <w:t>设备应不小于30mm；</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如果有泄漏电流能经过绝缘件表面的连接途径或经过小的气隙、油隙所隔断的途径，到达绝缘隔板的可触及表面时，此泄漏电流不应大于0.5mA。</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15．对接地的要求</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（1）开关柜的底架上均应设置可靠的适用于规定故障条件的接地端子，该端子应有一紧固螺钉或螺栓连接至接地导体。紧固螺钉或螺栓的直径应不小于12mm。接地连接点应标以清晰可见的接地符号；</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2）接地导体应采用铜质导体，在规定的接地故障条件下，在额定短路持续时间为4s时，其电流密度不应超过110A/mm2，但最小截面积不应小于240mm2。接地导体的末端应用铜质端子与设备的接地系统相连接，端子的电气接触面积应与接地导体的截面相适应，但最小电气接触面积不应小于160mm2；</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（3）主回路中凡规定或需要触及的所有部件都应可靠接地；</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4）各个功能单元的外壳均应连接到接地导体上，除主回路和辅助回路之外的所有要接地的金属部件应直接或通过金属构件与接地导体相连接。金属部件和外壳到接地端子之间通过30A直流电流时压降不大于3V。功能单元内部的相互连接应保证电气连续性；</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（5）可抽出部件应接地的金属部件，在试验位置、隔离位置及任何中间位置均应保持接地；</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（6）可移开部件应接地的金属部件，在插入和抽出过程中，在静触头和主回路的可移开部件接触之前和分离过程中应接地，以保证能通过可能的最大短路电流；</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（7）接地回路应能承受的短时耐受电流最大值为主回路额定短时耐受电流的87％；</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（8）二次控制仪表室应设有专用独立的接地导体。（如需要）</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16．对开关柜限制并避免内部电弧故障的要求</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（1）开关柜应通过内部燃弧试验，并在投标时出具相关试验报告。</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（2）开关柜的各隔室之间，应满足正常使用条件和限制隔室内部电弧影响的要求；并能防止因本身缺陷、异常或误操作导致的内电弧伤及工作人员，能限制电弧的燃烧范围。</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（3）应采取防止人为造成内部故障的措施，还应考虑到由于柜内组件动作造成的故障引起隔室内过压及压力释放装置喷出气体，可能对人员和其他正常运行设备的影响。</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（4）除继电器室外，在断路器室、母线室和电缆室的均设有排气通道和泄压装置，当产生内部故障电弧时，泄压通道将被自动打开，释放内部压力，以确保人员和开关柜的安全。</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17．开关柜的外形应平整美观，内外表层颜色由招标人确定。</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18．铭牌</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  开关柜的铭牌应符合DL/T 404的规定。</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（2)  铭牌应为不锈钢</w:t>
      </w:r>
      <w:r>
        <w:rPr>
          <w:rFonts w:hint="eastAsia" w:ascii="宋体" w:hAnsi="宋体" w:eastAsia="宋体" w:cs="宋体"/>
          <w:color w:val="auto"/>
          <w:sz w:val="24"/>
          <w:szCs w:val="24"/>
          <w:lang w:val="en-US" w:eastAsia="zh-CN"/>
        </w:rPr>
        <w:t>材质</w:t>
      </w:r>
      <w:r>
        <w:rPr>
          <w:rFonts w:hint="eastAsia" w:ascii="宋体" w:hAnsi="宋体" w:eastAsia="宋体" w:cs="宋体"/>
          <w:color w:val="auto"/>
          <w:sz w:val="24"/>
          <w:szCs w:val="24"/>
        </w:rPr>
        <w:t>，且应用中文印制。设备零件及其附件上的指示牌、警告牌以及其它标记也应用中文印制。</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（3)  铭牌应包括如下内容：</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制造商名称或商标、制造年月、出厂编号；</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产品型号；</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给出下列数据：额定电压、母线和回路的额定电流、额定频率、额定短路开断电流、额定短时耐受电流及持续时间、额定峰值耐受电流、内部电弧等级（如有）。</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开关柜中各元件应装有铭牌，铭牌要求参照相应标准。</w:t>
      </w:r>
    </w:p>
    <w:p>
      <w:pPr>
        <w:pStyle w:val="4"/>
        <w:numPr>
          <w:ilvl w:val="2"/>
          <w:numId w:val="0"/>
        </w:numPr>
        <w:adjustRightInd w:val="0"/>
        <w:snapToGrid w:val="0"/>
        <w:spacing w:before="156" w:beforeLines="50" w:after="156" w:afterLines="50" w:line="360" w:lineRule="auto"/>
        <w:ind w:left="0" w:leftChars="0" w:firstLine="0" w:firstLineChars="0"/>
        <w:outlineLvl w:val="2"/>
        <w:rPr>
          <w:rFonts w:hint="eastAsia" w:ascii="宋体" w:hAnsi="宋体" w:eastAsia="宋体" w:cs="宋体"/>
          <w:b/>
          <w:bCs w:val="0"/>
          <w:color w:val="auto"/>
          <w:sz w:val="24"/>
          <w:szCs w:val="24"/>
          <w:lang w:val="en-US" w:eastAsia="zh-CN"/>
        </w:rPr>
      </w:pPr>
      <w:bookmarkStart w:id="80" w:name="_Toc16860"/>
      <w:bookmarkStart w:id="81" w:name="_Toc250"/>
      <w:bookmarkStart w:id="82" w:name="_Toc844"/>
      <w:bookmarkStart w:id="83" w:name="_Toc12530"/>
      <w:r>
        <w:rPr>
          <w:rFonts w:hint="eastAsia" w:ascii="宋体" w:eastAsia="宋体" w:cs="宋体"/>
          <w:b/>
          <w:bCs w:val="0"/>
          <w:color w:val="auto"/>
          <w:sz w:val="24"/>
          <w:szCs w:val="24"/>
          <w:lang w:val="en-US" w:eastAsia="zh-CN"/>
        </w:rPr>
        <w:t>6</w:t>
      </w:r>
      <w:r>
        <w:rPr>
          <w:rFonts w:hint="eastAsia" w:ascii="宋体" w:hAnsi="宋体" w:eastAsia="宋体" w:cs="宋体"/>
          <w:b/>
          <w:bCs w:val="0"/>
          <w:color w:val="auto"/>
          <w:sz w:val="24"/>
          <w:szCs w:val="24"/>
          <w:lang w:val="en-US" w:eastAsia="zh-CN"/>
        </w:rPr>
        <w:t>.7 10kV金属铠装移开式开关柜产品质量要求</w:t>
      </w:r>
      <w:bookmarkEnd w:id="80"/>
      <w:bookmarkEnd w:id="81"/>
      <w:bookmarkEnd w:id="82"/>
      <w:bookmarkEnd w:id="83"/>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1.设备监造要求</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对所订购的产品，</w:t>
      </w:r>
      <w:r>
        <w:rPr>
          <w:rFonts w:hint="eastAsia" w:ascii="宋体" w:hAnsi="宋体" w:eastAsia="宋体" w:cs="宋体"/>
          <w:color w:val="auto"/>
          <w:sz w:val="24"/>
          <w:szCs w:val="24"/>
          <w:lang w:val="en-US" w:eastAsia="zh-CN"/>
        </w:rPr>
        <w:t>招标人</w:t>
      </w:r>
      <w:r>
        <w:rPr>
          <w:rFonts w:hint="eastAsia" w:ascii="宋体" w:hAnsi="宋体" w:eastAsia="宋体" w:cs="宋体"/>
          <w:color w:val="auto"/>
          <w:sz w:val="24"/>
          <w:szCs w:val="24"/>
        </w:rPr>
        <w:t>有权安排人员进场监造。</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2.产品出厂测试及检验报告</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10</w:t>
      </w:r>
      <w:r>
        <w:rPr>
          <w:rFonts w:hint="eastAsia" w:ascii="宋体" w:hAnsi="宋体" w:eastAsia="宋体" w:cs="宋体"/>
          <w:color w:val="auto"/>
          <w:sz w:val="24"/>
          <w:szCs w:val="24"/>
          <w:lang w:eastAsia="zh-CN"/>
        </w:rPr>
        <w:t>kV</w:t>
      </w:r>
      <w:r>
        <w:rPr>
          <w:rFonts w:hint="eastAsia" w:ascii="宋体" w:hAnsi="宋体" w:eastAsia="宋体" w:cs="宋体"/>
          <w:color w:val="auto"/>
          <w:sz w:val="24"/>
          <w:szCs w:val="24"/>
        </w:rPr>
        <w:t>金属铠装移开式开关柜出厂前应进行全面的出厂测试，厂家应根据国标和部颁标准进行工厂试验和现场试验，并提供给招标人详细的试验说明、技术说明及特殊试验仪器的要求。厂家应按有关国家标准对每台开关柜进行工厂试验并向用户提供完整的合格试验报告。</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10</w:t>
      </w:r>
      <w:r>
        <w:rPr>
          <w:rFonts w:hint="eastAsia" w:ascii="宋体" w:hAnsi="宋体" w:eastAsia="宋体" w:cs="宋体"/>
          <w:color w:val="auto"/>
          <w:sz w:val="24"/>
          <w:szCs w:val="24"/>
          <w:lang w:eastAsia="zh-CN"/>
        </w:rPr>
        <w:t>kV</w:t>
      </w:r>
      <w:r>
        <w:rPr>
          <w:rFonts w:hint="eastAsia" w:ascii="宋体" w:hAnsi="宋体" w:eastAsia="宋体" w:cs="宋体"/>
          <w:color w:val="auto"/>
          <w:sz w:val="24"/>
          <w:szCs w:val="24"/>
        </w:rPr>
        <w:t>金属铠装移开式开关柜试验项目（包括型式试验）：</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94"/>
        <w:gridCol w:w="3260"/>
        <w:gridCol w:w="26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694" w:type="dxa"/>
            <w:noWrap w:val="0"/>
            <w:vAlign w:val="top"/>
          </w:tcPr>
          <w:p>
            <w:pPr>
              <w:autoSpaceDE w:val="0"/>
              <w:autoSpaceDN w:val="0"/>
              <w:adjustRightInd w:val="0"/>
              <w:spacing w:line="240" w:lineRule="auto"/>
              <w:jc w:val="left"/>
              <w:rPr>
                <w:rFonts w:hint="default" w:ascii="Times New Roman" w:hAnsi="Times New Roman" w:cs="Times New Roman"/>
                <w:color w:val="auto"/>
                <w:sz w:val="21"/>
                <w:szCs w:val="21"/>
              </w:rPr>
            </w:pPr>
            <w:r>
              <w:rPr>
                <w:rFonts w:hint="default" w:ascii="Times New Roman" w:hAnsi="Times New Roman" w:cs="Times New Roman"/>
                <w:bCs/>
                <w:color w:val="auto"/>
                <w:sz w:val="21"/>
                <w:szCs w:val="21"/>
              </w:rPr>
              <w:t>主回路工频耐压试验</w:t>
            </w:r>
          </w:p>
        </w:tc>
        <w:tc>
          <w:tcPr>
            <w:tcW w:w="3260" w:type="dxa"/>
            <w:noWrap w:val="0"/>
            <w:vAlign w:val="top"/>
          </w:tcPr>
          <w:p>
            <w:pPr>
              <w:autoSpaceDE w:val="0"/>
              <w:autoSpaceDN w:val="0"/>
              <w:adjustRightInd w:val="0"/>
              <w:spacing w:line="240" w:lineRule="auto"/>
              <w:jc w:val="left"/>
              <w:rPr>
                <w:rFonts w:hint="default" w:ascii="Times New Roman" w:hAnsi="Times New Roman" w:cs="Times New Roman"/>
                <w:color w:val="auto"/>
                <w:sz w:val="21"/>
                <w:szCs w:val="21"/>
              </w:rPr>
            </w:pPr>
            <w:r>
              <w:rPr>
                <w:rFonts w:hint="default" w:ascii="Times New Roman" w:hAnsi="Times New Roman" w:cs="Times New Roman"/>
                <w:bCs/>
                <w:color w:val="auto"/>
                <w:sz w:val="21"/>
                <w:szCs w:val="21"/>
              </w:rPr>
              <w:t>辅助回路工频耐压试验</w:t>
            </w:r>
          </w:p>
        </w:tc>
        <w:tc>
          <w:tcPr>
            <w:tcW w:w="2689" w:type="dxa"/>
            <w:noWrap w:val="0"/>
            <w:vAlign w:val="top"/>
          </w:tcPr>
          <w:p>
            <w:pPr>
              <w:autoSpaceDE w:val="0"/>
              <w:autoSpaceDN w:val="0"/>
              <w:adjustRightInd w:val="0"/>
              <w:spacing w:line="240" w:lineRule="auto"/>
              <w:jc w:val="left"/>
              <w:rPr>
                <w:rFonts w:hint="default" w:ascii="Times New Roman" w:hAnsi="Times New Roman" w:cs="Times New Roman"/>
                <w:color w:val="auto"/>
                <w:sz w:val="21"/>
                <w:szCs w:val="21"/>
              </w:rPr>
            </w:pPr>
            <w:r>
              <w:rPr>
                <w:rFonts w:hint="default" w:ascii="Times New Roman" w:hAnsi="Times New Roman" w:cs="Times New Roman"/>
                <w:bCs/>
                <w:color w:val="auto"/>
                <w:sz w:val="21"/>
                <w:szCs w:val="21"/>
              </w:rPr>
              <w:t>可移开部件操作检查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94" w:type="dxa"/>
            <w:noWrap w:val="0"/>
            <w:vAlign w:val="top"/>
          </w:tcPr>
          <w:p>
            <w:pPr>
              <w:autoSpaceDE w:val="0"/>
              <w:autoSpaceDN w:val="0"/>
              <w:adjustRightInd w:val="0"/>
              <w:spacing w:line="240" w:lineRule="auto"/>
              <w:jc w:val="left"/>
              <w:rPr>
                <w:rFonts w:hint="default" w:ascii="Times New Roman" w:hAnsi="Times New Roman" w:cs="Times New Roman"/>
                <w:color w:val="auto"/>
                <w:sz w:val="21"/>
                <w:szCs w:val="21"/>
              </w:rPr>
            </w:pPr>
            <w:r>
              <w:rPr>
                <w:rFonts w:hint="default" w:ascii="Times New Roman" w:hAnsi="Times New Roman" w:cs="Times New Roman"/>
                <w:bCs/>
                <w:color w:val="auto"/>
                <w:sz w:val="21"/>
                <w:szCs w:val="21"/>
              </w:rPr>
              <w:t>加工工艺质量检查</w:t>
            </w:r>
          </w:p>
        </w:tc>
        <w:tc>
          <w:tcPr>
            <w:tcW w:w="3260" w:type="dxa"/>
            <w:noWrap w:val="0"/>
            <w:vAlign w:val="top"/>
          </w:tcPr>
          <w:p>
            <w:pPr>
              <w:autoSpaceDE w:val="0"/>
              <w:autoSpaceDN w:val="0"/>
              <w:adjustRightInd w:val="0"/>
              <w:spacing w:line="240" w:lineRule="auto"/>
              <w:jc w:val="left"/>
              <w:rPr>
                <w:rFonts w:hint="default" w:ascii="Times New Roman" w:hAnsi="Times New Roman" w:cs="Times New Roman"/>
                <w:color w:val="auto"/>
                <w:sz w:val="21"/>
                <w:szCs w:val="21"/>
              </w:rPr>
            </w:pPr>
            <w:r>
              <w:rPr>
                <w:rFonts w:hint="default" w:ascii="Times New Roman" w:hAnsi="Times New Roman" w:cs="Times New Roman"/>
                <w:bCs/>
                <w:color w:val="auto"/>
                <w:sz w:val="21"/>
                <w:szCs w:val="21"/>
              </w:rPr>
              <w:t>外观检查</w:t>
            </w:r>
          </w:p>
        </w:tc>
        <w:tc>
          <w:tcPr>
            <w:tcW w:w="2689" w:type="dxa"/>
            <w:noWrap w:val="0"/>
            <w:vAlign w:val="top"/>
          </w:tcPr>
          <w:p>
            <w:pPr>
              <w:autoSpaceDE w:val="0"/>
              <w:autoSpaceDN w:val="0"/>
              <w:adjustRightInd w:val="0"/>
              <w:spacing w:line="240" w:lineRule="auto"/>
              <w:jc w:val="left"/>
              <w:rPr>
                <w:rFonts w:hint="default" w:ascii="Times New Roman" w:hAnsi="Times New Roman" w:cs="Times New Roman"/>
                <w:color w:val="auto"/>
                <w:sz w:val="21"/>
                <w:szCs w:val="21"/>
              </w:rPr>
            </w:pPr>
            <w:r>
              <w:rPr>
                <w:rFonts w:hint="default" w:ascii="Times New Roman" w:hAnsi="Times New Roman" w:cs="Times New Roman"/>
                <w:bCs/>
                <w:color w:val="auto"/>
                <w:sz w:val="21"/>
                <w:szCs w:val="21"/>
              </w:rPr>
              <w:t>接地连续性试验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94" w:type="dxa"/>
            <w:noWrap w:val="0"/>
            <w:vAlign w:val="top"/>
          </w:tcPr>
          <w:p>
            <w:pPr>
              <w:autoSpaceDE w:val="0"/>
              <w:autoSpaceDN w:val="0"/>
              <w:adjustRightInd w:val="0"/>
              <w:spacing w:line="240" w:lineRule="auto"/>
              <w:jc w:val="left"/>
              <w:rPr>
                <w:rFonts w:hint="default" w:ascii="Times New Roman" w:hAnsi="Times New Roman" w:cs="Times New Roman"/>
                <w:color w:val="auto"/>
                <w:sz w:val="21"/>
                <w:szCs w:val="21"/>
              </w:rPr>
            </w:pPr>
            <w:r>
              <w:rPr>
                <w:rFonts w:hint="default" w:ascii="Times New Roman" w:hAnsi="Times New Roman" w:cs="Times New Roman"/>
                <w:bCs/>
                <w:color w:val="auto"/>
                <w:sz w:val="21"/>
                <w:szCs w:val="21"/>
              </w:rPr>
              <w:t>辅助回路通电试验</w:t>
            </w:r>
          </w:p>
        </w:tc>
        <w:tc>
          <w:tcPr>
            <w:tcW w:w="3260" w:type="dxa"/>
            <w:noWrap w:val="0"/>
            <w:vAlign w:val="top"/>
          </w:tcPr>
          <w:p>
            <w:pPr>
              <w:autoSpaceDE w:val="0"/>
              <w:autoSpaceDN w:val="0"/>
              <w:adjustRightInd w:val="0"/>
              <w:spacing w:line="240" w:lineRule="auto"/>
              <w:jc w:val="left"/>
              <w:rPr>
                <w:rFonts w:hint="default" w:ascii="Times New Roman" w:hAnsi="Times New Roman" w:cs="Times New Roman"/>
                <w:color w:val="auto"/>
                <w:sz w:val="21"/>
                <w:szCs w:val="21"/>
              </w:rPr>
            </w:pPr>
            <w:r>
              <w:rPr>
                <w:rFonts w:hint="default" w:ascii="Times New Roman" w:hAnsi="Times New Roman" w:cs="Times New Roman"/>
                <w:bCs/>
                <w:color w:val="auto"/>
                <w:sz w:val="21"/>
                <w:szCs w:val="21"/>
              </w:rPr>
              <w:t>断路器操作及机械特性试验</w:t>
            </w:r>
          </w:p>
        </w:tc>
        <w:tc>
          <w:tcPr>
            <w:tcW w:w="2689" w:type="dxa"/>
            <w:noWrap w:val="0"/>
            <w:vAlign w:val="top"/>
          </w:tcPr>
          <w:p>
            <w:pPr>
              <w:autoSpaceDE w:val="0"/>
              <w:autoSpaceDN w:val="0"/>
              <w:adjustRightInd w:val="0"/>
              <w:spacing w:line="240" w:lineRule="auto"/>
              <w:jc w:val="left"/>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绝缘试验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94" w:type="dxa"/>
            <w:noWrap w:val="0"/>
            <w:vAlign w:val="top"/>
          </w:tcPr>
          <w:p>
            <w:pPr>
              <w:autoSpaceDE w:val="0"/>
              <w:autoSpaceDN w:val="0"/>
              <w:adjustRightInd w:val="0"/>
              <w:spacing w:line="240" w:lineRule="auto"/>
              <w:jc w:val="left"/>
              <w:rPr>
                <w:rFonts w:hint="default" w:ascii="Times New Roman" w:hAnsi="Times New Roman" w:cs="Times New Roman"/>
                <w:bCs/>
                <w:color w:val="auto"/>
                <w:sz w:val="21"/>
                <w:szCs w:val="21"/>
              </w:rPr>
            </w:pPr>
            <w:r>
              <w:rPr>
                <w:rFonts w:hint="default" w:ascii="Times New Roman" w:hAnsi="Times New Roman" w:cs="Times New Roman"/>
                <w:bCs/>
                <w:color w:val="auto"/>
                <w:sz w:val="21"/>
                <w:szCs w:val="21"/>
              </w:rPr>
              <w:t>动热稳定试验</w:t>
            </w:r>
          </w:p>
        </w:tc>
        <w:tc>
          <w:tcPr>
            <w:tcW w:w="3260" w:type="dxa"/>
            <w:noWrap w:val="0"/>
            <w:vAlign w:val="top"/>
          </w:tcPr>
          <w:p>
            <w:pPr>
              <w:autoSpaceDE w:val="0"/>
              <w:autoSpaceDN w:val="0"/>
              <w:adjustRightInd w:val="0"/>
              <w:spacing w:line="240" w:lineRule="auto"/>
              <w:jc w:val="left"/>
              <w:rPr>
                <w:rFonts w:hint="default" w:ascii="Times New Roman" w:hAnsi="Times New Roman" w:cs="Times New Roman"/>
                <w:bCs/>
                <w:color w:val="auto"/>
                <w:sz w:val="21"/>
                <w:szCs w:val="21"/>
              </w:rPr>
            </w:pPr>
            <w:r>
              <w:rPr>
                <w:rFonts w:hint="default" w:ascii="Times New Roman" w:hAnsi="Times New Roman" w:cs="Times New Roman"/>
                <w:bCs/>
                <w:color w:val="auto"/>
                <w:sz w:val="21"/>
                <w:szCs w:val="21"/>
              </w:rPr>
              <w:t>温升实验和主回路电阻测量</w:t>
            </w:r>
          </w:p>
        </w:tc>
        <w:tc>
          <w:tcPr>
            <w:tcW w:w="2689" w:type="dxa"/>
            <w:noWrap w:val="0"/>
            <w:vAlign w:val="top"/>
          </w:tcPr>
          <w:p>
            <w:pPr>
              <w:autoSpaceDE w:val="0"/>
              <w:autoSpaceDN w:val="0"/>
              <w:adjustRightInd w:val="0"/>
              <w:spacing w:line="240" w:lineRule="auto"/>
              <w:jc w:val="left"/>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内部电弧实验等</w:t>
            </w:r>
          </w:p>
        </w:tc>
      </w:tr>
    </w:tbl>
    <w:p>
      <w:pPr>
        <w:spacing w:line="360" w:lineRule="auto"/>
        <w:ind w:firstLine="359" w:firstLineChars="171"/>
        <w:rPr>
          <w:rFonts w:hint="eastAsia" w:ascii="宋体" w:hAnsi="宋体" w:eastAsia="宋体" w:cs="宋体"/>
          <w:color w:val="auto"/>
          <w:sz w:val="24"/>
          <w:szCs w:val="24"/>
        </w:rPr>
      </w:pPr>
      <w:r>
        <w:rPr>
          <w:rFonts w:hint="default" w:ascii="Times New Roman" w:hAnsi="Times New Roman" w:cs="Times New Roman"/>
          <w:color w:val="auto"/>
          <w:szCs w:val="21"/>
        </w:rPr>
        <w:t xml:space="preserve">    </w:t>
      </w:r>
      <w:r>
        <w:rPr>
          <w:rFonts w:hint="eastAsia" w:ascii="宋体" w:hAnsi="宋体" w:eastAsia="宋体" w:cs="宋体"/>
          <w:color w:val="auto"/>
          <w:sz w:val="24"/>
          <w:szCs w:val="24"/>
        </w:rPr>
        <w:t>如招标人有要求，以上检测需在招标人人员在现场的情况下进行目击测试。厂家需将上述测试内容整理成测出厂检验报告并提供给招标人。</w:t>
      </w:r>
    </w:p>
    <w:p>
      <w:pPr>
        <w:pStyle w:val="4"/>
        <w:numPr>
          <w:ilvl w:val="2"/>
          <w:numId w:val="0"/>
        </w:numPr>
        <w:adjustRightInd w:val="0"/>
        <w:snapToGrid w:val="0"/>
        <w:spacing w:before="156" w:beforeLines="50" w:after="156" w:afterLines="50" w:line="360" w:lineRule="auto"/>
        <w:ind w:left="0" w:leftChars="0" w:firstLine="0" w:firstLineChars="0"/>
        <w:outlineLvl w:val="2"/>
        <w:rPr>
          <w:rFonts w:hint="eastAsia" w:ascii="宋体" w:hAnsi="宋体" w:eastAsia="宋体" w:cs="宋体"/>
          <w:b/>
          <w:bCs w:val="0"/>
          <w:color w:val="auto"/>
          <w:sz w:val="24"/>
          <w:szCs w:val="24"/>
          <w:lang w:val="en-US" w:eastAsia="zh-CN"/>
        </w:rPr>
      </w:pPr>
      <w:bookmarkStart w:id="84" w:name="_Toc11564"/>
      <w:bookmarkStart w:id="85" w:name="_Toc19100"/>
      <w:bookmarkStart w:id="86" w:name="_Toc4017"/>
      <w:bookmarkStart w:id="87" w:name="_Toc8076"/>
      <w:r>
        <w:rPr>
          <w:rFonts w:hint="eastAsia" w:ascii="宋体" w:eastAsia="宋体" w:cs="宋体"/>
          <w:b/>
          <w:bCs w:val="0"/>
          <w:color w:val="auto"/>
          <w:sz w:val="24"/>
          <w:szCs w:val="24"/>
          <w:lang w:val="en-US" w:eastAsia="zh-CN"/>
        </w:rPr>
        <w:t>6</w:t>
      </w:r>
      <w:r>
        <w:rPr>
          <w:rFonts w:hint="eastAsia" w:ascii="宋体" w:hAnsi="宋体" w:eastAsia="宋体" w:cs="宋体"/>
          <w:b/>
          <w:bCs w:val="0"/>
          <w:color w:val="auto"/>
          <w:sz w:val="24"/>
          <w:szCs w:val="24"/>
          <w:lang w:val="en-US" w:eastAsia="zh-CN"/>
        </w:rPr>
        <w:t>.8包装运输要求</w:t>
      </w:r>
      <w:bookmarkEnd w:id="84"/>
      <w:bookmarkEnd w:id="85"/>
      <w:bookmarkEnd w:id="86"/>
      <w:bookmarkEnd w:id="87"/>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包装</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厂家必须根据国家标准和招标人的实际运输条件，将配电柜和所有零部件采用适合于铁路、公路和水路运输的包装箱进行包装好，并将全套安装使用维护说明书、产品合格证明书、产品外形出厂图、运输尺寸图、产品拆卸件一览表、装箱单、铭牌图或铭牌标志图以及备品备件一览表等应妥善包装防止受潮。</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2．大件和重件需在运输文件中附上尺寸图和重量，并提供起吊图纸和说明，包装箱上应有起吊标志。</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3．所需的备品备件及专用工具与仪器仪表应装在箱内，在箱上注明“专用工具”、“仪器仪表”，以与本体相区别；并标明“防尘”、“防潮”、“防止损坏”、“易碎”、“向上”、“勿倒”等字样，同主设备一并发运。</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4．包装箱应连接编号，不能有重号。包装箱外壁的文字与标志应耐受风吹日晒，不可因雨水冲刷而模糊不清，其内容应包括：</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（1）合同号</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（2）收货单位名称及地址</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（3）配电柜名称及型号</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（4）毛重和配电柜总重</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（5）包装箱外形尺寸</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（6）制造厂名称</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（7）包装箱储运指示标志：“向上”、“防潮”、“小心轻放”、“由此吊起”等字样</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5．从厂家发货至招标人收到期间，设备应完好无损。凡因包装不良而造成一切损失应由投标人自负。</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运输</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1．厂家负责将设备安全运抵招标人指定的地点。设备从生产厂家至招标人指定地点的运输和卸全部由厂家完成。装运货物时需考虑便于现场卸货、搬运和安装。</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2．配电柜运输方式：公路汽车运输或由需、供双方协商确定。</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3．在设备启运时，投标人应以最快捷的方式通知招标人以下内容：</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（1）设备名称</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（2）件数、件号、重量</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（3）合同号</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（4）货运单号</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（5）达到港（站）</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（6）设备发出日期</w:t>
      </w:r>
    </w:p>
    <w:p>
      <w:pPr>
        <w:pStyle w:val="4"/>
        <w:numPr>
          <w:ilvl w:val="2"/>
          <w:numId w:val="0"/>
        </w:numPr>
        <w:adjustRightInd w:val="0"/>
        <w:snapToGrid w:val="0"/>
        <w:spacing w:before="156" w:beforeLines="50" w:after="156" w:afterLines="50" w:line="360" w:lineRule="auto"/>
        <w:ind w:left="0" w:leftChars="0" w:firstLine="0" w:firstLineChars="0"/>
        <w:outlineLvl w:val="2"/>
        <w:rPr>
          <w:rFonts w:hint="eastAsia" w:ascii="宋体" w:hAnsi="宋体" w:eastAsia="宋体" w:cs="宋体"/>
          <w:b/>
          <w:bCs w:val="0"/>
          <w:color w:val="auto"/>
          <w:sz w:val="24"/>
          <w:szCs w:val="24"/>
          <w:lang w:val="en-US" w:eastAsia="zh-CN"/>
        </w:rPr>
      </w:pPr>
      <w:bookmarkStart w:id="88" w:name="_Toc24005"/>
      <w:bookmarkStart w:id="89" w:name="_Toc6678"/>
      <w:bookmarkStart w:id="90" w:name="_Toc17414"/>
      <w:bookmarkStart w:id="91" w:name="_Toc449"/>
      <w:r>
        <w:rPr>
          <w:rFonts w:hint="eastAsia" w:ascii="宋体" w:eastAsia="宋体" w:cs="宋体"/>
          <w:b/>
          <w:bCs w:val="0"/>
          <w:color w:val="auto"/>
          <w:sz w:val="24"/>
          <w:szCs w:val="24"/>
          <w:lang w:val="en-US" w:eastAsia="zh-CN"/>
        </w:rPr>
        <w:t>6</w:t>
      </w:r>
      <w:r>
        <w:rPr>
          <w:rFonts w:hint="eastAsia" w:ascii="宋体" w:hAnsi="宋体" w:eastAsia="宋体" w:cs="宋体"/>
          <w:b/>
          <w:bCs w:val="0"/>
          <w:color w:val="auto"/>
          <w:sz w:val="24"/>
          <w:szCs w:val="24"/>
          <w:lang w:val="en-US" w:eastAsia="zh-CN"/>
        </w:rPr>
        <w:t>.9货到现场验收</w:t>
      </w:r>
      <w:bookmarkEnd w:id="88"/>
      <w:bookmarkEnd w:id="89"/>
      <w:bookmarkEnd w:id="90"/>
      <w:bookmarkEnd w:id="91"/>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 xml:space="preserve"> 货物运送至现场时，招标人对产品外观包装检查确认物品包装完好后，方能进行签收货物。但货物的整体验收须经过安装调试以及通电试运行之后。</w:t>
      </w:r>
    </w:p>
    <w:p>
      <w:pPr>
        <w:pStyle w:val="4"/>
        <w:numPr>
          <w:ilvl w:val="2"/>
          <w:numId w:val="0"/>
        </w:numPr>
        <w:adjustRightInd w:val="0"/>
        <w:snapToGrid w:val="0"/>
        <w:spacing w:before="156" w:beforeLines="50" w:after="156" w:afterLines="50" w:line="360" w:lineRule="auto"/>
        <w:ind w:left="0" w:leftChars="0" w:firstLine="0" w:firstLineChars="0"/>
        <w:outlineLvl w:val="2"/>
        <w:rPr>
          <w:rFonts w:hint="eastAsia" w:ascii="宋体" w:hAnsi="宋体" w:eastAsia="宋体" w:cs="宋体"/>
          <w:b/>
          <w:bCs w:val="0"/>
          <w:color w:val="auto"/>
          <w:sz w:val="24"/>
          <w:szCs w:val="24"/>
          <w:lang w:val="en-US" w:eastAsia="zh-CN"/>
        </w:rPr>
      </w:pPr>
      <w:bookmarkStart w:id="92" w:name="_Toc31452"/>
      <w:bookmarkStart w:id="93" w:name="_Toc19525"/>
      <w:bookmarkStart w:id="94" w:name="_Toc22852"/>
      <w:bookmarkStart w:id="95" w:name="_Toc19665"/>
      <w:r>
        <w:rPr>
          <w:rFonts w:hint="eastAsia" w:ascii="宋体" w:eastAsia="宋体" w:cs="宋体"/>
          <w:b/>
          <w:bCs w:val="0"/>
          <w:color w:val="auto"/>
          <w:sz w:val="24"/>
          <w:szCs w:val="24"/>
          <w:lang w:val="en-US" w:eastAsia="zh-CN"/>
        </w:rPr>
        <w:t>6</w:t>
      </w:r>
      <w:r>
        <w:rPr>
          <w:rFonts w:hint="eastAsia" w:ascii="宋体" w:hAnsi="宋体" w:eastAsia="宋体" w:cs="宋体"/>
          <w:b/>
          <w:bCs w:val="0"/>
          <w:color w:val="auto"/>
          <w:sz w:val="24"/>
          <w:szCs w:val="24"/>
          <w:lang w:val="en-US" w:eastAsia="zh-CN"/>
        </w:rPr>
        <w:t>.10设备调试</w:t>
      </w:r>
      <w:bookmarkEnd w:id="92"/>
      <w:bookmarkEnd w:id="93"/>
      <w:bookmarkEnd w:id="94"/>
      <w:bookmarkEnd w:id="95"/>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厂家需配合招标人对其产品安装提供指导工作，并在设备安装后进行相关调试保证所提供的产品能够正常运行。</w:t>
      </w:r>
    </w:p>
    <w:p>
      <w:pPr>
        <w:spacing w:line="360" w:lineRule="auto"/>
        <w:ind w:firstLine="410" w:firstLineChars="171"/>
        <w:rPr>
          <w:rFonts w:hint="eastAsia" w:ascii="宋体" w:hAnsi="宋体" w:eastAsia="宋体" w:cs="宋体"/>
          <w:color w:val="auto"/>
          <w:sz w:val="24"/>
          <w:szCs w:val="24"/>
        </w:rPr>
      </w:pPr>
      <w:r>
        <w:rPr>
          <w:rFonts w:hint="eastAsia" w:ascii="宋体" w:hAnsi="宋体" w:eastAsia="宋体" w:cs="宋体"/>
          <w:color w:val="auto"/>
          <w:sz w:val="24"/>
          <w:szCs w:val="24"/>
        </w:rPr>
        <w:t>在调试的过程中需要提供调试相关报告。</w:t>
      </w:r>
    </w:p>
    <w:p>
      <w:pPr>
        <w:pStyle w:val="4"/>
        <w:numPr>
          <w:ilvl w:val="2"/>
          <w:numId w:val="0"/>
        </w:numPr>
        <w:adjustRightInd w:val="0"/>
        <w:snapToGrid w:val="0"/>
        <w:spacing w:before="156" w:beforeLines="50" w:after="156" w:afterLines="50" w:line="360" w:lineRule="auto"/>
        <w:ind w:left="0" w:leftChars="0" w:firstLine="0" w:firstLineChars="0"/>
        <w:outlineLvl w:val="2"/>
        <w:rPr>
          <w:rFonts w:hint="eastAsia" w:ascii="宋体" w:hAnsi="宋体" w:eastAsia="宋体" w:cs="宋体"/>
          <w:b/>
          <w:bCs w:val="0"/>
          <w:color w:val="auto"/>
          <w:sz w:val="24"/>
          <w:szCs w:val="24"/>
          <w:lang w:val="en-US" w:eastAsia="zh-CN"/>
        </w:rPr>
      </w:pPr>
      <w:bookmarkStart w:id="96" w:name="_Toc27804"/>
      <w:bookmarkStart w:id="97" w:name="_Toc8194"/>
      <w:bookmarkStart w:id="98" w:name="_Toc1941"/>
      <w:bookmarkStart w:id="99" w:name="_Toc32707"/>
      <w:r>
        <w:rPr>
          <w:rFonts w:hint="eastAsia" w:ascii="宋体" w:eastAsia="宋体" w:cs="宋体"/>
          <w:b/>
          <w:bCs w:val="0"/>
          <w:color w:val="auto"/>
          <w:sz w:val="24"/>
          <w:szCs w:val="24"/>
          <w:lang w:val="en-US" w:eastAsia="zh-CN"/>
        </w:rPr>
        <w:t>6</w:t>
      </w:r>
      <w:r>
        <w:rPr>
          <w:rFonts w:hint="eastAsia" w:ascii="宋体" w:hAnsi="宋体" w:eastAsia="宋体" w:cs="宋体"/>
          <w:b/>
          <w:bCs w:val="0"/>
          <w:color w:val="auto"/>
          <w:sz w:val="24"/>
          <w:szCs w:val="24"/>
          <w:lang w:val="en-US" w:eastAsia="zh-CN"/>
        </w:rPr>
        <w:t>.11设备安装</w:t>
      </w:r>
      <w:bookmarkEnd w:id="96"/>
      <w:bookmarkEnd w:id="97"/>
      <w:bookmarkEnd w:id="98"/>
      <w:bookmarkEnd w:id="99"/>
    </w:p>
    <w:p>
      <w:pPr>
        <w:spacing w:line="360" w:lineRule="auto"/>
        <w:ind w:firstLine="640"/>
        <w:rPr>
          <w:rFonts w:hint="eastAsia" w:ascii="宋体" w:hAnsi="宋体" w:eastAsia="宋体" w:cs="宋体"/>
          <w:color w:val="auto"/>
          <w:sz w:val="24"/>
          <w:szCs w:val="24"/>
        </w:rPr>
      </w:pPr>
      <w:r>
        <w:rPr>
          <w:rFonts w:hint="eastAsia" w:ascii="宋体" w:hAnsi="宋体" w:eastAsia="宋体" w:cs="宋体"/>
          <w:color w:val="auto"/>
          <w:sz w:val="24"/>
          <w:szCs w:val="24"/>
        </w:rPr>
        <w:t>室内、室外并网柜安装符合国家相关标准，配电柜外部设置“有电危险”等警示标志，柜（箱）内设备应名称、编号齐全，接线端子和导线应有清晰命名编号，电缆两端应有清晰的标牌，标牌上的文字不允许手工书写，印制的文字应清晰牢固。室外并网柜防护等级不低于 IP66，并安装安全围栏，设置警告标示标牌，要求美观耐用，具有防腐、防老化、抗晒、耐候等特点（满足</w:t>
      </w:r>
      <w:r>
        <w:rPr>
          <w:rFonts w:hint="eastAsia" w:ascii="宋体" w:hAnsi="宋体" w:eastAsia="宋体" w:cs="宋体"/>
          <w:color w:val="auto"/>
          <w:sz w:val="24"/>
          <w:szCs w:val="24"/>
          <w:lang w:eastAsia="zh-CN"/>
        </w:rPr>
        <w:t>招标人</w:t>
      </w:r>
      <w:r>
        <w:rPr>
          <w:rFonts w:hint="eastAsia" w:ascii="宋体" w:hAnsi="宋体" w:eastAsia="宋体" w:cs="宋体"/>
          <w:color w:val="auto"/>
          <w:sz w:val="24"/>
          <w:szCs w:val="24"/>
        </w:rPr>
        <w:t>安全文明标准化要求）。</w:t>
      </w:r>
    </w:p>
    <w:p>
      <w:pPr>
        <w:pStyle w:val="3"/>
        <w:numPr>
          <w:ilvl w:val="0"/>
          <w:numId w:val="0"/>
        </w:numPr>
        <w:adjustRightInd w:val="0"/>
        <w:snapToGrid w:val="0"/>
        <w:spacing w:before="0" w:after="0" w:line="360" w:lineRule="auto"/>
        <w:ind w:left="0" w:leftChars="0" w:firstLine="0" w:firstLineChars="0"/>
        <w:outlineLvl w:val="1"/>
        <w:rPr>
          <w:rFonts w:hint="eastAsia" w:ascii="宋体" w:hAnsi="宋体" w:eastAsia="宋体" w:cs="宋体"/>
          <w:b/>
          <w:bCs w:val="0"/>
          <w:color w:val="auto"/>
          <w:sz w:val="24"/>
          <w:szCs w:val="24"/>
          <w:lang w:val="en-US" w:eastAsia="zh-CN"/>
        </w:rPr>
      </w:pPr>
      <w:bookmarkStart w:id="100" w:name="_Toc12859"/>
      <w:bookmarkStart w:id="101" w:name="_Toc2147"/>
      <w:bookmarkStart w:id="102" w:name="_Toc27184"/>
      <w:bookmarkStart w:id="103" w:name="_Toc31909"/>
      <w:bookmarkStart w:id="104" w:name="_Toc24402"/>
      <w:r>
        <w:rPr>
          <w:rFonts w:hint="eastAsia" w:ascii="宋体" w:hAnsi="宋体" w:cs="宋体"/>
          <w:b/>
          <w:bCs w:val="0"/>
          <w:color w:val="auto"/>
          <w:sz w:val="24"/>
          <w:szCs w:val="24"/>
          <w:lang w:val="en-US" w:eastAsia="zh-CN"/>
        </w:rPr>
        <w:t>7</w:t>
      </w:r>
      <w:r>
        <w:rPr>
          <w:rFonts w:hint="eastAsia" w:ascii="宋体" w:hAnsi="宋体" w:eastAsia="宋体" w:cs="宋体"/>
          <w:b/>
          <w:bCs w:val="0"/>
          <w:color w:val="auto"/>
          <w:sz w:val="24"/>
          <w:szCs w:val="24"/>
          <w:lang w:val="en-US" w:eastAsia="zh-CN"/>
        </w:rPr>
        <w:t>. 10kV箱式变压器</w:t>
      </w:r>
      <w:bookmarkEnd w:id="100"/>
      <w:r>
        <w:rPr>
          <w:rFonts w:hint="eastAsia" w:ascii="宋体" w:hAnsi="宋体" w:eastAsia="宋体" w:cs="宋体"/>
          <w:b/>
          <w:bCs w:val="0"/>
          <w:color w:val="auto"/>
          <w:sz w:val="24"/>
          <w:szCs w:val="24"/>
          <w:lang w:val="en-US" w:eastAsia="zh-CN"/>
        </w:rPr>
        <w:t>技术要求</w:t>
      </w:r>
      <w:bookmarkEnd w:id="101"/>
      <w:bookmarkEnd w:id="102"/>
      <w:bookmarkEnd w:id="103"/>
      <w:bookmarkEnd w:id="104"/>
    </w:p>
    <w:p>
      <w:pPr>
        <w:pStyle w:val="4"/>
        <w:numPr>
          <w:ilvl w:val="2"/>
          <w:numId w:val="0"/>
        </w:numPr>
        <w:adjustRightInd w:val="0"/>
        <w:snapToGrid w:val="0"/>
        <w:spacing w:before="156" w:beforeLines="50" w:after="156" w:afterLines="50" w:line="360" w:lineRule="auto"/>
        <w:ind w:left="0" w:leftChars="0" w:firstLine="0" w:firstLineChars="0"/>
        <w:outlineLvl w:val="2"/>
        <w:rPr>
          <w:rFonts w:hint="eastAsia" w:ascii="宋体" w:hAnsi="宋体" w:eastAsia="宋体" w:cs="宋体"/>
          <w:b/>
          <w:bCs w:val="0"/>
          <w:color w:val="auto"/>
          <w:sz w:val="24"/>
          <w:szCs w:val="24"/>
          <w:lang w:val="en-US" w:eastAsia="zh-CN"/>
        </w:rPr>
      </w:pPr>
      <w:bookmarkStart w:id="105" w:name="_Toc14643"/>
      <w:bookmarkStart w:id="106" w:name="_Toc8339"/>
      <w:bookmarkStart w:id="107" w:name="_Toc4782"/>
      <w:bookmarkStart w:id="108" w:name="_Toc79171558"/>
      <w:bookmarkStart w:id="109" w:name="_Toc25277"/>
      <w:r>
        <w:rPr>
          <w:rFonts w:hint="eastAsia" w:ascii="宋体" w:eastAsia="宋体" w:cs="宋体"/>
          <w:b/>
          <w:bCs w:val="0"/>
          <w:color w:val="auto"/>
          <w:sz w:val="24"/>
          <w:szCs w:val="24"/>
          <w:lang w:val="en-US" w:eastAsia="zh-CN"/>
        </w:rPr>
        <w:t>7</w:t>
      </w:r>
      <w:r>
        <w:rPr>
          <w:rFonts w:hint="eastAsia" w:ascii="宋体" w:hAnsi="宋体" w:eastAsia="宋体" w:cs="宋体"/>
          <w:b/>
          <w:bCs w:val="0"/>
          <w:color w:val="auto"/>
          <w:sz w:val="24"/>
          <w:szCs w:val="24"/>
          <w:lang w:val="en-US" w:eastAsia="zh-CN"/>
        </w:rPr>
        <w:t>.1 总则</w:t>
      </w:r>
      <w:bookmarkEnd w:id="105"/>
      <w:bookmarkEnd w:id="106"/>
      <w:bookmarkEnd w:id="107"/>
      <w:bookmarkEnd w:id="108"/>
      <w:bookmarkEnd w:id="109"/>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本技术</w:t>
      </w:r>
      <w:r>
        <w:rPr>
          <w:rFonts w:hint="eastAsia" w:ascii="宋体" w:hAnsi="宋体" w:eastAsia="宋体" w:cs="宋体"/>
          <w:color w:val="auto"/>
          <w:sz w:val="24"/>
          <w:szCs w:val="24"/>
          <w:lang w:val="en-US" w:eastAsia="zh-CN"/>
        </w:rPr>
        <w:t>要求</w:t>
      </w:r>
      <w:r>
        <w:rPr>
          <w:rFonts w:hint="eastAsia" w:ascii="宋体" w:hAnsi="宋体" w:eastAsia="宋体" w:cs="宋体"/>
          <w:color w:val="auto"/>
          <w:sz w:val="24"/>
          <w:szCs w:val="24"/>
        </w:rPr>
        <w:t>适用于箱式变压器，它提出设备的功能设计、结构、性能和试验等方面的技术要求。</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本技术</w:t>
      </w:r>
      <w:r>
        <w:rPr>
          <w:rFonts w:hint="eastAsia" w:ascii="宋体" w:hAnsi="宋体" w:eastAsia="宋体" w:cs="宋体"/>
          <w:color w:val="auto"/>
          <w:sz w:val="24"/>
          <w:szCs w:val="24"/>
          <w:lang w:val="en-US" w:eastAsia="zh-CN"/>
        </w:rPr>
        <w:t>要求</w:t>
      </w:r>
      <w:r>
        <w:rPr>
          <w:rFonts w:hint="eastAsia" w:ascii="宋体" w:hAnsi="宋体" w:eastAsia="宋体" w:cs="宋体"/>
          <w:color w:val="auto"/>
          <w:sz w:val="24"/>
          <w:szCs w:val="24"/>
        </w:rPr>
        <w:t>提出的是最低限度的技术要求，并未对一切技术细节做出规定，也未充分引述有关标准和规范的条文，投标人提供符合工业标准和本规范的优质产品。</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变电工程应经过严格设计及试验验证，保证变压器的正常安全运行。</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本技术</w:t>
      </w:r>
      <w:r>
        <w:rPr>
          <w:rFonts w:hint="eastAsia" w:ascii="宋体" w:hAnsi="宋体" w:eastAsia="宋体" w:cs="宋体"/>
          <w:color w:val="auto"/>
          <w:sz w:val="24"/>
          <w:szCs w:val="24"/>
          <w:lang w:val="en-US" w:eastAsia="zh-CN"/>
        </w:rPr>
        <w:t>要求</w:t>
      </w:r>
      <w:r>
        <w:rPr>
          <w:rFonts w:hint="eastAsia" w:ascii="宋体" w:hAnsi="宋体" w:eastAsia="宋体" w:cs="宋体"/>
          <w:color w:val="auto"/>
          <w:sz w:val="24"/>
          <w:szCs w:val="24"/>
        </w:rPr>
        <w:t>所使用的标准如遇到与投标人所执行的标准不一致时，按高标准执行。</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DL/T537        6～35</w:t>
      </w:r>
      <w:r>
        <w:rPr>
          <w:rFonts w:hint="eastAsia" w:ascii="宋体" w:hAnsi="宋体" w:eastAsia="宋体" w:cs="宋体"/>
          <w:color w:val="auto"/>
          <w:sz w:val="24"/>
          <w:szCs w:val="24"/>
          <w:lang w:eastAsia="zh-CN"/>
        </w:rPr>
        <w:t>kV</w:t>
      </w:r>
      <w:r>
        <w:rPr>
          <w:rFonts w:hint="eastAsia" w:ascii="宋体" w:hAnsi="宋体" w:eastAsia="宋体" w:cs="宋体"/>
          <w:color w:val="auto"/>
          <w:sz w:val="24"/>
          <w:szCs w:val="24"/>
        </w:rPr>
        <w:t>箱式变电站订货技术条件</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DL/T 537     </w:t>
      </w:r>
      <w:r>
        <w:rPr>
          <w:rFonts w:hint="eastAsia" w:ascii="宋体" w:hAnsi="宋体" w:eastAsia="宋体" w:cs="宋体"/>
          <w:color w:val="auto"/>
          <w:sz w:val="24"/>
          <w:szCs w:val="24"/>
        </w:rPr>
        <w:tab/>
      </w:r>
      <w:r>
        <w:rPr>
          <w:rFonts w:hint="eastAsia" w:ascii="宋体" w:hAnsi="宋体" w:eastAsia="宋体" w:cs="宋体"/>
          <w:color w:val="auto"/>
          <w:sz w:val="24"/>
          <w:szCs w:val="24"/>
        </w:rPr>
        <w:t xml:space="preserve"> 高压/低压预装箱式变电站选用导则</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GB311.1～311.6 高压输电设备的绝缘配合,高电压试验技术</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GB3804         3～63</w:t>
      </w:r>
      <w:r>
        <w:rPr>
          <w:rFonts w:hint="eastAsia" w:ascii="宋体" w:hAnsi="宋体" w:eastAsia="宋体" w:cs="宋体"/>
          <w:color w:val="auto"/>
          <w:sz w:val="24"/>
          <w:szCs w:val="24"/>
          <w:lang w:eastAsia="zh-CN"/>
        </w:rPr>
        <w:t>kV</w:t>
      </w:r>
      <w:r>
        <w:rPr>
          <w:rFonts w:hint="eastAsia" w:ascii="宋体" w:hAnsi="宋体" w:eastAsia="宋体" w:cs="宋体"/>
          <w:color w:val="auto"/>
          <w:sz w:val="24"/>
          <w:szCs w:val="24"/>
        </w:rPr>
        <w:t>交流高压负荷开关</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GB11022        高压开关设备通用技术条件</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GB1094.1       电力变压器 第1部分 总则</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GB1094.2       电力变压器 第2部分 温升</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GB1094.3       电力变压器 第3部分 绝缘水平和绝缘试验</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GB1094.5       电力变压器 第5部分 承受短路能力</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GB/T6451       三相油浸式电力变压器技术参数和要求</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GB7328         变压器和电抗器的声级测量</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GB16926         交流高压负荷开关熔断器组合电器</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GB7251          低压成套开关设备和控制设备</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GB13539         低压熔断器</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GB1208          电流互感器</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DL478           静态继电保护及安全自动装置通用技术条件</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SDJ9            电测量仪表装置设计技术规程</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GB2681          电工成套装置中的导线颜色</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GB4208          外壳防护等级分类</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GB2706          交流高压电器动热稳定试验方法</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GB/T 17467      高压/低压预装式变电站</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GB50150         电气装置安装工程电气设备交接试验标准</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outlineLvl w:val="2"/>
        <w:rPr>
          <w:rFonts w:hint="eastAsia" w:ascii="宋体" w:hAnsi="宋体" w:eastAsia="宋体" w:cs="宋体"/>
          <w:color w:val="auto"/>
          <w:sz w:val="24"/>
          <w:szCs w:val="24"/>
        </w:rPr>
      </w:pPr>
      <w:bookmarkStart w:id="110" w:name="_Toc15989"/>
      <w:bookmarkStart w:id="111" w:name="_Toc27524"/>
      <w:bookmarkStart w:id="112" w:name="_Toc11366"/>
      <w:bookmarkStart w:id="113" w:name="_Toc25119"/>
      <w:r>
        <w:rPr>
          <w:rFonts w:hint="eastAsia" w:ascii="宋体" w:hAnsi="宋体" w:cs="宋体"/>
          <w:b/>
          <w:bCs w:val="0"/>
          <w:color w:val="auto"/>
          <w:kern w:val="2"/>
          <w:sz w:val="24"/>
          <w:szCs w:val="24"/>
          <w:lang w:val="en-US" w:eastAsia="zh-CN" w:bidi="ar-SA"/>
        </w:rPr>
        <w:t>7</w:t>
      </w:r>
      <w:r>
        <w:rPr>
          <w:rFonts w:hint="eastAsia" w:ascii="宋体" w:hAnsi="宋体" w:eastAsia="宋体" w:cs="宋体"/>
          <w:b/>
          <w:bCs w:val="0"/>
          <w:color w:val="auto"/>
          <w:kern w:val="2"/>
          <w:sz w:val="24"/>
          <w:szCs w:val="24"/>
          <w:lang w:val="en-US" w:eastAsia="zh-CN" w:bidi="ar-SA"/>
        </w:rPr>
        <w:t>.2 总体要求</w:t>
      </w:r>
      <w:bookmarkEnd w:id="110"/>
      <w:bookmarkEnd w:id="111"/>
      <w:bookmarkEnd w:id="112"/>
      <w:bookmarkEnd w:id="113"/>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1)箱变绕组必须为铜质材料。</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2)本地区为沿海地区，箱变需经过严格设计及试验验证，具备合理的防护结构、防风沙结构、抗台风结构以及耐寒、耐高温性能，以满足恶劣环境条件下正常安全运行要求。</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3)箱式变电器箱体内设除湿装置，设调温元件，保证设备的不同环境下正常运行。</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rPr>
        <w:t>4)箱式变压器的高、低压开关动作、保护等信号应能集中引出，提供给相连接的箱变测控单元。箱变测控装置支持多种通信型式，RS485、光通信等；箱式</w:t>
      </w:r>
      <w:r>
        <w:rPr>
          <w:rFonts w:hint="eastAsia" w:ascii="宋体" w:hAnsi="宋体" w:eastAsia="宋体" w:cs="宋体"/>
          <w:color w:val="auto"/>
          <w:sz w:val="24"/>
          <w:szCs w:val="24"/>
          <w:highlight w:val="none"/>
        </w:rPr>
        <w:t>变压器保护配置应齐全，动作后应能跳开本侧高低压开关，变压器温度应能</w:t>
      </w:r>
      <w:r>
        <w:rPr>
          <w:rFonts w:hint="eastAsia" w:ascii="宋体" w:hAnsi="宋体" w:cs="宋体"/>
          <w:color w:val="auto"/>
          <w:sz w:val="24"/>
          <w:szCs w:val="24"/>
          <w:highlight w:val="none"/>
          <w:lang w:val="en-US" w:eastAsia="zh-CN"/>
        </w:rPr>
        <w:t>接入</w:t>
      </w:r>
      <w:r>
        <w:rPr>
          <w:rFonts w:hint="eastAsia" w:ascii="宋体" w:hAnsi="宋体" w:eastAsia="宋体" w:cs="宋体"/>
          <w:color w:val="auto"/>
          <w:sz w:val="24"/>
          <w:szCs w:val="24"/>
          <w:highlight w:val="none"/>
        </w:rPr>
        <w:t>招标人能管平台显示。</w:t>
      </w:r>
    </w:p>
    <w:p>
      <w:pPr>
        <w:ind w:firstLine="420" w:firstLineChars="200"/>
        <w:rPr>
          <w:rFonts w:hint="default" w:eastAsia="宋体"/>
          <w:color w:val="auto"/>
          <w:highlight w:val="none"/>
          <w:lang w:val="en-US" w:eastAsia="zh-CN"/>
        </w:rPr>
      </w:pPr>
      <w:r>
        <w:rPr>
          <w:rFonts w:hint="eastAsia" w:ascii="Calibri" w:eastAsia="宋体"/>
          <w:color w:val="auto"/>
          <w:highlight w:val="none"/>
          <w:lang w:val="en-US" w:eastAsia="zh-CN"/>
        </w:rPr>
        <w:t>5）能效等级根据</w:t>
      </w:r>
      <w:r>
        <w:rPr>
          <w:rFonts w:hint="eastAsia"/>
          <w:color w:val="auto"/>
          <w:highlight w:val="none"/>
        </w:rPr>
        <w:t xml:space="preserve">GB 20052-2024 </w:t>
      </w:r>
      <w:r>
        <w:rPr>
          <w:rFonts w:hint="eastAsia" w:eastAsia="宋体"/>
          <w:color w:val="auto"/>
          <w:highlight w:val="none"/>
          <w:lang w:eastAsia="zh-CN"/>
        </w:rPr>
        <w:t>《</w:t>
      </w:r>
      <w:r>
        <w:rPr>
          <w:rFonts w:hint="eastAsia"/>
          <w:color w:val="auto"/>
          <w:highlight w:val="none"/>
        </w:rPr>
        <w:t>电力变压器能效限定值及能效等级</w:t>
      </w:r>
      <w:r>
        <w:rPr>
          <w:rFonts w:hint="eastAsia" w:eastAsia="宋体"/>
          <w:color w:val="auto"/>
          <w:highlight w:val="none"/>
          <w:lang w:eastAsia="zh-CN"/>
        </w:rPr>
        <w:t>》，</w:t>
      </w:r>
      <w:r>
        <w:rPr>
          <w:rFonts w:hint="eastAsia" w:ascii="Calibri" w:eastAsia="宋体"/>
          <w:color w:val="auto"/>
          <w:highlight w:val="none"/>
          <w:lang w:val="en-US" w:eastAsia="zh-CN"/>
        </w:rPr>
        <w:t>以及</w:t>
      </w:r>
      <w:r>
        <w:rPr>
          <w:rFonts w:hint="eastAsia"/>
          <w:color w:val="auto"/>
          <w:highlight w:val="none"/>
        </w:rPr>
        <w:t>GB 55015-2021《建筑节能与可再生能源利用通用规范》</w:t>
      </w:r>
      <w:r>
        <w:rPr>
          <w:rFonts w:hint="eastAsia" w:eastAsia="宋体"/>
          <w:color w:val="auto"/>
          <w:highlight w:val="none"/>
          <w:lang w:eastAsia="zh-CN"/>
        </w:rPr>
        <w:t>，</w:t>
      </w:r>
      <w:r>
        <w:rPr>
          <w:rFonts w:hint="eastAsia" w:ascii="Calibri" w:eastAsia="宋体"/>
          <w:color w:val="auto"/>
          <w:highlight w:val="none"/>
          <w:lang w:val="en-US" w:eastAsia="zh-CN"/>
        </w:rPr>
        <w:t>本项目变压器需满足3级能效</w:t>
      </w:r>
    </w:p>
    <w:p>
      <w:pPr>
        <w:pStyle w:val="4"/>
        <w:numPr>
          <w:ilvl w:val="2"/>
          <w:numId w:val="0"/>
        </w:numPr>
        <w:adjustRightInd w:val="0"/>
        <w:snapToGrid w:val="0"/>
        <w:spacing w:before="156" w:beforeLines="50" w:after="156" w:afterLines="50" w:line="360" w:lineRule="auto"/>
        <w:ind w:left="0" w:leftChars="0" w:firstLine="0" w:firstLineChars="0"/>
        <w:outlineLvl w:val="2"/>
        <w:rPr>
          <w:rFonts w:hint="eastAsia" w:ascii="宋体" w:hAnsi="宋体" w:eastAsia="宋体" w:cs="宋体"/>
          <w:b/>
          <w:bCs w:val="0"/>
          <w:color w:val="auto"/>
          <w:sz w:val="24"/>
          <w:szCs w:val="24"/>
          <w:lang w:val="en-US" w:eastAsia="zh-CN"/>
        </w:rPr>
      </w:pPr>
      <w:bookmarkStart w:id="114" w:name="_Toc18637"/>
      <w:bookmarkStart w:id="115" w:name="_Toc10538"/>
      <w:bookmarkStart w:id="116" w:name="_Toc79171561"/>
      <w:bookmarkStart w:id="117" w:name="_Toc26379"/>
      <w:bookmarkStart w:id="118" w:name="_Toc11549"/>
      <w:bookmarkStart w:id="119" w:name="_Toc10472"/>
      <w:r>
        <w:rPr>
          <w:rFonts w:hint="eastAsia" w:ascii="宋体" w:eastAsia="宋体" w:cs="宋体"/>
          <w:b/>
          <w:bCs w:val="0"/>
          <w:color w:val="auto"/>
          <w:sz w:val="24"/>
          <w:szCs w:val="24"/>
          <w:lang w:val="en-US" w:eastAsia="zh-CN"/>
        </w:rPr>
        <w:t>7</w:t>
      </w:r>
      <w:r>
        <w:rPr>
          <w:rFonts w:hint="eastAsia" w:ascii="宋体" w:hAnsi="宋体" w:eastAsia="宋体" w:cs="宋体"/>
          <w:b/>
          <w:bCs w:val="0"/>
          <w:color w:val="auto"/>
          <w:sz w:val="24"/>
          <w:szCs w:val="24"/>
          <w:lang w:val="en-US" w:eastAsia="zh-CN"/>
        </w:rPr>
        <w:t>.3基本技术要求</w:t>
      </w:r>
      <w:bookmarkEnd w:id="114"/>
      <w:bookmarkEnd w:id="115"/>
      <w:bookmarkEnd w:id="116"/>
      <w:bookmarkEnd w:id="117"/>
      <w:bookmarkEnd w:id="118"/>
      <w:bookmarkEnd w:id="119"/>
    </w:p>
    <w:p>
      <w:pPr>
        <w:numPr>
          <w:ilvl w:val="0"/>
          <w:numId w:val="18"/>
        </w:num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变压器的高压侧进线为电缆，进线位于变压器底部；低压侧出线为母排，通过母排与并列的低压柜直接连接，母排由招标人提供，变压器厂家应做好配合设计工作。</w:t>
      </w:r>
    </w:p>
    <w:p>
      <w:pPr>
        <w:numPr>
          <w:ilvl w:val="0"/>
          <w:numId w:val="18"/>
        </w:num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变压器高压侧接线端子需考虑三芯电缆的出线，变压器低压侧为母排连接与低压柜直接并柜，连接母排由低压柜厂家提供，应做好配合设计工作。</w:t>
      </w:r>
    </w:p>
    <w:p>
      <w:pPr>
        <w:numPr>
          <w:ilvl w:val="0"/>
          <w:numId w:val="18"/>
        </w:num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变压器应保证通信光缆、二次控制电缆的进出通道。</w:t>
      </w:r>
    </w:p>
    <w:p>
      <w:pPr>
        <w:numPr>
          <w:ilvl w:val="0"/>
          <w:numId w:val="18"/>
        </w:num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升压变压器晚上主要作为负载消耗电能，故本项目选用空载损耗</w:t>
      </w:r>
      <w:r>
        <w:rPr>
          <w:rFonts w:hint="eastAsia" w:ascii="宋体" w:hAnsi="宋体" w:eastAsia="宋体" w:cs="宋体"/>
          <w:color w:val="auto"/>
          <w:sz w:val="24"/>
          <w:szCs w:val="24"/>
          <w:highlight w:val="none"/>
        </w:rPr>
        <w:t>更低的SCB1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型干式变压器，主要技术要求如下：</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1）变压器承受低压侧出口三相短路，高压侧母线为无穷大电源供给的短路电流，绕组不有变形，部件不发生损坏。</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2）硅钢片采用磁滞伸缩量较小的晶粒取向高导磁优质硅钢片，并采取有效措施避免涡流损失，降低变压器损耗。</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 变压器能够随时投入运行，停止运行后一段时间可不经干燥而直接投入，并允许在正常环境温度下，承受100%的突加负载。</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4）变压器的铁心和金属件均可靠接地(铁轭螺杆除外)。接地装置有防锈镀层，并附有明显的接地标志。</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5）在正常条件下，变压器的使用寿命大于25年，应完全满足GB50053国家标准规范要求。</w:t>
      </w:r>
    </w:p>
    <w:p>
      <w:pPr>
        <w:pStyle w:val="6"/>
        <w:spacing w:line="360" w:lineRule="auto"/>
        <w:ind w:firstLine="360"/>
        <w:rPr>
          <w:rFonts w:hint="eastAsia" w:ascii="宋体" w:hAnsi="宋体" w:eastAsia="宋体" w:cs="宋体"/>
          <w:color w:val="auto"/>
          <w:sz w:val="24"/>
          <w:szCs w:val="24"/>
        </w:rPr>
      </w:pPr>
      <w:r>
        <w:rPr>
          <w:rFonts w:hint="eastAsia" w:ascii="宋体" w:hAnsi="宋体" w:eastAsia="宋体" w:cs="宋体"/>
          <w:color w:val="auto"/>
          <w:sz w:val="24"/>
          <w:szCs w:val="24"/>
        </w:rPr>
        <w:t>（1）变压器主要技术参数：</w:t>
      </w:r>
    </w:p>
    <w:tbl>
      <w:tblPr>
        <w:tblStyle w:val="22"/>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916"/>
        <w:gridCol w:w="43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2" w:hRule="atLeast"/>
        </w:trPr>
        <w:tc>
          <w:tcPr>
            <w:tcW w:w="2355" w:type="pct"/>
            <w:noWrap w:val="0"/>
            <w:vAlign w:val="center"/>
          </w:tcPr>
          <w:p>
            <w:pPr>
              <w:pStyle w:val="50"/>
              <w:ind w:firstLine="420"/>
              <w:rPr>
                <w:rFonts w:hint="eastAsia" w:ascii="宋体" w:hAnsi="宋体" w:eastAsia="宋体" w:cs="宋体"/>
                <w:color w:val="auto"/>
                <w:sz w:val="21"/>
                <w:szCs w:val="21"/>
              </w:rPr>
            </w:pPr>
            <w:r>
              <w:rPr>
                <w:rFonts w:hint="eastAsia" w:ascii="宋体" w:hAnsi="宋体" w:eastAsia="宋体" w:cs="宋体"/>
                <w:color w:val="auto"/>
                <w:sz w:val="21"/>
                <w:szCs w:val="21"/>
              </w:rPr>
              <w:t>额定容量：</w:t>
            </w:r>
          </w:p>
        </w:tc>
        <w:tc>
          <w:tcPr>
            <w:tcW w:w="2644" w:type="pct"/>
            <w:noWrap w:val="0"/>
            <w:vAlign w:val="center"/>
          </w:tcPr>
          <w:p>
            <w:pPr>
              <w:pStyle w:val="50"/>
              <w:ind w:firstLine="420"/>
              <w:rPr>
                <w:rFonts w:hint="eastAsia" w:ascii="宋体" w:hAnsi="宋体" w:eastAsia="宋体" w:cs="宋体"/>
                <w:color w:val="auto"/>
                <w:sz w:val="21"/>
                <w:szCs w:val="21"/>
              </w:rPr>
            </w:pPr>
            <w:r>
              <w:rPr>
                <w:rFonts w:hint="eastAsia" w:ascii="宋体" w:hAnsi="宋体" w:eastAsia="宋体" w:cs="宋体"/>
                <w:color w:val="auto"/>
                <w:sz w:val="21"/>
                <w:szCs w:val="21"/>
              </w:rPr>
              <w:t>据实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2" w:hRule="atLeast"/>
        </w:trPr>
        <w:tc>
          <w:tcPr>
            <w:tcW w:w="2355" w:type="pct"/>
            <w:noWrap w:val="0"/>
            <w:vAlign w:val="center"/>
          </w:tcPr>
          <w:p>
            <w:pPr>
              <w:pStyle w:val="50"/>
              <w:ind w:firstLine="420"/>
              <w:rPr>
                <w:rFonts w:hint="eastAsia" w:ascii="宋体" w:hAnsi="宋体" w:eastAsia="宋体" w:cs="宋体"/>
                <w:color w:val="auto"/>
                <w:sz w:val="21"/>
                <w:szCs w:val="21"/>
              </w:rPr>
            </w:pPr>
            <w:r>
              <w:rPr>
                <w:rFonts w:hint="eastAsia" w:ascii="宋体" w:hAnsi="宋体" w:eastAsia="宋体" w:cs="宋体"/>
                <w:color w:val="auto"/>
                <w:sz w:val="21"/>
                <w:szCs w:val="21"/>
              </w:rPr>
              <w:t>额定电压比：</w:t>
            </w:r>
          </w:p>
        </w:tc>
        <w:tc>
          <w:tcPr>
            <w:tcW w:w="2644" w:type="pct"/>
            <w:noWrap w:val="0"/>
            <w:vAlign w:val="center"/>
          </w:tcPr>
          <w:p>
            <w:pPr>
              <w:pStyle w:val="50"/>
              <w:ind w:firstLine="441"/>
              <w:rPr>
                <w:rFonts w:hint="eastAsia" w:ascii="宋体" w:hAnsi="宋体" w:eastAsia="宋体" w:cs="宋体"/>
                <w:color w:val="auto"/>
                <w:sz w:val="21"/>
                <w:szCs w:val="21"/>
                <w:lang w:eastAsia="zh-CN"/>
              </w:rPr>
            </w:pPr>
            <w:r>
              <w:rPr>
                <w:rFonts w:hint="eastAsia" w:ascii="宋体" w:hAnsi="宋体" w:eastAsia="宋体" w:cs="宋体"/>
                <w:color w:val="auto"/>
                <w:w w:val="105"/>
                <w:sz w:val="21"/>
                <w:szCs w:val="21"/>
              </w:rPr>
              <w:t>10.5±2×2.5%/0.</w:t>
            </w:r>
            <w:r>
              <w:rPr>
                <w:rFonts w:hint="eastAsia" w:cs="宋体"/>
                <w:color w:val="auto"/>
                <w:w w:val="105"/>
                <w:sz w:val="21"/>
                <w:szCs w:val="21"/>
                <w:lang w:val="en-US" w:eastAsia="zh-CN"/>
              </w:rPr>
              <w:t>69</w:t>
            </w:r>
            <w:r>
              <w:rPr>
                <w:rFonts w:hint="eastAsia" w:ascii="宋体" w:hAnsi="宋体" w:eastAsia="宋体" w:cs="宋体"/>
                <w:color w:val="auto"/>
                <w:w w:val="105"/>
                <w:sz w:val="21"/>
                <w:szCs w:val="21"/>
                <w:lang w:eastAsia="zh-CN"/>
              </w:rPr>
              <w:t>kV</w:t>
            </w:r>
            <w:r>
              <w:rPr>
                <w:rFonts w:hint="eastAsia" w:cs="宋体"/>
                <w:color w:val="auto"/>
                <w:w w:val="105"/>
                <w:sz w:val="21"/>
                <w:szCs w:val="21"/>
                <w:lang w:eastAsia="zh-CN"/>
              </w:rPr>
              <w:t>（</w:t>
            </w:r>
            <w:r>
              <w:rPr>
                <w:rFonts w:hint="eastAsia" w:cs="宋体"/>
                <w:color w:val="auto"/>
                <w:w w:val="105"/>
                <w:sz w:val="21"/>
                <w:szCs w:val="21"/>
                <w:lang w:val="en-US" w:eastAsia="zh-CN"/>
              </w:rPr>
              <w:t>以储能厂家要求为主</w:t>
            </w:r>
            <w:r>
              <w:rPr>
                <w:rFonts w:hint="eastAsia" w:cs="宋体"/>
                <w:color w:val="auto"/>
                <w:w w:val="105"/>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2" w:hRule="atLeast"/>
        </w:trPr>
        <w:tc>
          <w:tcPr>
            <w:tcW w:w="2355" w:type="pct"/>
            <w:noWrap w:val="0"/>
            <w:vAlign w:val="center"/>
          </w:tcPr>
          <w:p>
            <w:pPr>
              <w:pStyle w:val="50"/>
              <w:ind w:firstLine="420"/>
              <w:rPr>
                <w:rFonts w:hint="eastAsia" w:ascii="宋体" w:hAnsi="宋体" w:eastAsia="宋体" w:cs="宋体"/>
                <w:color w:val="auto"/>
                <w:sz w:val="21"/>
                <w:szCs w:val="21"/>
              </w:rPr>
            </w:pPr>
            <w:r>
              <w:rPr>
                <w:rFonts w:hint="eastAsia" w:ascii="宋体" w:hAnsi="宋体" w:eastAsia="宋体" w:cs="宋体"/>
                <w:color w:val="auto"/>
                <w:sz w:val="21"/>
                <w:szCs w:val="21"/>
              </w:rPr>
              <w:t>调压方式：</w:t>
            </w:r>
          </w:p>
        </w:tc>
        <w:tc>
          <w:tcPr>
            <w:tcW w:w="2644" w:type="pct"/>
            <w:noWrap w:val="0"/>
            <w:vAlign w:val="center"/>
          </w:tcPr>
          <w:p>
            <w:pPr>
              <w:pStyle w:val="50"/>
              <w:ind w:firstLine="420"/>
              <w:rPr>
                <w:rFonts w:hint="eastAsia" w:ascii="宋体" w:hAnsi="宋体" w:eastAsia="宋体" w:cs="宋体"/>
                <w:color w:val="auto"/>
                <w:sz w:val="21"/>
                <w:szCs w:val="21"/>
              </w:rPr>
            </w:pPr>
            <w:r>
              <w:rPr>
                <w:rFonts w:hint="eastAsia" w:ascii="宋体" w:hAnsi="宋体" w:eastAsia="宋体" w:cs="宋体"/>
                <w:color w:val="auto"/>
                <w:sz w:val="21"/>
                <w:szCs w:val="21"/>
              </w:rPr>
              <w:t>无励磁调压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2" w:hRule="atLeast"/>
        </w:trPr>
        <w:tc>
          <w:tcPr>
            <w:tcW w:w="2355" w:type="pct"/>
            <w:noWrap w:val="0"/>
            <w:vAlign w:val="center"/>
          </w:tcPr>
          <w:p>
            <w:pPr>
              <w:pStyle w:val="50"/>
              <w:ind w:firstLine="420"/>
              <w:rPr>
                <w:rFonts w:hint="eastAsia" w:ascii="宋体" w:hAnsi="宋体" w:eastAsia="宋体" w:cs="宋体"/>
                <w:color w:val="auto"/>
                <w:sz w:val="21"/>
                <w:szCs w:val="21"/>
              </w:rPr>
            </w:pPr>
            <w:r>
              <w:rPr>
                <w:rFonts w:hint="eastAsia" w:ascii="宋体" w:hAnsi="宋体" w:eastAsia="宋体" w:cs="宋体"/>
                <w:color w:val="auto"/>
                <w:sz w:val="21"/>
                <w:szCs w:val="21"/>
              </w:rPr>
              <w:t>相数：</w:t>
            </w:r>
          </w:p>
        </w:tc>
        <w:tc>
          <w:tcPr>
            <w:tcW w:w="2644" w:type="pct"/>
            <w:noWrap w:val="0"/>
            <w:vAlign w:val="center"/>
          </w:tcPr>
          <w:p>
            <w:pPr>
              <w:pStyle w:val="50"/>
              <w:ind w:firstLine="420"/>
              <w:rPr>
                <w:rFonts w:hint="eastAsia" w:ascii="宋体" w:hAnsi="宋体" w:eastAsia="宋体" w:cs="宋体"/>
                <w:color w:val="auto"/>
                <w:sz w:val="21"/>
                <w:szCs w:val="21"/>
              </w:rPr>
            </w:pPr>
            <w:r>
              <w:rPr>
                <w:rFonts w:hint="eastAsia" w:ascii="宋体" w:hAnsi="宋体" w:eastAsia="宋体" w:cs="宋体"/>
                <w:color w:val="auto"/>
                <w:sz w:val="21"/>
                <w:szCs w:val="21"/>
              </w:rPr>
              <w:t>3 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2" w:hRule="atLeast"/>
        </w:trPr>
        <w:tc>
          <w:tcPr>
            <w:tcW w:w="2355" w:type="pct"/>
            <w:noWrap w:val="0"/>
            <w:vAlign w:val="center"/>
          </w:tcPr>
          <w:p>
            <w:pPr>
              <w:pStyle w:val="50"/>
              <w:ind w:firstLine="420"/>
              <w:rPr>
                <w:rFonts w:hint="eastAsia" w:ascii="宋体" w:hAnsi="宋体" w:eastAsia="宋体" w:cs="宋体"/>
                <w:color w:val="auto"/>
                <w:sz w:val="21"/>
                <w:szCs w:val="21"/>
              </w:rPr>
            </w:pPr>
            <w:r>
              <w:rPr>
                <w:rFonts w:hint="eastAsia" w:ascii="宋体" w:hAnsi="宋体" w:eastAsia="宋体" w:cs="宋体"/>
                <w:color w:val="auto"/>
                <w:sz w:val="21"/>
                <w:szCs w:val="21"/>
              </w:rPr>
              <w:t>额定频率：</w:t>
            </w:r>
          </w:p>
        </w:tc>
        <w:tc>
          <w:tcPr>
            <w:tcW w:w="2644" w:type="pct"/>
            <w:noWrap w:val="0"/>
            <w:vAlign w:val="center"/>
          </w:tcPr>
          <w:p>
            <w:pPr>
              <w:pStyle w:val="50"/>
              <w:ind w:firstLine="420"/>
              <w:rPr>
                <w:rFonts w:hint="eastAsia" w:ascii="宋体" w:hAnsi="宋体" w:eastAsia="宋体" w:cs="宋体"/>
                <w:color w:val="auto"/>
                <w:sz w:val="21"/>
                <w:szCs w:val="21"/>
              </w:rPr>
            </w:pPr>
            <w:r>
              <w:rPr>
                <w:rFonts w:hint="eastAsia" w:ascii="宋体" w:hAnsi="宋体" w:eastAsia="宋体" w:cs="宋体"/>
                <w:color w:val="auto"/>
                <w:sz w:val="21"/>
                <w:szCs w:val="21"/>
              </w:rPr>
              <w:t>50Hz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2" w:hRule="atLeast"/>
        </w:trPr>
        <w:tc>
          <w:tcPr>
            <w:tcW w:w="2355" w:type="pct"/>
            <w:noWrap w:val="0"/>
            <w:vAlign w:val="center"/>
          </w:tcPr>
          <w:p>
            <w:pPr>
              <w:pStyle w:val="50"/>
              <w:ind w:firstLine="420"/>
              <w:rPr>
                <w:rFonts w:hint="eastAsia" w:ascii="宋体" w:hAnsi="宋体" w:eastAsia="宋体" w:cs="宋体"/>
                <w:color w:val="auto"/>
                <w:sz w:val="21"/>
                <w:szCs w:val="21"/>
              </w:rPr>
            </w:pPr>
            <w:r>
              <w:rPr>
                <w:rFonts w:hint="eastAsia" w:ascii="宋体" w:hAnsi="宋体" w:eastAsia="宋体" w:cs="宋体"/>
                <w:color w:val="auto"/>
                <w:sz w:val="21"/>
                <w:szCs w:val="21"/>
              </w:rPr>
              <w:t>线圈联接组别：</w:t>
            </w:r>
          </w:p>
        </w:tc>
        <w:tc>
          <w:tcPr>
            <w:tcW w:w="2644" w:type="pct"/>
            <w:noWrap w:val="0"/>
            <w:vAlign w:val="center"/>
          </w:tcPr>
          <w:p>
            <w:pPr>
              <w:pStyle w:val="50"/>
              <w:ind w:firstLine="420"/>
              <w:rPr>
                <w:rFonts w:hint="eastAsia" w:ascii="宋体" w:hAnsi="宋体" w:eastAsia="宋体" w:cs="宋体"/>
                <w:color w:val="auto"/>
                <w:sz w:val="21"/>
                <w:szCs w:val="21"/>
              </w:rPr>
            </w:pPr>
            <w:r>
              <w:rPr>
                <w:rFonts w:hint="eastAsia" w:ascii="宋体" w:hAnsi="宋体" w:eastAsia="宋体" w:cs="宋体"/>
                <w:color w:val="auto"/>
                <w:sz w:val="21"/>
                <w:szCs w:val="21"/>
              </w:rPr>
              <w:t>D，y11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2" w:hRule="atLeast"/>
        </w:trPr>
        <w:tc>
          <w:tcPr>
            <w:tcW w:w="2355" w:type="pct"/>
            <w:noWrap w:val="0"/>
            <w:vAlign w:val="center"/>
          </w:tcPr>
          <w:p>
            <w:pPr>
              <w:pStyle w:val="50"/>
              <w:ind w:firstLine="420"/>
              <w:rPr>
                <w:rFonts w:hint="eastAsia" w:ascii="宋体" w:hAnsi="宋体" w:eastAsia="宋体" w:cs="宋体"/>
                <w:color w:val="auto"/>
                <w:sz w:val="21"/>
                <w:szCs w:val="21"/>
              </w:rPr>
            </w:pPr>
            <w:r>
              <w:rPr>
                <w:rFonts w:hint="eastAsia" w:ascii="宋体" w:hAnsi="宋体" w:eastAsia="宋体" w:cs="宋体"/>
                <w:color w:val="auto"/>
                <w:sz w:val="21"/>
                <w:szCs w:val="21"/>
              </w:rPr>
              <w:t>冷却方式：</w:t>
            </w:r>
          </w:p>
        </w:tc>
        <w:tc>
          <w:tcPr>
            <w:tcW w:w="2644" w:type="pct"/>
            <w:noWrap w:val="0"/>
            <w:vAlign w:val="center"/>
          </w:tcPr>
          <w:p>
            <w:pPr>
              <w:pStyle w:val="50"/>
              <w:ind w:firstLine="420"/>
              <w:rPr>
                <w:rFonts w:hint="eastAsia" w:ascii="宋体" w:hAnsi="宋体" w:eastAsia="宋体" w:cs="宋体"/>
                <w:color w:val="auto"/>
                <w:sz w:val="21"/>
                <w:szCs w:val="21"/>
              </w:rPr>
            </w:pPr>
            <w:r>
              <w:rPr>
                <w:rFonts w:hint="eastAsia" w:ascii="宋体" w:hAnsi="宋体" w:eastAsia="宋体" w:cs="宋体"/>
                <w:color w:val="auto"/>
                <w:sz w:val="21"/>
                <w:szCs w:val="21"/>
              </w:rPr>
              <w:t>AN/AF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2" w:hRule="atLeast"/>
        </w:trPr>
        <w:tc>
          <w:tcPr>
            <w:tcW w:w="2355" w:type="pct"/>
            <w:noWrap w:val="0"/>
            <w:vAlign w:val="center"/>
          </w:tcPr>
          <w:p>
            <w:pPr>
              <w:pStyle w:val="50"/>
              <w:ind w:firstLine="420"/>
              <w:rPr>
                <w:rFonts w:hint="eastAsia" w:ascii="宋体" w:hAnsi="宋体" w:eastAsia="宋体" w:cs="宋体"/>
                <w:color w:val="auto"/>
                <w:sz w:val="21"/>
                <w:szCs w:val="21"/>
              </w:rPr>
            </w:pPr>
            <w:r>
              <w:rPr>
                <w:rFonts w:hint="eastAsia" w:ascii="宋体" w:hAnsi="宋体" w:eastAsia="宋体" w:cs="宋体"/>
                <w:color w:val="auto"/>
                <w:sz w:val="21"/>
                <w:szCs w:val="21"/>
              </w:rPr>
              <w:t>空载损耗：</w:t>
            </w:r>
          </w:p>
        </w:tc>
        <w:tc>
          <w:tcPr>
            <w:tcW w:w="2644" w:type="pct"/>
            <w:noWrap w:val="0"/>
            <w:vAlign w:val="center"/>
          </w:tcPr>
          <w:p>
            <w:pPr>
              <w:pStyle w:val="50"/>
              <w:ind w:firstLine="420"/>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rPr>
              <w:t>（国标）</w:t>
            </w:r>
            <w:r>
              <w:rPr>
                <w:rFonts w:hint="eastAsia" w:cs="宋体"/>
                <w:color w:val="auto"/>
                <w:sz w:val="21"/>
                <w:szCs w:val="21"/>
                <w:lang w:val="en-US" w:eastAsia="zh-CN"/>
              </w:rPr>
              <w:t>2级能效要求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2" w:hRule="atLeast"/>
        </w:trPr>
        <w:tc>
          <w:tcPr>
            <w:tcW w:w="2355" w:type="pct"/>
            <w:noWrap w:val="0"/>
            <w:vAlign w:val="center"/>
          </w:tcPr>
          <w:p>
            <w:pPr>
              <w:pStyle w:val="50"/>
              <w:ind w:firstLine="420"/>
              <w:rPr>
                <w:rFonts w:hint="eastAsia" w:ascii="宋体" w:hAnsi="宋体" w:eastAsia="宋体" w:cs="宋体"/>
                <w:color w:val="auto"/>
                <w:sz w:val="21"/>
                <w:szCs w:val="21"/>
              </w:rPr>
            </w:pPr>
            <w:r>
              <w:rPr>
                <w:rFonts w:hint="eastAsia" w:ascii="宋体" w:hAnsi="宋体" w:eastAsia="宋体" w:cs="宋体"/>
                <w:color w:val="auto"/>
                <w:sz w:val="21"/>
                <w:szCs w:val="21"/>
              </w:rPr>
              <w:t>负载损耗：</w:t>
            </w:r>
          </w:p>
        </w:tc>
        <w:tc>
          <w:tcPr>
            <w:tcW w:w="2644" w:type="pct"/>
            <w:noWrap w:val="0"/>
            <w:vAlign w:val="center"/>
          </w:tcPr>
          <w:p>
            <w:pPr>
              <w:pStyle w:val="50"/>
              <w:ind w:firstLine="420"/>
              <w:rPr>
                <w:rFonts w:hint="eastAsia" w:ascii="宋体" w:hAnsi="宋体" w:eastAsia="宋体" w:cs="宋体"/>
                <w:color w:val="auto"/>
                <w:sz w:val="21"/>
                <w:szCs w:val="21"/>
              </w:rPr>
            </w:pPr>
            <w:r>
              <w:rPr>
                <w:rFonts w:hint="eastAsia" w:ascii="宋体" w:hAnsi="宋体" w:eastAsia="宋体" w:cs="宋体"/>
                <w:color w:val="auto"/>
                <w:sz w:val="21"/>
                <w:szCs w:val="21"/>
              </w:rPr>
              <w:t>（国标）</w:t>
            </w:r>
            <w:r>
              <w:rPr>
                <w:rFonts w:hint="eastAsia" w:cs="宋体"/>
                <w:color w:val="auto"/>
                <w:sz w:val="21"/>
                <w:szCs w:val="21"/>
                <w:lang w:val="en-US" w:eastAsia="zh-CN"/>
              </w:rPr>
              <w:t>2级能效要求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2" w:hRule="atLeast"/>
        </w:trPr>
        <w:tc>
          <w:tcPr>
            <w:tcW w:w="2355" w:type="pct"/>
            <w:noWrap w:val="0"/>
            <w:vAlign w:val="center"/>
          </w:tcPr>
          <w:p>
            <w:pPr>
              <w:pStyle w:val="50"/>
              <w:ind w:firstLine="420"/>
              <w:rPr>
                <w:rFonts w:hint="eastAsia" w:ascii="宋体" w:hAnsi="宋体" w:eastAsia="宋体" w:cs="宋体"/>
                <w:color w:val="auto"/>
                <w:sz w:val="21"/>
                <w:szCs w:val="21"/>
              </w:rPr>
            </w:pPr>
            <w:r>
              <w:rPr>
                <w:rFonts w:hint="eastAsia" w:ascii="宋体" w:hAnsi="宋体" w:eastAsia="宋体" w:cs="宋体"/>
                <w:color w:val="auto"/>
                <w:sz w:val="21"/>
                <w:szCs w:val="21"/>
              </w:rPr>
              <w:t>空载电流：</w:t>
            </w:r>
          </w:p>
        </w:tc>
        <w:tc>
          <w:tcPr>
            <w:tcW w:w="2644" w:type="pct"/>
            <w:noWrap w:val="0"/>
            <w:vAlign w:val="center"/>
          </w:tcPr>
          <w:p>
            <w:pPr>
              <w:pStyle w:val="50"/>
              <w:ind w:firstLine="441"/>
              <w:rPr>
                <w:rFonts w:hint="eastAsia" w:ascii="宋体" w:hAnsi="宋体" w:eastAsia="宋体" w:cs="宋体"/>
                <w:color w:val="auto"/>
                <w:sz w:val="21"/>
                <w:szCs w:val="21"/>
              </w:rPr>
            </w:pPr>
            <w:r>
              <w:rPr>
                <w:rFonts w:hint="eastAsia" w:ascii="宋体" w:hAnsi="宋体" w:eastAsia="宋体" w:cs="宋体"/>
                <w:color w:val="auto"/>
                <w:w w:val="105"/>
                <w:sz w:val="21"/>
                <w:szCs w:val="21"/>
              </w:rPr>
              <w:t>≤0.8%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2" w:hRule="atLeast"/>
        </w:trPr>
        <w:tc>
          <w:tcPr>
            <w:tcW w:w="2355" w:type="pct"/>
            <w:noWrap w:val="0"/>
            <w:vAlign w:val="center"/>
          </w:tcPr>
          <w:p>
            <w:pPr>
              <w:pStyle w:val="50"/>
              <w:ind w:firstLine="420"/>
              <w:rPr>
                <w:rFonts w:hint="eastAsia" w:ascii="宋体" w:hAnsi="宋体" w:eastAsia="宋体" w:cs="宋体"/>
                <w:color w:val="auto"/>
                <w:sz w:val="21"/>
                <w:szCs w:val="21"/>
              </w:rPr>
            </w:pPr>
            <w:r>
              <w:rPr>
                <w:rFonts w:hint="eastAsia" w:ascii="宋体" w:hAnsi="宋体" w:eastAsia="宋体" w:cs="宋体"/>
                <w:color w:val="auto"/>
                <w:sz w:val="21"/>
                <w:szCs w:val="21"/>
              </w:rPr>
              <w:t>噪声水平：</w:t>
            </w:r>
          </w:p>
        </w:tc>
        <w:tc>
          <w:tcPr>
            <w:tcW w:w="2644" w:type="pct"/>
            <w:noWrap w:val="0"/>
            <w:vAlign w:val="center"/>
          </w:tcPr>
          <w:p>
            <w:pPr>
              <w:pStyle w:val="50"/>
              <w:ind w:firstLine="420"/>
              <w:rPr>
                <w:rFonts w:hint="eastAsia" w:ascii="宋体" w:hAnsi="宋体" w:eastAsia="宋体" w:cs="宋体"/>
                <w:color w:val="auto"/>
                <w:sz w:val="21"/>
                <w:szCs w:val="21"/>
              </w:rPr>
            </w:pPr>
            <w:r>
              <w:rPr>
                <w:rFonts w:hint="eastAsia" w:ascii="宋体" w:hAnsi="宋体" w:eastAsia="宋体" w:cs="宋体"/>
                <w:color w:val="auto"/>
                <w:sz w:val="21"/>
                <w:szCs w:val="21"/>
              </w:rPr>
              <w:t xml:space="preserve">≤52dB </w:t>
            </w:r>
            <w:r>
              <w:rPr>
                <w:rFonts w:hint="eastAsia" w:ascii="宋体" w:hAnsi="宋体" w:eastAsia="宋体" w:cs="宋体"/>
                <w:color w:val="auto"/>
                <w:w w:val="155"/>
                <w:sz w:val="21"/>
                <w:szCs w:val="21"/>
              </w:rPr>
              <w:t>(</w:t>
            </w:r>
            <w:r>
              <w:rPr>
                <w:rFonts w:hint="eastAsia" w:ascii="宋体" w:hAnsi="宋体" w:eastAsia="宋体" w:cs="宋体"/>
                <w:color w:val="auto"/>
                <w:spacing w:val="-18"/>
                <w:sz w:val="21"/>
                <w:szCs w:val="21"/>
              </w:rPr>
              <w:t xml:space="preserve">距外壳 </w:t>
            </w:r>
            <w:r>
              <w:rPr>
                <w:rFonts w:hint="eastAsia" w:ascii="宋体" w:hAnsi="宋体" w:eastAsia="宋体" w:cs="宋体"/>
                <w:color w:val="auto"/>
                <w:sz w:val="21"/>
                <w:szCs w:val="21"/>
              </w:rPr>
              <w:t>2m 处</w:t>
            </w:r>
            <w:r>
              <w:rPr>
                <w:rFonts w:hint="eastAsia" w:ascii="宋体" w:hAnsi="宋体" w:eastAsia="宋体" w:cs="宋体"/>
                <w:color w:val="auto"/>
                <w:w w:val="155"/>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2" w:hRule="atLeast"/>
        </w:trPr>
        <w:tc>
          <w:tcPr>
            <w:tcW w:w="2355" w:type="pct"/>
            <w:noWrap w:val="0"/>
            <w:vAlign w:val="center"/>
          </w:tcPr>
          <w:p>
            <w:pPr>
              <w:pStyle w:val="50"/>
              <w:ind w:firstLine="420"/>
              <w:rPr>
                <w:rFonts w:hint="eastAsia" w:ascii="宋体" w:hAnsi="宋体" w:eastAsia="宋体" w:cs="宋体"/>
                <w:color w:val="auto"/>
                <w:sz w:val="21"/>
                <w:szCs w:val="21"/>
              </w:rPr>
            </w:pPr>
            <w:r>
              <w:rPr>
                <w:rFonts w:hint="eastAsia" w:ascii="宋体" w:hAnsi="宋体" w:eastAsia="宋体" w:cs="宋体"/>
                <w:color w:val="auto"/>
                <w:sz w:val="21"/>
                <w:szCs w:val="21"/>
              </w:rPr>
              <w:t>短路阻抗：</w:t>
            </w:r>
          </w:p>
        </w:tc>
        <w:tc>
          <w:tcPr>
            <w:tcW w:w="2644" w:type="pct"/>
            <w:noWrap w:val="0"/>
            <w:vAlign w:val="center"/>
          </w:tcPr>
          <w:p>
            <w:pPr>
              <w:pStyle w:val="50"/>
              <w:ind w:firstLine="420"/>
              <w:rPr>
                <w:rFonts w:hint="eastAsia" w:ascii="宋体" w:hAnsi="宋体" w:eastAsia="宋体" w:cs="宋体"/>
                <w:color w:val="auto"/>
                <w:sz w:val="21"/>
                <w:szCs w:val="21"/>
              </w:rPr>
            </w:pPr>
            <w:r>
              <w:rPr>
                <w:rFonts w:hint="eastAsia" w:ascii="宋体" w:hAnsi="宋体" w:eastAsia="宋体" w:cs="宋体"/>
                <w:color w:val="auto"/>
                <w:sz w:val="21"/>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2" w:hRule="atLeast"/>
        </w:trPr>
        <w:tc>
          <w:tcPr>
            <w:tcW w:w="2355" w:type="pct"/>
            <w:noWrap w:val="0"/>
            <w:vAlign w:val="center"/>
          </w:tcPr>
          <w:p>
            <w:pPr>
              <w:pStyle w:val="50"/>
              <w:ind w:firstLine="420"/>
              <w:rPr>
                <w:rFonts w:hint="eastAsia" w:ascii="宋体" w:hAnsi="宋体" w:eastAsia="宋体" w:cs="宋体"/>
                <w:color w:val="auto"/>
                <w:sz w:val="21"/>
                <w:szCs w:val="21"/>
              </w:rPr>
            </w:pPr>
            <w:r>
              <w:rPr>
                <w:rFonts w:hint="eastAsia" w:ascii="宋体" w:hAnsi="宋体" w:eastAsia="宋体" w:cs="宋体"/>
                <w:color w:val="auto"/>
                <w:sz w:val="21"/>
                <w:szCs w:val="21"/>
              </w:rPr>
              <w:t>系统中性点接地方式：</w:t>
            </w:r>
          </w:p>
        </w:tc>
        <w:tc>
          <w:tcPr>
            <w:tcW w:w="2644" w:type="pct"/>
            <w:noWrap w:val="0"/>
            <w:vAlign w:val="center"/>
          </w:tcPr>
          <w:p>
            <w:pPr>
              <w:pStyle w:val="50"/>
              <w:ind w:firstLine="420"/>
              <w:rPr>
                <w:rFonts w:hint="eastAsia" w:ascii="宋体" w:hAnsi="宋体" w:eastAsia="宋体" w:cs="宋体"/>
                <w:color w:val="auto"/>
                <w:sz w:val="21"/>
                <w:szCs w:val="21"/>
              </w:rPr>
            </w:pPr>
            <w:r>
              <w:rPr>
                <w:rFonts w:hint="eastAsia" w:ascii="宋体" w:hAnsi="宋体" w:eastAsia="宋体" w:cs="宋体"/>
                <w:color w:val="auto"/>
                <w:sz w:val="21"/>
                <w:szCs w:val="21"/>
              </w:rPr>
              <w:t>不接地</w:t>
            </w:r>
          </w:p>
        </w:tc>
      </w:tr>
    </w:tbl>
    <w:p>
      <w:pPr>
        <w:ind w:firstLine="0" w:firstLineChars="0"/>
        <w:rPr>
          <w:rFonts w:hint="default" w:ascii="Times New Roman" w:hAnsi="Times New Roman" w:cs="Times New Roman"/>
          <w:color w:val="auto"/>
          <w:sz w:val="18"/>
          <w:szCs w:val="18"/>
        </w:rPr>
      </w:pPr>
    </w:p>
    <w:p>
      <w:pPr>
        <w:pStyle w:val="6"/>
        <w:ind w:firstLine="360" w:firstLineChars="0"/>
        <w:rPr>
          <w:rFonts w:hint="default" w:ascii="Times New Roman" w:hAnsi="Times New Roman" w:cs="Times New Roman"/>
          <w:color w:val="auto"/>
          <w:sz w:val="18"/>
          <w:szCs w:val="18"/>
        </w:rPr>
      </w:pPr>
      <w:r>
        <w:rPr>
          <w:rFonts w:hint="eastAsia" w:ascii="宋体" w:hAnsi="宋体" w:eastAsia="宋体" w:cs="宋体"/>
          <w:color w:val="auto"/>
          <w:sz w:val="24"/>
          <w:szCs w:val="24"/>
        </w:rPr>
        <w:t>（2）绕组温升限值</w:t>
      </w:r>
    </w:p>
    <w:tbl>
      <w:tblPr>
        <w:tblStyle w:val="22"/>
        <w:tblW w:w="478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3693"/>
        <w:gridCol w:w="42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jc w:val="center"/>
        </w:trPr>
        <w:tc>
          <w:tcPr>
            <w:tcW w:w="2320" w:type="pct"/>
            <w:noWrap w:val="0"/>
            <w:vAlign w:val="top"/>
          </w:tcPr>
          <w:p>
            <w:pPr>
              <w:pStyle w:val="50"/>
              <w:spacing w:before="79"/>
              <w:ind w:left="480" w:firstLine="420"/>
              <w:rPr>
                <w:rFonts w:hint="default" w:ascii="Times New Roman" w:hAnsi="Times New Roman" w:cs="Times New Roman"/>
                <w:color w:val="auto"/>
                <w:sz w:val="18"/>
                <w:szCs w:val="18"/>
              </w:rPr>
            </w:pPr>
            <w:r>
              <w:rPr>
                <w:rFonts w:hint="default" w:ascii="Times New Roman" w:hAnsi="Times New Roman" w:cs="Times New Roman"/>
                <w:color w:val="auto"/>
                <w:sz w:val="18"/>
                <w:szCs w:val="18"/>
              </w:rPr>
              <w:t>绝缘系统温度（℃）</w:t>
            </w:r>
          </w:p>
        </w:tc>
        <w:tc>
          <w:tcPr>
            <w:tcW w:w="2679" w:type="pct"/>
            <w:noWrap w:val="0"/>
            <w:vAlign w:val="top"/>
          </w:tcPr>
          <w:p>
            <w:pPr>
              <w:pStyle w:val="50"/>
              <w:spacing w:before="79"/>
              <w:ind w:left="480" w:firstLine="420"/>
              <w:rPr>
                <w:rFonts w:hint="default" w:ascii="Times New Roman" w:hAnsi="Times New Roman" w:cs="Times New Roman"/>
                <w:color w:val="auto"/>
                <w:sz w:val="18"/>
                <w:szCs w:val="18"/>
              </w:rPr>
            </w:pPr>
            <w:r>
              <w:rPr>
                <w:rFonts w:hint="default" w:ascii="Times New Roman" w:hAnsi="Times New Roman" w:cs="Times New Roman"/>
                <w:color w:val="auto"/>
                <w:sz w:val="18"/>
                <w:szCs w:val="18"/>
              </w:rPr>
              <w:t>额定电流下的绕组平均温升限值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jc w:val="center"/>
        </w:trPr>
        <w:tc>
          <w:tcPr>
            <w:tcW w:w="2320" w:type="pct"/>
            <w:noWrap w:val="0"/>
            <w:vAlign w:val="top"/>
          </w:tcPr>
          <w:p>
            <w:pPr>
              <w:pStyle w:val="50"/>
              <w:spacing w:before="79"/>
              <w:ind w:left="480" w:firstLine="420"/>
              <w:rPr>
                <w:rFonts w:hint="default" w:ascii="Times New Roman" w:hAnsi="Times New Roman" w:cs="Times New Roman"/>
                <w:color w:val="auto"/>
                <w:sz w:val="18"/>
                <w:szCs w:val="18"/>
              </w:rPr>
            </w:pPr>
            <w:r>
              <w:rPr>
                <w:rFonts w:hint="default" w:ascii="Times New Roman" w:hAnsi="Times New Roman" w:cs="Times New Roman"/>
                <w:color w:val="auto"/>
                <w:sz w:val="18"/>
                <w:szCs w:val="18"/>
              </w:rPr>
              <w:t>105（A）</w:t>
            </w:r>
          </w:p>
        </w:tc>
        <w:tc>
          <w:tcPr>
            <w:tcW w:w="2679" w:type="pct"/>
            <w:noWrap w:val="0"/>
            <w:vAlign w:val="top"/>
          </w:tcPr>
          <w:p>
            <w:pPr>
              <w:pStyle w:val="50"/>
              <w:spacing w:before="79"/>
              <w:ind w:left="480" w:firstLine="420"/>
              <w:rPr>
                <w:rFonts w:hint="default" w:ascii="Times New Roman" w:hAnsi="Times New Roman" w:cs="Times New Roman"/>
                <w:color w:val="auto"/>
                <w:sz w:val="18"/>
                <w:szCs w:val="18"/>
              </w:rPr>
            </w:pPr>
            <w:r>
              <w:rPr>
                <w:rFonts w:hint="default" w:ascii="Times New Roman" w:hAnsi="Times New Roman" w:cs="Times New Roman"/>
                <w:color w:val="auto"/>
                <w:sz w:val="18"/>
                <w:szCs w:val="18"/>
              </w:rPr>
              <w:t>60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jc w:val="center"/>
        </w:trPr>
        <w:tc>
          <w:tcPr>
            <w:tcW w:w="2320" w:type="pct"/>
            <w:noWrap w:val="0"/>
            <w:vAlign w:val="top"/>
          </w:tcPr>
          <w:p>
            <w:pPr>
              <w:pStyle w:val="50"/>
              <w:spacing w:before="79"/>
              <w:ind w:left="480" w:firstLine="420"/>
              <w:rPr>
                <w:rFonts w:hint="default" w:ascii="Times New Roman" w:hAnsi="Times New Roman" w:cs="Times New Roman"/>
                <w:color w:val="auto"/>
                <w:sz w:val="18"/>
                <w:szCs w:val="18"/>
              </w:rPr>
            </w:pPr>
            <w:r>
              <w:rPr>
                <w:rFonts w:hint="default" w:ascii="Times New Roman" w:hAnsi="Times New Roman" w:cs="Times New Roman"/>
                <w:color w:val="auto"/>
                <w:sz w:val="18"/>
                <w:szCs w:val="18"/>
              </w:rPr>
              <w:t>120（E）</w:t>
            </w:r>
          </w:p>
        </w:tc>
        <w:tc>
          <w:tcPr>
            <w:tcW w:w="2679" w:type="pct"/>
            <w:noWrap w:val="0"/>
            <w:vAlign w:val="top"/>
          </w:tcPr>
          <w:p>
            <w:pPr>
              <w:pStyle w:val="50"/>
              <w:spacing w:before="79"/>
              <w:ind w:left="480" w:firstLine="420"/>
              <w:rPr>
                <w:rFonts w:hint="default" w:ascii="Times New Roman" w:hAnsi="Times New Roman" w:cs="Times New Roman"/>
                <w:color w:val="auto"/>
                <w:sz w:val="18"/>
                <w:szCs w:val="18"/>
              </w:rPr>
            </w:pPr>
            <w:r>
              <w:rPr>
                <w:rFonts w:hint="default" w:ascii="Times New Roman" w:hAnsi="Times New Roman" w:cs="Times New Roman"/>
                <w:color w:val="auto"/>
                <w:sz w:val="18"/>
                <w:szCs w:val="18"/>
              </w:rPr>
              <w:t>75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jc w:val="center"/>
        </w:trPr>
        <w:tc>
          <w:tcPr>
            <w:tcW w:w="2320" w:type="pct"/>
            <w:noWrap w:val="0"/>
            <w:vAlign w:val="top"/>
          </w:tcPr>
          <w:p>
            <w:pPr>
              <w:pStyle w:val="50"/>
              <w:spacing w:before="79"/>
              <w:ind w:left="480" w:firstLine="420"/>
              <w:rPr>
                <w:rFonts w:hint="default" w:ascii="Times New Roman" w:hAnsi="Times New Roman" w:cs="Times New Roman"/>
                <w:color w:val="auto"/>
                <w:sz w:val="18"/>
                <w:szCs w:val="18"/>
              </w:rPr>
            </w:pPr>
            <w:r>
              <w:rPr>
                <w:rFonts w:hint="default" w:ascii="Times New Roman" w:hAnsi="Times New Roman" w:cs="Times New Roman"/>
                <w:color w:val="auto"/>
                <w:sz w:val="18"/>
                <w:szCs w:val="18"/>
              </w:rPr>
              <w:t>130（B）</w:t>
            </w:r>
          </w:p>
        </w:tc>
        <w:tc>
          <w:tcPr>
            <w:tcW w:w="2679" w:type="pct"/>
            <w:noWrap w:val="0"/>
            <w:vAlign w:val="top"/>
          </w:tcPr>
          <w:p>
            <w:pPr>
              <w:pStyle w:val="50"/>
              <w:spacing w:before="79"/>
              <w:ind w:left="480" w:firstLine="420"/>
              <w:rPr>
                <w:rFonts w:hint="default" w:ascii="Times New Roman" w:hAnsi="Times New Roman" w:cs="Times New Roman"/>
                <w:color w:val="auto"/>
                <w:sz w:val="18"/>
                <w:szCs w:val="18"/>
              </w:rPr>
            </w:pPr>
            <w:r>
              <w:rPr>
                <w:rFonts w:hint="default" w:ascii="Times New Roman" w:hAnsi="Times New Roman" w:cs="Times New Roman"/>
                <w:color w:val="auto"/>
                <w:sz w:val="18"/>
                <w:szCs w:val="18"/>
              </w:rPr>
              <w:t>80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jc w:val="center"/>
        </w:trPr>
        <w:tc>
          <w:tcPr>
            <w:tcW w:w="2320" w:type="pct"/>
            <w:noWrap w:val="0"/>
            <w:vAlign w:val="top"/>
          </w:tcPr>
          <w:p>
            <w:pPr>
              <w:pStyle w:val="50"/>
              <w:spacing w:before="79"/>
              <w:ind w:left="480" w:firstLine="420"/>
              <w:rPr>
                <w:rFonts w:hint="default" w:ascii="Times New Roman" w:hAnsi="Times New Roman" w:cs="Times New Roman"/>
                <w:color w:val="auto"/>
                <w:sz w:val="18"/>
                <w:szCs w:val="18"/>
              </w:rPr>
            </w:pPr>
            <w:r>
              <w:rPr>
                <w:rFonts w:hint="default" w:ascii="Times New Roman" w:hAnsi="Times New Roman" w:cs="Times New Roman"/>
                <w:color w:val="auto"/>
                <w:sz w:val="18"/>
                <w:szCs w:val="18"/>
              </w:rPr>
              <w:t>155（F）</w:t>
            </w:r>
          </w:p>
        </w:tc>
        <w:tc>
          <w:tcPr>
            <w:tcW w:w="2679" w:type="pct"/>
            <w:noWrap w:val="0"/>
            <w:vAlign w:val="top"/>
          </w:tcPr>
          <w:p>
            <w:pPr>
              <w:pStyle w:val="50"/>
              <w:spacing w:before="79"/>
              <w:ind w:left="480" w:firstLine="420"/>
              <w:rPr>
                <w:rFonts w:hint="default" w:ascii="Times New Roman" w:hAnsi="Times New Roman" w:cs="Times New Roman"/>
                <w:color w:val="auto"/>
                <w:sz w:val="18"/>
                <w:szCs w:val="18"/>
              </w:rPr>
            </w:pPr>
            <w:r>
              <w:rPr>
                <w:rFonts w:hint="default" w:ascii="Times New Roman" w:hAnsi="Times New Roman" w:cs="Times New Roman"/>
                <w:color w:val="auto"/>
                <w:sz w:val="18"/>
                <w:szCs w:val="18"/>
              </w:rPr>
              <w:t>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jc w:val="center"/>
        </w:trPr>
        <w:tc>
          <w:tcPr>
            <w:tcW w:w="2320" w:type="pct"/>
            <w:noWrap w:val="0"/>
            <w:vAlign w:val="top"/>
          </w:tcPr>
          <w:p>
            <w:pPr>
              <w:pStyle w:val="50"/>
              <w:spacing w:before="79"/>
              <w:ind w:left="480" w:firstLine="420"/>
              <w:rPr>
                <w:rFonts w:hint="default" w:ascii="Times New Roman" w:hAnsi="Times New Roman" w:cs="Times New Roman"/>
                <w:color w:val="auto"/>
                <w:sz w:val="18"/>
                <w:szCs w:val="18"/>
              </w:rPr>
            </w:pPr>
            <w:r>
              <w:rPr>
                <w:rFonts w:hint="default" w:ascii="Times New Roman" w:hAnsi="Times New Roman" w:cs="Times New Roman"/>
                <w:color w:val="auto"/>
                <w:sz w:val="18"/>
                <w:szCs w:val="18"/>
              </w:rPr>
              <w:t>180（H）</w:t>
            </w:r>
          </w:p>
        </w:tc>
        <w:tc>
          <w:tcPr>
            <w:tcW w:w="2679" w:type="pct"/>
            <w:noWrap w:val="0"/>
            <w:vAlign w:val="top"/>
          </w:tcPr>
          <w:p>
            <w:pPr>
              <w:pStyle w:val="50"/>
              <w:spacing w:before="79"/>
              <w:ind w:left="480" w:firstLine="420"/>
              <w:rPr>
                <w:rFonts w:hint="default" w:ascii="Times New Roman" w:hAnsi="Times New Roman" w:cs="Times New Roman"/>
                <w:color w:val="auto"/>
                <w:sz w:val="18"/>
                <w:szCs w:val="18"/>
              </w:rPr>
            </w:pPr>
            <w:r>
              <w:rPr>
                <w:rFonts w:hint="default" w:ascii="Times New Roman" w:hAnsi="Times New Roman" w:cs="Times New Roman"/>
                <w:color w:val="auto"/>
                <w:sz w:val="18"/>
                <w:szCs w:val="18"/>
              </w:rPr>
              <w:t>125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6" w:hRule="atLeast"/>
          <w:jc w:val="center"/>
        </w:trPr>
        <w:tc>
          <w:tcPr>
            <w:tcW w:w="2320" w:type="pct"/>
            <w:noWrap w:val="0"/>
            <w:vAlign w:val="top"/>
          </w:tcPr>
          <w:p>
            <w:pPr>
              <w:pStyle w:val="50"/>
              <w:spacing w:before="79"/>
              <w:ind w:left="480" w:firstLine="420"/>
              <w:rPr>
                <w:rFonts w:hint="default" w:ascii="Times New Roman" w:hAnsi="Times New Roman" w:cs="Times New Roman"/>
                <w:color w:val="auto"/>
                <w:sz w:val="18"/>
                <w:szCs w:val="18"/>
              </w:rPr>
            </w:pPr>
            <w:r>
              <w:rPr>
                <w:rFonts w:hint="default" w:ascii="Times New Roman" w:hAnsi="Times New Roman" w:cs="Times New Roman"/>
                <w:color w:val="auto"/>
                <w:sz w:val="18"/>
                <w:szCs w:val="18"/>
              </w:rPr>
              <w:t>200</w:t>
            </w:r>
          </w:p>
        </w:tc>
        <w:tc>
          <w:tcPr>
            <w:tcW w:w="2679" w:type="pct"/>
            <w:noWrap w:val="0"/>
            <w:vAlign w:val="top"/>
          </w:tcPr>
          <w:p>
            <w:pPr>
              <w:pStyle w:val="50"/>
              <w:spacing w:before="79"/>
              <w:ind w:left="480" w:firstLine="420"/>
              <w:rPr>
                <w:rFonts w:hint="default" w:ascii="Times New Roman" w:hAnsi="Times New Roman" w:cs="Times New Roman"/>
                <w:color w:val="auto"/>
                <w:sz w:val="18"/>
                <w:szCs w:val="18"/>
              </w:rPr>
            </w:pPr>
            <w:r>
              <w:rPr>
                <w:rFonts w:hint="default" w:ascii="Times New Roman" w:hAnsi="Times New Roman" w:cs="Times New Roman"/>
                <w:color w:val="auto"/>
                <w:sz w:val="18"/>
                <w:szCs w:val="18"/>
              </w:rPr>
              <w:t>135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6" w:hRule="atLeast"/>
          <w:jc w:val="center"/>
        </w:trPr>
        <w:tc>
          <w:tcPr>
            <w:tcW w:w="2320" w:type="pct"/>
            <w:noWrap w:val="0"/>
            <w:vAlign w:val="top"/>
          </w:tcPr>
          <w:p>
            <w:pPr>
              <w:pStyle w:val="50"/>
              <w:spacing w:before="79"/>
              <w:ind w:left="480" w:firstLine="420"/>
              <w:rPr>
                <w:rFonts w:hint="default" w:ascii="Times New Roman" w:hAnsi="Times New Roman" w:cs="Times New Roman"/>
                <w:color w:val="auto"/>
                <w:sz w:val="18"/>
                <w:szCs w:val="18"/>
              </w:rPr>
            </w:pPr>
            <w:r>
              <w:rPr>
                <w:rFonts w:hint="default" w:ascii="Times New Roman" w:hAnsi="Times New Roman" w:cs="Times New Roman"/>
                <w:color w:val="auto"/>
                <w:sz w:val="18"/>
                <w:szCs w:val="18"/>
              </w:rPr>
              <w:t>220</w:t>
            </w:r>
          </w:p>
        </w:tc>
        <w:tc>
          <w:tcPr>
            <w:tcW w:w="2679" w:type="pct"/>
            <w:noWrap w:val="0"/>
            <w:vAlign w:val="top"/>
          </w:tcPr>
          <w:p>
            <w:pPr>
              <w:pStyle w:val="50"/>
              <w:spacing w:before="79"/>
              <w:ind w:left="480" w:firstLine="420"/>
              <w:rPr>
                <w:rFonts w:hint="default" w:ascii="Times New Roman" w:hAnsi="Times New Roman" w:cs="Times New Roman"/>
                <w:color w:val="auto"/>
                <w:sz w:val="18"/>
                <w:szCs w:val="18"/>
              </w:rPr>
            </w:pPr>
            <w:r>
              <w:rPr>
                <w:rFonts w:hint="default" w:ascii="Times New Roman" w:hAnsi="Times New Roman" w:cs="Times New Roman"/>
                <w:color w:val="auto"/>
                <w:sz w:val="18"/>
                <w:szCs w:val="18"/>
              </w:rPr>
              <w:t>150</w:t>
            </w:r>
          </w:p>
        </w:tc>
      </w:tr>
    </w:tbl>
    <w:p>
      <w:pPr>
        <w:pStyle w:val="6"/>
        <w:ind w:firstLine="0" w:firstLineChars="0"/>
        <w:rPr>
          <w:rFonts w:hint="default" w:ascii="Times New Roman" w:hAnsi="Times New Roman" w:cs="Times New Roman"/>
          <w:color w:val="auto"/>
          <w:sz w:val="18"/>
          <w:szCs w:val="18"/>
        </w:rPr>
      </w:pPr>
    </w:p>
    <w:p>
      <w:pPr>
        <w:pStyle w:val="6"/>
        <w:spacing w:line="360" w:lineRule="auto"/>
        <w:ind w:firstLine="360"/>
        <w:rPr>
          <w:rFonts w:hint="eastAsia" w:ascii="宋体" w:hAnsi="宋体" w:eastAsia="宋体" w:cs="宋体"/>
          <w:color w:val="auto"/>
          <w:sz w:val="24"/>
          <w:szCs w:val="24"/>
        </w:rPr>
      </w:pPr>
      <w:r>
        <w:rPr>
          <w:rFonts w:hint="default" w:ascii="Times New Roman" w:hAnsi="Times New Roman" w:cs="Times New Roman"/>
          <w:color w:val="auto"/>
          <w:sz w:val="18"/>
          <w:szCs w:val="18"/>
        </w:rPr>
        <w:t>（</w:t>
      </w:r>
      <w:r>
        <w:rPr>
          <w:rFonts w:hint="eastAsia" w:ascii="宋体" w:hAnsi="宋体" w:eastAsia="宋体" w:cs="宋体"/>
          <w:color w:val="auto"/>
          <w:sz w:val="24"/>
          <w:szCs w:val="24"/>
        </w:rPr>
        <w:t>3）绝缘水平</w:t>
      </w:r>
    </w:p>
    <w:p>
      <w:pPr>
        <w:pStyle w:val="6"/>
        <w:spacing w:line="360" w:lineRule="auto"/>
        <w:ind w:firstLine="720" w:firstLineChars="300"/>
        <w:rPr>
          <w:rFonts w:hint="eastAsia" w:ascii="宋体" w:hAnsi="宋体" w:eastAsia="宋体" w:cs="宋体"/>
          <w:color w:val="auto"/>
          <w:sz w:val="24"/>
          <w:szCs w:val="24"/>
        </w:rPr>
      </w:pPr>
      <w:r>
        <w:rPr>
          <w:rFonts w:hint="eastAsia" w:ascii="宋体" w:hAnsi="宋体" w:eastAsia="宋体" w:cs="宋体"/>
          <w:color w:val="auto"/>
          <w:sz w:val="24"/>
          <w:szCs w:val="24"/>
        </w:rPr>
        <w:t>变压器绕组的额定耐受电压（高压端）：</w:t>
      </w:r>
    </w:p>
    <w:tbl>
      <w:tblPr>
        <w:tblStyle w:val="22"/>
        <w:tblW w:w="478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6235"/>
        <w:gridCol w:w="172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jc w:val="center"/>
        </w:trPr>
        <w:tc>
          <w:tcPr>
            <w:tcW w:w="3917" w:type="pct"/>
            <w:tcBorders>
              <w:bottom w:val="single" w:color="000000" w:sz="6" w:space="0"/>
              <w:right w:val="single" w:color="000000" w:sz="6" w:space="0"/>
            </w:tcBorders>
            <w:noWrap w:val="0"/>
            <w:vAlign w:val="top"/>
          </w:tcPr>
          <w:p>
            <w:pPr>
              <w:pStyle w:val="50"/>
              <w:spacing w:before="62"/>
              <w:ind w:left="480" w:firstLine="420"/>
              <w:rPr>
                <w:rFonts w:hint="eastAsia" w:ascii="宋体" w:hAnsi="宋体" w:eastAsia="宋体" w:cs="宋体"/>
                <w:color w:val="auto"/>
                <w:sz w:val="21"/>
                <w:szCs w:val="21"/>
              </w:rPr>
            </w:pPr>
            <w:r>
              <w:rPr>
                <w:rFonts w:hint="eastAsia" w:ascii="宋体" w:hAnsi="宋体" w:eastAsia="宋体" w:cs="宋体"/>
                <w:color w:val="auto"/>
                <w:sz w:val="21"/>
                <w:szCs w:val="21"/>
              </w:rPr>
              <w:t>额定雷电冲击耐受电压 Up(峰值 1.2/50</w:t>
            </w:r>
            <w:r>
              <w:rPr>
                <w:rFonts w:hint="eastAsia" w:ascii="宋体" w:hAnsi="宋体" w:eastAsia="宋体" w:cs="宋体"/>
                <w:color w:val="auto"/>
                <w:sz w:val="21"/>
                <w:szCs w:val="21"/>
              </w:rPr>
              <w:tab/>
            </w:r>
            <w:r>
              <w:rPr>
                <w:rFonts w:hint="eastAsia" w:ascii="宋体" w:hAnsi="宋体" w:eastAsia="宋体" w:cs="宋体"/>
                <w:color w:val="auto"/>
                <w:sz w:val="21"/>
                <w:szCs w:val="21"/>
              </w:rPr>
              <w:t>s)</w:t>
            </w:r>
          </w:p>
        </w:tc>
        <w:tc>
          <w:tcPr>
            <w:tcW w:w="1082" w:type="pct"/>
            <w:tcBorders>
              <w:left w:val="single" w:color="000000" w:sz="6" w:space="0"/>
              <w:bottom w:val="single" w:color="000000" w:sz="6" w:space="0"/>
            </w:tcBorders>
            <w:noWrap w:val="0"/>
            <w:vAlign w:val="top"/>
          </w:tcPr>
          <w:p>
            <w:pPr>
              <w:pStyle w:val="50"/>
              <w:spacing w:before="62"/>
              <w:ind w:left="480" w:firstLine="42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75</w:t>
            </w:r>
            <w:r>
              <w:rPr>
                <w:rFonts w:hint="eastAsia" w:ascii="宋体" w:hAnsi="宋体" w:eastAsia="宋体" w:cs="宋体"/>
                <w:color w:val="auto"/>
                <w:sz w:val="21"/>
                <w:szCs w:val="21"/>
                <w:lang w:eastAsia="zh-CN"/>
              </w:rPr>
              <w:t>kV</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jc w:val="center"/>
        </w:trPr>
        <w:tc>
          <w:tcPr>
            <w:tcW w:w="3917" w:type="pct"/>
            <w:tcBorders>
              <w:top w:val="single" w:color="000000" w:sz="6" w:space="0"/>
              <w:bottom w:val="single" w:color="000000" w:sz="6" w:space="0"/>
              <w:right w:val="single" w:color="000000" w:sz="6" w:space="0"/>
            </w:tcBorders>
            <w:noWrap w:val="0"/>
            <w:vAlign w:val="top"/>
          </w:tcPr>
          <w:p>
            <w:pPr>
              <w:pStyle w:val="50"/>
              <w:spacing w:before="62"/>
              <w:ind w:left="480" w:firstLine="420"/>
              <w:rPr>
                <w:rFonts w:hint="eastAsia" w:ascii="宋体" w:hAnsi="宋体" w:eastAsia="宋体" w:cs="宋体"/>
                <w:color w:val="auto"/>
                <w:sz w:val="21"/>
                <w:szCs w:val="21"/>
              </w:rPr>
            </w:pPr>
            <w:r>
              <w:rPr>
                <w:rFonts w:hint="eastAsia" w:ascii="宋体" w:hAnsi="宋体" w:eastAsia="宋体" w:cs="宋体"/>
                <w:color w:val="auto"/>
                <w:sz w:val="21"/>
                <w:szCs w:val="21"/>
              </w:rPr>
              <w:t>额定雷电冲击耐受电压 Up(隔离断口)</w:t>
            </w:r>
          </w:p>
        </w:tc>
        <w:tc>
          <w:tcPr>
            <w:tcW w:w="1082" w:type="pct"/>
            <w:tcBorders>
              <w:top w:val="single" w:color="000000" w:sz="6" w:space="0"/>
              <w:left w:val="single" w:color="000000" w:sz="6" w:space="0"/>
              <w:bottom w:val="single" w:color="000000" w:sz="6" w:space="0"/>
            </w:tcBorders>
            <w:noWrap w:val="0"/>
            <w:vAlign w:val="top"/>
          </w:tcPr>
          <w:p>
            <w:pPr>
              <w:pStyle w:val="50"/>
              <w:spacing w:before="62"/>
              <w:ind w:left="480" w:firstLine="42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85</w:t>
            </w:r>
            <w:r>
              <w:rPr>
                <w:rFonts w:hint="eastAsia" w:ascii="宋体" w:hAnsi="宋体" w:eastAsia="宋体" w:cs="宋体"/>
                <w:color w:val="auto"/>
                <w:sz w:val="21"/>
                <w:szCs w:val="21"/>
                <w:lang w:eastAsia="zh-CN"/>
              </w:rPr>
              <w:t>kV</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jc w:val="center"/>
        </w:trPr>
        <w:tc>
          <w:tcPr>
            <w:tcW w:w="3917" w:type="pct"/>
            <w:tcBorders>
              <w:top w:val="single" w:color="000000" w:sz="6" w:space="0"/>
              <w:right w:val="single" w:color="000000" w:sz="6" w:space="0"/>
            </w:tcBorders>
            <w:noWrap w:val="0"/>
            <w:vAlign w:val="top"/>
          </w:tcPr>
          <w:p>
            <w:pPr>
              <w:pStyle w:val="50"/>
              <w:spacing w:before="62"/>
              <w:ind w:left="480" w:firstLine="420"/>
              <w:rPr>
                <w:rFonts w:hint="eastAsia" w:ascii="宋体" w:hAnsi="宋体" w:eastAsia="宋体" w:cs="宋体"/>
                <w:color w:val="auto"/>
                <w:sz w:val="21"/>
                <w:szCs w:val="21"/>
              </w:rPr>
            </w:pPr>
            <w:r>
              <w:rPr>
                <w:rFonts w:hint="eastAsia" w:ascii="宋体" w:hAnsi="宋体" w:eastAsia="宋体" w:cs="宋体"/>
                <w:color w:val="auto"/>
                <w:sz w:val="21"/>
                <w:szCs w:val="21"/>
              </w:rPr>
              <w:t>额定短时(1min)工频耐受电压(有效值)</w:t>
            </w:r>
          </w:p>
        </w:tc>
        <w:tc>
          <w:tcPr>
            <w:tcW w:w="1082" w:type="pct"/>
            <w:tcBorders>
              <w:top w:val="single" w:color="000000" w:sz="6" w:space="0"/>
              <w:left w:val="single" w:color="000000" w:sz="6" w:space="0"/>
            </w:tcBorders>
            <w:noWrap w:val="0"/>
            <w:vAlign w:val="top"/>
          </w:tcPr>
          <w:p>
            <w:pPr>
              <w:pStyle w:val="50"/>
              <w:spacing w:before="62"/>
              <w:ind w:left="480" w:firstLine="42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35</w:t>
            </w:r>
            <w:r>
              <w:rPr>
                <w:rFonts w:hint="eastAsia" w:ascii="宋体" w:hAnsi="宋体" w:eastAsia="宋体" w:cs="宋体"/>
                <w:color w:val="auto"/>
                <w:sz w:val="21"/>
                <w:szCs w:val="21"/>
                <w:lang w:eastAsia="zh-CN"/>
              </w:rPr>
              <w:t>kV</w:t>
            </w:r>
          </w:p>
        </w:tc>
      </w:tr>
    </w:tbl>
    <w:p>
      <w:pPr>
        <w:pStyle w:val="6"/>
        <w:spacing w:line="360" w:lineRule="auto"/>
        <w:ind w:firstLine="720" w:firstLineChars="3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变压器绕组的额定耐受电压（低压端）：</w:t>
      </w:r>
    </w:p>
    <w:tbl>
      <w:tblPr>
        <w:tblStyle w:val="22"/>
        <w:tblW w:w="478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6235"/>
        <w:gridCol w:w="172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jc w:val="center"/>
        </w:trPr>
        <w:tc>
          <w:tcPr>
            <w:tcW w:w="3917" w:type="pct"/>
            <w:tcBorders>
              <w:bottom w:val="single" w:color="000000" w:sz="6" w:space="0"/>
              <w:right w:val="single" w:color="000000" w:sz="6" w:space="0"/>
            </w:tcBorders>
            <w:noWrap w:val="0"/>
            <w:vAlign w:val="top"/>
          </w:tcPr>
          <w:p>
            <w:pPr>
              <w:pStyle w:val="50"/>
              <w:spacing w:before="62"/>
              <w:ind w:left="480" w:firstLine="420"/>
              <w:rPr>
                <w:rFonts w:hint="eastAsia" w:ascii="宋体" w:hAnsi="宋体" w:eastAsia="宋体" w:cs="宋体"/>
                <w:color w:val="auto"/>
                <w:sz w:val="21"/>
                <w:szCs w:val="21"/>
              </w:rPr>
            </w:pPr>
            <w:r>
              <w:rPr>
                <w:rFonts w:hint="eastAsia" w:ascii="宋体" w:hAnsi="宋体" w:eastAsia="宋体" w:cs="宋体"/>
                <w:color w:val="auto"/>
                <w:sz w:val="21"/>
                <w:szCs w:val="21"/>
              </w:rPr>
              <w:t>额定短时(1min)工频耐受电压(有效值)</w:t>
            </w:r>
          </w:p>
        </w:tc>
        <w:tc>
          <w:tcPr>
            <w:tcW w:w="1082" w:type="pct"/>
            <w:tcBorders>
              <w:left w:val="single" w:color="000000" w:sz="6" w:space="0"/>
              <w:bottom w:val="single" w:color="000000" w:sz="6" w:space="0"/>
            </w:tcBorders>
            <w:noWrap w:val="0"/>
            <w:vAlign w:val="top"/>
          </w:tcPr>
          <w:p>
            <w:pPr>
              <w:pStyle w:val="50"/>
              <w:spacing w:before="62"/>
              <w:ind w:left="480" w:firstLine="42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3</w:t>
            </w:r>
            <w:r>
              <w:rPr>
                <w:rFonts w:hint="eastAsia" w:ascii="宋体" w:hAnsi="宋体" w:eastAsia="宋体" w:cs="宋体"/>
                <w:color w:val="auto"/>
                <w:sz w:val="21"/>
                <w:szCs w:val="21"/>
                <w:lang w:eastAsia="zh-CN"/>
              </w:rPr>
              <w:t>kV</w:t>
            </w:r>
          </w:p>
        </w:tc>
      </w:tr>
    </w:tbl>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（4）高压室主要设备</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a.高压负荷开关</w:t>
      </w:r>
    </w:p>
    <w:p>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额定电压：</w:t>
      </w:r>
      <w:r>
        <w:rPr>
          <w:rFonts w:hint="eastAsia" w:ascii="宋体" w:hAnsi="宋体" w:eastAsia="宋体" w:cs="宋体"/>
          <w:color w:val="auto"/>
          <w:sz w:val="24"/>
          <w:szCs w:val="24"/>
        </w:rPr>
        <w:tab/>
      </w:r>
      <w:r>
        <w:rPr>
          <w:rFonts w:hint="eastAsia" w:ascii="宋体" w:hAnsi="宋体" w:eastAsia="宋体" w:cs="宋体"/>
          <w:color w:val="auto"/>
          <w:sz w:val="24"/>
          <w:szCs w:val="24"/>
        </w:rPr>
        <w:t>10.5</w:t>
      </w:r>
      <w:r>
        <w:rPr>
          <w:rFonts w:hint="eastAsia" w:ascii="宋体" w:hAnsi="宋体" w:eastAsia="宋体" w:cs="宋体"/>
          <w:color w:val="auto"/>
          <w:sz w:val="24"/>
          <w:szCs w:val="24"/>
          <w:lang w:eastAsia="zh-CN"/>
        </w:rPr>
        <w:t>kV</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额定电流：</w:t>
      </w:r>
      <w:r>
        <w:rPr>
          <w:rFonts w:hint="eastAsia" w:ascii="宋体" w:hAnsi="宋体" w:eastAsia="宋体" w:cs="宋体"/>
          <w:color w:val="auto"/>
          <w:sz w:val="24"/>
          <w:szCs w:val="24"/>
        </w:rPr>
        <w:tab/>
      </w:r>
      <w:r>
        <w:rPr>
          <w:rFonts w:hint="eastAsia" w:ascii="宋体" w:hAnsi="宋体" w:eastAsia="宋体" w:cs="宋体"/>
          <w:color w:val="auto"/>
          <w:sz w:val="24"/>
          <w:szCs w:val="24"/>
        </w:rPr>
        <w:t>630A</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额定频率：</w:t>
      </w:r>
      <w:r>
        <w:rPr>
          <w:rFonts w:hint="eastAsia" w:ascii="宋体" w:hAnsi="宋体" w:eastAsia="宋体" w:cs="宋体"/>
          <w:color w:val="auto"/>
          <w:sz w:val="24"/>
          <w:szCs w:val="24"/>
        </w:rPr>
        <w:tab/>
      </w:r>
      <w:r>
        <w:rPr>
          <w:rFonts w:hint="eastAsia" w:ascii="宋体" w:hAnsi="宋体" w:eastAsia="宋体" w:cs="宋体"/>
          <w:color w:val="auto"/>
          <w:sz w:val="24"/>
          <w:szCs w:val="24"/>
        </w:rPr>
        <w:t>50Hz</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额定短时耐受电流：</w:t>
      </w:r>
      <w:r>
        <w:rPr>
          <w:rFonts w:hint="eastAsia" w:ascii="宋体" w:hAnsi="宋体" w:eastAsia="宋体" w:cs="宋体"/>
          <w:color w:val="auto"/>
          <w:sz w:val="24"/>
          <w:szCs w:val="24"/>
        </w:rPr>
        <w:tab/>
      </w:r>
      <w:r>
        <w:rPr>
          <w:rFonts w:hint="eastAsia" w:ascii="宋体" w:hAnsi="宋体" w:eastAsia="宋体" w:cs="宋体"/>
          <w:color w:val="auto"/>
          <w:sz w:val="24"/>
          <w:szCs w:val="24"/>
        </w:rPr>
        <w:t>31.5kA/4s</w:t>
      </w:r>
    </w:p>
    <w:p>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额定短时工频耐受电压 Ud（有效值）：42/48</w:t>
      </w:r>
      <w:r>
        <w:rPr>
          <w:rFonts w:hint="eastAsia" w:ascii="宋体" w:hAnsi="宋体" w:eastAsia="宋体" w:cs="宋体"/>
          <w:color w:val="auto"/>
          <w:sz w:val="24"/>
          <w:szCs w:val="24"/>
          <w:lang w:eastAsia="zh-CN"/>
        </w:rPr>
        <w:t>kV</w:t>
      </w:r>
    </w:p>
    <w:p>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额定雷电冲击耐受电压 Up（峰值）：75/85</w:t>
      </w:r>
      <w:r>
        <w:rPr>
          <w:rFonts w:hint="eastAsia" w:ascii="宋体" w:hAnsi="宋体" w:eastAsia="宋体" w:cs="宋体"/>
          <w:color w:val="auto"/>
          <w:sz w:val="24"/>
          <w:szCs w:val="24"/>
          <w:lang w:eastAsia="zh-CN"/>
        </w:rPr>
        <w:t>kV</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额定短路关合电流：80kA（2.5 倍额定短时耐受电流） </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机械寿命：不小于 3000 次</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高压负荷开关在箱变就地和远程进行分、合闸操作</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高压负荷开关熔断器组合电器可实现短路保护等功能。其分合闸状态状态应有信号上传， 并提供 2 对（其中 2 常开，2 常闭）辅助触头接点，并将其接点引到端子排供监控系统用。其它技术特性应符合国标要求。</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b.熔断器</w:t>
      </w:r>
    </w:p>
    <w:tbl>
      <w:tblPr>
        <w:tblStyle w:val="22"/>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4510"/>
        <w:gridCol w:w="380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712" w:type="pct"/>
            <w:tcBorders>
              <w:bottom w:val="single" w:color="000000" w:sz="6" w:space="0"/>
              <w:right w:val="single" w:color="000000" w:sz="6" w:space="0"/>
            </w:tcBorders>
            <w:noWrap w:val="0"/>
            <w:vAlign w:val="top"/>
          </w:tcPr>
          <w:p>
            <w:pPr>
              <w:pStyle w:val="50"/>
              <w:tabs>
                <w:tab w:val="left" w:pos="1472"/>
              </w:tabs>
              <w:spacing w:before="1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描</w:t>
            </w:r>
            <w:r>
              <w:rPr>
                <w:rFonts w:hint="eastAsia" w:ascii="宋体" w:hAnsi="宋体" w:eastAsia="宋体" w:cs="宋体"/>
                <w:color w:val="auto"/>
                <w:sz w:val="21"/>
                <w:szCs w:val="21"/>
              </w:rPr>
              <w:tab/>
            </w:r>
            <w:r>
              <w:rPr>
                <w:rFonts w:hint="eastAsia" w:ascii="宋体" w:hAnsi="宋体" w:eastAsia="宋体" w:cs="宋体"/>
                <w:color w:val="auto"/>
                <w:sz w:val="21"/>
                <w:szCs w:val="21"/>
              </w:rPr>
              <w:t>述</w:t>
            </w:r>
          </w:p>
        </w:tc>
        <w:tc>
          <w:tcPr>
            <w:tcW w:w="2287" w:type="pct"/>
            <w:tcBorders>
              <w:left w:val="single" w:color="000000" w:sz="6" w:space="0"/>
              <w:bottom w:val="single" w:color="000000" w:sz="6" w:space="0"/>
            </w:tcBorders>
            <w:noWrap w:val="0"/>
            <w:vAlign w:val="top"/>
          </w:tcPr>
          <w:p>
            <w:pPr>
              <w:pStyle w:val="50"/>
              <w:spacing w:before="1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电气参数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712" w:type="pct"/>
            <w:tcBorders>
              <w:top w:val="single" w:color="000000" w:sz="6" w:space="0"/>
              <w:bottom w:val="single" w:color="000000" w:sz="6" w:space="0"/>
              <w:right w:val="single" w:color="000000" w:sz="6" w:space="0"/>
            </w:tcBorders>
            <w:noWrap w:val="0"/>
            <w:vAlign w:val="top"/>
          </w:tcPr>
          <w:p>
            <w:pPr>
              <w:pStyle w:val="5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额定电压（</w:t>
            </w:r>
            <w:r>
              <w:rPr>
                <w:rFonts w:hint="eastAsia" w:ascii="宋体" w:hAnsi="宋体" w:eastAsia="宋体" w:cs="宋体"/>
                <w:color w:val="auto"/>
                <w:sz w:val="21"/>
                <w:szCs w:val="21"/>
                <w:lang w:eastAsia="zh-CN"/>
              </w:rPr>
              <w:t>kV</w:t>
            </w:r>
            <w:r>
              <w:rPr>
                <w:rFonts w:hint="eastAsia" w:ascii="宋体" w:hAnsi="宋体" w:eastAsia="宋体" w:cs="宋体"/>
                <w:color w:val="auto"/>
                <w:sz w:val="21"/>
                <w:szCs w:val="21"/>
              </w:rPr>
              <w:t>）</w:t>
            </w:r>
          </w:p>
        </w:tc>
        <w:tc>
          <w:tcPr>
            <w:tcW w:w="2287" w:type="pct"/>
            <w:tcBorders>
              <w:top w:val="single" w:color="000000" w:sz="6" w:space="0"/>
              <w:left w:val="single" w:color="000000" w:sz="6" w:space="0"/>
              <w:bottom w:val="single" w:color="000000" w:sz="6" w:space="0"/>
            </w:tcBorders>
            <w:noWrap w:val="0"/>
            <w:vAlign w:val="top"/>
          </w:tcPr>
          <w:p>
            <w:pPr>
              <w:pStyle w:val="50"/>
              <w:spacing w:before="2" w:line="240" w:lineRule="auto"/>
              <w:rPr>
                <w:rFonts w:hint="eastAsia" w:ascii="宋体" w:hAnsi="宋体" w:eastAsia="宋体" w:cs="宋体"/>
                <w:color w:val="auto"/>
                <w:sz w:val="21"/>
                <w:szCs w:val="21"/>
              </w:rPr>
            </w:pPr>
            <w:r>
              <w:rPr>
                <w:rFonts w:hint="eastAsia" w:ascii="宋体" w:hAnsi="宋体" w:eastAsia="宋体" w:cs="宋体"/>
                <w:color w:val="auto"/>
                <w:w w:val="110"/>
                <w:sz w:val="21"/>
                <w:szCs w:val="21"/>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712" w:type="pct"/>
            <w:tcBorders>
              <w:top w:val="single" w:color="000000" w:sz="6" w:space="0"/>
              <w:bottom w:val="single" w:color="000000" w:sz="6" w:space="0"/>
              <w:right w:val="single" w:color="000000" w:sz="6" w:space="0"/>
            </w:tcBorders>
            <w:noWrap w:val="0"/>
            <w:vAlign w:val="top"/>
          </w:tcPr>
          <w:p>
            <w:pPr>
              <w:pStyle w:val="5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最高电压（</w:t>
            </w:r>
            <w:r>
              <w:rPr>
                <w:rFonts w:hint="eastAsia" w:ascii="宋体" w:hAnsi="宋体" w:eastAsia="宋体" w:cs="宋体"/>
                <w:color w:val="auto"/>
                <w:sz w:val="21"/>
                <w:szCs w:val="21"/>
                <w:lang w:eastAsia="zh-CN"/>
              </w:rPr>
              <w:t>kV</w:t>
            </w:r>
            <w:r>
              <w:rPr>
                <w:rFonts w:hint="eastAsia" w:ascii="宋体" w:hAnsi="宋体" w:eastAsia="宋体" w:cs="宋体"/>
                <w:color w:val="auto"/>
                <w:sz w:val="21"/>
                <w:szCs w:val="21"/>
              </w:rPr>
              <w:t>）</w:t>
            </w:r>
          </w:p>
        </w:tc>
        <w:tc>
          <w:tcPr>
            <w:tcW w:w="2287" w:type="pct"/>
            <w:tcBorders>
              <w:top w:val="single" w:color="000000" w:sz="6" w:space="0"/>
              <w:left w:val="single" w:color="000000" w:sz="6" w:space="0"/>
              <w:bottom w:val="single" w:color="000000" w:sz="6" w:space="0"/>
            </w:tcBorders>
            <w:noWrap w:val="0"/>
            <w:vAlign w:val="top"/>
          </w:tcPr>
          <w:p>
            <w:pPr>
              <w:pStyle w:val="50"/>
              <w:spacing w:before="2"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712" w:type="pct"/>
            <w:tcBorders>
              <w:top w:val="single" w:color="000000" w:sz="6" w:space="0"/>
              <w:bottom w:val="single" w:color="000000" w:sz="6" w:space="0"/>
              <w:right w:val="single" w:color="000000" w:sz="6" w:space="0"/>
            </w:tcBorders>
            <w:noWrap w:val="0"/>
            <w:vAlign w:val="top"/>
          </w:tcPr>
          <w:p>
            <w:pPr>
              <w:pStyle w:val="5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额定频率（Hz）</w:t>
            </w:r>
          </w:p>
        </w:tc>
        <w:tc>
          <w:tcPr>
            <w:tcW w:w="2287" w:type="pct"/>
            <w:tcBorders>
              <w:top w:val="single" w:color="000000" w:sz="6" w:space="0"/>
              <w:left w:val="single" w:color="000000" w:sz="6" w:space="0"/>
              <w:bottom w:val="single" w:color="000000" w:sz="6" w:space="0"/>
            </w:tcBorders>
            <w:noWrap w:val="0"/>
            <w:vAlign w:val="top"/>
          </w:tcPr>
          <w:p>
            <w:pPr>
              <w:pStyle w:val="50"/>
              <w:spacing w:before="2"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712" w:type="pct"/>
            <w:tcBorders>
              <w:top w:val="single" w:color="000000" w:sz="6" w:space="0"/>
              <w:bottom w:val="single" w:color="000000" w:sz="6" w:space="0"/>
              <w:right w:val="single" w:color="000000" w:sz="6" w:space="0"/>
            </w:tcBorders>
            <w:noWrap w:val="0"/>
            <w:vAlign w:val="top"/>
          </w:tcPr>
          <w:p>
            <w:pPr>
              <w:pStyle w:val="5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额定短时工频耐受电压 Ud（</w:t>
            </w:r>
            <w:r>
              <w:rPr>
                <w:rFonts w:hint="eastAsia" w:ascii="宋体" w:hAnsi="宋体" w:eastAsia="宋体" w:cs="宋体"/>
                <w:color w:val="auto"/>
                <w:sz w:val="21"/>
                <w:szCs w:val="21"/>
                <w:lang w:eastAsia="zh-CN"/>
              </w:rPr>
              <w:t>kV</w:t>
            </w:r>
            <w:r>
              <w:rPr>
                <w:rFonts w:hint="eastAsia" w:ascii="宋体" w:hAnsi="宋体" w:eastAsia="宋体" w:cs="宋体"/>
                <w:color w:val="auto"/>
                <w:sz w:val="21"/>
                <w:szCs w:val="21"/>
              </w:rPr>
              <w:t>）</w:t>
            </w:r>
          </w:p>
        </w:tc>
        <w:tc>
          <w:tcPr>
            <w:tcW w:w="2287" w:type="pct"/>
            <w:tcBorders>
              <w:top w:val="single" w:color="000000" w:sz="6" w:space="0"/>
              <w:left w:val="single" w:color="000000" w:sz="6" w:space="0"/>
              <w:bottom w:val="single" w:color="000000" w:sz="6" w:space="0"/>
            </w:tcBorders>
            <w:noWrap w:val="0"/>
            <w:vAlign w:val="top"/>
          </w:tcPr>
          <w:p>
            <w:pPr>
              <w:pStyle w:val="50"/>
              <w:spacing w:before="2"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42/48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712" w:type="pct"/>
            <w:tcBorders>
              <w:top w:val="single" w:color="000000" w:sz="6" w:space="0"/>
              <w:bottom w:val="single" w:color="000000" w:sz="6" w:space="0"/>
              <w:right w:val="single" w:color="000000" w:sz="6" w:space="0"/>
            </w:tcBorders>
            <w:noWrap w:val="0"/>
            <w:vAlign w:val="top"/>
          </w:tcPr>
          <w:p>
            <w:pPr>
              <w:pStyle w:val="5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额定雷电冲击耐受电压 Up（</w:t>
            </w:r>
            <w:r>
              <w:rPr>
                <w:rFonts w:hint="eastAsia" w:ascii="宋体" w:hAnsi="宋体" w:eastAsia="宋体" w:cs="宋体"/>
                <w:color w:val="auto"/>
                <w:sz w:val="21"/>
                <w:szCs w:val="21"/>
                <w:lang w:eastAsia="zh-CN"/>
              </w:rPr>
              <w:t>kV</w:t>
            </w:r>
            <w:r>
              <w:rPr>
                <w:rFonts w:hint="eastAsia" w:ascii="宋体" w:hAnsi="宋体" w:eastAsia="宋体" w:cs="宋体"/>
                <w:color w:val="auto"/>
                <w:sz w:val="21"/>
                <w:szCs w:val="21"/>
              </w:rPr>
              <w:t>）</w:t>
            </w:r>
          </w:p>
        </w:tc>
        <w:tc>
          <w:tcPr>
            <w:tcW w:w="2287" w:type="pct"/>
            <w:tcBorders>
              <w:top w:val="single" w:color="000000" w:sz="6" w:space="0"/>
              <w:left w:val="single" w:color="000000" w:sz="6" w:space="0"/>
              <w:bottom w:val="single" w:color="000000" w:sz="6" w:space="0"/>
            </w:tcBorders>
            <w:noWrap w:val="0"/>
            <w:vAlign w:val="top"/>
          </w:tcPr>
          <w:p>
            <w:pPr>
              <w:pStyle w:val="50"/>
              <w:spacing w:before="2"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75/85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712" w:type="pct"/>
            <w:tcBorders>
              <w:top w:val="single" w:color="000000" w:sz="6" w:space="0"/>
              <w:bottom w:val="single" w:color="000000" w:sz="6" w:space="0"/>
              <w:right w:val="single" w:color="000000" w:sz="6" w:space="0"/>
            </w:tcBorders>
            <w:noWrap w:val="0"/>
            <w:vAlign w:val="top"/>
          </w:tcPr>
          <w:p>
            <w:pPr>
              <w:pStyle w:val="5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熔体额定电流（A）</w:t>
            </w:r>
          </w:p>
        </w:tc>
        <w:tc>
          <w:tcPr>
            <w:tcW w:w="2287" w:type="pct"/>
            <w:tcBorders>
              <w:top w:val="single" w:color="000000" w:sz="6" w:space="0"/>
              <w:left w:val="single" w:color="000000" w:sz="6" w:space="0"/>
              <w:bottom w:val="single" w:color="000000" w:sz="6" w:space="0"/>
            </w:tcBorders>
            <w:noWrap w:val="0"/>
            <w:vAlign w:val="top"/>
          </w:tcPr>
          <w:p>
            <w:pPr>
              <w:pStyle w:val="50"/>
              <w:spacing w:before="2"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200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712" w:type="pct"/>
            <w:tcBorders>
              <w:top w:val="single" w:color="000000" w:sz="6" w:space="0"/>
              <w:bottom w:val="single" w:color="000000" w:sz="6" w:space="0"/>
              <w:right w:val="single" w:color="000000" w:sz="6" w:space="0"/>
            </w:tcBorders>
            <w:noWrap w:val="0"/>
            <w:vAlign w:val="top"/>
          </w:tcPr>
          <w:p>
            <w:pPr>
              <w:pStyle w:val="50"/>
              <w:spacing w:before="1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熔断器额定短路开断电流</w:t>
            </w:r>
          </w:p>
        </w:tc>
        <w:tc>
          <w:tcPr>
            <w:tcW w:w="2287" w:type="pct"/>
            <w:tcBorders>
              <w:top w:val="single" w:color="000000" w:sz="6" w:space="0"/>
              <w:left w:val="single" w:color="000000" w:sz="6" w:space="0"/>
              <w:bottom w:val="single" w:color="000000" w:sz="6" w:space="0"/>
            </w:tcBorders>
            <w:noWrap w:val="0"/>
            <w:vAlign w:val="top"/>
          </w:tcPr>
          <w:p>
            <w:pPr>
              <w:pStyle w:val="50"/>
              <w:spacing w:before="2"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31.5kA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5000" w:type="pct"/>
            <w:gridSpan w:val="2"/>
            <w:tcBorders>
              <w:top w:val="single" w:color="000000" w:sz="6" w:space="0"/>
            </w:tcBorders>
            <w:noWrap w:val="0"/>
            <w:vAlign w:val="top"/>
          </w:tcPr>
          <w:p>
            <w:pPr>
              <w:pStyle w:val="50"/>
              <w:spacing w:before="1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熔断器熔断后，可以在现场方便地更换熔丝</w:t>
            </w:r>
          </w:p>
        </w:tc>
      </w:tr>
    </w:tbl>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c.氧化锌避雷器</w:t>
      </w:r>
    </w:p>
    <w:tbl>
      <w:tblPr>
        <w:tblStyle w:val="22"/>
        <w:tblW w:w="501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4813"/>
        <w:gridCol w:w="1292"/>
        <w:gridCol w:w="223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6" w:hRule="atLeast"/>
        </w:trPr>
        <w:tc>
          <w:tcPr>
            <w:tcW w:w="2884" w:type="pct"/>
            <w:tcBorders>
              <w:bottom w:val="single" w:color="000000" w:sz="6" w:space="0"/>
              <w:right w:val="single" w:color="000000" w:sz="6" w:space="0"/>
            </w:tcBorders>
            <w:noWrap w:val="0"/>
            <w:vAlign w:val="center"/>
          </w:tcPr>
          <w:p>
            <w:pPr>
              <w:pStyle w:val="5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型式</w:t>
            </w:r>
          </w:p>
        </w:tc>
        <w:tc>
          <w:tcPr>
            <w:tcW w:w="774" w:type="pct"/>
            <w:tcBorders>
              <w:left w:val="single" w:color="000000" w:sz="6" w:space="0"/>
              <w:bottom w:val="single" w:color="000000" w:sz="6" w:space="0"/>
              <w:right w:val="single" w:color="000000" w:sz="6" w:space="0"/>
            </w:tcBorders>
            <w:noWrap w:val="0"/>
            <w:vAlign w:val="center"/>
          </w:tcPr>
          <w:p>
            <w:pPr>
              <w:pStyle w:val="5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单位</w:t>
            </w:r>
          </w:p>
        </w:tc>
        <w:tc>
          <w:tcPr>
            <w:tcW w:w="1341" w:type="pct"/>
            <w:tcBorders>
              <w:left w:val="single" w:color="000000" w:sz="6" w:space="0"/>
              <w:bottom w:val="single" w:color="000000" w:sz="6" w:space="0"/>
            </w:tcBorders>
            <w:noWrap w:val="0"/>
            <w:vAlign w:val="center"/>
          </w:tcPr>
          <w:p>
            <w:pPr>
              <w:pStyle w:val="5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复合绝缘金属</w:t>
            </w:r>
          </w:p>
          <w:p>
            <w:pPr>
              <w:pStyle w:val="5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氧化物避雷器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884" w:type="pct"/>
            <w:tcBorders>
              <w:top w:val="single" w:color="000000" w:sz="6" w:space="0"/>
              <w:bottom w:val="single" w:color="000000" w:sz="6" w:space="0"/>
              <w:right w:val="single" w:color="000000" w:sz="6" w:space="0"/>
            </w:tcBorders>
            <w:noWrap w:val="0"/>
            <w:vAlign w:val="center"/>
          </w:tcPr>
          <w:p>
            <w:pPr>
              <w:pStyle w:val="5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额定电压</w:t>
            </w:r>
          </w:p>
        </w:tc>
        <w:tc>
          <w:tcPr>
            <w:tcW w:w="774" w:type="pct"/>
            <w:tcBorders>
              <w:top w:val="single" w:color="000000" w:sz="6" w:space="0"/>
              <w:left w:val="single" w:color="000000" w:sz="6" w:space="0"/>
              <w:bottom w:val="single" w:color="000000" w:sz="6" w:space="0"/>
              <w:right w:val="single" w:color="000000" w:sz="6" w:space="0"/>
            </w:tcBorders>
            <w:noWrap w:val="0"/>
            <w:vAlign w:val="center"/>
          </w:tcPr>
          <w:p>
            <w:pPr>
              <w:pStyle w:val="5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kV</w:t>
            </w:r>
          </w:p>
        </w:tc>
        <w:tc>
          <w:tcPr>
            <w:tcW w:w="1341" w:type="pct"/>
            <w:tcBorders>
              <w:top w:val="single" w:color="000000" w:sz="6" w:space="0"/>
              <w:left w:val="single" w:color="000000" w:sz="6" w:space="0"/>
              <w:bottom w:val="single" w:color="000000" w:sz="6" w:space="0"/>
            </w:tcBorders>
            <w:noWrap w:val="0"/>
            <w:vAlign w:val="center"/>
          </w:tcPr>
          <w:p>
            <w:pPr>
              <w:pStyle w:val="5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884" w:type="pct"/>
            <w:tcBorders>
              <w:top w:val="single" w:color="000000" w:sz="6" w:space="0"/>
              <w:bottom w:val="single" w:color="000000" w:sz="6" w:space="0"/>
              <w:right w:val="single" w:color="000000" w:sz="6" w:space="0"/>
            </w:tcBorders>
            <w:noWrap w:val="0"/>
            <w:vAlign w:val="center"/>
          </w:tcPr>
          <w:p>
            <w:pPr>
              <w:pStyle w:val="5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持续运行电压</w:t>
            </w:r>
          </w:p>
        </w:tc>
        <w:tc>
          <w:tcPr>
            <w:tcW w:w="774" w:type="pct"/>
            <w:tcBorders>
              <w:top w:val="single" w:color="000000" w:sz="6" w:space="0"/>
              <w:left w:val="single" w:color="000000" w:sz="6" w:space="0"/>
              <w:bottom w:val="single" w:color="000000" w:sz="6" w:space="0"/>
              <w:right w:val="single" w:color="000000" w:sz="6" w:space="0"/>
            </w:tcBorders>
            <w:noWrap w:val="0"/>
            <w:vAlign w:val="center"/>
          </w:tcPr>
          <w:p>
            <w:pPr>
              <w:pStyle w:val="5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kV</w:t>
            </w:r>
          </w:p>
        </w:tc>
        <w:tc>
          <w:tcPr>
            <w:tcW w:w="1341" w:type="pct"/>
            <w:tcBorders>
              <w:top w:val="single" w:color="000000" w:sz="6" w:space="0"/>
              <w:left w:val="single" w:color="000000" w:sz="6" w:space="0"/>
              <w:bottom w:val="single" w:color="000000" w:sz="6" w:space="0"/>
            </w:tcBorders>
            <w:noWrap w:val="0"/>
            <w:vAlign w:val="center"/>
          </w:tcPr>
          <w:p>
            <w:pPr>
              <w:pStyle w:val="5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10.5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884" w:type="pct"/>
            <w:tcBorders>
              <w:top w:val="single" w:color="000000" w:sz="6" w:space="0"/>
              <w:bottom w:val="single" w:color="000000" w:sz="6" w:space="0"/>
              <w:right w:val="single" w:color="000000" w:sz="6" w:space="0"/>
            </w:tcBorders>
            <w:noWrap w:val="0"/>
            <w:vAlign w:val="center"/>
          </w:tcPr>
          <w:p>
            <w:pPr>
              <w:pStyle w:val="5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标称放电电流</w:t>
            </w:r>
          </w:p>
        </w:tc>
        <w:tc>
          <w:tcPr>
            <w:tcW w:w="774" w:type="pct"/>
            <w:tcBorders>
              <w:top w:val="single" w:color="000000" w:sz="6" w:space="0"/>
              <w:left w:val="single" w:color="000000" w:sz="6" w:space="0"/>
              <w:bottom w:val="single" w:color="000000" w:sz="6" w:space="0"/>
              <w:right w:val="single" w:color="000000" w:sz="6" w:space="0"/>
            </w:tcBorders>
            <w:noWrap w:val="0"/>
            <w:vAlign w:val="center"/>
          </w:tcPr>
          <w:p>
            <w:pPr>
              <w:pStyle w:val="5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kA</w:t>
            </w:r>
          </w:p>
        </w:tc>
        <w:tc>
          <w:tcPr>
            <w:tcW w:w="1341" w:type="pct"/>
            <w:tcBorders>
              <w:top w:val="single" w:color="000000" w:sz="6" w:space="0"/>
              <w:left w:val="single" w:color="000000" w:sz="6" w:space="0"/>
              <w:bottom w:val="single" w:color="000000" w:sz="6" w:space="0"/>
            </w:tcBorders>
            <w:noWrap w:val="0"/>
            <w:vAlign w:val="center"/>
          </w:tcPr>
          <w:p>
            <w:pPr>
              <w:pStyle w:val="5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5（峰值）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884" w:type="pct"/>
            <w:tcBorders>
              <w:top w:val="single" w:color="000000" w:sz="6" w:space="0"/>
              <w:bottom w:val="single" w:color="000000" w:sz="6" w:space="0"/>
              <w:right w:val="single" w:color="000000" w:sz="6" w:space="0"/>
            </w:tcBorders>
            <w:noWrap w:val="0"/>
            <w:vAlign w:val="center"/>
          </w:tcPr>
          <w:p>
            <w:pPr>
              <w:pStyle w:val="5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陡波冲击电流下残压峰值（5kA，1/10μs）</w:t>
            </w:r>
          </w:p>
        </w:tc>
        <w:tc>
          <w:tcPr>
            <w:tcW w:w="774" w:type="pct"/>
            <w:tcBorders>
              <w:top w:val="single" w:color="000000" w:sz="6" w:space="0"/>
              <w:left w:val="single" w:color="000000" w:sz="6" w:space="0"/>
              <w:bottom w:val="single" w:color="000000" w:sz="6" w:space="0"/>
              <w:right w:val="single" w:color="000000" w:sz="6" w:space="0"/>
            </w:tcBorders>
            <w:noWrap w:val="0"/>
            <w:vAlign w:val="center"/>
          </w:tcPr>
          <w:p>
            <w:pPr>
              <w:pStyle w:val="5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kV</w:t>
            </w:r>
          </w:p>
        </w:tc>
        <w:tc>
          <w:tcPr>
            <w:tcW w:w="1341" w:type="pct"/>
            <w:tcBorders>
              <w:top w:val="single" w:color="000000" w:sz="6" w:space="0"/>
              <w:left w:val="single" w:color="000000" w:sz="6" w:space="0"/>
              <w:bottom w:val="single" w:color="000000" w:sz="6" w:space="0"/>
            </w:tcBorders>
            <w:noWrap w:val="0"/>
            <w:vAlign w:val="center"/>
          </w:tcPr>
          <w:p>
            <w:pPr>
              <w:pStyle w:val="50"/>
              <w:spacing w:line="240" w:lineRule="auto"/>
              <w:rPr>
                <w:rFonts w:hint="eastAsia" w:ascii="宋体" w:hAnsi="宋体" w:eastAsia="宋体" w:cs="宋体"/>
                <w:color w:val="auto"/>
                <w:sz w:val="21"/>
                <w:szCs w:val="21"/>
              </w:rPr>
            </w:pPr>
            <w:r>
              <w:rPr>
                <w:rFonts w:hint="eastAsia" w:ascii="宋体" w:hAnsi="宋体" w:eastAsia="宋体" w:cs="宋体"/>
                <w:color w:val="auto"/>
                <w:w w:val="105"/>
                <w:sz w:val="21"/>
                <w:szCs w:val="21"/>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884" w:type="pct"/>
            <w:tcBorders>
              <w:top w:val="single" w:color="000000" w:sz="6" w:space="0"/>
              <w:bottom w:val="single" w:color="000000" w:sz="6" w:space="0"/>
              <w:right w:val="single" w:color="000000" w:sz="6" w:space="0"/>
            </w:tcBorders>
            <w:noWrap w:val="0"/>
            <w:vAlign w:val="center"/>
          </w:tcPr>
          <w:p>
            <w:pPr>
              <w:pStyle w:val="5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雷电冲击电流下残压峰值（5kA，8/20μs）</w:t>
            </w:r>
          </w:p>
        </w:tc>
        <w:tc>
          <w:tcPr>
            <w:tcW w:w="774" w:type="pct"/>
            <w:tcBorders>
              <w:top w:val="single" w:color="000000" w:sz="6" w:space="0"/>
              <w:left w:val="single" w:color="000000" w:sz="6" w:space="0"/>
              <w:bottom w:val="single" w:color="000000" w:sz="6" w:space="0"/>
              <w:right w:val="single" w:color="000000" w:sz="6" w:space="0"/>
            </w:tcBorders>
            <w:noWrap w:val="0"/>
            <w:vAlign w:val="center"/>
          </w:tcPr>
          <w:p>
            <w:pPr>
              <w:pStyle w:val="5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kV</w:t>
            </w:r>
          </w:p>
        </w:tc>
        <w:tc>
          <w:tcPr>
            <w:tcW w:w="1341" w:type="pct"/>
            <w:tcBorders>
              <w:top w:val="single" w:color="000000" w:sz="6" w:space="0"/>
              <w:left w:val="single" w:color="000000" w:sz="6" w:space="0"/>
              <w:bottom w:val="single" w:color="000000" w:sz="6" w:space="0"/>
            </w:tcBorders>
            <w:noWrap w:val="0"/>
            <w:vAlign w:val="center"/>
          </w:tcPr>
          <w:p>
            <w:pPr>
              <w:pStyle w:val="5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≤34.6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884" w:type="pct"/>
            <w:tcBorders>
              <w:top w:val="single" w:color="000000" w:sz="6" w:space="0"/>
              <w:bottom w:val="single" w:color="000000" w:sz="6" w:space="0"/>
              <w:right w:val="single" w:color="000000" w:sz="6" w:space="0"/>
            </w:tcBorders>
            <w:noWrap w:val="0"/>
            <w:vAlign w:val="center"/>
          </w:tcPr>
          <w:p>
            <w:pPr>
              <w:pStyle w:val="5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操作冲击电流下残压峰值（250A，30/60μs）</w:t>
            </w:r>
          </w:p>
        </w:tc>
        <w:tc>
          <w:tcPr>
            <w:tcW w:w="774" w:type="pct"/>
            <w:tcBorders>
              <w:top w:val="single" w:color="000000" w:sz="6" w:space="0"/>
              <w:left w:val="single" w:color="000000" w:sz="6" w:space="0"/>
              <w:bottom w:val="single" w:color="000000" w:sz="6" w:space="0"/>
              <w:right w:val="single" w:color="000000" w:sz="6" w:space="0"/>
            </w:tcBorders>
            <w:noWrap w:val="0"/>
            <w:vAlign w:val="center"/>
          </w:tcPr>
          <w:p>
            <w:pPr>
              <w:pStyle w:val="5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kV</w:t>
            </w:r>
          </w:p>
        </w:tc>
        <w:tc>
          <w:tcPr>
            <w:tcW w:w="1341" w:type="pct"/>
            <w:tcBorders>
              <w:top w:val="single" w:color="000000" w:sz="6" w:space="0"/>
              <w:left w:val="single" w:color="000000" w:sz="6" w:space="0"/>
              <w:bottom w:val="single" w:color="000000" w:sz="6" w:space="0"/>
            </w:tcBorders>
            <w:noWrap w:val="0"/>
            <w:vAlign w:val="center"/>
          </w:tcPr>
          <w:p>
            <w:pPr>
              <w:pStyle w:val="50"/>
              <w:spacing w:line="240" w:lineRule="auto"/>
              <w:rPr>
                <w:rFonts w:hint="eastAsia" w:ascii="宋体" w:hAnsi="宋体" w:eastAsia="宋体" w:cs="宋体"/>
                <w:color w:val="auto"/>
                <w:sz w:val="21"/>
                <w:szCs w:val="21"/>
              </w:rPr>
            </w:pPr>
            <w:r>
              <w:rPr>
                <w:rFonts w:hint="eastAsia" w:ascii="宋体" w:hAnsi="宋体" w:eastAsia="宋体" w:cs="宋体"/>
                <w:color w:val="auto"/>
                <w:w w:val="105"/>
                <w:sz w:val="21"/>
                <w:szCs w:val="21"/>
              </w:rPr>
              <w:t>≤25.6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884" w:type="pct"/>
            <w:tcBorders>
              <w:top w:val="single" w:color="000000" w:sz="6" w:space="0"/>
              <w:bottom w:val="single" w:color="000000" w:sz="6" w:space="0"/>
              <w:right w:val="single" w:color="000000" w:sz="6" w:space="0"/>
            </w:tcBorders>
            <w:noWrap w:val="0"/>
            <w:vAlign w:val="top"/>
          </w:tcPr>
          <w:p>
            <w:pPr>
              <w:pStyle w:val="5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2ms 方波通流容量</w:t>
            </w:r>
          </w:p>
        </w:tc>
        <w:tc>
          <w:tcPr>
            <w:tcW w:w="774" w:type="pct"/>
            <w:tcBorders>
              <w:top w:val="single" w:color="000000" w:sz="6" w:space="0"/>
              <w:left w:val="single" w:color="000000" w:sz="6" w:space="0"/>
              <w:bottom w:val="single" w:color="000000" w:sz="6" w:space="0"/>
              <w:right w:val="single" w:color="000000" w:sz="6" w:space="0"/>
            </w:tcBorders>
            <w:noWrap w:val="0"/>
            <w:vAlign w:val="top"/>
          </w:tcPr>
          <w:p>
            <w:pPr>
              <w:pStyle w:val="50"/>
              <w:spacing w:line="240" w:lineRule="auto"/>
              <w:rPr>
                <w:rFonts w:hint="eastAsia" w:ascii="宋体" w:hAnsi="宋体" w:eastAsia="宋体" w:cs="宋体"/>
                <w:color w:val="auto"/>
                <w:sz w:val="21"/>
                <w:szCs w:val="21"/>
              </w:rPr>
            </w:pPr>
            <w:r>
              <w:rPr>
                <w:rFonts w:hint="eastAsia" w:ascii="宋体" w:hAnsi="宋体" w:eastAsia="宋体" w:cs="宋体"/>
                <w:color w:val="auto"/>
                <w:w w:val="87"/>
                <w:sz w:val="21"/>
                <w:szCs w:val="21"/>
              </w:rPr>
              <w:t>A</w:t>
            </w:r>
          </w:p>
        </w:tc>
        <w:tc>
          <w:tcPr>
            <w:tcW w:w="1341" w:type="pct"/>
            <w:tcBorders>
              <w:top w:val="single" w:color="000000" w:sz="6" w:space="0"/>
              <w:left w:val="single" w:color="000000" w:sz="6" w:space="0"/>
              <w:bottom w:val="single" w:color="000000" w:sz="6" w:space="0"/>
            </w:tcBorders>
            <w:noWrap w:val="0"/>
            <w:vAlign w:val="top"/>
          </w:tcPr>
          <w:p>
            <w:pPr>
              <w:pStyle w:val="5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300（峰值）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884" w:type="pct"/>
            <w:tcBorders>
              <w:top w:val="single" w:color="000000" w:sz="6" w:space="0"/>
              <w:bottom w:val="single" w:color="000000" w:sz="6" w:space="0"/>
              <w:right w:val="single" w:color="000000" w:sz="6" w:space="0"/>
            </w:tcBorders>
            <w:noWrap w:val="0"/>
            <w:vAlign w:val="top"/>
          </w:tcPr>
          <w:p>
            <w:pPr>
              <w:pStyle w:val="5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4/10μs 大冲击耐受电流</w:t>
            </w:r>
          </w:p>
        </w:tc>
        <w:tc>
          <w:tcPr>
            <w:tcW w:w="774" w:type="pct"/>
            <w:tcBorders>
              <w:top w:val="single" w:color="000000" w:sz="6" w:space="0"/>
              <w:left w:val="single" w:color="000000" w:sz="6" w:space="0"/>
              <w:bottom w:val="single" w:color="000000" w:sz="6" w:space="0"/>
              <w:right w:val="single" w:color="000000" w:sz="6" w:space="0"/>
            </w:tcBorders>
            <w:noWrap w:val="0"/>
            <w:vAlign w:val="top"/>
          </w:tcPr>
          <w:p>
            <w:pPr>
              <w:pStyle w:val="5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kA</w:t>
            </w:r>
          </w:p>
        </w:tc>
        <w:tc>
          <w:tcPr>
            <w:tcW w:w="1341" w:type="pct"/>
            <w:tcBorders>
              <w:top w:val="single" w:color="000000" w:sz="6" w:space="0"/>
              <w:left w:val="single" w:color="000000" w:sz="6" w:space="0"/>
              <w:bottom w:val="single" w:color="000000" w:sz="6" w:space="0"/>
            </w:tcBorders>
            <w:noWrap w:val="0"/>
            <w:vAlign w:val="top"/>
          </w:tcPr>
          <w:p>
            <w:pPr>
              <w:pStyle w:val="5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65（峰值）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884" w:type="pct"/>
            <w:tcBorders>
              <w:top w:val="single" w:color="000000" w:sz="6" w:space="0"/>
              <w:right w:val="single" w:color="000000" w:sz="6" w:space="0"/>
            </w:tcBorders>
            <w:noWrap w:val="0"/>
            <w:vAlign w:val="top"/>
          </w:tcPr>
          <w:p>
            <w:pPr>
              <w:pStyle w:val="5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压力释放能力</w:t>
            </w:r>
          </w:p>
        </w:tc>
        <w:tc>
          <w:tcPr>
            <w:tcW w:w="774" w:type="pct"/>
            <w:tcBorders>
              <w:top w:val="single" w:color="000000" w:sz="6" w:space="0"/>
              <w:left w:val="single" w:color="000000" w:sz="6" w:space="0"/>
              <w:right w:val="single" w:color="000000" w:sz="6" w:space="0"/>
            </w:tcBorders>
            <w:noWrap w:val="0"/>
            <w:vAlign w:val="top"/>
          </w:tcPr>
          <w:p>
            <w:pPr>
              <w:pStyle w:val="50"/>
              <w:spacing w:line="240" w:lineRule="auto"/>
              <w:rPr>
                <w:rFonts w:hint="eastAsia" w:ascii="宋体" w:hAnsi="宋体" w:eastAsia="宋体" w:cs="宋体"/>
                <w:color w:val="auto"/>
                <w:sz w:val="21"/>
                <w:szCs w:val="21"/>
              </w:rPr>
            </w:pPr>
            <w:r>
              <w:rPr>
                <w:rFonts w:hint="eastAsia" w:ascii="宋体" w:hAnsi="宋体" w:eastAsia="宋体" w:cs="宋体"/>
                <w:color w:val="auto"/>
                <w:w w:val="105"/>
                <w:sz w:val="21"/>
                <w:szCs w:val="21"/>
              </w:rPr>
              <w:t>kA/s</w:t>
            </w:r>
          </w:p>
        </w:tc>
        <w:tc>
          <w:tcPr>
            <w:tcW w:w="1341" w:type="pct"/>
            <w:tcBorders>
              <w:top w:val="single" w:color="000000" w:sz="6" w:space="0"/>
              <w:left w:val="single" w:color="000000" w:sz="6" w:space="0"/>
            </w:tcBorders>
            <w:noWrap w:val="0"/>
            <w:vAlign w:val="top"/>
          </w:tcPr>
          <w:p>
            <w:pPr>
              <w:pStyle w:val="50"/>
              <w:spacing w:line="240" w:lineRule="auto"/>
              <w:rPr>
                <w:rFonts w:hint="eastAsia" w:ascii="宋体" w:hAnsi="宋体" w:eastAsia="宋体" w:cs="宋体"/>
                <w:color w:val="auto"/>
                <w:sz w:val="21"/>
                <w:szCs w:val="21"/>
              </w:rPr>
            </w:pPr>
            <w:r>
              <w:rPr>
                <w:rFonts w:hint="eastAsia" w:ascii="宋体" w:hAnsi="宋体" w:eastAsia="宋体" w:cs="宋体"/>
                <w:color w:val="auto"/>
                <w:w w:val="115"/>
                <w:sz w:val="21"/>
                <w:szCs w:val="21"/>
              </w:rPr>
              <w:t>31.5/0.2</w:t>
            </w:r>
          </w:p>
        </w:tc>
      </w:tr>
    </w:tbl>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d.高压部分其他技术要求</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高压柜型号：</w:t>
      </w:r>
      <w:r>
        <w:rPr>
          <w:rFonts w:hint="eastAsia" w:ascii="宋体" w:hAnsi="宋体" w:eastAsia="宋体" w:cs="宋体"/>
          <w:color w:val="auto"/>
          <w:sz w:val="24"/>
          <w:szCs w:val="24"/>
        </w:rPr>
        <w:t>XGN-10</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固定式高压开关柜（10kV）</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高压设备的允许温升值应满足 GB/T11022-2011 的规定。控制回路电压：AC220V；辅助回路电压：AC220V</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瓷套爬电距离（对地）应遵照相应的国标或者行标。相间及相对地净距应遵照相应的国标或者行标。</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高压配电室的空气间隙应满足国标要求。</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高压室在线路不停电情况下，可分接低压断路器，调整变压器分接头。</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高压室安装带电显示器，并设有安全防护装置（满足五防闭锁），高压电缆进线室门安装电磁锁，当高压侧带电时，室门不能打开。</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（5）低压室主要电气设备</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a.低压断路器</w:t>
      </w:r>
    </w:p>
    <w:tbl>
      <w:tblPr>
        <w:tblStyle w:val="22"/>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156"/>
        <w:gridCol w:w="41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2" w:hRule="atLeast"/>
        </w:trPr>
        <w:tc>
          <w:tcPr>
            <w:tcW w:w="2499" w:type="pct"/>
            <w:noWrap w:val="0"/>
            <w:vAlign w:val="center"/>
          </w:tcPr>
          <w:p>
            <w:pPr>
              <w:pStyle w:val="50"/>
              <w:spacing w:line="240" w:lineRule="auto"/>
              <w:ind w:left="480" w:firstLine="420"/>
              <w:rPr>
                <w:rFonts w:hint="eastAsia" w:ascii="宋体" w:hAnsi="宋体" w:eastAsia="宋体" w:cs="宋体"/>
                <w:color w:val="auto"/>
                <w:sz w:val="21"/>
                <w:szCs w:val="21"/>
              </w:rPr>
            </w:pPr>
            <w:r>
              <w:rPr>
                <w:rFonts w:hint="eastAsia" w:ascii="宋体" w:hAnsi="宋体" w:eastAsia="宋体" w:cs="宋体"/>
                <w:color w:val="auto"/>
                <w:sz w:val="21"/>
                <w:szCs w:val="21"/>
              </w:rPr>
              <w:t>名称：</w:t>
            </w:r>
          </w:p>
        </w:tc>
        <w:tc>
          <w:tcPr>
            <w:tcW w:w="2500" w:type="pct"/>
            <w:noWrap w:val="0"/>
            <w:vAlign w:val="center"/>
          </w:tcPr>
          <w:p>
            <w:pPr>
              <w:pStyle w:val="50"/>
              <w:spacing w:line="240" w:lineRule="auto"/>
              <w:ind w:left="480" w:firstLine="420"/>
              <w:rPr>
                <w:rFonts w:hint="eastAsia" w:ascii="宋体" w:hAnsi="宋体" w:eastAsia="宋体" w:cs="宋体"/>
                <w:color w:val="auto"/>
                <w:sz w:val="21"/>
                <w:szCs w:val="21"/>
              </w:rPr>
            </w:pPr>
            <w:r>
              <w:rPr>
                <w:rFonts w:hint="eastAsia" w:ascii="宋体" w:hAnsi="宋体" w:eastAsia="宋体" w:cs="宋体"/>
                <w:color w:val="auto"/>
                <w:sz w:val="21"/>
                <w:szCs w:val="21"/>
              </w:rPr>
              <w:t>框架式断路器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2" w:hRule="atLeast"/>
        </w:trPr>
        <w:tc>
          <w:tcPr>
            <w:tcW w:w="2499" w:type="pct"/>
            <w:noWrap w:val="0"/>
            <w:vAlign w:val="center"/>
          </w:tcPr>
          <w:p>
            <w:pPr>
              <w:pStyle w:val="50"/>
              <w:spacing w:before="79" w:line="240" w:lineRule="auto"/>
              <w:ind w:left="480" w:firstLine="420"/>
              <w:rPr>
                <w:rFonts w:hint="eastAsia" w:ascii="宋体" w:hAnsi="宋体" w:eastAsia="宋体" w:cs="宋体"/>
                <w:color w:val="auto"/>
                <w:sz w:val="21"/>
                <w:szCs w:val="21"/>
              </w:rPr>
            </w:pPr>
            <w:r>
              <w:rPr>
                <w:rFonts w:hint="eastAsia" w:ascii="宋体" w:hAnsi="宋体" w:eastAsia="宋体" w:cs="宋体"/>
                <w:color w:val="auto"/>
                <w:sz w:val="21"/>
                <w:szCs w:val="21"/>
              </w:rPr>
              <w:t>额定电压：</w:t>
            </w:r>
          </w:p>
        </w:tc>
        <w:tc>
          <w:tcPr>
            <w:tcW w:w="2500" w:type="pct"/>
            <w:noWrap w:val="0"/>
            <w:vAlign w:val="center"/>
          </w:tcPr>
          <w:p>
            <w:pPr>
              <w:pStyle w:val="50"/>
              <w:spacing w:before="59" w:line="240" w:lineRule="auto"/>
              <w:ind w:left="480" w:firstLine="462"/>
              <w:rPr>
                <w:rFonts w:hint="eastAsia" w:ascii="宋体" w:hAnsi="宋体" w:eastAsia="宋体" w:cs="宋体"/>
                <w:color w:val="auto"/>
                <w:sz w:val="21"/>
                <w:szCs w:val="21"/>
                <w:lang w:eastAsia="zh-CN"/>
              </w:rPr>
            </w:pPr>
            <w:r>
              <w:rPr>
                <w:rFonts w:hint="eastAsia" w:ascii="宋体" w:hAnsi="宋体" w:eastAsia="宋体" w:cs="宋体"/>
                <w:color w:val="auto"/>
                <w:w w:val="110"/>
                <w:sz w:val="21"/>
                <w:szCs w:val="21"/>
              </w:rPr>
              <w:t>0.</w:t>
            </w:r>
            <w:r>
              <w:rPr>
                <w:rFonts w:hint="eastAsia" w:cs="宋体"/>
                <w:color w:val="auto"/>
                <w:w w:val="110"/>
                <w:sz w:val="21"/>
                <w:szCs w:val="21"/>
                <w:lang w:val="en-US" w:eastAsia="zh-CN"/>
              </w:rPr>
              <w:t>69</w:t>
            </w:r>
            <w:r>
              <w:rPr>
                <w:rFonts w:hint="eastAsia" w:ascii="宋体" w:hAnsi="宋体" w:eastAsia="宋体" w:cs="宋体"/>
                <w:color w:val="auto"/>
                <w:w w:val="110"/>
                <w:sz w:val="21"/>
                <w:szCs w:val="21"/>
                <w:lang w:eastAsia="zh-CN"/>
              </w:rPr>
              <w:t>kV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2" w:hRule="atLeast"/>
        </w:trPr>
        <w:tc>
          <w:tcPr>
            <w:tcW w:w="2499" w:type="pct"/>
            <w:noWrap w:val="0"/>
            <w:vAlign w:val="center"/>
          </w:tcPr>
          <w:p>
            <w:pPr>
              <w:pStyle w:val="50"/>
              <w:spacing w:before="62" w:line="240" w:lineRule="auto"/>
              <w:ind w:left="480" w:firstLine="420"/>
              <w:rPr>
                <w:rFonts w:hint="eastAsia" w:ascii="宋体" w:hAnsi="宋体" w:eastAsia="宋体" w:cs="宋体"/>
                <w:color w:val="auto"/>
                <w:sz w:val="21"/>
                <w:szCs w:val="21"/>
              </w:rPr>
            </w:pPr>
            <w:r>
              <w:rPr>
                <w:rFonts w:hint="eastAsia" w:ascii="宋体" w:hAnsi="宋体" w:eastAsia="宋体" w:cs="宋体"/>
                <w:color w:val="auto"/>
                <w:sz w:val="21"/>
                <w:szCs w:val="21"/>
              </w:rPr>
              <w:t>壳架电流：</w:t>
            </w:r>
          </w:p>
        </w:tc>
        <w:tc>
          <w:tcPr>
            <w:tcW w:w="2500" w:type="pct"/>
            <w:noWrap w:val="0"/>
            <w:vAlign w:val="center"/>
          </w:tcPr>
          <w:p>
            <w:pPr>
              <w:pStyle w:val="50"/>
              <w:spacing w:before="62" w:line="240" w:lineRule="auto"/>
              <w:ind w:left="480" w:firstLine="420"/>
              <w:rPr>
                <w:rFonts w:hint="eastAsia" w:ascii="宋体" w:hAnsi="宋体" w:eastAsia="宋体" w:cs="宋体"/>
                <w:color w:val="auto"/>
                <w:sz w:val="21"/>
                <w:szCs w:val="21"/>
              </w:rPr>
            </w:pPr>
            <w:r>
              <w:rPr>
                <w:rFonts w:hint="eastAsia" w:ascii="宋体" w:hAnsi="宋体" w:eastAsia="宋体" w:cs="宋体"/>
                <w:color w:val="auto"/>
                <w:sz w:val="21"/>
                <w:szCs w:val="21"/>
              </w:rPr>
              <w:t>据实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2" w:hRule="atLeast"/>
        </w:trPr>
        <w:tc>
          <w:tcPr>
            <w:tcW w:w="2499" w:type="pct"/>
            <w:noWrap w:val="0"/>
            <w:vAlign w:val="center"/>
          </w:tcPr>
          <w:p>
            <w:pPr>
              <w:pStyle w:val="50"/>
              <w:spacing w:before="69" w:line="240" w:lineRule="auto"/>
              <w:ind w:left="480" w:firstLine="420"/>
              <w:rPr>
                <w:rFonts w:hint="eastAsia" w:ascii="宋体" w:hAnsi="宋体" w:eastAsia="宋体" w:cs="宋体"/>
                <w:color w:val="auto"/>
                <w:sz w:val="21"/>
                <w:szCs w:val="21"/>
              </w:rPr>
            </w:pPr>
            <w:r>
              <w:rPr>
                <w:rFonts w:hint="eastAsia" w:ascii="宋体" w:hAnsi="宋体" w:eastAsia="宋体" w:cs="宋体"/>
                <w:color w:val="auto"/>
                <w:sz w:val="21"/>
                <w:szCs w:val="21"/>
              </w:rPr>
              <w:t>整定电流：</w:t>
            </w:r>
          </w:p>
        </w:tc>
        <w:tc>
          <w:tcPr>
            <w:tcW w:w="2500" w:type="pct"/>
            <w:noWrap w:val="0"/>
            <w:vAlign w:val="center"/>
          </w:tcPr>
          <w:p>
            <w:pPr>
              <w:pStyle w:val="50"/>
              <w:spacing w:before="69" w:line="240" w:lineRule="auto"/>
              <w:ind w:left="480" w:firstLine="420"/>
              <w:rPr>
                <w:rFonts w:hint="eastAsia" w:ascii="宋体" w:hAnsi="宋体" w:eastAsia="宋体" w:cs="宋体"/>
                <w:color w:val="auto"/>
                <w:sz w:val="21"/>
                <w:szCs w:val="21"/>
              </w:rPr>
            </w:pPr>
            <w:r>
              <w:rPr>
                <w:rFonts w:hint="eastAsia" w:ascii="宋体" w:hAnsi="宋体" w:eastAsia="宋体" w:cs="宋体"/>
                <w:color w:val="auto"/>
                <w:sz w:val="21"/>
                <w:szCs w:val="21"/>
              </w:rPr>
              <w:t>据实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2" w:hRule="atLeast"/>
        </w:trPr>
        <w:tc>
          <w:tcPr>
            <w:tcW w:w="2499" w:type="pct"/>
            <w:noWrap w:val="0"/>
            <w:vAlign w:val="center"/>
          </w:tcPr>
          <w:p>
            <w:pPr>
              <w:pStyle w:val="50"/>
              <w:spacing w:before="79" w:line="240" w:lineRule="auto"/>
              <w:ind w:left="480" w:firstLine="420"/>
              <w:rPr>
                <w:rFonts w:hint="eastAsia" w:ascii="宋体" w:hAnsi="宋体" w:eastAsia="宋体" w:cs="宋体"/>
                <w:color w:val="auto"/>
                <w:sz w:val="21"/>
                <w:szCs w:val="21"/>
              </w:rPr>
            </w:pPr>
            <w:r>
              <w:rPr>
                <w:rFonts w:hint="eastAsia" w:ascii="宋体" w:hAnsi="宋体" w:eastAsia="宋体" w:cs="宋体"/>
                <w:color w:val="auto"/>
                <w:sz w:val="21"/>
                <w:szCs w:val="21"/>
              </w:rPr>
              <w:t>极限短路分断能力：</w:t>
            </w:r>
          </w:p>
        </w:tc>
        <w:tc>
          <w:tcPr>
            <w:tcW w:w="2500" w:type="pct"/>
            <w:noWrap w:val="0"/>
            <w:vAlign w:val="center"/>
          </w:tcPr>
          <w:p>
            <w:pPr>
              <w:pStyle w:val="50"/>
              <w:spacing w:before="59" w:line="240" w:lineRule="auto"/>
              <w:ind w:left="480" w:firstLine="420"/>
              <w:rPr>
                <w:rFonts w:hint="eastAsia" w:ascii="宋体" w:hAnsi="宋体" w:eastAsia="宋体" w:cs="宋体"/>
                <w:color w:val="auto"/>
                <w:sz w:val="21"/>
                <w:szCs w:val="21"/>
              </w:rPr>
            </w:pPr>
            <w:r>
              <w:rPr>
                <w:rFonts w:hint="eastAsia" w:ascii="宋体" w:hAnsi="宋体" w:eastAsia="宋体" w:cs="宋体"/>
                <w:color w:val="auto"/>
                <w:sz w:val="21"/>
                <w:szCs w:val="21"/>
              </w:rPr>
              <w:t>≥50kA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2" w:hRule="atLeast"/>
        </w:trPr>
        <w:tc>
          <w:tcPr>
            <w:tcW w:w="2499" w:type="pct"/>
            <w:noWrap w:val="0"/>
            <w:vAlign w:val="center"/>
          </w:tcPr>
          <w:p>
            <w:pPr>
              <w:pStyle w:val="50"/>
              <w:spacing w:before="71" w:line="240" w:lineRule="auto"/>
              <w:ind w:left="480" w:firstLine="420"/>
              <w:rPr>
                <w:rFonts w:hint="eastAsia" w:ascii="宋体" w:hAnsi="宋体" w:eastAsia="宋体" w:cs="宋体"/>
                <w:color w:val="auto"/>
                <w:sz w:val="21"/>
                <w:szCs w:val="21"/>
              </w:rPr>
            </w:pPr>
            <w:r>
              <w:rPr>
                <w:rFonts w:hint="eastAsia" w:ascii="宋体" w:hAnsi="宋体" w:eastAsia="宋体" w:cs="宋体"/>
                <w:color w:val="auto"/>
                <w:sz w:val="21"/>
                <w:szCs w:val="21"/>
              </w:rPr>
              <w:t>全分段时间：</w:t>
            </w:r>
          </w:p>
        </w:tc>
        <w:tc>
          <w:tcPr>
            <w:tcW w:w="2500" w:type="pct"/>
            <w:noWrap w:val="0"/>
            <w:vAlign w:val="center"/>
          </w:tcPr>
          <w:p>
            <w:pPr>
              <w:pStyle w:val="50"/>
              <w:spacing w:before="51" w:line="240" w:lineRule="auto"/>
              <w:ind w:left="480" w:firstLine="420"/>
              <w:rPr>
                <w:rFonts w:hint="eastAsia" w:ascii="宋体" w:hAnsi="宋体" w:eastAsia="宋体" w:cs="宋体"/>
                <w:color w:val="auto"/>
                <w:sz w:val="21"/>
                <w:szCs w:val="21"/>
              </w:rPr>
            </w:pPr>
            <w:r>
              <w:rPr>
                <w:rFonts w:hint="eastAsia" w:ascii="宋体" w:hAnsi="宋体" w:eastAsia="宋体" w:cs="宋体"/>
                <w:color w:val="auto"/>
                <w:sz w:val="21"/>
                <w:szCs w:val="21"/>
              </w:rPr>
              <w:t>≤30ms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2" w:hRule="atLeast"/>
        </w:trPr>
        <w:tc>
          <w:tcPr>
            <w:tcW w:w="2499" w:type="pct"/>
            <w:noWrap w:val="0"/>
            <w:vAlign w:val="center"/>
          </w:tcPr>
          <w:p>
            <w:pPr>
              <w:pStyle w:val="50"/>
              <w:spacing w:before="71" w:line="240" w:lineRule="auto"/>
              <w:ind w:left="480" w:firstLine="420"/>
              <w:rPr>
                <w:rFonts w:hint="eastAsia" w:ascii="宋体" w:hAnsi="宋体" w:eastAsia="宋体" w:cs="宋体"/>
                <w:color w:val="auto"/>
                <w:sz w:val="21"/>
                <w:szCs w:val="21"/>
              </w:rPr>
            </w:pPr>
            <w:r>
              <w:rPr>
                <w:rFonts w:hint="eastAsia" w:ascii="宋体" w:hAnsi="宋体" w:eastAsia="宋体" w:cs="宋体"/>
                <w:color w:val="auto"/>
                <w:sz w:val="21"/>
                <w:szCs w:val="21"/>
              </w:rPr>
              <w:t>合闸时间：</w:t>
            </w:r>
          </w:p>
        </w:tc>
        <w:tc>
          <w:tcPr>
            <w:tcW w:w="2500" w:type="pct"/>
            <w:noWrap w:val="0"/>
            <w:vAlign w:val="center"/>
          </w:tcPr>
          <w:p>
            <w:pPr>
              <w:pStyle w:val="50"/>
              <w:spacing w:before="51" w:line="240" w:lineRule="auto"/>
              <w:ind w:left="480" w:firstLine="420"/>
              <w:rPr>
                <w:rFonts w:hint="eastAsia" w:ascii="宋体" w:hAnsi="宋体" w:eastAsia="宋体" w:cs="宋体"/>
                <w:color w:val="auto"/>
                <w:sz w:val="21"/>
                <w:szCs w:val="21"/>
              </w:rPr>
            </w:pPr>
            <w:r>
              <w:rPr>
                <w:rFonts w:hint="eastAsia" w:ascii="宋体" w:hAnsi="宋体" w:eastAsia="宋体" w:cs="宋体"/>
                <w:color w:val="auto"/>
                <w:sz w:val="21"/>
                <w:szCs w:val="21"/>
              </w:rPr>
              <w:t>≤70ms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2" w:hRule="atLeast"/>
        </w:trPr>
        <w:tc>
          <w:tcPr>
            <w:tcW w:w="2499" w:type="pct"/>
            <w:noWrap w:val="0"/>
            <w:vAlign w:val="center"/>
          </w:tcPr>
          <w:p>
            <w:pPr>
              <w:pStyle w:val="50"/>
              <w:spacing w:before="71" w:line="240" w:lineRule="auto"/>
              <w:ind w:left="480" w:firstLine="420"/>
              <w:rPr>
                <w:rFonts w:hint="eastAsia" w:ascii="宋体" w:hAnsi="宋体" w:eastAsia="宋体" w:cs="宋体"/>
                <w:color w:val="auto"/>
                <w:sz w:val="21"/>
                <w:szCs w:val="21"/>
              </w:rPr>
            </w:pPr>
            <w:r>
              <w:rPr>
                <w:rFonts w:hint="eastAsia" w:ascii="宋体" w:hAnsi="宋体" w:eastAsia="宋体" w:cs="宋体"/>
                <w:color w:val="auto"/>
                <w:sz w:val="21"/>
                <w:szCs w:val="21"/>
              </w:rPr>
              <w:t>过载保护整定电流：</w:t>
            </w:r>
          </w:p>
        </w:tc>
        <w:tc>
          <w:tcPr>
            <w:tcW w:w="2500" w:type="pct"/>
            <w:noWrap w:val="0"/>
            <w:vAlign w:val="center"/>
          </w:tcPr>
          <w:p>
            <w:pPr>
              <w:pStyle w:val="50"/>
              <w:spacing w:before="51" w:line="240" w:lineRule="auto"/>
              <w:ind w:left="480" w:firstLine="462"/>
              <w:rPr>
                <w:rFonts w:hint="eastAsia" w:ascii="宋体" w:hAnsi="宋体" w:eastAsia="宋体" w:cs="宋体"/>
                <w:color w:val="auto"/>
                <w:sz w:val="21"/>
                <w:szCs w:val="21"/>
              </w:rPr>
            </w:pPr>
            <w:r>
              <w:rPr>
                <w:rFonts w:hint="eastAsia" w:ascii="宋体" w:hAnsi="宋体" w:eastAsia="宋体" w:cs="宋体"/>
                <w:color w:val="auto"/>
                <w:w w:val="110"/>
                <w:sz w:val="21"/>
                <w:szCs w:val="21"/>
              </w:rPr>
              <w:t>（0.5～1）In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2" w:hRule="atLeast"/>
        </w:trPr>
        <w:tc>
          <w:tcPr>
            <w:tcW w:w="2499" w:type="pct"/>
            <w:noWrap w:val="0"/>
            <w:vAlign w:val="center"/>
          </w:tcPr>
          <w:p>
            <w:pPr>
              <w:pStyle w:val="50"/>
              <w:spacing w:before="71" w:line="240" w:lineRule="auto"/>
              <w:ind w:left="480" w:firstLine="420"/>
              <w:rPr>
                <w:rFonts w:hint="eastAsia" w:ascii="宋体" w:hAnsi="宋体" w:eastAsia="宋体" w:cs="宋体"/>
                <w:color w:val="auto"/>
                <w:sz w:val="21"/>
                <w:szCs w:val="21"/>
              </w:rPr>
            </w:pPr>
            <w:r>
              <w:rPr>
                <w:rFonts w:hint="eastAsia" w:ascii="宋体" w:hAnsi="宋体" w:eastAsia="宋体" w:cs="宋体"/>
                <w:color w:val="auto"/>
                <w:sz w:val="21"/>
                <w:szCs w:val="21"/>
              </w:rPr>
              <w:t>短路瞬时保护整定电流：</w:t>
            </w:r>
          </w:p>
        </w:tc>
        <w:tc>
          <w:tcPr>
            <w:tcW w:w="2500" w:type="pct"/>
            <w:noWrap w:val="0"/>
            <w:vAlign w:val="center"/>
          </w:tcPr>
          <w:p>
            <w:pPr>
              <w:pStyle w:val="50"/>
              <w:spacing w:before="51" w:line="240" w:lineRule="auto"/>
              <w:ind w:left="480" w:firstLine="420"/>
              <w:rPr>
                <w:rFonts w:hint="eastAsia" w:ascii="宋体" w:hAnsi="宋体" w:eastAsia="宋体" w:cs="宋体"/>
                <w:color w:val="auto"/>
                <w:sz w:val="21"/>
                <w:szCs w:val="21"/>
              </w:rPr>
            </w:pPr>
            <w:r>
              <w:rPr>
                <w:rFonts w:hint="eastAsia" w:ascii="宋体" w:hAnsi="宋体" w:eastAsia="宋体" w:cs="宋体"/>
                <w:color w:val="auto"/>
                <w:w w:val="110"/>
                <w:sz w:val="21"/>
                <w:szCs w:val="21"/>
              </w:rPr>
              <w:t>（</w:t>
            </w:r>
            <w:r>
              <w:rPr>
                <w:rFonts w:hint="eastAsia" w:ascii="宋体" w:hAnsi="宋体" w:eastAsia="宋体" w:cs="宋体"/>
                <w:color w:val="auto"/>
                <w:w w:val="110"/>
                <w:sz w:val="21"/>
                <w:szCs w:val="21"/>
                <w:lang w:val="en-US" w:eastAsia="zh-CN"/>
              </w:rPr>
              <w:t>1</w:t>
            </w:r>
            <w:r>
              <w:rPr>
                <w:rFonts w:hint="eastAsia" w:ascii="宋体" w:hAnsi="宋体" w:eastAsia="宋体" w:cs="宋体"/>
                <w:color w:val="auto"/>
                <w:w w:val="110"/>
                <w:sz w:val="21"/>
                <w:szCs w:val="21"/>
              </w:rPr>
              <w:t>.5～1）In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2" w:hRule="atLeast"/>
        </w:trPr>
        <w:tc>
          <w:tcPr>
            <w:tcW w:w="2499" w:type="pct"/>
            <w:noWrap w:val="0"/>
            <w:vAlign w:val="center"/>
          </w:tcPr>
          <w:p>
            <w:pPr>
              <w:pStyle w:val="50"/>
              <w:spacing w:before="71" w:line="240" w:lineRule="auto"/>
              <w:ind w:left="480" w:firstLine="420"/>
              <w:rPr>
                <w:rFonts w:hint="eastAsia" w:ascii="宋体" w:hAnsi="宋体" w:eastAsia="宋体" w:cs="宋体"/>
                <w:color w:val="auto"/>
                <w:sz w:val="21"/>
                <w:szCs w:val="21"/>
              </w:rPr>
            </w:pPr>
            <w:r>
              <w:rPr>
                <w:rFonts w:hint="eastAsia" w:ascii="宋体" w:hAnsi="宋体" w:eastAsia="宋体" w:cs="宋体"/>
                <w:color w:val="auto"/>
                <w:sz w:val="21"/>
                <w:szCs w:val="21"/>
              </w:rPr>
              <w:t>电气寿命：</w:t>
            </w:r>
          </w:p>
        </w:tc>
        <w:tc>
          <w:tcPr>
            <w:tcW w:w="2500" w:type="pct"/>
            <w:noWrap w:val="0"/>
            <w:vAlign w:val="center"/>
          </w:tcPr>
          <w:p>
            <w:pPr>
              <w:pStyle w:val="50"/>
              <w:spacing w:before="51" w:line="240" w:lineRule="auto"/>
              <w:ind w:left="480" w:firstLine="420"/>
              <w:rPr>
                <w:rFonts w:hint="eastAsia" w:ascii="宋体" w:hAnsi="宋体" w:eastAsia="宋体" w:cs="宋体"/>
                <w:color w:val="auto"/>
                <w:sz w:val="21"/>
                <w:szCs w:val="21"/>
              </w:rPr>
            </w:pPr>
            <w:r>
              <w:rPr>
                <w:rFonts w:hint="eastAsia" w:ascii="宋体" w:hAnsi="宋体" w:eastAsia="宋体" w:cs="宋体"/>
                <w:color w:val="auto"/>
                <w:sz w:val="21"/>
                <w:szCs w:val="21"/>
              </w:rPr>
              <w:t>8000 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2" w:hRule="atLeast"/>
        </w:trPr>
        <w:tc>
          <w:tcPr>
            <w:tcW w:w="2499" w:type="pct"/>
            <w:noWrap w:val="0"/>
            <w:vAlign w:val="center"/>
          </w:tcPr>
          <w:p>
            <w:pPr>
              <w:pStyle w:val="50"/>
              <w:spacing w:before="71" w:line="240" w:lineRule="auto"/>
              <w:ind w:left="480" w:firstLine="420"/>
              <w:rPr>
                <w:rFonts w:hint="eastAsia" w:ascii="宋体" w:hAnsi="宋体" w:eastAsia="宋体" w:cs="宋体"/>
                <w:color w:val="auto"/>
                <w:sz w:val="21"/>
                <w:szCs w:val="21"/>
              </w:rPr>
            </w:pPr>
            <w:r>
              <w:rPr>
                <w:rFonts w:hint="eastAsia" w:ascii="宋体" w:hAnsi="宋体" w:eastAsia="宋体" w:cs="宋体"/>
                <w:color w:val="auto"/>
                <w:sz w:val="21"/>
                <w:szCs w:val="21"/>
              </w:rPr>
              <w:t>机械寿命：</w:t>
            </w:r>
          </w:p>
        </w:tc>
        <w:tc>
          <w:tcPr>
            <w:tcW w:w="2500" w:type="pct"/>
            <w:noWrap w:val="0"/>
            <w:vAlign w:val="center"/>
          </w:tcPr>
          <w:p>
            <w:pPr>
              <w:pStyle w:val="50"/>
              <w:spacing w:before="51" w:line="240" w:lineRule="auto"/>
              <w:ind w:left="480" w:firstLine="420"/>
              <w:rPr>
                <w:rFonts w:hint="eastAsia" w:ascii="宋体" w:hAnsi="宋体" w:eastAsia="宋体" w:cs="宋体"/>
                <w:color w:val="auto"/>
                <w:sz w:val="21"/>
                <w:szCs w:val="21"/>
              </w:rPr>
            </w:pPr>
            <w:r>
              <w:rPr>
                <w:rFonts w:hint="eastAsia" w:ascii="宋体" w:hAnsi="宋体" w:eastAsia="宋体" w:cs="宋体"/>
                <w:color w:val="auto"/>
                <w:sz w:val="21"/>
                <w:szCs w:val="21"/>
              </w:rPr>
              <w:t>20000 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2" w:hRule="atLeast"/>
        </w:trPr>
        <w:tc>
          <w:tcPr>
            <w:tcW w:w="2499" w:type="pct"/>
            <w:noWrap w:val="0"/>
            <w:vAlign w:val="center"/>
          </w:tcPr>
          <w:p>
            <w:pPr>
              <w:pStyle w:val="50"/>
              <w:spacing w:before="62" w:line="240" w:lineRule="auto"/>
              <w:ind w:left="480" w:firstLine="420"/>
              <w:rPr>
                <w:rFonts w:hint="eastAsia" w:ascii="宋体" w:hAnsi="宋体" w:eastAsia="宋体" w:cs="宋体"/>
                <w:color w:val="auto"/>
                <w:sz w:val="21"/>
                <w:szCs w:val="21"/>
              </w:rPr>
            </w:pPr>
            <w:r>
              <w:rPr>
                <w:rFonts w:hint="eastAsia" w:ascii="宋体" w:hAnsi="宋体" w:eastAsia="宋体" w:cs="宋体"/>
                <w:color w:val="auto"/>
                <w:sz w:val="21"/>
                <w:szCs w:val="21"/>
              </w:rPr>
              <w:t>脱扣器：</w:t>
            </w:r>
          </w:p>
        </w:tc>
        <w:tc>
          <w:tcPr>
            <w:tcW w:w="2500" w:type="pct"/>
            <w:noWrap w:val="0"/>
            <w:vAlign w:val="center"/>
          </w:tcPr>
          <w:p>
            <w:pPr>
              <w:pStyle w:val="50"/>
              <w:spacing w:before="62" w:line="240" w:lineRule="auto"/>
              <w:ind w:left="480" w:firstLine="420"/>
              <w:rPr>
                <w:rFonts w:hint="eastAsia" w:ascii="宋体" w:hAnsi="宋体" w:eastAsia="宋体" w:cs="宋体"/>
                <w:color w:val="auto"/>
                <w:sz w:val="21"/>
                <w:szCs w:val="21"/>
              </w:rPr>
            </w:pPr>
            <w:r>
              <w:rPr>
                <w:rFonts w:hint="eastAsia" w:ascii="宋体" w:hAnsi="宋体" w:eastAsia="宋体" w:cs="宋体"/>
                <w:color w:val="auto"/>
                <w:sz w:val="21"/>
                <w:szCs w:val="21"/>
              </w:rPr>
              <w:t>智能型（三段式保护）</w:t>
            </w:r>
          </w:p>
        </w:tc>
      </w:tr>
    </w:tbl>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框架断路器采用电子微处理器脱扣器，液晶显示，中文菜单操作及参数整定,能显示电流、电压、开关位置信号、故障信息等。框架断路器采用电动并可手动操作。框架断路器采用三段保护，配置通讯模块，实现“三遥”功能。</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2)进线开关柜需配置三相综合多功能数显表。母联及馈线开关柜需配置三相电流数显表，能显示电流等信息。</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3)塑壳断路器采用手动操作，配电子脱扣器，应具备瞬时脱扣、短延时脱扣、长延时脱扣三段保护。</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4)抽屉柜出线单元为抽出式，采用面板旋转手柄操作方式，塑壳断路器为固定式断路器，框架断路器为抽出式断路器。固定分隔柜内断路器采用抽出式或插拔式断路器。固定柜内断路器采用固定式。</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抽屉柜断路器应有三个明显的位置：运行位置、试验位置、分离位置。本体（动触头）插入断路器底座（静触头）后，在断路器处于分闸状态时，断路器可视为试验位置；本体（动触头）拨出断路器底座（静触头）后，为分离位置，并形成明显断开点。</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6)塑壳断路器的位置应与面板有可靠闭锁，在断路器处于合闸位置时，严禁打开面板进行工作。</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7)断路器位置指示可采用双色位置指示灯，也可借助于操作手柄的位置变化加以识别。</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8)断路器的辅助电路的插接件应跟随断路器的动作自动地接通和分离。</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框架断路器及抽屉单元内的塑壳断路器，在分闸后，即使断路器上口带电，也能直接或借助于工具安全地将断路器本体从断路器固定装置上移除。</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低压断路器在箱变就地可进行分、合闸操作</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低压断路器可实现速断、过流、单相接地等保护功能。其分合闸状态和故障跳闸状态应有信号上传，并提供 2 对（其中 2 常开，2 常闭）辅助触头接点。断路器脱扣线圈和合闸线圈应预留供远程控制用的接口。断路器应有无源加热低温试验报告，其它技术特性应符合国标要求。</w:t>
      </w:r>
    </w:p>
    <w:p>
      <w:pPr>
        <w:spacing w:line="360" w:lineRule="auto"/>
        <w:ind w:firstLine="480" w:firstLineChars="200"/>
        <w:rPr>
          <w:rFonts w:hint="eastAsia" w:ascii="宋体" w:hAnsi="宋体" w:eastAsia="宋体" w:cs="宋体"/>
          <w:color w:val="auto"/>
          <w:sz w:val="24"/>
          <w:szCs w:val="24"/>
        </w:rPr>
      </w:pPr>
      <w:r>
        <w:rPr>
          <w:rFonts w:hint="eastAsia" w:ascii="宋体" w:hAnsi="宋体" w:cs="宋体"/>
          <w:color w:val="auto"/>
          <w:sz w:val="24"/>
          <w:szCs w:val="24"/>
          <w:lang w:val="en-US" w:eastAsia="zh-CN"/>
        </w:rPr>
        <w:t>b</w:t>
      </w:r>
      <w:r>
        <w:rPr>
          <w:rFonts w:hint="eastAsia" w:ascii="宋体" w:hAnsi="宋体" w:eastAsia="宋体" w:cs="宋体"/>
          <w:color w:val="auto"/>
          <w:sz w:val="24"/>
          <w:szCs w:val="24"/>
        </w:rPr>
        <w:t>.低压室其他技术要求</w:t>
      </w:r>
    </w:p>
    <w:p>
      <w:pPr>
        <w:spacing w:line="360" w:lineRule="auto"/>
        <w:ind w:firstLine="482" w:firstLineChars="200"/>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柜体型号：GGD型交流低压配电柜</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母排布置达到连接可靠、安装方便，保证安全距离的要求。</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低压室门锁拉杆材料应选用有足够强度的材料。二次布线合理、规范、牢固。低压设备的允许温升值应满足 GB7251 的规定。</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低压室在门打开时导电体不能裸露。</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低压侧电流互感器：变比据实。</w:t>
      </w:r>
    </w:p>
    <w:p>
      <w:pPr>
        <w:spacing w:line="360" w:lineRule="auto"/>
        <w:ind w:firstLine="420" w:firstLineChars="200"/>
        <w:rPr>
          <w:rFonts w:hint="eastAsia" w:ascii="宋体" w:hAnsi="宋体" w:eastAsia="宋体" w:cs="宋体"/>
          <w:color w:val="auto"/>
          <w:sz w:val="24"/>
          <w:szCs w:val="24"/>
          <w:lang w:val="en-US" w:eastAsia="zh-CN"/>
        </w:rPr>
      </w:pPr>
      <w:r>
        <w:rPr>
          <w:rFonts w:hint="default" w:ascii="宋体" w:hAnsi="宋体" w:cs="宋体"/>
          <w:color w:val="auto"/>
        </w:rPr>
        <w:t>箱变建议采用固定式低压配电柜，需按GB 50054-2011《低压配电设计规范》要求满足操作空间</w:t>
      </w:r>
      <w:r>
        <w:rPr>
          <w:rFonts w:hint="eastAsia" w:ascii="宋体" w:hAnsi="宋体" w:cs="宋体"/>
          <w:color w:val="auto"/>
          <w:lang w:eastAsia="zh-CN"/>
        </w:rPr>
        <w:t>。</w:t>
      </w:r>
    </w:p>
    <w:p>
      <w:pPr>
        <w:spacing w:line="360" w:lineRule="auto"/>
        <w:ind w:firstLine="0" w:firstLineChars="0"/>
        <w:rPr>
          <w:rFonts w:hint="default" w:ascii="宋体" w:hAnsi="宋体" w:eastAsia="宋体" w:cs="宋体"/>
          <w:color w:val="auto"/>
          <w:sz w:val="24"/>
          <w:szCs w:val="24"/>
          <w:lang w:val="en-US"/>
        </w:rPr>
      </w:pPr>
      <w:r>
        <w:rPr>
          <w:rFonts w:hint="eastAsia" w:eastAsia="仿宋_GB2312"/>
          <w:bCs/>
          <w:color w:val="auto"/>
          <w:sz w:val="32"/>
          <w:szCs w:val="32"/>
          <w:highlight w:val="none"/>
          <w:lang w:val="en-US" w:eastAsia="zh-CN"/>
        </w:rPr>
        <w:drawing>
          <wp:inline distT="0" distB="0" distL="114300" distR="114300">
            <wp:extent cx="5273040" cy="2993390"/>
            <wp:effectExtent l="0" t="0" r="3810" b="16510"/>
            <wp:docPr id="11" name="图片 11" descr="1754275155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1754275155755"/>
                    <pic:cNvPicPr>
                      <a:picLocks noChangeAspect="1"/>
                    </pic:cNvPicPr>
                  </pic:nvPicPr>
                  <pic:blipFill>
                    <a:blip r:embed="rId8"/>
                    <a:stretch>
                      <a:fillRect/>
                    </a:stretch>
                  </pic:blipFill>
                  <pic:spPr>
                    <a:xfrm>
                      <a:off x="0" y="0"/>
                      <a:ext cx="5273040" cy="2993390"/>
                    </a:xfrm>
                    <a:prstGeom prst="rect">
                      <a:avLst/>
                    </a:prstGeom>
                  </pic:spPr>
                </pic:pic>
              </a:graphicData>
            </a:graphic>
          </wp:inline>
        </w:drawing>
      </w:r>
    </w:p>
    <w:p>
      <w:pPr>
        <w:spacing w:line="360" w:lineRule="auto"/>
        <w:ind w:firstLine="480" w:firstLineChars="200"/>
        <w:rPr>
          <w:rFonts w:hint="eastAsia" w:ascii="宋体" w:hAnsi="宋体" w:eastAsia="宋体" w:cs="宋体"/>
          <w:color w:val="auto"/>
          <w:sz w:val="24"/>
          <w:szCs w:val="24"/>
        </w:rPr>
      </w:pPr>
      <w:r>
        <w:rPr>
          <w:rFonts w:hint="eastAsia" w:ascii="宋体" w:hAnsi="宋体" w:cs="宋体"/>
          <w:color w:val="auto"/>
          <w:sz w:val="24"/>
          <w:szCs w:val="24"/>
          <w:lang w:val="en-US" w:eastAsia="zh-CN"/>
        </w:rPr>
        <w:t>c</w:t>
      </w:r>
      <w:r>
        <w:rPr>
          <w:rFonts w:hint="eastAsia" w:ascii="宋体" w:hAnsi="宋体" w:eastAsia="宋体" w:cs="宋体"/>
          <w:color w:val="auto"/>
          <w:sz w:val="24"/>
          <w:szCs w:val="24"/>
        </w:rPr>
        <w:t>.箱体要求</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箱体：箱壳应采用高素质的冷轧钢板，双面喷塑，厚度不小于 2mm，具有抗暴晒、不易导热、阻燃、抗风化腐蚀及抗机械冲击等特点。箱体金属框架均应有良好的接地，有接地端子，并标有接地符号。箱体金属结构应电气连通，具有电磁屏蔽能力。箱体材质及结构需保证在本工程条件下正常使用 25 年。</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箱变壳体的防护等级为 IP65。低压母排采用绝缘套密封。</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箱体应有足够的机械强度，在运输、安装中不发生变形。外壳油漆喷涂均匀，抗暴晒、抗腐蚀，并有牢固的附着力。</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箱体金属框架均应有良好的接地，有接地端子，并标有接地符号。</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箱壳门应向外开，开启角度应大于90°，并设定位装置。箱式变应装有把手、暗闩和能防雨、防堵、防锈的暗锁。</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预制箱式变电站内部的操作通道宽度应适于进行任何操作和维护，该通道的宽度应不低于800mm，门在任意开启位置或开关设备和控制设备突出的机械传动装置不应将通道的宽度减小到 500mm 以下。</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箱式变压器的噪音水平不应大于规范规定的变压器噪音水平。箱体顶盖的倾斜度不应小于 3°。</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箱体设计应考虑防潮及避免内部元件发生凝露的措施。</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箱式变的箱体应设专用接地体，该接地导体上应设有与接地网相连的固定连接端子，其数量不少于两个，并应有明显的接地标志。接地端子为直径不小于 12mm²的铜质螺栓。</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箱式变的金属骨架、高、低配电装置及变压器部分的金属支架均应有符合技术条件的接地端子，并与专用接地导体可靠地连接在一起。箱式变高、低压配电装置及变压器部分的专用接地导体应相互联接，否则应通过专用的端子可靠地连接在一起，箱式变的所有高、低压设备的非带电金属裸露部分均应可靠接地，门及在正常运行条件下可抽出部分应保证在打开或隔离位置时仍可靠接地。</w:t>
      </w:r>
    </w:p>
    <w:p>
      <w:pPr>
        <w:pStyle w:val="3"/>
        <w:numPr>
          <w:ilvl w:val="0"/>
          <w:numId w:val="0"/>
        </w:numPr>
        <w:adjustRightInd w:val="0"/>
        <w:snapToGrid w:val="0"/>
        <w:spacing w:before="0" w:after="0" w:line="360" w:lineRule="auto"/>
        <w:ind w:left="0" w:leftChars="0" w:firstLine="0" w:firstLineChars="0"/>
        <w:outlineLvl w:val="1"/>
        <w:rPr>
          <w:rFonts w:hint="eastAsia" w:ascii="宋体" w:hAnsi="宋体" w:eastAsia="宋体" w:cs="宋体"/>
          <w:b/>
          <w:bCs w:val="0"/>
          <w:color w:val="auto"/>
          <w:sz w:val="24"/>
          <w:szCs w:val="24"/>
          <w:lang w:val="en-US" w:eastAsia="zh-CN"/>
        </w:rPr>
      </w:pPr>
      <w:bookmarkStart w:id="120" w:name="_Toc27768"/>
      <w:bookmarkStart w:id="121" w:name="_Toc18538"/>
      <w:bookmarkStart w:id="122" w:name="_Toc1557"/>
      <w:bookmarkStart w:id="123" w:name="_Toc32514"/>
      <w:bookmarkStart w:id="124" w:name="_Toc24684"/>
      <w:r>
        <w:rPr>
          <w:rFonts w:hint="eastAsia" w:ascii="宋体" w:hAnsi="宋体" w:cs="宋体"/>
          <w:b/>
          <w:bCs w:val="0"/>
          <w:color w:val="auto"/>
          <w:sz w:val="24"/>
          <w:szCs w:val="24"/>
          <w:lang w:val="en-US" w:eastAsia="zh-CN"/>
        </w:rPr>
        <w:t>8</w:t>
      </w:r>
      <w:r>
        <w:rPr>
          <w:rFonts w:hint="eastAsia" w:ascii="宋体" w:hAnsi="宋体" w:eastAsia="宋体" w:cs="宋体"/>
          <w:b/>
          <w:bCs w:val="0"/>
          <w:color w:val="auto"/>
          <w:sz w:val="24"/>
          <w:szCs w:val="24"/>
          <w:lang w:val="en-US" w:eastAsia="zh-CN"/>
        </w:rPr>
        <w:t>. 低压电力电缆</w:t>
      </w:r>
      <w:bookmarkEnd w:id="120"/>
      <w:r>
        <w:rPr>
          <w:rFonts w:hint="eastAsia" w:ascii="宋体" w:hAnsi="宋体" w:eastAsia="宋体" w:cs="宋体"/>
          <w:b/>
          <w:bCs w:val="0"/>
          <w:color w:val="auto"/>
          <w:sz w:val="24"/>
          <w:szCs w:val="24"/>
          <w:lang w:val="en-US" w:eastAsia="zh-CN"/>
        </w:rPr>
        <w:t>技术要求</w:t>
      </w:r>
      <w:bookmarkEnd w:id="121"/>
      <w:bookmarkEnd w:id="122"/>
      <w:bookmarkEnd w:id="123"/>
      <w:bookmarkEnd w:id="124"/>
    </w:p>
    <w:p>
      <w:pPr>
        <w:pStyle w:val="4"/>
        <w:numPr>
          <w:ilvl w:val="2"/>
          <w:numId w:val="0"/>
        </w:numPr>
        <w:adjustRightInd w:val="0"/>
        <w:snapToGrid w:val="0"/>
        <w:spacing w:before="156" w:beforeLines="50" w:after="156" w:afterLines="50" w:line="360" w:lineRule="auto"/>
        <w:ind w:left="0" w:leftChars="0" w:firstLine="0" w:firstLineChars="0"/>
        <w:outlineLvl w:val="2"/>
        <w:rPr>
          <w:rFonts w:hint="eastAsia" w:ascii="宋体" w:hAnsi="宋体" w:eastAsia="宋体" w:cs="宋体"/>
          <w:b/>
          <w:bCs w:val="0"/>
          <w:color w:val="auto"/>
          <w:sz w:val="24"/>
          <w:szCs w:val="24"/>
          <w:lang w:val="en-US" w:eastAsia="zh-CN"/>
        </w:rPr>
      </w:pPr>
      <w:bookmarkStart w:id="125" w:name="_Toc10006"/>
      <w:bookmarkStart w:id="126" w:name="_Toc28676"/>
      <w:bookmarkStart w:id="127" w:name="_Toc14985"/>
      <w:bookmarkStart w:id="128" w:name="_Toc22162"/>
      <w:r>
        <w:rPr>
          <w:rFonts w:hint="eastAsia" w:ascii="宋体" w:eastAsia="宋体" w:cs="宋体"/>
          <w:b/>
          <w:bCs w:val="0"/>
          <w:color w:val="auto"/>
          <w:sz w:val="24"/>
          <w:szCs w:val="24"/>
          <w:lang w:val="en-US" w:eastAsia="zh-CN"/>
        </w:rPr>
        <w:t>8</w:t>
      </w:r>
      <w:r>
        <w:rPr>
          <w:rFonts w:hint="eastAsia" w:ascii="宋体" w:hAnsi="宋体" w:eastAsia="宋体" w:cs="宋体"/>
          <w:b/>
          <w:bCs w:val="0"/>
          <w:color w:val="auto"/>
          <w:sz w:val="24"/>
          <w:szCs w:val="24"/>
          <w:lang w:val="en-US" w:eastAsia="zh-CN"/>
        </w:rPr>
        <w:t>.1 1kV电缆技术参数和性能要求</w:t>
      </w:r>
      <w:bookmarkEnd w:id="125"/>
      <w:bookmarkEnd w:id="126"/>
      <w:bookmarkEnd w:id="127"/>
      <w:bookmarkEnd w:id="128"/>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（1）运行条件</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1）系统标称电压和频率：</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a）0.6/1</w:t>
      </w:r>
      <w:r>
        <w:rPr>
          <w:rFonts w:hint="eastAsia" w:ascii="宋体" w:hAnsi="宋体" w:eastAsia="宋体" w:cs="宋体"/>
          <w:color w:val="auto"/>
          <w:sz w:val="24"/>
          <w:szCs w:val="24"/>
          <w:lang w:eastAsia="zh-CN"/>
        </w:rPr>
        <w:t>kV</w:t>
      </w:r>
      <w:r>
        <w:rPr>
          <w:rFonts w:hint="eastAsia" w:ascii="宋体" w:hAnsi="宋体" w:eastAsia="宋体" w:cs="宋体"/>
          <w:color w:val="auto"/>
          <w:sz w:val="24"/>
          <w:szCs w:val="24"/>
        </w:rPr>
        <w:t>，50Hz</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b）系统接地方式：中性点不接地系统。</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（2）环境条件</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环境温度：0℃～+</w:t>
      </w:r>
      <w:r>
        <w:rPr>
          <w:rFonts w:hint="eastAsia" w:ascii="宋体" w:hAnsi="宋体" w:cs="宋体"/>
          <w:color w:val="auto"/>
          <w:sz w:val="24"/>
          <w:szCs w:val="24"/>
          <w:lang w:val="en-US" w:eastAsia="zh-CN"/>
        </w:rPr>
        <w:t>6</w:t>
      </w:r>
      <w:r>
        <w:rPr>
          <w:rFonts w:hint="eastAsia" w:ascii="宋体" w:hAnsi="宋体" w:eastAsia="宋体" w:cs="宋体"/>
          <w:color w:val="auto"/>
          <w:sz w:val="24"/>
          <w:szCs w:val="24"/>
        </w:rPr>
        <w:t>0℃。</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（3）敷设条件</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敷设环境有直埋、管槽、排管、沟道、隧道、桥架、竖井等多种方式。地下敷设时电缆局部不能完全浸于水中。</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 （4）运行要求</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1）电缆导体的长期最高额定温度：交联聚氯乙烯为90℃。</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2）短路时（不小于5S）电缆导体的最高温度不超过：交联聚氯乙烯为250℃。</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3）电缆最小弯曲半径应满足：多芯电缆≤12D。其中D为电缆外径。</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4）电缆地下敷设时需满足局部可能完全浸于水中的运行要求。</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（5）技术要求</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本次采购的0.6/1</w:t>
      </w:r>
      <w:r>
        <w:rPr>
          <w:rFonts w:hint="eastAsia" w:ascii="宋体" w:hAnsi="宋体" w:eastAsia="宋体" w:cs="宋体"/>
          <w:color w:val="auto"/>
          <w:sz w:val="24"/>
          <w:szCs w:val="24"/>
          <w:lang w:eastAsia="zh-CN"/>
        </w:rPr>
        <w:t>kV</w:t>
      </w:r>
      <w:r>
        <w:rPr>
          <w:rFonts w:hint="eastAsia" w:ascii="宋体" w:hAnsi="宋体" w:eastAsia="宋体" w:cs="宋体"/>
          <w:color w:val="auto"/>
          <w:sz w:val="24"/>
          <w:szCs w:val="24"/>
        </w:rPr>
        <w:t>电力电缆，其技术参数除应符合GB/T 12706.1-2020的要求以外，还应满足以下要求。</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1）导体</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导体表面应光洁、无油污、无损伤绝缘的毛刺、锐边，无凸起或断裂的单线，并符合GB/T3956-2008标准。</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2）绝缘</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聚乙稀电力电缆绝缘层应为挤包制成，交联聚乙烯电力电缆绝缘层应为添加交联剂后挤包交联而成。绝缘标称厚度应符合GB/T 12706.1-2008的规定，绝缘层的横断面上应无目力可见的气泡和沙眼等缺陷，禁止使用翻新料。</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3）铠装</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钢带铠装应采用双层镀锌钢带，钢带应采用具有商品质量认可的热轧或冷轧钢带，绕包应圆整光滑。</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4）外护层</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电力电缆的外护套性能符合现行国家标准要求。</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5）成品电缆标志</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成品电缆的表面应连续、清晰地印刷厂名、型号规格、电压、制造年份、计米长度标志。</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6）电缆盘</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投标人应用铁木结构电缆盘。电缆盘应能承受所有在运输，现场搬运或在任何气象条件下户外至少储存3年期间可能遭受的外力作用。并且电缆盘应承受在安装或处理电缆时所可能遭受的外作用力不会损伤电缆及盘本身。电缆盘筒体最小直径应符合电缆最小弯曲半径。</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7）电缆防鼠蚁</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投标人应采用铠装电缆，电缆需通过IEC 60794-1-21标准挤压试验（≥4000N/100mm）。护套耐磨次数≥5000次（ASTM D4060标准）。同时进行套管保护。</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防鼠测试：依据UL 1685垂直火焰试验附加啃咬测试（模拟鼠类啃咬30分钟无穿透）。</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防蚁测试：根据ISO 1818标准，观察白蚁群24小时内回避率≥90%。</w:t>
      </w:r>
    </w:p>
    <w:p>
      <w:pPr>
        <w:pStyle w:val="4"/>
        <w:numPr>
          <w:ilvl w:val="2"/>
          <w:numId w:val="0"/>
        </w:numPr>
        <w:adjustRightInd w:val="0"/>
        <w:snapToGrid w:val="0"/>
        <w:spacing w:before="156" w:beforeLines="50" w:after="156" w:afterLines="50" w:line="360" w:lineRule="auto"/>
        <w:ind w:left="0" w:leftChars="0" w:firstLine="0" w:firstLineChars="0"/>
        <w:outlineLvl w:val="2"/>
        <w:rPr>
          <w:rFonts w:hint="eastAsia" w:ascii="宋体" w:hAnsi="宋体" w:eastAsia="宋体" w:cs="宋体"/>
          <w:b/>
          <w:bCs w:val="0"/>
          <w:color w:val="auto"/>
          <w:sz w:val="24"/>
          <w:szCs w:val="24"/>
          <w:lang w:val="en-US" w:eastAsia="zh-CN"/>
        </w:rPr>
      </w:pPr>
      <w:bookmarkStart w:id="129" w:name="_Toc21796"/>
      <w:bookmarkStart w:id="130" w:name="_Toc2636"/>
      <w:bookmarkStart w:id="131" w:name="_Toc6407"/>
      <w:bookmarkStart w:id="132" w:name="_Toc123"/>
      <w:r>
        <w:rPr>
          <w:rFonts w:hint="eastAsia" w:ascii="宋体" w:eastAsia="宋体" w:cs="宋体"/>
          <w:b/>
          <w:bCs w:val="0"/>
          <w:color w:val="auto"/>
          <w:sz w:val="24"/>
          <w:szCs w:val="24"/>
          <w:lang w:val="en-US" w:eastAsia="zh-CN"/>
        </w:rPr>
        <w:t>8</w:t>
      </w:r>
      <w:r>
        <w:rPr>
          <w:rFonts w:hint="eastAsia" w:ascii="宋体" w:hAnsi="宋体" w:eastAsia="宋体" w:cs="宋体"/>
          <w:b/>
          <w:bCs w:val="0"/>
          <w:color w:val="auto"/>
          <w:sz w:val="24"/>
          <w:szCs w:val="24"/>
          <w:lang w:val="en-US" w:eastAsia="zh-CN"/>
        </w:rPr>
        <w:t>.2 3kV电缆技术参数和性能要求</w:t>
      </w:r>
      <w:bookmarkEnd w:id="129"/>
      <w:bookmarkEnd w:id="130"/>
      <w:bookmarkEnd w:id="131"/>
      <w:bookmarkEnd w:id="132"/>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（1）运行条件</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1）系统标称电压和频率：</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a）1.8/3</w:t>
      </w:r>
      <w:r>
        <w:rPr>
          <w:rFonts w:hint="eastAsia" w:ascii="宋体" w:hAnsi="宋体" w:eastAsia="宋体" w:cs="宋体"/>
          <w:color w:val="auto"/>
          <w:sz w:val="24"/>
          <w:szCs w:val="24"/>
          <w:lang w:eastAsia="zh-CN"/>
        </w:rPr>
        <w:t>kV</w:t>
      </w:r>
      <w:r>
        <w:rPr>
          <w:rFonts w:hint="eastAsia" w:ascii="宋体" w:hAnsi="宋体" w:eastAsia="宋体" w:cs="宋体"/>
          <w:color w:val="auto"/>
          <w:sz w:val="24"/>
          <w:szCs w:val="24"/>
        </w:rPr>
        <w:t>，50Hz</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b）系统接地方式：中性点不接地系统。</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（2）环境条件</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环境温度：0℃～+</w:t>
      </w:r>
      <w:r>
        <w:rPr>
          <w:rFonts w:hint="eastAsia" w:ascii="宋体" w:hAnsi="宋体" w:cs="宋体"/>
          <w:color w:val="auto"/>
          <w:sz w:val="24"/>
          <w:szCs w:val="24"/>
          <w:lang w:val="en-US" w:eastAsia="zh-CN"/>
        </w:rPr>
        <w:t>6</w:t>
      </w:r>
      <w:r>
        <w:rPr>
          <w:rFonts w:hint="eastAsia" w:ascii="宋体" w:hAnsi="宋体" w:eastAsia="宋体" w:cs="宋体"/>
          <w:color w:val="auto"/>
          <w:sz w:val="24"/>
          <w:szCs w:val="24"/>
        </w:rPr>
        <w:t>0℃。</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（3）敷设条件</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敷设环境有直埋、管槽、排管、沟道、隧道、桥架、竖井等多种方式。地下敷设时电缆局部不能完全浸于水中。</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 （4）运行要求</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1）电缆导体的长期最高额定温度：交联聚氯乙烯为90℃。</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2）短路时（不小于5S）电缆导体的最高温度不超过：交联聚氯乙烯为250℃。</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3）电缆最小弯曲半径应满足：多芯电缆≤12D。其中D为电缆外径。</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4）电缆地下敷设时需满足局部可能完全浸于水中的运行要求。</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（5）技术要求</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本次采购的1.8/3</w:t>
      </w:r>
      <w:r>
        <w:rPr>
          <w:rFonts w:hint="eastAsia" w:ascii="宋体" w:hAnsi="宋体" w:eastAsia="宋体" w:cs="宋体"/>
          <w:color w:val="auto"/>
          <w:sz w:val="24"/>
          <w:szCs w:val="24"/>
          <w:lang w:eastAsia="zh-CN"/>
        </w:rPr>
        <w:t>kV</w:t>
      </w:r>
      <w:r>
        <w:rPr>
          <w:rFonts w:hint="eastAsia" w:ascii="宋体" w:hAnsi="宋体" w:eastAsia="宋体" w:cs="宋体"/>
          <w:color w:val="auto"/>
          <w:sz w:val="24"/>
          <w:szCs w:val="24"/>
        </w:rPr>
        <w:t>电力电缆，其技术参数除应符合GB/T 12706.1-2020的要求以外，还应满足以下要求。</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1）导体</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导体表面应光洁、无油污、无损伤绝缘的毛刺、锐边，无凸起或断裂的单线，并符合GB/T3956-2008标准。</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2）绝缘</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聚乙稀电力电缆绝缘层应为挤包制成，交联聚乙烯电力电缆绝缘层应为添加交联剂后挤包交联而成。绝缘标称厚度应符合GB/T 12706.1-2008的规定，绝缘层的横断面上应无目力可见的气泡和沙眼等缺陷，禁止使用翻新料。</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3）铠装</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钢带铠装应采用双层镀锌钢带，钢带应采用具有商品质量认可的热轧或冷轧钢带，绕包应圆整光滑。</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4）外护层</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电力电缆的外护套性能符合现行国家标准要求。</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5）成品电缆标志</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成品电缆的表面应连续、清晰地印刷厂名、型号规格、电压、制造年份、计米长度标志。</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6）电缆盘</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投标人应用铁木结构电缆盘。电缆盘应能承受所有在运输，现场搬运或在任何气象条件下户外至少储存3年期间可能遭受的外力作用。并且电缆盘应承受在安装或处理电缆时所可能遭受的外作用力不会损伤电缆及盘本身。电缆盘筒体最小直径应符合电缆最小弯曲半径。</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7）电缆防鼠蚁</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投标人应采用铠装电缆，电缆需通过IEC 60794-1-21标准挤压试验（≥4000N/100mm）。护套耐磨次数≥5000次（ASTM D4060标准）；同时进行套管保护</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防鼠测试：依据UL 1685垂直火焰试验附加啃咬测试（模拟鼠类啃咬30分钟无穿透）；</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防蚁测试：根据ISO 1818标准，观察白蚁群24小时内回避率≥90%。</w:t>
      </w:r>
    </w:p>
    <w:p>
      <w:pPr>
        <w:pStyle w:val="3"/>
        <w:bidi w:val="0"/>
        <w:spacing w:line="360" w:lineRule="auto"/>
        <w:outlineLvl w:val="1"/>
        <w:rPr>
          <w:rFonts w:hint="eastAsia" w:ascii="宋体" w:hAnsi="宋体" w:eastAsia="宋体" w:cs="宋体"/>
          <w:color w:val="auto"/>
          <w:sz w:val="24"/>
          <w:szCs w:val="24"/>
          <w:lang w:val="en-US" w:eastAsia="zh-CN"/>
        </w:rPr>
      </w:pPr>
      <w:bookmarkStart w:id="133" w:name="_Toc3194"/>
      <w:bookmarkStart w:id="134" w:name="_Toc1274"/>
      <w:bookmarkStart w:id="135" w:name="_Toc11434"/>
      <w:bookmarkStart w:id="136" w:name="_Toc31322"/>
      <w:bookmarkStart w:id="137" w:name="_Toc11341"/>
      <w:r>
        <w:rPr>
          <w:rFonts w:hint="eastAsia" w:ascii="宋体" w:hAnsi="宋体" w:cs="宋体"/>
          <w:color w:val="auto"/>
          <w:sz w:val="24"/>
          <w:szCs w:val="24"/>
          <w:lang w:val="en-US" w:eastAsia="zh-CN"/>
        </w:rPr>
        <w:t>9</w:t>
      </w:r>
      <w:r>
        <w:rPr>
          <w:rFonts w:hint="eastAsia" w:ascii="宋体" w:hAnsi="宋体" w:eastAsia="宋体" w:cs="宋体"/>
          <w:color w:val="auto"/>
          <w:sz w:val="24"/>
          <w:szCs w:val="24"/>
          <w:lang w:val="en-US" w:eastAsia="zh-CN"/>
        </w:rPr>
        <w:t>. 10kV高压电力电缆</w:t>
      </w:r>
      <w:bookmarkEnd w:id="133"/>
      <w:r>
        <w:rPr>
          <w:rFonts w:hint="eastAsia" w:ascii="宋体" w:hAnsi="宋体" w:eastAsia="宋体" w:cs="宋体"/>
          <w:color w:val="auto"/>
          <w:sz w:val="24"/>
          <w:szCs w:val="24"/>
          <w:lang w:val="en-US" w:eastAsia="zh-CN"/>
        </w:rPr>
        <w:t>技术要求</w:t>
      </w:r>
      <w:bookmarkEnd w:id="134"/>
      <w:bookmarkEnd w:id="135"/>
      <w:bookmarkEnd w:id="136"/>
      <w:bookmarkEnd w:id="137"/>
    </w:p>
    <w:p>
      <w:pPr>
        <w:pStyle w:val="4"/>
        <w:numPr>
          <w:ilvl w:val="2"/>
          <w:numId w:val="0"/>
        </w:numPr>
        <w:adjustRightInd w:val="0"/>
        <w:snapToGrid w:val="0"/>
        <w:spacing w:before="156" w:beforeLines="50" w:after="156" w:afterLines="50" w:line="360" w:lineRule="auto"/>
        <w:ind w:left="0" w:leftChars="0" w:firstLine="0" w:firstLineChars="0"/>
        <w:outlineLvl w:val="2"/>
        <w:rPr>
          <w:rFonts w:hint="eastAsia" w:ascii="宋体" w:hAnsi="宋体" w:eastAsia="宋体" w:cs="宋体"/>
          <w:b/>
          <w:bCs w:val="0"/>
          <w:color w:val="auto"/>
          <w:sz w:val="24"/>
          <w:szCs w:val="24"/>
          <w:lang w:val="en-US" w:eastAsia="zh-CN"/>
        </w:rPr>
      </w:pPr>
      <w:bookmarkStart w:id="138" w:name="_Toc25144"/>
      <w:bookmarkStart w:id="139" w:name="_Toc22044"/>
      <w:bookmarkStart w:id="140" w:name="_Toc525"/>
      <w:bookmarkStart w:id="141" w:name="_Toc14886"/>
      <w:r>
        <w:rPr>
          <w:rFonts w:hint="eastAsia" w:ascii="宋体" w:eastAsia="宋体" w:cs="宋体"/>
          <w:b/>
          <w:bCs w:val="0"/>
          <w:color w:val="auto"/>
          <w:sz w:val="24"/>
          <w:szCs w:val="24"/>
          <w:lang w:val="en-US" w:eastAsia="zh-CN"/>
        </w:rPr>
        <w:t>9</w:t>
      </w:r>
      <w:r>
        <w:rPr>
          <w:rFonts w:hint="eastAsia" w:ascii="宋体" w:hAnsi="宋体" w:eastAsia="宋体" w:cs="宋体"/>
          <w:b/>
          <w:bCs w:val="0"/>
          <w:color w:val="auto"/>
          <w:sz w:val="24"/>
          <w:szCs w:val="24"/>
          <w:lang w:val="en-US" w:eastAsia="zh-CN"/>
        </w:rPr>
        <w:t>.1产品认证及相关标准要求</w:t>
      </w:r>
      <w:bookmarkEnd w:id="138"/>
      <w:bookmarkEnd w:id="139"/>
      <w:bookmarkEnd w:id="140"/>
      <w:bookmarkEnd w:id="141"/>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10</w:t>
      </w:r>
      <w:r>
        <w:rPr>
          <w:rFonts w:hint="eastAsia" w:ascii="宋体" w:hAnsi="宋体" w:eastAsia="宋体" w:cs="宋体"/>
          <w:color w:val="auto"/>
          <w:sz w:val="24"/>
          <w:szCs w:val="24"/>
          <w:lang w:eastAsia="zh-CN"/>
        </w:rPr>
        <w:t>kV</w:t>
      </w:r>
      <w:r>
        <w:rPr>
          <w:rFonts w:hint="eastAsia" w:ascii="宋体" w:hAnsi="宋体" w:eastAsia="宋体" w:cs="宋体"/>
          <w:color w:val="auto"/>
          <w:sz w:val="24"/>
          <w:szCs w:val="24"/>
        </w:rPr>
        <w:t>电力电缆的各项性能指标应满足以下标准的要求：</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厂家提供的电缆应符合下列现行标准，仅注日期的版本适用于本文件。凡是不注日期的引用文件，其最新版本（包括所有的修订单）适用于本文件。</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（1）IEC 60502-2:2005《额定电压1～30</w:t>
      </w:r>
      <w:r>
        <w:rPr>
          <w:rFonts w:hint="eastAsia" w:ascii="宋体" w:hAnsi="宋体" w:eastAsia="宋体" w:cs="宋体"/>
          <w:color w:val="auto"/>
          <w:sz w:val="24"/>
          <w:szCs w:val="24"/>
          <w:lang w:eastAsia="zh-CN"/>
        </w:rPr>
        <w:t>kV</w:t>
      </w:r>
      <w:r>
        <w:rPr>
          <w:rFonts w:hint="eastAsia" w:ascii="宋体" w:hAnsi="宋体" w:eastAsia="宋体" w:cs="宋体"/>
          <w:color w:val="auto"/>
          <w:sz w:val="24"/>
          <w:szCs w:val="24"/>
        </w:rPr>
        <w:t>挤包绝缘电力电缆及其附件 第二部分：额定电压6～30</w:t>
      </w:r>
      <w:r>
        <w:rPr>
          <w:rFonts w:hint="eastAsia" w:ascii="宋体" w:hAnsi="宋体" w:eastAsia="宋体" w:cs="宋体"/>
          <w:color w:val="auto"/>
          <w:sz w:val="24"/>
          <w:szCs w:val="24"/>
          <w:lang w:eastAsia="zh-CN"/>
        </w:rPr>
        <w:t>kV</w:t>
      </w:r>
      <w:r>
        <w:rPr>
          <w:rFonts w:hint="eastAsia" w:ascii="宋体" w:hAnsi="宋体" w:eastAsia="宋体" w:cs="宋体"/>
          <w:color w:val="auto"/>
          <w:sz w:val="24"/>
          <w:szCs w:val="24"/>
        </w:rPr>
        <w:t>电缆》</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（2）GB/T 12706.2-2008《额定电压1</w:t>
      </w:r>
      <w:r>
        <w:rPr>
          <w:rFonts w:hint="eastAsia" w:ascii="宋体" w:hAnsi="宋体" w:eastAsia="宋体" w:cs="宋体"/>
          <w:color w:val="auto"/>
          <w:sz w:val="24"/>
          <w:szCs w:val="24"/>
          <w:lang w:eastAsia="zh-CN"/>
        </w:rPr>
        <w:t>kV</w:t>
      </w:r>
      <w:r>
        <w:rPr>
          <w:rFonts w:hint="eastAsia" w:ascii="宋体" w:hAnsi="宋体" w:eastAsia="宋体" w:cs="宋体"/>
          <w:color w:val="auto"/>
          <w:sz w:val="24"/>
          <w:szCs w:val="24"/>
        </w:rPr>
        <w:t>(Um=1.2</w:t>
      </w:r>
      <w:r>
        <w:rPr>
          <w:rFonts w:hint="eastAsia" w:ascii="宋体" w:hAnsi="宋体" w:eastAsia="宋体" w:cs="宋体"/>
          <w:color w:val="auto"/>
          <w:sz w:val="24"/>
          <w:szCs w:val="24"/>
          <w:lang w:eastAsia="zh-CN"/>
        </w:rPr>
        <w:t>kV</w:t>
      </w:r>
      <w:r>
        <w:rPr>
          <w:rFonts w:hint="eastAsia" w:ascii="宋体" w:hAnsi="宋体" w:eastAsia="宋体" w:cs="宋体"/>
          <w:color w:val="auto"/>
          <w:sz w:val="24"/>
          <w:szCs w:val="24"/>
        </w:rPr>
        <w:t>)～35</w:t>
      </w:r>
      <w:r>
        <w:rPr>
          <w:rFonts w:hint="eastAsia" w:ascii="宋体" w:hAnsi="宋体" w:eastAsia="宋体" w:cs="宋体"/>
          <w:color w:val="auto"/>
          <w:sz w:val="24"/>
          <w:szCs w:val="24"/>
          <w:lang w:eastAsia="zh-CN"/>
        </w:rPr>
        <w:t>kV</w:t>
      </w:r>
      <w:r>
        <w:rPr>
          <w:rFonts w:hint="eastAsia" w:ascii="宋体" w:hAnsi="宋体" w:eastAsia="宋体" w:cs="宋体"/>
          <w:color w:val="auto"/>
          <w:sz w:val="24"/>
          <w:szCs w:val="24"/>
        </w:rPr>
        <w:t>(Um=40.5</w:t>
      </w:r>
      <w:r>
        <w:rPr>
          <w:rFonts w:hint="eastAsia" w:ascii="宋体" w:hAnsi="宋体" w:eastAsia="宋体" w:cs="宋体"/>
          <w:color w:val="auto"/>
          <w:sz w:val="24"/>
          <w:szCs w:val="24"/>
          <w:lang w:eastAsia="zh-CN"/>
        </w:rPr>
        <w:t>kV</w:t>
      </w:r>
      <w:r>
        <w:rPr>
          <w:rFonts w:hint="eastAsia" w:ascii="宋体" w:hAnsi="宋体" w:eastAsia="宋体" w:cs="宋体"/>
          <w:color w:val="auto"/>
          <w:sz w:val="24"/>
          <w:szCs w:val="24"/>
        </w:rPr>
        <w:t>)挤包绝缘电力电缆及附件  第二部分：额定电压10</w:t>
      </w:r>
      <w:r>
        <w:rPr>
          <w:rFonts w:hint="eastAsia" w:ascii="宋体" w:hAnsi="宋体" w:eastAsia="宋体" w:cs="宋体"/>
          <w:color w:val="auto"/>
          <w:sz w:val="24"/>
          <w:szCs w:val="24"/>
          <w:lang w:eastAsia="zh-CN"/>
        </w:rPr>
        <w:t>kV</w:t>
      </w:r>
      <w:r>
        <w:rPr>
          <w:rFonts w:hint="eastAsia" w:ascii="宋体" w:hAnsi="宋体" w:eastAsia="宋体" w:cs="宋体"/>
          <w:color w:val="auto"/>
          <w:sz w:val="24"/>
          <w:szCs w:val="24"/>
        </w:rPr>
        <w:t>(Um=7.2</w:t>
      </w:r>
      <w:r>
        <w:rPr>
          <w:rFonts w:hint="eastAsia" w:ascii="宋体" w:hAnsi="宋体" w:eastAsia="宋体" w:cs="宋体"/>
          <w:color w:val="auto"/>
          <w:sz w:val="24"/>
          <w:szCs w:val="24"/>
          <w:lang w:eastAsia="zh-CN"/>
        </w:rPr>
        <w:t>kV</w:t>
      </w:r>
      <w:r>
        <w:rPr>
          <w:rFonts w:hint="eastAsia" w:ascii="宋体" w:hAnsi="宋体" w:eastAsia="宋体" w:cs="宋体"/>
          <w:color w:val="auto"/>
          <w:sz w:val="24"/>
          <w:szCs w:val="24"/>
        </w:rPr>
        <w:t>)~30</w:t>
      </w:r>
      <w:r>
        <w:rPr>
          <w:rFonts w:hint="eastAsia" w:ascii="宋体" w:hAnsi="宋体" w:eastAsia="宋体" w:cs="宋体"/>
          <w:color w:val="auto"/>
          <w:sz w:val="24"/>
          <w:szCs w:val="24"/>
          <w:lang w:eastAsia="zh-CN"/>
        </w:rPr>
        <w:t>kV</w:t>
      </w:r>
      <w:r>
        <w:rPr>
          <w:rFonts w:hint="eastAsia" w:ascii="宋体" w:hAnsi="宋体" w:eastAsia="宋体" w:cs="宋体"/>
          <w:color w:val="auto"/>
          <w:sz w:val="24"/>
          <w:szCs w:val="24"/>
        </w:rPr>
        <w:t>(Um=310</w:t>
      </w:r>
      <w:r>
        <w:rPr>
          <w:rFonts w:hint="eastAsia" w:ascii="宋体" w:hAnsi="宋体" w:eastAsia="宋体" w:cs="宋体"/>
          <w:color w:val="auto"/>
          <w:sz w:val="24"/>
          <w:szCs w:val="24"/>
          <w:lang w:eastAsia="zh-CN"/>
        </w:rPr>
        <w:t>kV</w:t>
      </w:r>
      <w:r>
        <w:rPr>
          <w:rFonts w:hint="eastAsia" w:ascii="宋体" w:hAnsi="宋体" w:eastAsia="宋体" w:cs="宋体"/>
          <w:color w:val="auto"/>
          <w:sz w:val="24"/>
          <w:szCs w:val="24"/>
        </w:rPr>
        <w:t>)电缆》</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（3）GB 2952-2008     《电缆外护层》</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（4）GB/T 18380.11-2008《电缆在火焰条件下的燃烧试验》</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（5）GB/T 2951.1～10-2008《电缆绝缘和护套材料通用试验方法》</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（6）GB/T 3048.12-2007   《电线电缆电性能试验方法 局部放电试验》</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（7）GB/T 3956-2008      《电缆的导体》</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（8）JB/T 8137-1999      《电线电缆交货盘》</w:t>
      </w:r>
    </w:p>
    <w:p>
      <w:pPr>
        <w:pStyle w:val="4"/>
        <w:numPr>
          <w:ilvl w:val="2"/>
          <w:numId w:val="0"/>
        </w:numPr>
        <w:adjustRightInd w:val="0"/>
        <w:snapToGrid w:val="0"/>
        <w:spacing w:before="156" w:beforeLines="50" w:after="156" w:afterLines="50" w:line="360" w:lineRule="auto"/>
        <w:ind w:left="0" w:leftChars="0" w:firstLine="0" w:firstLineChars="0"/>
        <w:outlineLvl w:val="2"/>
        <w:rPr>
          <w:rFonts w:hint="eastAsia" w:ascii="宋体" w:hAnsi="宋体" w:eastAsia="宋体" w:cs="宋体"/>
          <w:b/>
          <w:bCs w:val="0"/>
          <w:color w:val="auto"/>
          <w:sz w:val="24"/>
          <w:szCs w:val="24"/>
          <w:lang w:val="en-US" w:eastAsia="zh-CN"/>
        </w:rPr>
      </w:pPr>
      <w:bookmarkStart w:id="142" w:name="_Toc1295"/>
      <w:bookmarkStart w:id="143" w:name="_Toc30575"/>
      <w:bookmarkStart w:id="144" w:name="_Toc8668"/>
      <w:bookmarkStart w:id="145" w:name="_Toc5146"/>
      <w:r>
        <w:rPr>
          <w:rFonts w:hint="eastAsia" w:ascii="宋体" w:eastAsia="宋体" w:cs="宋体"/>
          <w:b/>
          <w:bCs w:val="0"/>
          <w:color w:val="auto"/>
          <w:sz w:val="24"/>
          <w:szCs w:val="24"/>
          <w:lang w:val="en-US" w:eastAsia="zh-CN"/>
        </w:rPr>
        <w:t>9</w:t>
      </w:r>
      <w:r>
        <w:rPr>
          <w:rFonts w:hint="eastAsia" w:ascii="宋体" w:hAnsi="宋体" w:eastAsia="宋体" w:cs="宋体"/>
          <w:b/>
          <w:bCs w:val="0"/>
          <w:color w:val="auto"/>
          <w:sz w:val="24"/>
          <w:szCs w:val="24"/>
          <w:lang w:val="en-US" w:eastAsia="zh-CN"/>
        </w:rPr>
        <w:t>.2高压电缆要求</w:t>
      </w:r>
      <w:bookmarkEnd w:id="142"/>
      <w:bookmarkEnd w:id="143"/>
      <w:bookmarkEnd w:id="144"/>
      <w:bookmarkEnd w:id="145"/>
    </w:p>
    <w:p>
      <w:pPr>
        <w:pStyle w:val="5"/>
        <w:bidi w:val="0"/>
        <w:ind w:firstLine="117" w:firstLineChars="49"/>
        <w:outlineLvl w:val="3"/>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9.2.1产品使用特性的要求</w:t>
      </w:r>
    </w:p>
    <w:p>
      <w:pPr>
        <w:spacing w:line="360" w:lineRule="auto"/>
        <w:ind w:firstLine="480" w:firstLineChars="200"/>
        <w:rPr>
          <w:rFonts w:hint="eastAsia" w:ascii="宋体" w:hAnsi="宋体" w:eastAsia="宋体" w:cs="宋体"/>
          <w:color w:val="auto"/>
          <w:sz w:val="24"/>
          <w:szCs w:val="24"/>
        </w:rPr>
      </w:pPr>
      <w:bookmarkStart w:id="146" w:name="_Toc226340122"/>
      <w:bookmarkStart w:id="147" w:name="_Toc475865341"/>
      <w:r>
        <w:rPr>
          <w:rFonts w:hint="eastAsia" w:ascii="宋体" w:hAnsi="宋体" w:eastAsia="宋体" w:cs="宋体"/>
          <w:color w:val="auto"/>
          <w:sz w:val="24"/>
          <w:szCs w:val="24"/>
        </w:rPr>
        <w:t>（1）运行条件</w:t>
      </w:r>
      <w:bookmarkEnd w:id="146"/>
      <w:bookmarkEnd w:id="147"/>
    </w:p>
    <w:p>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a．系统标称电压(U)： 10</w:t>
      </w:r>
      <w:r>
        <w:rPr>
          <w:rFonts w:hint="eastAsia" w:ascii="宋体" w:hAnsi="宋体" w:eastAsia="宋体" w:cs="宋体"/>
          <w:color w:val="auto"/>
          <w:sz w:val="24"/>
          <w:szCs w:val="24"/>
          <w:lang w:eastAsia="zh-CN"/>
        </w:rPr>
        <w:t>kV</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b．系统频率:50Hz</w:t>
      </w:r>
    </w:p>
    <w:p>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c．系统最高电压(Um)：12</w:t>
      </w:r>
      <w:r>
        <w:rPr>
          <w:rFonts w:hint="eastAsia" w:ascii="宋体" w:hAnsi="宋体" w:eastAsia="宋体" w:cs="宋体"/>
          <w:color w:val="auto"/>
          <w:sz w:val="24"/>
          <w:szCs w:val="24"/>
          <w:lang w:eastAsia="zh-CN"/>
        </w:rPr>
        <w:t>kV</w:t>
      </w:r>
    </w:p>
    <w:p>
      <w:pPr>
        <w:spacing w:line="360" w:lineRule="auto"/>
        <w:ind w:firstLine="480" w:firstLineChars="200"/>
        <w:rPr>
          <w:rFonts w:hint="eastAsia" w:ascii="宋体" w:hAnsi="宋体" w:eastAsia="宋体" w:cs="宋体"/>
          <w:color w:val="auto"/>
          <w:sz w:val="24"/>
          <w:szCs w:val="24"/>
        </w:rPr>
      </w:pPr>
      <w:bookmarkStart w:id="148" w:name="_Toc226340123"/>
      <w:bookmarkStart w:id="149" w:name="_Toc475865342"/>
      <w:r>
        <w:rPr>
          <w:rFonts w:hint="eastAsia" w:ascii="宋体" w:hAnsi="宋体" w:eastAsia="宋体" w:cs="宋体"/>
          <w:color w:val="auto"/>
          <w:sz w:val="24"/>
          <w:szCs w:val="24"/>
        </w:rPr>
        <w:t>（2）环境条件</w:t>
      </w:r>
      <w:bookmarkEnd w:id="148"/>
      <w:bookmarkEnd w:id="149"/>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环境温度</w:t>
      </w:r>
      <w:bookmarkStart w:id="150" w:name="_Toc226340124"/>
      <w:bookmarkStart w:id="151" w:name="_Toc475865343"/>
      <w:r>
        <w:rPr>
          <w:rFonts w:hint="eastAsia" w:ascii="宋体" w:hAnsi="宋体" w:eastAsia="宋体" w:cs="宋体"/>
          <w:color w:val="auto"/>
          <w:sz w:val="24"/>
          <w:szCs w:val="24"/>
        </w:rPr>
        <w:t>：</w:t>
      </w:r>
      <w:r>
        <w:rPr>
          <w:rFonts w:hint="eastAsia" w:ascii="宋体" w:hAnsi="宋体" w:cs="宋体"/>
          <w:color w:val="auto"/>
          <w:sz w:val="24"/>
          <w:szCs w:val="24"/>
          <w:lang w:val="en-US" w:eastAsia="zh-CN"/>
        </w:rPr>
        <w:t>0</w:t>
      </w:r>
      <w:r>
        <w:rPr>
          <w:rFonts w:hint="eastAsia" w:ascii="宋体" w:hAnsi="宋体" w:eastAsia="宋体" w:cs="宋体"/>
          <w:color w:val="auto"/>
          <w:sz w:val="24"/>
          <w:szCs w:val="24"/>
        </w:rPr>
        <w:t>℃～+</w:t>
      </w:r>
      <w:r>
        <w:rPr>
          <w:rFonts w:hint="eastAsia" w:ascii="宋体" w:hAnsi="宋体" w:cs="宋体"/>
          <w:color w:val="auto"/>
          <w:sz w:val="24"/>
          <w:szCs w:val="24"/>
          <w:lang w:val="en-US" w:eastAsia="zh-CN"/>
        </w:rPr>
        <w:t>60</w:t>
      </w:r>
      <w:r>
        <w:rPr>
          <w:rFonts w:hint="eastAsia" w:ascii="宋体" w:hAnsi="宋体" w:eastAsia="宋体" w:cs="宋体"/>
          <w:color w:val="auto"/>
          <w:sz w:val="24"/>
          <w:szCs w:val="24"/>
        </w:rPr>
        <w:t>℃。</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（3）敷设条件</w:t>
      </w:r>
      <w:bookmarkEnd w:id="150"/>
      <w:bookmarkEnd w:id="151"/>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敷设环境有直埋、沟槽、排管、沟道、隧道、桥架、竖井等多种方式。地下敷设时电缆局部可能完全浸于水中。</w:t>
      </w:r>
    </w:p>
    <w:p>
      <w:pPr>
        <w:spacing w:line="360" w:lineRule="auto"/>
        <w:ind w:firstLine="480" w:firstLineChars="200"/>
        <w:rPr>
          <w:rFonts w:hint="eastAsia" w:ascii="宋体" w:hAnsi="宋体" w:eastAsia="宋体" w:cs="宋体"/>
          <w:color w:val="auto"/>
          <w:sz w:val="24"/>
          <w:szCs w:val="24"/>
        </w:rPr>
      </w:pPr>
      <w:bookmarkStart w:id="152" w:name="_Toc226340125"/>
      <w:bookmarkStart w:id="153" w:name="_Toc475865344"/>
      <w:r>
        <w:rPr>
          <w:rFonts w:hint="eastAsia" w:ascii="宋体" w:hAnsi="宋体" w:eastAsia="宋体" w:cs="宋体"/>
          <w:color w:val="auto"/>
          <w:sz w:val="24"/>
          <w:szCs w:val="24"/>
        </w:rPr>
        <w:t>（4）运行要求</w:t>
      </w:r>
      <w:bookmarkEnd w:id="152"/>
      <w:bookmarkEnd w:id="153"/>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a．电缆导体的最高额定温度不低于90℃。</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b．短路时（最长持续时间不超过5s）电缆导体的最高温度不超过250℃。</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c．电缆敷设时环境温度不低于-30℃。</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d．电缆安装时最小弯曲半径：电缆安装时的最小弯曲半径单芯电缆（无铠装20D，有铠装15D）；三芯电缆（无铠装15D，有铠装12D）。</w:t>
      </w:r>
    </w:p>
    <w:p>
      <w:pPr>
        <w:pStyle w:val="5"/>
        <w:bidi w:val="0"/>
        <w:ind w:firstLine="117" w:firstLineChars="49"/>
        <w:outlineLvl w:val="3"/>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9.2.2产品的技术要求</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本次采购的电缆其技术参数除应符合GB/T 12706.2-2008的标准要求以外，还应满足以下要求。</w:t>
      </w:r>
    </w:p>
    <w:p>
      <w:pPr>
        <w:spacing w:line="360" w:lineRule="auto"/>
        <w:ind w:firstLine="480" w:firstLineChars="200"/>
        <w:rPr>
          <w:rFonts w:hint="eastAsia" w:ascii="宋体" w:hAnsi="宋体" w:eastAsia="宋体" w:cs="宋体"/>
          <w:color w:val="auto"/>
          <w:sz w:val="24"/>
          <w:szCs w:val="24"/>
        </w:rPr>
      </w:pPr>
      <w:bookmarkStart w:id="154" w:name="_Toc475865346"/>
      <w:bookmarkStart w:id="155" w:name="_Toc226340127"/>
      <w:r>
        <w:rPr>
          <w:rFonts w:hint="eastAsia" w:ascii="宋体" w:hAnsi="宋体" w:eastAsia="宋体" w:cs="宋体"/>
          <w:color w:val="auto"/>
          <w:sz w:val="24"/>
          <w:szCs w:val="24"/>
        </w:rPr>
        <w:t>（1）导体</w:t>
      </w:r>
      <w:bookmarkEnd w:id="154"/>
      <w:bookmarkEnd w:id="155"/>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a．导体表面应光洁、无油污、无损伤屏蔽及绝缘的毛刺、锐边，无凸起或断裂的单线。导体应为圆形单线绞合紧压导线。</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b．铜导体材料为符合GB/T 3956-2008的第一种或第二种裸退火铜导体（铜的纯度≥99.9%）。</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c．每一根导体20℃时的直流电阻应不超过GB/T 3956-2008规定的相应的最大值。</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d．导体截面与标称截面不得出现负偏差。</w:t>
      </w:r>
    </w:p>
    <w:p>
      <w:pPr>
        <w:spacing w:line="360" w:lineRule="auto"/>
        <w:ind w:firstLine="480" w:firstLineChars="200"/>
        <w:rPr>
          <w:rFonts w:hint="eastAsia" w:ascii="宋体" w:hAnsi="宋体" w:eastAsia="宋体" w:cs="宋体"/>
          <w:color w:val="auto"/>
          <w:sz w:val="24"/>
          <w:szCs w:val="24"/>
        </w:rPr>
      </w:pPr>
      <w:bookmarkStart w:id="156" w:name="_Toc475865347"/>
      <w:bookmarkStart w:id="157" w:name="_Toc226340128"/>
      <w:r>
        <w:rPr>
          <w:rFonts w:hint="eastAsia" w:ascii="宋体" w:hAnsi="宋体" w:eastAsia="宋体" w:cs="宋体"/>
          <w:color w:val="auto"/>
          <w:sz w:val="24"/>
          <w:szCs w:val="24"/>
        </w:rPr>
        <w:t>（2）挤出交联工艺</w:t>
      </w:r>
      <w:bookmarkEnd w:id="156"/>
      <w:bookmarkEnd w:id="157"/>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导体屏蔽、绝缘、绝缘屏蔽应采用三层共挤工艺，全封闭化学交联。</w:t>
      </w:r>
    </w:p>
    <w:p>
      <w:pPr>
        <w:spacing w:line="360" w:lineRule="auto"/>
        <w:ind w:firstLine="480" w:firstLineChars="200"/>
        <w:rPr>
          <w:rFonts w:hint="eastAsia" w:ascii="宋体" w:hAnsi="宋体" w:eastAsia="宋体" w:cs="宋体"/>
          <w:color w:val="auto"/>
          <w:sz w:val="24"/>
          <w:szCs w:val="24"/>
        </w:rPr>
      </w:pPr>
      <w:bookmarkStart w:id="158" w:name="_Toc475865348"/>
      <w:bookmarkStart w:id="159" w:name="_Toc226340129"/>
      <w:r>
        <w:rPr>
          <w:rFonts w:hint="eastAsia" w:ascii="宋体" w:hAnsi="宋体" w:eastAsia="宋体" w:cs="宋体"/>
          <w:color w:val="auto"/>
          <w:sz w:val="24"/>
          <w:szCs w:val="24"/>
        </w:rPr>
        <w:t>（3）导体屏蔽</w:t>
      </w:r>
      <w:bookmarkEnd w:id="158"/>
      <w:bookmarkEnd w:id="159"/>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a．导体屏蔽为挤包的交联半导电层，半导电层应均匀地包覆在导体上，表面光滑，无明显绞线凸纹，不应有尖角、颗粒、烧焦或擦伤的痕迹。在剥离导体屏蔽时，半导电层不应导致有卡留在导体绞股之间的现象。标称截面500 mm2及以上电缆导体屏蔽应有半导电带和挤包半导电层复合组成。</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b．导体屏蔽电阻率不超过1000Ω·m，标称厚度为0.7mm。</w:t>
      </w:r>
      <w:bookmarkStart w:id="160" w:name="_Toc475865350"/>
    </w:p>
    <w:p>
      <w:pPr>
        <w:spacing w:line="360" w:lineRule="auto"/>
        <w:ind w:firstLine="480" w:firstLineChars="200"/>
        <w:rPr>
          <w:rFonts w:hint="eastAsia" w:ascii="宋体" w:hAnsi="宋体" w:eastAsia="宋体" w:cs="宋体"/>
          <w:color w:val="auto"/>
          <w:sz w:val="24"/>
          <w:szCs w:val="24"/>
        </w:rPr>
      </w:pPr>
      <w:bookmarkStart w:id="161" w:name="_Toc226340130"/>
      <w:r>
        <w:rPr>
          <w:rFonts w:hint="eastAsia" w:ascii="宋体" w:hAnsi="宋体" w:eastAsia="宋体" w:cs="宋体"/>
          <w:color w:val="auto"/>
          <w:sz w:val="24"/>
          <w:szCs w:val="24"/>
        </w:rPr>
        <w:t>（4）绝缘</w:t>
      </w:r>
      <w:bookmarkEnd w:id="161"/>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a．绝缘标称厚度为4.5mm，绝缘厚度平均值应不小于标称值，任一点最小测量厚度应不小于4.05mm，绝缘偏心度应不大于8%。投标时应在差异表提供绝缘偏心度保证值。</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b．绝缘材料应采用交联聚乙烯材料。</w:t>
      </w:r>
    </w:p>
    <w:p>
      <w:pPr>
        <w:spacing w:line="360" w:lineRule="auto"/>
        <w:ind w:firstLine="480" w:firstLineChars="200"/>
        <w:rPr>
          <w:rFonts w:hint="eastAsia" w:ascii="宋体" w:hAnsi="宋体" w:eastAsia="宋体" w:cs="宋体"/>
          <w:color w:val="auto"/>
          <w:sz w:val="24"/>
          <w:szCs w:val="24"/>
        </w:rPr>
      </w:pPr>
      <w:bookmarkStart w:id="162" w:name="_Toc226340131"/>
      <w:r>
        <w:rPr>
          <w:rFonts w:hint="eastAsia" w:ascii="宋体" w:hAnsi="宋体" w:eastAsia="宋体" w:cs="宋体"/>
          <w:color w:val="auto"/>
          <w:sz w:val="24"/>
          <w:szCs w:val="24"/>
        </w:rPr>
        <w:t>（5）绝缘屏蔽</w:t>
      </w:r>
      <w:bookmarkEnd w:id="160"/>
      <w:bookmarkEnd w:id="162"/>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a．绝缘屏蔽为挤包的交联半导电层，半导电层应均匀地包覆在绝缘上，表面应光滑，不应有尖角，颗粒、烧焦或擦伤的痕迹。</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b．绝缘屏蔽电阻率不大于500Ω·m。</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c．绝缘屏蔽应为可剥离型。标称厚度为：0.7mm。</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d．绝缘屏蔽与金属屏蔽之间应有沿缆芯纵向的相色（黄绿红）标志带，其宽度不小于2mm。</w:t>
      </w:r>
    </w:p>
    <w:p>
      <w:pPr>
        <w:spacing w:line="360" w:lineRule="auto"/>
        <w:ind w:firstLine="480" w:firstLineChars="200"/>
        <w:rPr>
          <w:rFonts w:hint="eastAsia" w:ascii="宋体" w:hAnsi="宋体" w:eastAsia="宋体" w:cs="宋体"/>
          <w:color w:val="auto"/>
          <w:sz w:val="24"/>
          <w:szCs w:val="24"/>
        </w:rPr>
      </w:pPr>
      <w:bookmarkStart w:id="163" w:name="_Toc226340132"/>
      <w:bookmarkStart w:id="164" w:name="_Toc475865351"/>
      <w:r>
        <w:rPr>
          <w:rFonts w:hint="eastAsia" w:ascii="宋体" w:hAnsi="宋体" w:eastAsia="宋体" w:cs="宋体"/>
          <w:color w:val="auto"/>
          <w:sz w:val="24"/>
          <w:szCs w:val="24"/>
        </w:rPr>
        <w:t>（6）金属屏蔽</w:t>
      </w:r>
      <w:bookmarkEnd w:id="163"/>
      <w:bookmarkEnd w:id="164"/>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a．金属屏蔽由重叠绕包的软铜带组成，铜带连接应采用焊接方式，并满足短路温度要求。绕包应圆整光滑，且无氧化现象。三芯屏蔽应互相接触良好。铜带间的平均搭盖率应不小于15%（标称值）,其最小搭盖率应不小于5%。铜带标称厚度应按下列要求选用：</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单芯电缆：≥0.12mm；</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三芯电缆：≥0.10mm。</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b．导体截面为500 mm2及以上电缆的金属屏蔽层应采用铜丝屏蔽构成。铜丝、铜带电导率应与铜导体导电率相当。</w:t>
      </w:r>
    </w:p>
    <w:p>
      <w:pPr>
        <w:spacing w:line="360" w:lineRule="auto"/>
        <w:ind w:firstLine="480" w:firstLineChars="200"/>
        <w:rPr>
          <w:rFonts w:hint="eastAsia" w:ascii="宋体" w:hAnsi="宋体" w:eastAsia="宋体" w:cs="宋体"/>
          <w:color w:val="auto"/>
          <w:sz w:val="24"/>
          <w:szCs w:val="24"/>
        </w:rPr>
      </w:pPr>
      <w:bookmarkStart w:id="165" w:name="_Toc475865352"/>
      <w:bookmarkStart w:id="166" w:name="_Toc226340133"/>
      <w:r>
        <w:rPr>
          <w:rFonts w:hint="eastAsia" w:ascii="宋体" w:hAnsi="宋体" w:eastAsia="宋体" w:cs="宋体"/>
          <w:color w:val="auto"/>
          <w:sz w:val="24"/>
          <w:szCs w:val="24"/>
        </w:rPr>
        <w:t>（7）内衬</w:t>
      </w:r>
      <w:bookmarkEnd w:id="165"/>
      <w:r>
        <w:rPr>
          <w:rFonts w:hint="eastAsia" w:ascii="宋体" w:hAnsi="宋体" w:eastAsia="宋体" w:cs="宋体"/>
          <w:color w:val="auto"/>
          <w:sz w:val="24"/>
          <w:szCs w:val="24"/>
        </w:rPr>
        <w:t>层及填充物</w:t>
      </w:r>
      <w:bookmarkEnd w:id="166"/>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a．缆芯采用非吸湿材料PVC绳或网状聚丙烯（需在投标时注明）填充，应紧密无空隙。缆芯中间也应填充，三芯成缆后外型应圆整。在本技术条件书使用特性下，填充物的机械性能应能满足正常运行的要求。</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b．选用挤包内衬层，采用非吸湿材料，挤包内衬层厚度符合GB/T12706.2的要求。</w:t>
      </w:r>
    </w:p>
    <w:p>
      <w:pPr>
        <w:spacing w:line="360" w:lineRule="auto"/>
        <w:ind w:firstLine="480" w:firstLineChars="200"/>
        <w:rPr>
          <w:rFonts w:hint="eastAsia" w:ascii="宋体" w:hAnsi="宋体" w:eastAsia="宋体" w:cs="宋体"/>
          <w:color w:val="auto"/>
          <w:sz w:val="24"/>
          <w:szCs w:val="24"/>
        </w:rPr>
      </w:pPr>
      <w:bookmarkStart w:id="167" w:name="_Toc226340134"/>
      <w:bookmarkStart w:id="168" w:name="_Toc475865353"/>
      <w:r>
        <w:rPr>
          <w:rFonts w:hint="eastAsia" w:ascii="宋体" w:hAnsi="宋体" w:eastAsia="宋体" w:cs="宋体"/>
          <w:color w:val="auto"/>
          <w:sz w:val="24"/>
          <w:szCs w:val="24"/>
        </w:rPr>
        <w:t>（8）金属铠装</w:t>
      </w:r>
      <w:bookmarkEnd w:id="167"/>
      <w:bookmarkEnd w:id="168"/>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a．三芯电缆金属铠装应采用双层镀锌钢带或涂漆钢带螺旋绕包，绕包应圆整光滑。铠装金属带标称厚度应符合GB/T 12706.2的要求。</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b．单芯电缆金属铠装应采用不锈钢带材料。</w:t>
      </w:r>
    </w:p>
    <w:p>
      <w:pPr>
        <w:spacing w:line="360" w:lineRule="auto"/>
        <w:ind w:firstLine="480" w:firstLineChars="200"/>
        <w:rPr>
          <w:rFonts w:hint="eastAsia" w:ascii="宋体" w:hAnsi="宋体" w:eastAsia="宋体" w:cs="宋体"/>
          <w:color w:val="auto"/>
          <w:sz w:val="24"/>
          <w:szCs w:val="24"/>
        </w:rPr>
      </w:pPr>
      <w:bookmarkStart w:id="169" w:name="_Toc475865354"/>
      <w:bookmarkStart w:id="170" w:name="_Toc226340135"/>
      <w:r>
        <w:rPr>
          <w:rFonts w:hint="eastAsia" w:ascii="宋体" w:hAnsi="宋体" w:eastAsia="宋体" w:cs="宋体"/>
          <w:color w:val="auto"/>
          <w:sz w:val="24"/>
          <w:szCs w:val="24"/>
        </w:rPr>
        <w:t>（9）外护套</w:t>
      </w:r>
      <w:bookmarkEnd w:id="169"/>
      <w:bookmarkEnd w:id="170"/>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a．外护套厚度平均值应不小于标称值，非铠装电缆外护套任一最薄点不小于标称值的85％，铠装电缆外护套任一最薄点厚度不小于标称值的80％。外护套外观应圆整、平滑、无损伤。</w:t>
      </w:r>
    </w:p>
    <w:p>
      <w:pPr>
        <w:spacing w:line="360" w:lineRule="auto"/>
        <w:ind w:firstLine="480" w:firstLineChars="200"/>
        <w:rPr>
          <w:rFonts w:hint="eastAsia" w:ascii="宋体" w:hAnsi="宋体" w:eastAsia="宋体" w:cs="宋体"/>
          <w:color w:val="auto"/>
          <w:sz w:val="24"/>
          <w:szCs w:val="24"/>
        </w:rPr>
      </w:pPr>
      <w:bookmarkStart w:id="171" w:name="_Toc475865355"/>
      <w:r>
        <w:rPr>
          <w:rFonts w:hint="eastAsia" w:ascii="宋体" w:hAnsi="宋体" w:eastAsia="宋体" w:cs="宋体"/>
          <w:color w:val="auto"/>
          <w:sz w:val="24"/>
          <w:szCs w:val="24"/>
        </w:rPr>
        <w:t>b．有防水要求时，电缆外护套宜采用聚乙烯（PE-ST7）材料，可选用中密度PE（MDPE）或高密度PE（HDPE）护套；在空气中敷设的电缆可采用难燃聚氯乙烯（PVC-ST2）材料护套。外护层应符合GB 2952的规定；绝缘水平应符合DL/T 401的规定；</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c．应有良好的防腐蚀、防潮和阻燃性能。在空气中敷设电缆的防火性能应满足GB/T 18380.1的要求。</w:t>
      </w:r>
    </w:p>
    <w:p>
      <w:pPr>
        <w:spacing w:line="360" w:lineRule="auto"/>
        <w:ind w:firstLine="480" w:firstLineChars="200"/>
        <w:rPr>
          <w:rFonts w:hint="eastAsia" w:ascii="宋体" w:hAnsi="宋体" w:eastAsia="宋体" w:cs="宋体"/>
          <w:color w:val="auto"/>
          <w:sz w:val="24"/>
          <w:szCs w:val="24"/>
        </w:rPr>
      </w:pPr>
      <w:bookmarkStart w:id="172" w:name="_Toc226340136"/>
      <w:r>
        <w:rPr>
          <w:rFonts w:hint="eastAsia" w:ascii="宋体" w:hAnsi="宋体" w:eastAsia="宋体" w:cs="宋体"/>
          <w:color w:val="auto"/>
          <w:sz w:val="24"/>
          <w:szCs w:val="24"/>
        </w:rPr>
        <w:t xml:space="preserve"> （10）电缆不圆度</w:t>
      </w:r>
      <w:bookmarkEnd w:id="171"/>
      <w:bookmarkEnd w:id="172"/>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电缆不圆度应不大于15%。</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电缆不圆度=</w:t>
      </w:r>
      <w:r>
        <w:rPr>
          <w:rFonts w:hint="eastAsia" w:ascii="宋体" w:hAnsi="宋体" w:eastAsia="宋体" w:cs="宋体"/>
          <w:color w:val="auto"/>
          <w:sz w:val="24"/>
          <w:szCs w:val="24"/>
        </w:rPr>
        <w:object>
          <v:shape id="_x0000_i1025" o:spt="75" type="#_x0000_t75" style="height:32.25pt;width:134.2pt;" o:ole="t" fillcolor="#6D6D6D" filled="f" o:preferrelative="t" stroked="f" coordsize="21600,21600">
            <v:path/>
            <v:fill on="f" focussize="0,0"/>
            <v:stroke on="f"/>
            <v:imagedata r:id="rId10" o:title=""/>
            <o:lock v:ext="edit" aspectratio="t"/>
            <w10:wrap type="none"/>
            <w10:anchorlock/>
          </v:shape>
          <o:OLEObject Type="Embed" ProgID="Equation.3" ShapeID="_x0000_i1025" DrawAspect="Content" ObjectID="_1468075725" r:id="rId9">
            <o:LockedField>false</o:LockedField>
          </o:OLEObject>
        </w:object>
      </w:r>
      <w:r>
        <w:rPr>
          <w:rFonts w:hint="eastAsia" w:ascii="宋体" w:hAnsi="宋体" w:eastAsia="宋体" w:cs="宋体"/>
          <w:color w:val="auto"/>
          <w:sz w:val="24"/>
          <w:szCs w:val="24"/>
        </w:rPr>
        <w:t>×100%。</w:t>
      </w:r>
    </w:p>
    <w:p>
      <w:pPr>
        <w:spacing w:line="360" w:lineRule="auto"/>
        <w:ind w:firstLine="480" w:firstLineChars="200"/>
        <w:rPr>
          <w:rFonts w:hint="eastAsia" w:ascii="宋体" w:hAnsi="宋体" w:eastAsia="宋体" w:cs="宋体"/>
          <w:color w:val="auto"/>
          <w:sz w:val="24"/>
          <w:szCs w:val="24"/>
        </w:rPr>
      </w:pPr>
      <w:bookmarkStart w:id="173" w:name="_Toc475865357"/>
      <w:bookmarkStart w:id="174" w:name="_Toc226340138"/>
      <w:r>
        <w:rPr>
          <w:rFonts w:hint="eastAsia" w:ascii="宋体" w:hAnsi="宋体" w:eastAsia="宋体" w:cs="宋体"/>
          <w:color w:val="auto"/>
          <w:sz w:val="24"/>
          <w:szCs w:val="24"/>
        </w:rPr>
        <w:t xml:space="preserve"> （11）电缆盘</w:t>
      </w:r>
      <w:bookmarkEnd w:id="173"/>
      <w:bookmarkEnd w:id="174"/>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 厂家应用铁木结构电缆盘。电缆盘应能承受所有在运输，现场搬运或在任何气象条件下户外至少储存3年期间可能遭受的外力作用。并且电缆盘应承受在安装或处理电缆时所可能遭受的外作用力不会损伤电缆及盘本身。电缆盘筒体最小直径应符合电缆最小弯曲半径要求。</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（12）电缆防鼠蚁</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投标人应采用铠装电缆，电缆需通过IEC 60794-1-21标准挤压试验（≥4000N/100mm）。护套耐磨次数≥5000次（ASTM D4060标准）；同时进行套管保护</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防鼠测试：依据UL 1685垂直火焰试验附加啃咬测试（模拟鼠类啃咬30分钟无穿透）；</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防蚁测试：根据ISO 1818标准，观察白蚁群24小时内回避率≥90%。</w:t>
      </w:r>
    </w:p>
    <w:p>
      <w:pPr>
        <w:pStyle w:val="4"/>
        <w:numPr>
          <w:ilvl w:val="2"/>
          <w:numId w:val="0"/>
        </w:numPr>
        <w:adjustRightInd w:val="0"/>
        <w:snapToGrid w:val="0"/>
        <w:spacing w:before="156" w:beforeLines="50" w:after="156" w:afterLines="50" w:line="360" w:lineRule="auto"/>
        <w:ind w:left="0" w:leftChars="0" w:firstLine="0" w:firstLineChars="0"/>
        <w:outlineLvl w:val="2"/>
        <w:rPr>
          <w:rFonts w:hint="eastAsia" w:ascii="宋体" w:hAnsi="宋体" w:eastAsia="宋体" w:cs="宋体"/>
          <w:b/>
          <w:bCs w:val="0"/>
          <w:color w:val="auto"/>
          <w:sz w:val="24"/>
          <w:szCs w:val="24"/>
          <w:lang w:val="en-US" w:eastAsia="zh-CN"/>
        </w:rPr>
      </w:pPr>
      <w:bookmarkStart w:id="175" w:name="_Toc10087"/>
      <w:bookmarkStart w:id="176" w:name="_Toc30118"/>
      <w:bookmarkStart w:id="177" w:name="_Toc26358"/>
      <w:bookmarkStart w:id="178" w:name="_Toc13571"/>
      <w:r>
        <w:rPr>
          <w:rFonts w:hint="eastAsia" w:ascii="宋体" w:eastAsia="宋体" w:cs="宋体"/>
          <w:b/>
          <w:bCs w:val="0"/>
          <w:color w:val="auto"/>
          <w:sz w:val="24"/>
          <w:szCs w:val="24"/>
          <w:lang w:val="en-US" w:eastAsia="zh-CN"/>
        </w:rPr>
        <w:t>9</w:t>
      </w:r>
      <w:r>
        <w:rPr>
          <w:rFonts w:hint="eastAsia" w:ascii="宋体" w:hAnsi="宋体" w:eastAsia="宋体" w:cs="宋体"/>
          <w:b/>
          <w:bCs w:val="0"/>
          <w:color w:val="auto"/>
          <w:sz w:val="24"/>
          <w:szCs w:val="24"/>
          <w:lang w:val="en-US" w:eastAsia="zh-CN"/>
        </w:rPr>
        <w:t>.3 产品的质量要求</w:t>
      </w:r>
      <w:bookmarkEnd w:id="175"/>
      <w:bookmarkEnd w:id="176"/>
      <w:bookmarkEnd w:id="177"/>
      <w:bookmarkEnd w:id="178"/>
    </w:p>
    <w:p>
      <w:pPr>
        <w:pStyle w:val="5"/>
        <w:bidi w:val="0"/>
        <w:ind w:firstLine="117" w:firstLineChars="49"/>
        <w:outlineLvl w:val="3"/>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9.3.1产品出厂测试及检验报告</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每批电缆出厂前，制造厂必须对每盘电缆按 GB/T 12706.2-2008要求进行例行试验。</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产品出厂前应按照招标人下表提供的试验项目进行全面的测试，测试检验项目包括（但不限于）以下内容：</w:t>
      </w:r>
    </w:p>
    <w:tbl>
      <w:tblPr>
        <w:tblStyle w:val="22"/>
        <w:tblW w:w="0" w:type="auto"/>
        <w:jc w:val="center"/>
        <w:tblLayout w:type="fixed"/>
        <w:tblCellMar>
          <w:top w:w="0" w:type="dxa"/>
          <w:left w:w="0" w:type="dxa"/>
          <w:bottom w:w="0" w:type="dxa"/>
          <w:right w:w="0" w:type="dxa"/>
        </w:tblCellMar>
      </w:tblPr>
      <w:tblGrid>
        <w:gridCol w:w="884"/>
        <w:gridCol w:w="4527"/>
        <w:gridCol w:w="2874"/>
      </w:tblGrid>
      <w:tr>
        <w:tblPrEx>
          <w:tblCellMar>
            <w:top w:w="0" w:type="dxa"/>
            <w:left w:w="0" w:type="dxa"/>
            <w:bottom w:w="0" w:type="dxa"/>
            <w:right w:w="0" w:type="dxa"/>
          </w:tblCellMar>
        </w:tblPrEx>
        <w:trPr>
          <w:trHeight w:val="575" w:hRule="exact"/>
          <w:jc w:val="center"/>
        </w:trPr>
        <w:tc>
          <w:tcPr>
            <w:tcW w:w="884" w:type="dxa"/>
            <w:tcBorders>
              <w:top w:val="single" w:color="000008" w:sz="2" w:space="0"/>
              <w:left w:val="single" w:color="000008" w:sz="2" w:space="0"/>
              <w:bottom w:val="single" w:color="000008" w:sz="2" w:space="0"/>
              <w:right w:val="single" w:color="000008" w:sz="2" w:space="0"/>
            </w:tcBorders>
            <w:noWrap w:val="0"/>
            <w:vAlign w:val="center"/>
          </w:tcPr>
          <w:p>
            <w:pPr>
              <w:spacing w:line="360" w:lineRule="auto"/>
              <w:ind w:firstLine="359" w:firstLineChars="171"/>
              <w:rPr>
                <w:rFonts w:hint="eastAsia" w:ascii="宋体" w:hAnsi="宋体" w:eastAsia="宋体" w:cs="宋体"/>
                <w:color w:val="auto"/>
                <w:sz w:val="21"/>
                <w:szCs w:val="21"/>
              </w:rPr>
            </w:pPr>
            <w:r>
              <w:rPr>
                <w:rFonts w:hint="eastAsia" w:ascii="宋体" w:hAnsi="宋体" w:eastAsia="宋体" w:cs="宋体"/>
                <w:color w:val="auto"/>
                <w:sz w:val="21"/>
                <w:szCs w:val="21"/>
              </w:rPr>
              <w:t>序号</w:t>
            </w:r>
          </w:p>
        </w:tc>
        <w:tc>
          <w:tcPr>
            <w:tcW w:w="4527" w:type="dxa"/>
            <w:tcBorders>
              <w:top w:val="single" w:color="000008" w:sz="2" w:space="0"/>
              <w:left w:val="single" w:color="000008" w:sz="2" w:space="0"/>
              <w:bottom w:val="single" w:color="000008" w:sz="2" w:space="0"/>
              <w:right w:val="single" w:color="000008" w:sz="2" w:space="0"/>
            </w:tcBorders>
            <w:noWrap w:val="0"/>
            <w:vAlign w:val="center"/>
          </w:tcPr>
          <w:p>
            <w:pPr>
              <w:spacing w:line="360" w:lineRule="auto"/>
              <w:ind w:firstLine="359" w:firstLineChars="171"/>
              <w:rPr>
                <w:rFonts w:hint="eastAsia" w:ascii="宋体" w:hAnsi="宋体" w:eastAsia="宋体" w:cs="宋体"/>
                <w:color w:val="auto"/>
                <w:sz w:val="21"/>
                <w:szCs w:val="21"/>
              </w:rPr>
            </w:pPr>
            <w:r>
              <w:rPr>
                <w:rFonts w:hint="eastAsia" w:ascii="宋体" w:hAnsi="宋体" w:eastAsia="宋体" w:cs="宋体"/>
                <w:color w:val="auto"/>
                <w:sz w:val="21"/>
                <w:szCs w:val="21"/>
              </w:rPr>
              <w:t>试验项目</w:t>
            </w:r>
          </w:p>
        </w:tc>
        <w:tc>
          <w:tcPr>
            <w:tcW w:w="2874" w:type="dxa"/>
            <w:tcBorders>
              <w:top w:val="single" w:color="000008" w:sz="2" w:space="0"/>
              <w:left w:val="single" w:color="000008" w:sz="2" w:space="0"/>
              <w:bottom w:val="single" w:color="000008" w:sz="2" w:space="0"/>
              <w:right w:val="single" w:color="000008" w:sz="2" w:space="0"/>
            </w:tcBorders>
            <w:noWrap w:val="0"/>
            <w:vAlign w:val="center"/>
          </w:tcPr>
          <w:p>
            <w:pPr>
              <w:spacing w:line="360" w:lineRule="auto"/>
              <w:ind w:firstLine="359" w:firstLineChars="171"/>
              <w:rPr>
                <w:rFonts w:hint="eastAsia" w:ascii="宋体" w:hAnsi="宋体" w:eastAsia="宋体" w:cs="宋体"/>
                <w:color w:val="auto"/>
                <w:sz w:val="21"/>
                <w:szCs w:val="21"/>
              </w:rPr>
            </w:pPr>
            <w:r>
              <w:rPr>
                <w:rFonts w:hint="eastAsia" w:ascii="宋体" w:hAnsi="宋体" w:eastAsia="宋体" w:cs="宋体"/>
                <w:color w:val="auto"/>
                <w:sz w:val="21"/>
                <w:szCs w:val="21"/>
              </w:rPr>
              <w:t>试验方法标准</w:t>
            </w:r>
          </w:p>
        </w:tc>
      </w:tr>
      <w:tr>
        <w:tblPrEx>
          <w:tblCellMar>
            <w:top w:w="0" w:type="dxa"/>
            <w:left w:w="0" w:type="dxa"/>
            <w:bottom w:w="0" w:type="dxa"/>
            <w:right w:w="0" w:type="dxa"/>
          </w:tblCellMar>
        </w:tblPrEx>
        <w:trPr>
          <w:trHeight w:val="478" w:hRule="exact"/>
          <w:jc w:val="center"/>
        </w:trPr>
        <w:tc>
          <w:tcPr>
            <w:tcW w:w="884" w:type="dxa"/>
            <w:tcBorders>
              <w:top w:val="single" w:color="000008" w:sz="2" w:space="0"/>
              <w:left w:val="single" w:color="000008" w:sz="2" w:space="0"/>
              <w:bottom w:val="single" w:color="000008" w:sz="2" w:space="0"/>
              <w:right w:val="single" w:color="000008" w:sz="2" w:space="0"/>
            </w:tcBorders>
            <w:noWrap w:val="0"/>
            <w:vAlign w:val="center"/>
          </w:tcPr>
          <w:p>
            <w:pPr>
              <w:spacing w:line="360" w:lineRule="auto"/>
              <w:ind w:firstLine="359" w:firstLineChars="171"/>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4527" w:type="dxa"/>
            <w:tcBorders>
              <w:top w:val="single" w:color="000008" w:sz="2" w:space="0"/>
              <w:left w:val="single" w:color="000008" w:sz="2" w:space="0"/>
              <w:bottom w:val="single" w:color="000008" w:sz="2" w:space="0"/>
              <w:right w:val="single" w:color="000008" w:sz="2" w:space="0"/>
            </w:tcBorders>
            <w:noWrap w:val="0"/>
            <w:vAlign w:val="center"/>
          </w:tcPr>
          <w:p>
            <w:pPr>
              <w:spacing w:line="360" w:lineRule="auto"/>
              <w:ind w:firstLine="359" w:firstLineChars="171"/>
              <w:rPr>
                <w:rFonts w:hint="eastAsia" w:ascii="宋体" w:hAnsi="宋体" w:eastAsia="宋体" w:cs="宋体"/>
                <w:color w:val="auto"/>
                <w:sz w:val="21"/>
                <w:szCs w:val="21"/>
              </w:rPr>
            </w:pPr>
            <w:r>
              <w:rPr>
                <w:rFonts w:hint="eastAsia" w:ascii="宋体" w:hAnsi="宋体" w:eastAsia="宋体" w:cs="宋体"/>
                <w:color w:val="auto"/>
                <w:sz w:val="21"/>
                <w:szCs w:val="21"/>
              </w:rPr>
              <w:t>结构和尺寸检查</w:t>
            </w:r>
          </w:p>
        </w:tc>
        <w:tc>
          <w:tcPr>
            <w:tcW w:w="2874" w:type="dxa"/>
            <w:tcBorders>
              <w:top w:val="single" w:color="000008" w:sz="2" w:space="0"/>
              <w:left w:val="single" w:color="000008" w:sz="2" w:space="0"/>
              <w:bottom w:val="single" w:color="000008" w:sz="2" w:space="0"/>
              <w:right w:val="single" w:color="000008" w:sz="2" w:space="0"/>
            </w:tcBorders>
            <w:noWrap w:val="0"/>
            <w:vAlign w:val="center"/>
          </w:tcPr>
          <w:p>
            <w:pPr>
              <w:spacing w:line="360" w:lineRule="auto"/>
              <w:ind w:firstLine="359" w:firstLineChars="171"/>
              <w:rPr>
                <w:rFonts w:hint="eastAsia" w:ascii="宋体" w:hAnsi="宋体" w:eastAsia="宋体" w:cs="宋体"/>
                <w:color w:val="auto"/>
                <w:sz w:val="21"/>
                <w:szCs w:val="21"/>
              </w:rPr>
            </w:pPr>
            <w:r>
              <w:rPr>
                <w:rFonts w:hint="eastAsia" w:ascii="宋体" w:hAnsi="宋体" w:eastAsia="宋体" w:cs="宋体"/>
                <w:color w:val="auto"/>
                <w:sz w:val="21"/>
                <w:szCs w:val="21"/>
              </w:rPr>
              <w:t>GB/T 12706.2-2008</w:t>
            </w:r>
          </w:p>
        </w:tc>
      </w:tr>
      <w:tr>
        <w:tblPrEx>
          <w:tblCellMar>
            <w:top w:w="0" w:type="dxa"/>
            <w:left w:w="0" w:type="dxa"/>
            <w:bottom w:w="0" w:type="dxa"/>
            <w:right w:w="0" w:type="dxa"/>
          </w:tblCellMar>
        </w:tblPrEx>
        <w:trPr>
          <w:trHeight w:val="520" w:hRule="exact"/>
          <w:jc w:val="center"/>
        </w:trPr>
        <w:tc>
          <w:tcPr>
            <w:tcW w:w="884" w:type="dxa"/>
            <w:tcBorders>
              <w:top w:val="single" w:color="000008" w:sz="2" w:space="0"/>
              <w:left w:val="single" w:color="000008" w:sz="2" w:space="0"/>
              <w:bottom w:val="single" w:color="000008" w:sz="2" w:space="0"/>
              <w:right w:val="single" w:color="000008" w:sz="2" w:space="0"/>
            </w:tcBorders>
            <w:noWrap w:val="0"/>
            <w:vAlign w:val="center"/>
          </w:tcPr>
          <w:p>
            <w:pPr>
              <w:spacing w:line="360" w:lineRule="auto"/>
              <w:ind w:firstLine="359" w:firstLineChars="171"/>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4527" w:type="dxa"/>
            <w:tcBorders>
              <w:top w:val="single" w:color="000008" w:sz="2" w:space="0"/>
              <w:left w:val="single" w:color="000008" w:sz="2" w:space="0"/>
              <w:bottom w:val="single" w:color="000008" w:sz="2" w:space="0"/>
              <w:right w:val="single" w:color="000008" w:sz="2" w:space="0"/>
            </w:tcBorders>
            <w:noWrap w:val="0"/>
            <w:vAlign w:val="center"/>
          </w:tcPr>
          <w:p>
            <w:pPr>
              <w:spacing w:line="360" w:lineRule="auto"/>
              <w:ind w:firstLine="359" w:firstLineChars="171"/>
              <w:rPr>
                <w:rFonts w:hint="eastAsia" w:ascii="宋体" w:hAnsi="宋体" w:eastAsia="宋体" w:cs="宋体"/>
                <w:color w:val="auto"/>
                <w:sz w:val="21"/>
                <w:szCs w:val="21"/>
              </w:rPr>
            </w:pPr>
            <w:r>
              <w:rPr>
                <w:rFonts w:hint="eastAsia" w:ascii="宋体" w:hAnsi="宋体" w:eastAsia="宋体" w:cs="宋体"/>
                <w:color w:val="auto"/>
                <w:sz w:val="21"/>
                <w:szCs w:val="21"/>
              </w:rPr>
              <w:t>交流耐压试验</w:t>
            </w:r>
          </w:p>
        </w:tc>
        <w:tc>
          <w:tcPr>
            <w:tcW w:w="2874" w:type="dxa"/>
            <w:tcBorders>
              <w:top w:val="single" w:color="000008" w:sz="2" w:space="0"/>
              <w:left w:val="single" w:color="000008" w:sz="2" w:space="0"/>
              <w:bottom w:val="single" w:color="000008" w:sz="2" w:space="0"/>
              <w:right w:val="single" w:color="000008" w:sz="2" w:space="0"/>
            </w:tcBorders>
            <w:noWrap w:val="0"/>
            <w:vAlign w:val="center"/>
          </w:tcPr>
          <w:p>
            <w:pPr>
              <w:spacing w:line="360" w:lineRule="auto"/>
              <w:ind w:firstLine="359" w:firstLineChars="171"/>
              <w:rPr>
                <w:rFonts w:hint="eastAsia" w:ascii="宋体" w:hAnsi="宋体" w:eastAsia="宋体" w:cs="宋体"/>
                <w:color w:val="auto"/>
                <w:sz w:val="21"/>
                <w:szCs w:val="21"/>
              </w:rPr>
            </w:pPr>
            <w:r>
              <w:rPr>
                <w:rFonts w:hint="eastAsia" w:ascii="宋体" w:hAnsi="宋体" w:eastAsia="宋体" w:cs="宋体"/>
                <w:color w:val="auto"/>
                <w:sz w:val="21"/>
                <w:szCs w:val="21"/>
              </w:rPr>
              <w:t>GB/T 12706.2-2008</w:t>
            </w:r>
          </w:p>
        </w:tc>
      </w:tr>
      <w:tr>
        <w:tblPrEx>
          <w:tblCellMar>
            <w:top w:w="0" w:type="dxa"/>
            <w:left w:w="0" w:type="dxa"/>
            <w:bottom w:w="0" w:type="dxa"/>
            <w:right w:w="0" w:type="dxa"/>
          </w:tblCellMar>
        </w:tblPrEx>
        <w:trPr>
          <w:trHeight w:val="527" w:hRule="exact"/>
          <w:jc w:val="center"/>
        </w:trPr>
        <w:tc>
          <w:tcPr>
            <w:tcW w:w="884" w:type="dxa"/>
            <w:tcBorders>
              <w:top w:val="single" w:color="000008" w:sz="2" w:space="0"/>
              <w:left w:val="single" w:color="000008" w:sz="2" w:space="0"/>
              <w:bottom w:val="single" w:color="000008" w:sz="2" w:space="0"/>
              <w:right w:val="single" w:color="000008" w:sz="2" w:space="0"/>
            </w:tcBorders>
            <w:noWrap w:val="0"/>
            <w:vAlign w:val="center"/>
          </w:tcPr>
          <w:p>
            <w:pPr>
              <w:spacing w:line="360" w:lineRule="auto"/>
              <w:ind w:firstLine="359" w:firstLineChars="171"/>
              <w:rPr>
                <w:rFonts w:hint="eastAsia" w:ascii="宋体" w:hAnsi="宋体" w:eastAsia="宋体" w:cs="宋体"/>
                <w:color w:val="auto"/>
                <w:sz w:val="21"/>
                <w:szCs w:val="21"/>
              </w:rPr>
            </w:pPr>
            <w:r>
              <w:rPr>
                <w:rFonts w:hint="eastAsia" w:ascii="宋体" w:hAnsi="宋体" w:eastAsia="宋体" w:cs="宋体"/>
                <w:color w:val="auto"/>
                <w:sz w:val="21"/>
                <w:szCs w:val="21"/>
              </w:rPr>
              <w:t>3</w:t>
            </w:r>
          </w:p>
        </w:tc>
        <w:tc>
          <w:tcPr>
            <w:tcW w:w="4527" w:type="dxa"/>
            <w:tcBorders>
              <w:top w:val="single" w:color="000008" w:sz="2" w:space="0"/>
              <w:left w:val="single" w:color="000008" w:sz="2" w:space="0"/>
              <w:bottom w:val="single" w:color="000008" w:sz="2" w:space="0"/>
              <w:right w:val="single" w:color="000008" w:sz="2" w:space="0"/>
            </w:tcBorders>
            <w:noWrap w:val="0"/>
            <w:vAlign w:val="center"/>
          </w:tcPr>
          <w:p>
            <w:pPr>
              <w:spacing w:line="360" w:lineRule="auto"/>
              <w:ind w:firstLine="359" w:firstLineChars="171"/>
              <w:rPr>
                <w:rFonts w:hint="eastAsia" w:ascii="宋体" w:hAnsi="宋体" w:eastAsia="宋体" w:cs="宋体"/>
                <w:color w:val="auto"/>
                <w:sz w:val="21"/>
                <w:szCs w:val="21"/>
              </w:rPr>
            </w:pPr>
            <w:r>
              <w:rPr>
                <w:rFonts w:hint="eastAsia" w:ascii="宋体" w:hAnsi="宋体" w:eastAsia="宋体" w:cs="宋体"/>
                <w:color w:val="auto"/>
                <w:sz w:val="21"/>
                <w:szCs w:val="21"/>
              </w:rPr>
              <w:t>绝缘和外护套厚度、外径的测量</w:t>
            </w:r>
          </w:p>
        </w:tc>
        <w:tc>
          <w:tcPr>
            <w:tcW w:w="2874" w:type="dxa"/>
            <w:tcBorders>
              <w:top w:val="single" w:color="000008" w:sz="2" w:space="0"/>
              <w:left w:val="single" w:color="000008" w:sz="2" w:space="0"/>
              <w:bottom w:val="single" w:color="000008" w:sz="2" w:space="0"/>
              <w:right w:val="single" w:color="000008" w:sz="2" w:space="0"/>
            </w:tcBorders>
            <w:noWrap w:val="0"/>
            <w:vAlign w:val="center"/>
          </w:tcPr>
          <w:p>
            <w:pPr>
              <w:spacing w:line="360" w:lineRule="auto"/>
              <w:ind w:firstLine="359" w:firstLineChars="171"/>
              <w:rPr>
                <w:rFonts w:hint="eastAsia" w:ascii="宋体" w:hAnsi="宋体" w:eastAsia="宋体" w:cs="宋体"/>
                <w:color w:val="auto"/>
                <w:sz w:val="21"/>
                <w:szCs w:val="21"/>
              </w:rPr>
            </w:pPr>
            <w:r>
              <w:rPr>
                <w:rFonts w:hint="eastAsia" w:ascii="宋体" w:hAnsi="宋体" w:eastAsia="宋体" w:cs="宋体"/>
                <w:color w:val="auto"/>
                <w:sz w:val="21"/>
                <w:szCs w:val="21"/>
              </w:rPr>
              <w:t>GB/T 2951-2008</w:t>
            </w:r>
          </w:p>
        </w:tc>
      </w:tr>
      <w:tr>
        <w:tblPrEx>
          <w:tblCellMar>
            <w:top w:w="0" w:type="dxa"/>
            <w:left w:w="0" w:type="dxa"/>
            <w:bottom w:w="0" w:type="dxa"/>
            <w:right w:w="0" w:type="dxa"/>
          </w:tblCellMar>
        </w:tblPrEx>
        <w:trPr>
          <w:trHeight w:val="516" w:hRule="exact"/>
          <w:jc w:val="center"/>
        </w:trPr>
        <w:tc>
          <w:tcPr>
            <w:tcW w:w="884" w:type="dxa"/>
            <w:tcBorders>
              <w:top w:val="single" w:color="000008" w:sz="2" w:space="0"/>
              <w:left w:val="single" w:color="000008" w:sz="2" w:space="0"/>
              <w:bottom w:val="single" w:color="000008" w:sz="2" w:space="0"/>
              <w:right w:val="single" w:color="000008" w:sz="2" w:space="0"/>
            </w:tcBorders>
            <w:noWrap w:val="0"/>
            <w:vAlign w:val="center"/>
          </w:tcPr>
          <w:p>
            <w:pPr>
              <w:spacing w:line="360" w:lineRule="auto"/>
              <w:ind w:firstLine="359" w:firstLineChars="171"/>
              <w:rPr>
                <w:rFonts w:hint="eastAsia" w:ascii="宋体" w:hAnsi="宋体" w:eastAsia="宋体" w:cs="宋体"/>
                <w:color w:val="auto"/>
                <w:sz w:val="21"/>
                <w:szCs w:val="21"/>
              </w:rPr>
            </w:pPr>
            <w:r>
              <w:rPr>
                <w:rFonts w:hint="eastAsia" w:ascii="宋体" w:hAnsi="宋体" w:eastAsia="宋体" w:cs="宋体"/>
                <w:color w:val="auto"/>
                <w:sz w:val="21"/>
                <w:szCs w:val="21"/>
              </w:rPr>
              <w:t>4</w:t>
            </w:r>
          </w:p>
        </w:tc>
        <w:tc>
          <w:tcPr>
            <w:tcW w:w="4527" w:type="dxa"/>
            <w:tcBorders>
              <w:top w:val="single" w:color="000008" w:sz="2" w:space="0"/>
              <w:left w:val="single" w:color="000008" w:sz="2" w:space="0"/>
              <w:bottom w:val="single" w:color="000008" w:sz="2" w:space="0"/>
              <w:right w:val="single" w:color="000008" w:sz="2" w:space="0"/>
            </w:tcBorders>
            <w:noWrap w:val="0"/>
            <w:vAlign w:val="center"/>
          </w:tcPr>
          <w:p>
            <w:pPr>
              <w:spacing w:line="360" w:lineRule="auto"/>
              <w:ind w:firstLine="359" w:firstLineChars="171"/>
              <w:rPr>
                <w:rFonts w:hint="eastAsia" w:ascii="宋体" w:hAnsi="宋体" w:eastAsia="宋体" w:cs="宋体"/>
                <w:color w:val="auto"/>
                <w:sz w:val="21"/>
                <w:szCs w:val="21"/>
              </w:rPr>
            </w:pPr>
            <w:r>
              <w:rPr>
                <w:rFonts w:hint="eastAsia" w:ascii="宋体" w:hAnsi="宋体" w:eastAsia="宋体" w:cs="宋体"/>
                <w:color w:val="auto"/>
                <w:sz w:val="21"/>
                <w:szCs w:val="21"/>
              </w:rPr>
              <w:t>绝缘热热延伸试验</w:t>
            </w:r>
          </w:p>
        </w:tc>
        <w:tc>
          <w:tcPr>
            <w:tcW w:w="2874" w:type="dxa"/>
            <w:tcBorders>
              <w:top w:val="single" w:color="000008" w:sz="2" w:space="0"/>
              <w:left w:val="single" w:color="000008" w:sz="2" w:space="0"/>
              <w:bottom w:val="single" w:color="000008" w:sz="2" w:space="0"/>
              <w:right w:val="single" w:color="000008" w:sz="2" w:space="0"/>
            </w:tcBorders>
            <w:noWrap w:val="0"/>
            <w:vAlign w:val="center"/>
          </w:tcPr>
          <w:p>
            <w:pPr>
              <w:spacing w:line="360" w:lineRule="auto"/>
              <w:ind w:firstLine="359" w:firstLineChars="171"/>
              <w:rPr>
                <w:rFonts w:hint="eastAsia" w:ascii="宋体" w:hAnsi="宋体" w:eastAsia="宋体" w:cs="宋体"/>
                <w:color w:val="auto"/>
                <w:sz w:val="21"/>
                <w:szCs w:val="21"/>
              </w:rPr>
            </w:pPr>
            <w:r>
              <w:rPr>
                <w:rFonts w:hint="eastAsia" w:ascii="宋体" w:hAnsi="宋体" w:eastAsia="宋体" w:cs="宋体"/>
                <w:color w:val="auto"/>
                <w:sz w:val="21"/>
                <w:szCs w:val="21"/>
              </w:rPr>
              <w:t>GB/T 2951-2008</w:t>
            </w:r>
          </w:p>
        </w:tc>
      </w:tr>
      <w:tr>
        <w:tblPrEx>
          <w:tblCellMar>
            <w:top w:w="0" w:type="dxa"/>
            <w:left w:w="0" w:type="dxa"/>
            <w:bottom w:w="0" w:type="dxa"/>
            <w:right w:w="0" w:type="dxa"/>
          </w:tblCellMar>
        </w:tblPrEx>
        <w:trPr>
          <w:trHeight w:val="524" w:hRule="exact"/>
          <w:jc w:val="center"/>
        </w:trPr>
        <w:tc>
          <w:tcPr>
            <w:tcW w:w="884" w:type="dxa"/>
            <w:tcBorders>
              <w:top w:val="single" w:color="000008" w:sz="2" w:space="0"/>
              <w:left w:val="single" w:color="000008" w:sz="2" w:space="0"/>
              <w:bottom w:val="single" w:color="000008" w:sz="2" w:space="0"/>
              <w:right w:val="single" w:color="000008" w:sz="2" w:space="0"/>
            </w:tcBorders>
            <w:noWrap w:val="0"/>
            <w:vAlign w:val="center"/>
          </w:tcPr>
          <w:p>
            <w:pPr>
              <w:spacing w:line="360" w:lineRule="auto"/>
              <w:ind w:firstLine="359" w:firstLineChars="171"/>
              <w:rPr>
                <w:rFonts w:hint="eastAsia" w:ascii="宋体" w:hAnsi="宋体" w:eastAsia="宋体" w:cs="宋体"/>
                <w:color w:val="auto"/>
                <w:sz w:val="21"/>
                <w:szCs w:val="21"/>
              </w:rPr>
            </w:pPr>
            <w:r>
              <w:rPr>
                <w:rFonts w:hint="eastAsia" w:ascii="宋体" w:hAnsi="宋体" w:eastAsia="宋体" w:cs="宋体"/>
                <w:color w:val="auto"/>
                <w:sz w:val="21"/>
                <w:szCs w:val="21"/>
              </w:rPr>
              <w:t>5</w:t>
            </w:r>
          </w:p>
        </w:tc>
        <w:tc>
          <w:tcPr>
            <w:tcW w:w="4527" w:type="dxa"/>
            <w:tcBorders>
              <w:top w:val="single" w:color="000008" w:sz="2" w:space="0"/>
              <w:left w:val="single" w:color="000008" w:sz="2" w:space="0"/>
              <w:bottom w:val="single" w:color="000008" w:sz="2" w:space="0"/>
              <w:right w:val="single" w:color="000008" w:sz="2" w:space="0"/>
            </w:tcBorders>
            <w:noWrap w:val="0"/>
            <w:vAlign w:val="center"/>
          </w:tcPr>
          <w:p>
            <w:pPr>
              <w:spacing w:line="360" w:lineRule="auto"/>
              <w:ind w:firstLine="359" w:firstLineChars="171"/>
              <w:rPr>
                <w:rFonts w:hint="eastAsia" w:ascii="宋体" w:hAnsi="宋体" w:eastAsia="宋体" w:cs="宋体"/>
                <w:color w:val="auto"/>
                <w:sz w:val="21"/>
                <w:szCs w:val="21"/>
              </w:rPr>
            </w:pPr>
            <w:r>
              <w:rPr>
                <w:rFonts w:hint="eastAsia" w:ascii="宋体" w:hAnsi="宋体" w:eastAsia="宋体" w:cs="宋体"/>
                <w:color w:val="auto"/>
                <w:sz w:val="21"/>
                <w:szCs w:val="21"/>
              </w:rPr>
              <w:t>绝缘电阻试验</w:t>
            </w:r>
          </w:p>
        </w:tc>
        <w:tc>
          <w:tcPr>
            <w:tcW w:w="2874" w:type="dxa"/>
            <w:tcBorders>
              <w:top w:val="single" w:color="000008" w:sz="2" w:space="0"/>
              <w:left w:val="single" w:color="000008" w:sz="2" w:space="0"/>
              <w:bottom w:val="single" w:color="000008" w:sz="2" w:space="0"/>
              <w:right w:val="single" w:color="000008" w:sz="2" w:space="0"/>
            </w:tcBorders>
            <w:noWrap w:val="0"/>
            <w:vAlign w:val="center"/>
          </w:tcPr>
          <w:p>
            <w:pPr>
              <w:spacing w:line="360" w:lineRule="auto"/>
              <w:ind w:firstLine="359" w:firstLineChars="171"/>
              <w:rPr>
                <w:rFonts w:hint="eastAsia" w:ascii="宋体" w:hAnsi="宋体" w:eastAsia="宋体" w:cs="宋体"/>
                <w:color w:val="auto"/>
                <w:sz w:val="21"/>
                <w:szCs w:val="21"/>
              </w:rPr>
            </w:pPr>
            <w:r>
              <w:rPr>
                <w:rFonts w:hint="eastAsia" w:ascii="宋体" w:hAnsi="宋体" w:eastAsia="宋体" w:cs="宋体"/>
                <w:color w:val="auto"/>
                <w:sz w:val="21"/>
                <w:szCs w:val="21"/>
              </w:rPr>
              <w:t>GB/T 5023.3-2008</w:t>
            </w:r>
          </w:p>
        </w:tc>
      </w:tr>
      <w:tr>
        <w:tblPrEx>
          <w:tblCellMar>
            <w:top w:w="0" w:type="dxa"/>
            <w:left w:w="0" w:type="dxa"/>
            <w:bottom w:w="0" w:type="dxa"/>
            <w:right w:w="0" w:type="dxa"/>
          </w:tblCellMar>
        </w:tblPrEx>
        <w:trPr>
          <w:trHeight w:val="531" w:hRule="exact"/>
          <w:jc w:val="center"/>
        </w:trPr>
        <w:tc>
          <w:tcPr>
            <w:tcW w:w="884" w:type="dxa"/>
            <w:tcBorders>
              <w:top w:val="single" w:color="000008" w:sz="2" w:space="0"/>
              <w:left w:val="single" w:color="000008" w:sz="2" w:space="0"/>
              <w:bottom w:val="single" w:color="000008" w:sz="2" w:space="0"/>
              <w:right w:val="single" w:color="000008" w:sz="2" w:space="0"/>
            </w:tcBorders>
            <w:noWrap w:val="0"/>
            <w:vAlign w:val="center"/>
          </w:tcPr>
          <w:p>
            <w:pPr>
              <w:spacing w:line="360" w:lineRule="auto"/>
              <w:ind w:firstLine="359" w:firstLineChars="171"/>
              <w:rPr>
                <w:rFonts w:hint="eastAsia" w:ascii="宋体" w:hAnsi="宋体" w:eastAsia="宋体" w:cs="宋体"/>
                <w:color w:val="auto"/>
                <w:sz w:val="21"/>
                <w:szCs w:val="21"/>
              </w:rPr>
            </w:pPr>
            <w:r>
              <w:rPr>
                <w:rFonts w:hint="eastAsia" w:ascii="宋体" w:hAnsi="宋体" w:eastAsia="宋体" w:cs="宋体"/>
                <w:color w:val="auto"/>
                <w:sz w:val="21"/>
                <w:szCs w:val="21"/>
              </w:rPr>
              <w:t>6</w:t>
            </w:r>
          </w:p>
        </w:tc>
        <w:tc>
          <w:tcPr>
            <w:tcW w:w="4527" w:type="dxa"/>
            <w:tcBorders>
              <w:top w:val="single" w:color="000008" w:sz="2" w:space="0"/>
              <w:left w:val="single" w:color="000008" w:sz="2" w:space="0"/>
              <w:bottom w:val="single" w:color="000008" w:sz="2" w:space="0"/>
              <w:right w:val="single" w:color="000008" w:sz="2" w:space="0"/>
            </w:tcBorders>
            <w:noWrap w:val="0"/>
            <w:vAlign w:val="center"/>
          </w:tcPr>
          <w:p>
            <w:pPr>
              <w:spacing w:line="360" w:lineRule="auto"/>
              <w:ind w:firstLine="359" w:firstLineChars="171"/>
              <w:rPr>
                <w:rFonts w:hint="eastAsia" w:ascii="宋体" w:hAnsi="宋体" w:eastAsia="宋体" w:cs="宋体"/>
                <w:color w:val="auto"/>
                <w:sz w:val="21"/>
                <w:szCs w:val="21"/>
              </w:rPr>
            </w:pPr>
            <w:r>
              <w:rPr>
                <w:rFonts w:hint="eastAsia" w:ascii="宋体" w:hAnsi="宋体" w:eastAsia="宋体" w:cs="宋体"/>
                <w:color w:val="auto"/>
                <w:sz w:val="21"/>
                <w:szCs w:val="21"/>
              </w:rPr>
              <w:t>局部放电试验</w:t>
            </w:r>
          </w:p>
        </w:tc>
        <w:tc>
          <w:tcPr>
            <w:tcW w:w="2874" w:type="dxa"/>
            <w:tcBorders>
              <w:top w:val="single" w:color="000008" w:sz="2" w:space="0"/>
              <w:left w:val="single" w:color="000008" w:sz="2" w:space="0"/>
              <w:bottom w:val="single" w:color="000008" w:sz="2" w:space="0"/>
              <w:right w:val="single" w:color="000008" w:sz="2" w:space="0"/>
            </w:tcBorders>
            <w:noWrap w:val="0"/>
            <w:vAlign w:val="center"/>
          </w:tcPr>
          <w:p>
            <w:pPr>
              <w:spacing w:line="360" w:lineRule="auto"/>
              <w:ind w:firstLine="359" w:firstLineChars="171"/>
              <w:rPr>
                <w:rFonts w:hint="eastAsia" w:ascii="宋体" w:hAnsi="宋体" w:eastAsia="宋体" w:cs="宋体"/>
                <w:color w:val="auto"/>
                <w:sz w:val="21"/>
                <w:szCs w:val="21"/>
              </w:rPr>
            </w:pPr>
            <w:r>
              <w:rPr>
                <w:rFonts w:hint="eastAsia" w:ascii="宋体" w:hAnsi="宋体" w:eastAsia="宋体" w:cs="宋体"/>
                <w:color w:val="auto"/>
                <w:sz w:val="21"/>
                <w:szCs w:val="21"/>
              </w:rPr>
              <w:t>GB/T 3048.12-2007</w:t>
            </w:r>
          </w:p>
        </w:tc>
      </w:tr>
      <w:tr>
        <w:tblPrEx>
          <w:tblCellMar>
            <w:top w:w="0" w:type="dxa"/>
            <w:left w:w="0" w:type="dxa"/>
            <w:bottom w:w="0" w:type="dxa"/>
            <w:right w:w="0" w:type="dxa"/>
          </w:tblCellMar>
        </w:tblPrEx>
        <w:trPr>
          <w:trHeight w:val="504" w:hRule="exact"/>
          <w:jc w:val="center"/>
        </w:trPr>
        <w:tc>
          <w:tcPr>
            <w:tcW w:w="884" w:type="dxa"/>
            <w:tcBorders>
              <w:top w:val="single" w:color="000008" w:sz="2" w:space="0"/>
              <w:left w:val="single" w:color="000008" w:sz="2" w:space="0"/>
              <w:bottom w:val="single" w:color="000008" w:sz="2" w:space="0"/>
              <w:right w:val="single" w:color="000008" w:sz="2" w:space="0"/>
            </w:tcBorders>
            <w:noWrap w:val="0"/>
            <w:vAlign w:val="center"/>
          </w:tcPr>
          <w:p>
            <w:pPr>
              <w:spacing w:line="360" w:lineRule="auto"/>
              <w:ind w:firstLine="359" w:firstLineChars="171"/>
              <w:rPr>
                <w:rFonts w:hint="eastAsia" w:ascii="宋体" w:hAnsi="宋体" w:eastAsia="宋体" w:cs="宋体"/>
                <w:color w:val="auto"/>
                <w:sz w:val="21"/>
                <w:szCs w:val="21"/>
              </w:rPr>
            </w:pPr>
            <w:r>
              <w:rPr>
                <w:rFonts w:hint="eastAsia" w:ascii="宋体" w:hAnsi="宋体" w:eastAsia="宋体" w:cs="宋体"/>
                <w:color w:val="auto"/>
                <w:sz w:val="21"/>
                <w:szCs w:val="21"/>
              </w:rPr>
              <w:t>7</w:t>
            </w:r>
          </w:p>
        </w:tc>
        <w:tc>
          <w:tcPr>
            <w:tcW w:w="4527" w:type="dxa"/>
            <w:tcBorders>
              <w:top w:val="single" w:color="000008" w:sz="2" w:space="0"/>
              <w:left w:val="single" w:color="000008" w:sz="2" w:space="0"/>
              <w:bottom w:val="single" w:color="000008" w:sz="2" w:space="0"/>
              <w:right w:val="single" w:color="000008" w:sz="2" w:space="0"/>
            </w:tcBorders>
            <w:noWrap w:val="0"/>
            <w:vAlign w:val="center"/>
          </w:tcPr>
          <w:p>
            <w:pPr>
              <w:spacing w:line="360" w:lineRule="auto"/>
              <w:ind w:firstLine="359" w:firstLineChars="171"/>
              <w:rPr>
                <w:rFonts w:hint="eastAsia" w:ascii="宋体" w:hAnsi="宋体" w:eastAsia="宋体" w:cs="宋体"/>
                <w:color w:val="auto"/>
                <w:sz w:val="21"/>
                <w:szCs w:val="21"/>
              </w:rPr>
            </w:pPr>
            <w:r>
              <w:rPr>
                <w:rFonts w:hint="eastAsia" w:ascii="宋体" w:hAnsi="宋体" w:eastAsia="宋体" w:cs="宋体"/>
                <w:color w:val="auto"/>
                <w:sz w:val="21"/>
                <w:szCs w:val="21"/>
              </w:rPr>
              <w:t>导体直流电阻测量</w:t>
            </w:r>
          </w:p>
        </w:tc>
        <w:tc>
          <w:tcPr>
            <w:tcW w:w="2874" w:type="dxa"/>
            <w:tcBorders>
              <w:top w:val="single" w:color="000008" w:sz="2" w:space="0"/>
              <w:left w:val="single" w:color="000008" w:sz="2" w:space="0"/>
              <w:bottom w:val="single" w:color="000008" w:sz="2" w:space="0"/>
              <w:right w:val="single" w:color="000008" w:sz="2" w:space="0"/>
            </w:tcBorders>
            <w:noWrap w:val="0"/>
            <w:vAlign w:val="center"/>
          </w:tcPr>
          <w:p>
            <w:pPr>
              <w:spacing w:line="360" w:lineRule="auto"/>
              <w:ind w:firstLine="359" w:firstLineChars="171"/>
              <w:rPr>
                <w:rFonts w:hint="eastAsia" w:ascii="宋体" w:hAnsi="宋体" w:eastAsia="宋体" w:cs="宋体"/>
                <w:color w:val="auto"/>
                <w:sz w:val="21"/>
                <w:szCs w:val="21"/>
              </w:rPr>
            </w:pPr>
            <w:r>
              <w:rPr>
                <w:rFonts w:hint="eastAsia" w:ascii="宋体" w:hAnsi="宋体" w:eastAsia="宋体" w:cs="宋体"/>
                <w:color w:val="auto"/>
                <w:sz w:val="21"/>
                <w:szCs w:val="21"/>
              </w:rPr>
              <w:t>GB/T 12706.2-2008</w:t>
            </w:r>
          </w:p>
        </w:tc>
      </w:tr>
      <w:tr>
        <w:tblPrEx>
          <w:tblCellMar>
            <w:top w:w="0" w:type="dxa"/>
            <w:left w:w="0" w:type="dxa"/>
            <w:bottom w:w="0" w:type="dxa"/>
            <w:right w:w="0" w:type="dxa"/>
          </w:tblCellMar>
        </w:tblPrEx>
        <w:trPr>
          <w:trHeight w:val="528" w:hRule="exact"/>
          <w:jc w:val="center"/>
        </w:trPr>
        <w:tc>
          <w:tcPr>
            <w:tcW w:w="884" w:type="dxa"/>
            <w:tcBorders>
              <w:top w:val="single" w:color="000008" w:sz="2" w:space="0"/>
              <w:left w:val="single" w:color="000008" w:sz="2" w:space="0"/>
              <w:bottom w:val="single" w:color="000008" w:sz="2" w:space="0"/>
              <w:right w:val="single" w:color="000008" w:sz="2" w:space="0"/>
            </w:tcBorders>
            <w:noWrap w:val="0"/>
            <w:vAlign w:val="center"/>
          </w:tcPr>
          <w:p>
            <w:pPr>
              <w:spacing w:line="360" w:lineRule="auto"/>
              <w:ind w:firstLine="359" w:firstLineChars="171"/>
              <w:rPr>
                <w:rFonts w:hint="eastAsia" w:ascii="宋体" w:hAnsi="宋体" w:eastAsia="宋体" w:cs="宋体"/>
                <w:color w:val="auto"/>
                <w:sz w:val="21"/>
                <w:szCs w:val="21"/>
              </w:rPr>
            </w:pPr>
            <w:r>
              <w:rPr>
                <w:rFonts w:hint="eastAsia" w:ascii="宋体" w:hAnsi="宋体" w:eastAsia="宋体" w:cs="宋体"/>
                <w:color w:val="auto"/>
                <w:sz w:val="21"/>
                <w:szCs w:val="21"/>
              </w:rPr>
              <w:t>8</w:t>
            </w:r>
          </w:p>
        </w:tc>
        <w:tc>
          <w:tcPr>
            <w:tcW w:w="4527" w:type="dxa"/>
            <w:tcBorders>
              <w:top w:val="single" w:color="000008" w:sz="2" w:space="0"/>
              <w:left w:val="single" w:color="000008" w:sz="2" w:space="0"/>
              <w:bottom w:val="single" w:color="000008" w:sz="2" w:space="0"/>
              <w:right w:val="single" w:color="000008" w:sz="2" w:space="0"/>
            </w:tcBorders>
            <w:noWrap w:val="0"/>
            <w:vAlign w:val="center"/>
          </w:tcPr>
          <w:p>
            <w:pPr>
              <w:spacing w:line="360" w:lineRule="auto"/>
              <w:ind w:firstLine="359" w:firstLineChars="171"/>
              <w:rPr>
                <w:rFonts w:hint="eastAsia" w:ascii="宋体" w:hAnsi="宋体" w:eastAsia="宋体" w:cs="宋体"/>
                <w:color w:val="auto"/>
                <w:sz w:val="21"/>
                <w:szCs w:val="21"/>
              </w:rPr>
            </w:pPr>
            <w:r>
              <w:rPr>
                <w:rFonts w:hint="eastAsia" w:ascii="宋体" w:hAnsi="宋体" w:eastAsia="宋体" w:cs="宋体"/>
                <w:color w:val="auto"/>
                <w:sz w:val="21"/>
                <w:szCs w:val="21"/>
              </w:rPr>
              <w:t>4h交流耐压试验</w:t>
            </w:r>
          </w:p>
        </w:tc>
        <w:tc>
          <w:tcPr>
            <w:tcW w:w="2874" w:type="dxa"/>
            <w:tcBorders>
              <w:top w:val="single" w:color="000008" w:sz="2" w:space="0"/>
              <w:left w:val="single" w:color="000008" w:sz="2" w:space="0"/>
              <w:bottom w:val="single" w:color="000008" w:sz="2" w:space="0"/>
              <w:right w:val="single" w:color="000008" w:sz="2" w:space="0"/>
            </w:tcBorders>
            <w:noWrap w:val="0"/>
            <w:vAlign w:val="center"/>
          </w:tcPr>
          <w:p>
            <w:pPr>
              <w:spacing w:line="360" w:lineRule="auto"/>
              <w:ind w:firstLine="359" w:firstLineChars="171"/>
              <w:rPr>
                <w:rFonts w:hint="eastAsia" w:ascii="宋体" w:hAnsi="宋体" w:eastAsia="宋体" w:cs="宋体"/>
                <w:color w:val="auto"/>
                <w:sz w:val="21"/>
                <w:szCs w:val="21"/>
              </w:rPr>
            </w:pPr>
            <w:r>
              <w:rPr>
                <w:rFonts w:hint="eastAsia" w:ascii="宋体" w:hAnsi="宋体" w:eastAsia="宋体" w:cs="宋体"/>
                <w:color w:val="auto"/>
                <w:sz w:val="21"/>
                <w:szCs w:val="21"/>
              </w:rPr>
              <w:t>GB/T 12706.2-2008</w:t>
            </w:r>
          </w:p>
        </w:tc>
      </w:tr>
    </w:tbl>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以上未列入的检测项目，但电力电缆国家检验标准要求的检测项目按国家标准进行。</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如招标人有要求，以上检测需在招标人人员在现场的情况下进行目击测试。厂家需将上述测试内容整理成测出厂检验报告并提供给招标人。</w:t>
      </w:r>
    </w:p>
    <w:p>
      <w:pPr>
        <w:pStyle w:val="5"/>
        <w:bidi w:val="0"/>
        <w:ind w:firstLine="117" w:firstLineChars="49"/>
        <w:outlineLvl w:val="3"/>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9</w:t>
      </w:r>
      <w:r>
        <w:rPr>
          <w:rFonts w:hint="eastAsia" w:ascii="宋体" w:hAnsi="宋体" w:eastAsia="宋体" w:cs="宋体"/>
          <w:b w:val="0"/>
          <w:bCs/>
          <w:color w:val="auto"/>
          <w:sz w:val="24"/>
          <w:szCs w:val="24"/>
        </w:rPr>
        <w:t>.</w:t>
      </w:r>
      <w:r>
        <w:rPr>
          <w:rFonts w:hint="eastAsia" w:ascii="宋体" w:hAnsi="宋体" w:eastAsia="宋体" w:cs="宋体"/>
          <w:b w:val="0"/>
          <w:bCs/>
          <w:color w:val="auto"/>
          <w:sz w:val="24"/>
          <w:szCs w:val="24"/>
          <w:lang w:val="en-US" w:eastAsia="zh-CN"/>
        </w:rPr>
        <w:t>3</w:t>
      </w:r>
      <w:r>
        <w:rPr>
          <w:rFonts w:hint="eastAsia" w:ascii="宋体" w:hAnsi="宋体" w:eastAsia="宋体" w:cs="宋体"/>
          <w:b w:val="0"/>
          <w:bCs/>
          <w:color w:val="auto"/>
          <w:sz w:val="24"/>
          <w:szCs w:val="24"/>
        </w:rPr>
        <w:t>.2包装运输要求</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（1）成品电缆的外护套表面应连续、清晰地凸印或印刷厂名、型号、额定电压、导体截面、制造年份、计米长度标志。</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（2）包装和运输应符合国家标准。</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（3）货物制造完成并通过试验后应及时包装，其包装应符合铁路，公路和海运部门的有关规定。</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（4）包装箱和电缆盘上应有明显的包装储运图示标志，并应标明招标人的订货号和发货号。</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（5）随产品提供的技术资料应完整无缺。</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（6）货物在发运前，厂家应将发运日期，货物名称，重量，体积，合同号，储运注意事项等消息以传真，电传等方式通知招标人。</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（7）成品电缆每线芯应有色相标志，成品电缆的护套表面上应有制造厂名、产品型号、额定电压、电缆长度的连续标志，标志应字迹清楚，醒目、耐磨。</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（8）电缆盘应符合GB4005规定，线盘应有足够的机械强度。</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（9）每盘要标有电缆型号、规格、长度、厂名、毛重、制造日期、标准编号、盘转动方向等标志，不得采用凹印。标志应字迹清楚，容易辨认，耐擦，并符合GB6995.3规定。</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（10）每盘电缆内、外端头加防水护套。</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（11）电缆应避免露天存放，电缆盘不允许平放。</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（12）电缆妥善包装在符合JB/T8137-1999规定要求的电缆盘上交货。电缆端头可靠防潮密封，伸出盘外的电缆端头加保护罩，伸出的长度不小于300mm。</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（13）运输中严禁从高处扔下装有电缆的电缆盘，严禁机械损伤电缆；</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（14）吊装包装件时，严禁几盘同时吊装。在车辆、船舶等运输工具上，电缆盘必须放稳，并用合适方法固定，防止互撞或翻倒。</w:t>
      </w:r>
    </w:p>
    <w:p>
      <w:pPr>
        <w:numPr>
          <w:ilvl w:val="0"/>
          <w:numId w:val="0"/>
        </w:numPr>
        <w:adjustRightInd w:val="0"/>
        <w:snapToGrid w:val="0"/>
        <w:spacing w:before="0" w:after="0" w:line="360" w:lineRule="auto"/>
        <w:ind w:left="0" w:leftChars="0" w:firstLine="0" w:firstLineChars="0"/>
        <w:outlineLvl w:val="9"/>
        <w:rPr>
          <w:rFonts w:hint="eastAsia"/>
          <w:color w:val="auto"/>
          <w:lang w:val="en-US" w:eastAsia="zh-CN"/>
        </w:rPr>
      </w:pPr>
      <w:bookmarkStart w:id="179" w:name="_Toc31030"/>
      <w:bookmarkStart w:id="180" w:name="_Toc25382"/>
      <w:r>
        <w:rPr>
          <w:rFonts w:hint="eastAsia" w:ascii="Calibri" w:eastAsia="宋体"/>
          <w:color w:val="auto"/>
          <w:lang w:val="en-US" w:eastAsia="zh-CN"/>
        </w:rPr>
        <w:br w:type="page"/>
      </w:r>
    </w:p>
    <w:p>
      <w:pPr>
        <w:pStyle w:val="3"/>
        <w:numPr>
          <w:ilvl w:val="0"/>
          <w:numId w:val="0"/>
        </w:numPr>
        <w:adjustRightInd w:val="0"/>
        <w:snapToGrid w:val="0"/>
        <w:spacing w:before="0" w:after="0" w:line="360" w:lineRule="auto"/>
        <w:ind w:left="0" w:leftChars="0" w:firstLine="0" w:firstLineChars="0"/>
        <w:outlineLvl w:val="1"/>
        <w:rPr>
          <w:rFonts w:hint="eastAsia" w:ascii="宋体" w:hAnsi="宋体" w:eastAsia="宋体" w:cs="宋体"/>
          <w:b/>
          <w:bCs w:val="0"/>
          <w:color w:val="auto"/>
          <w:sz w:val="24"/>
          <w:szCs w:val="24"/>
          <w:lang w:val="en-US" w:eastAsia="zh-CN"/>
        </w:rPr>
      </w:pPr>
      <w:bookmarkStart w:id="181" w:name="_Toc13143"/>
      <w:bookmarkStart w:id="182" w:name="_Toc20337"/>
      <w:bookmarkStart w:id="183" w:name="_Toc5516"/>
      <w:r>
        <w:rPr>
          <w:rFonts w:hint="eastAsia" w:ascii="宋体" w:hAnsi="宋体" w:cs="宋体"/>
          <w:b/>
          <w:bCs w:val="0"/>
          <w:color w:val="auto"/>
          <w:sz w:val="24"/>
          <w:szCs w:val="24"/>
          <w:lang w:val="en-US" w:eastAsia="zh-CN"/>
        </w:rPr>
        <w:t>10</w:t>
      </w:r>
      <w:r>
        <w:rPr>
          <w:rFonts w:hint="eastAsia" w:ascii="宋体" w:hAnsi="宋体" w:eastAsia="宋体" w:cs="宋体"/>
          <w:b/>
          <w:bCs w:val="0"/>
          <w:color w:val="auto"/>
          <w:sz w:val="24"/>
          <w:szCs w:val="24"/>
          <w:lang w:val="en-US" w:eastAsia="zh-CN"/>
        </w:rPr>
        <w:t>. 监控</w:t>
      </w:r>
      <w:r>
        <w:rPr>
          <w:rFonts w:hint="eastAsia" w:ascii="宋体" w:hAnsi="宋体" w:cs="宋体"/>
          <w:b/>
          <w:bCs w:val="0"/>
          <w:color w:val="auto"/>
          <w:sz w:val="24"/>
          <w:szCs w:val="24"/>
          <w:lang w:val="en-US" w:eastAsia="zh-CN"/>
        </w:rPr>
        <w:t>系统</w:t>
      </w:r>
      <w:r>
        <w:rPr>
          <w:rFonts w:hint="eastAsia" w:ascii="宋体" w:hAnsi="宋体" w:eastAsia="宋体" w:cs="宋体"/>
          <w:b/>
          <w:bCs w:val="0"/>
          <w:color w:val="auto"/>
          <w:sz w:val="24"/>
          <w:szCs w:val="24"/>
          <w:lang w:val="en-US" w:eastAsia="zh-CN"/>
        </w:rPr>
        <w:t>设备</w:t>
      </w:r>
      <w:bookmarkEnd w:id="179"/>
      <w:r>
        <w:rPr>
          <w:rFonts w:hint="eastAsia" w:ascii="宋体" w:hAnsi="宋体" w:eastAsia="宋体" w:cs="宋体"/>
          <w:b/>
          <w:bCs w:val="0"/>
          <w:color w:val="auto"/>
          <w:sz w:val="24"/>
          <w:szCs w:val="24"/>
          <w:lang w:val="en-US" w:eastAsia="zh-CN"/>
        </w:rPr>
        <w:t>技术要求</w:t>
      </w:r>
      <w:bookmarkEnd w:id="180"/>
      <w:bookmarkEnd w:id="181"/>
      <w:bookmarkEnd w:id="182"/>
      <w:bookmarkEnd w:id="183"/>
    </w:p>
    <w:p>
      <w:pPr>
        <w:pStyle w:val="4"/>
        <w:numPr>
          <w:ilvl w:val="2"/>
          <w:numId w:val="0"/>
        </w:numPr>
        <w:adjustRightInd w:val="0"/>
        <w:snapToGrid w:val="0"/>
        <w:spacing w:before="156" w:beforeLines="50" w:after="156" w:afterLines="50"/>
        <w:ind w:firstLine="0" w:firstLineChars="0"/>
        <w:outlineLvl w:val="2"/>
        <w:rPr>
          <w:rFonts w:hint="default" w:ascii="宋体" w:hAnsi="宋体" w:eastAsia="宋体" w:cs="宋体"/>
          <w:color w:val="auto"/>
          <w:sz w:val="24"/>
          <w:szCs w:val="24"/>
        </w:rPr>
      </w:pPr>
      <w:bookmarkStart w:id="184" w:name="_Toc241911373"/>
      <w:bookmarkStart w:id="185" w:name="_Toc351107604"/>
      <w:bookmarkStart w:id="186" w:name="_Toc251665635"/>
      <w:bookmarkStart w:id="187" w:name="_Toc351107786"/>
      <w:bookmarkStart w:id="188" w:name="_Toc28245"/>
      <w:bookmarkStart w:id="189" w:name="_Toc411176402"/>
      <w:bookmarkStart w:id="190" w:name="_Toc387646166"/>
      <w:bookmarkStart w:id="191" w:name="_Toc8510"/>
      <w:bookmarkStart w:id="192" w:name="_Toc253150284"/>
      <w:bookmarkStart w:id="193" w:name="_Toc10576"/>
      <w:bookmarkStart w:id="194" w:name="_Toc17755"/>
      <w:bookmarkStart w:id="195" w:name="_Toc246863041"/>
      <w:bookmarkStart w:id="196" w:name="_Toc255074820"/>
      <w:bookmarkStart w:id="197" w:name="_Toc5875"/>
      <w:bookmarkStart w:id="198" w:name="_Toc351107501"/>
      <w:bookmarkStart w:id="199" w:name="_Toc499658286"/>
      <w:bookmarkStart w:id="200" w:name="_Toc351107610"/>
      <w:bookmarkStart w:id="201" w:name="_Toc255074826"/>
      <w:bookmarkStart w:id="202" w:name="_Toc253150290"/>
      <w:bookmarkStart w:id="203" w:name="_Toc155151651"/>
      <w:bookmarkStart w:id="204" w:name="_Toc411176408"/>
      <w:bookmarkStart w:id="205" w:name="_Toc387646172"/>
      <w:bookmarkStart w:id="206" w:name="_Toc155151645"/>
      <w:bookmarkStart w:id="207" w:name="_Toc351107507"/>
      <w:bookmarkStart w:id="208" w:name="_Toc351107792"/>
      <w:r>
        <w:rPr>
          <w:rFonts w:hint="eastAsia" w:ascii="宋体" w:eastAsia="宋体" w:cs="宋体"/>
          <w:b/>
          <w:bCs w:val="0"/>
          <w:color w:val="auto"/>
          <w:szCs w:val="24"/>
          <w:lang w:val="en-US" w:eastAsia="zh-CN"/>
        </w:rPr>
        <w:t>10.1</w:t>
      </w:r>
      <w:r>
        <w:rPr>
          <w:rFonts w:hint="eastAsia" w:ascii="宋体" w:hAnsi="宋体" w:eastAsia="宋体" w:cs="宋体"/>
          <w:b/>
          <w:bCs w:val="0"/>
          <w:color w:val="auto"/>
          <w:szCs w:val="24"/>
          <w:lang w:val="en-US" w:eastAsia="zh-CN"/>
        </w:rPr>
        <w:t>应遵循标准和规范</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p>
    <w:p>
      <w:pPr>
        <w:keepNext w:val="0"/>
        <w:keepLines w:val="0"/>
        <w:pageBreakBefore w:val="0"/>
        <w:widowControl/>
        <w:kinsoku/>
        <w:wordWrap/>
        <w:overflowPunct/>
        <w:topLinePunct w:val="0"/>
        <w:autoSpaceDE/>
        <w:autoSpaceDN/>
        <w:bidi w:val="0"/>
        <w:adjustRightInd/>
        <w:snapToGrid/>
        <w:spacing w:line="360" w:lineRule="auto"/>
        <w:ind w:firstLine="480" w:firstLineChars="0"/>
        <w:textAlignment w:val="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本规范按</w:t>
      </w:r>
      <w:r>
        <w:rPr>
          <w:rFonts w:hint="default" w:ascii="宋体" w:hAnsi="宋体" w:eastAsia="宋体" w:cs="宋体"/>
          <w:color w:val="auto"/>
          <w:sz w:val="24"/>
          <w:szCs w:val="24"/>
        </w:rPr>
        <w:t>有关标准、规范或准则、本规范附件规定的合同设备，包括投标人向其他厂商购买的所有辅件和设备，也应符合这些标准、规范或准则、本规范附件的要求。</w:t>
      </w:r>
    </w:p>
    <w:p>
      <w:pPr>
        <w:keepNext w:val="0"/>
        <w:keepLines w:val="0"/>
        <w:pageBreakBefore w:val="0"/>
        <w:widowControl/>
        <w:kinsoku/>
        <w:wordWrap/>
        <w:overflowPunct/>
        <w:topLinePunct w:val="0"/>
        <w:autoSpaceDE/>
        <w:autoSpaceDN/>
        <w:bidi w:val="0"/>
        <w:adjustRightInd/>
        <w:snapToGrid/>
        <w:spacing w:line="360" w:lineRule="auto"/>
        <w:ind w:firstLine="480" w:firstLineChars="0"/>
        <w:textAlignment w:val="auto"/>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《电化学储能电站设计规范》GB 51048-2014 </w:t>
      </w:r>
    </w:p>
    <w:p>
      <w:pPr>
        <w:keepNext w:val="0"/>
        <w:keepLines w:val="0"/>
        <w:pageBreakBefore w:val="0"/>
        <w:widowControl/>
        <w:kinsoku/>
        <w:wordWrap/>
        <w:overflowPunct/>
        <w:topLinePunct w:val="0"/>
        <w:autoSpaceDE/>
        <w:autoSpaceDN/>
        <w:bidi w:val="0"/>
        <w:adjustRightInd/>
        <w:snapToGrid/>
        <w:spacing w:line="360" w:lineRule="auto"/>
        <w:ind w:firstLine="480" w:firstLineChars="0"/>
        <w:textAlignment w:val="auto"/>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《电化学储能电站安全规程》GB/T 42288-2022</w:t>
      </w:r>
    </w:p>
    <w:p>
      <w:pPr>
        <w:spacing w:line="360" w:lineRule="auto"/>
        <w:ind w:firstLine="480"/>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《电化学储能系统接入电网技术规定.》(GB/T36547-2024)</w:t>
      </w:r>
    </w:p>
    <w:p>
      <w:pPr>
        <w:spacing w:line="360" w:lineRule="auto"/>
        <w:ind w:firstLine="480"/>
        <w:rPr>
          <w:rFonts w:hint="default" w:ascii="宋体" w:hAnsi="宋体" w:cs="宋体"/>
          <w:color w:val="auto"/>
          <w:sz w:val="24"/>
        </w:rPr>
      </w:pPr>
      <w:r>
        <w:rPr>
          <w:rFonts w:hint="default" w:ascii="宋体" w:hAnsi="宋体" w:eastAsia="宋体" w:cs="宋体"/>
          <w:color w:val="auto"/>
          <w:sz w:val="24"/>
          <w:szCs w:val="24"/>
        </w:rPr>
        <w:t>《国家</w:t>
      </w:r>
      <w:r>
        <w:rPr>
          <w:rFonts w:hint="default" w:ascii="宋体" w:hAnsi="宋体" w:cs="宋体"/>
          <w:color w:val="auto"/>
          <w:sz w:val="24"/>
        </w:rPr>
        <w:t>电网公司输变电工程典型设计110</w:t>
      </w:r>
      <w:r>
        <w:rPr>
          <w:rFonts w:hint="default" w:ascii="宋体" w:hAnsi="宋体" w:eastAsia="宋体" w:cs="宋体"/>
          <w:color w:val="auto"/>
          <w:sz w:val="24"/>
          <w:szCs w:val="24"/>
          <w:lang w:eastAsia="zh-CN"/>
        </w:rPr>
        <w:t>kV</w:t>
      </w:r>
      <w:r>
        <w:rPr>
          <w:rFonts w:hint="default" w:ascii="宋体" w:hAnsi="宋体" w:cs="宋体"/>
          <w:color w:val="auto"/>
          <w:sz w:val="24"/>
        </w:rPr>
        <w:t>变电站二次系统部分》</w:t>
      </w:r>
    </w:p>
    <w:p>
      <w:pPr>
        <w:spacing w:line="360" w:lineRule="auto"/>
        <w:ind w:firstLine="480"/>
        <w:rPr>
          <w:rFonts w:hint="default" w:ascii="宋体" w:hAnsi="宋体" w:cs="宋体"/>
          <w:color w:val="auto"/>
          <w:sz w:val="24"/>
        </w:rPr>
      </w:pPr>
      <w:r>
        <w:rPr>
          <w:rFonts w:hint="default" w:ascii="宋体" w:hAnsi="宋体" w:cs="宋体"/>
          <w:color w:val="auto"/>
          <w:sz w:val="24"/>
        </w:rPr>
        <w:t>《继电保护和安全自动装置技术规程》（GB/T 14285）</w:t>
      </w:r>
    </w:p>
    <w:p>
      <w:pPr>
        <w:spacing w:line="360" w:lineRule="auto"/>
        <w:ind w:firstLine="480"/>
        <w:rPr>
          <w:rFonts w:hint="default" w:ascii="宋体" w:hAnsi="宋体" w:cs="宋体"/>
          <w:color w:val="auto"/>
          <w:sz w:val="24"/>
        </w:rPr>
      </w:pPr>
      <w:r>
        <w:rPr>
          <w:rFonts w:hint="default" w:ascii="宋体" w:hAnsi="宋体" w:cs="宋体"/>
          <w:color w:val="auto"/>
          <w:sz w:val="24"/>
        </w:rPr>
        <w:t>《建筑设计防火规范》（GB 50016）</w:t>
      </w:r>
    </w:p>
    <w:p>
      <w:pPr>
        <w:spacing w:line="360" w:lineRule="auto"/>
        <w:ind w:firstLine="480"/>
        <w:rPr>
          <w:rFonts w:hint="default" w:ascii="宋体" w:hAnsi="宋体" w:cs="宋体"/>
          <w:color w:val="auto"/>
          <w:sz w:val="24"/>
        </w:rPr>
      </w:pPr>
      <w:r>
        <w:rPr>
          <w:rFonts w:hint="default" w:ascii="宋体" w:hAnsi="宋体" w:cs="宋体"/>
          <w:color w:val="auto"/>
          <w:sz w:val="24"/>
        </w:rPr>
        <w:t>《火灾自动报警系统设计规范》（GB 50116）</w:t>
      </w:r>
    </w:p>
    <w:p>
      <w:pPr>
        <w:spacing w:line="360" w:lineRule="auto"/>
        <w:ind w:firstLine="480"/>
        <w:rPr>
          <w:rFonts w:hint="default" w:ascii="宋体" w:hAnsi="宋体" w:cs="宋体"/>
          <w:color w:val="auto"/>
          <w:sz w:val="24"/>
        </w:rPr>
      </w:pPr>
      <w:r>
        <w:rPr>
          <w:rFonts w:hint="default" w:ascii="宋体" w:hAnsi="宋体" w:cs="宋体"/>
          <w:color w:val="auto"/>
          <w:sz w:val="24"/>
        </w:rPr>
        <w:t>《火力发电厂与变电所设计防火标准》（GB 50229）</w:t>
      </w:r>
    </w:p>
    <w:p>
      <w:pPr>
        <w:spacing w:line="360" w:lineRule="auto"/>
        <w:ind w:firstLine="480"/>
        <w:rPr>
          <w:rFonts w:hint="default" w:ascii="宋体" w:hAnsi="宋体" w:cs="宋体"/>
          <w:color w:val="auto"/>
          <w:sz w:val="24"/>
        </w:rPr>
      </w:pPr>
      <w:r>
        <w:rPr>
          <w:rFonts w:hint="default" w:ascii="宋体" w:hAnsi="宋体" w:cs="宋体"/>
          <w:color w:val="auto"/>
          <w:sz w:val="24"/>
        </w:rPr>
        <w:t>《电测量及电能计量装置设计技术规程》（DL/T 5137）</w:t>
      </w:r>
    </w:p>
    <w:p>
      <w:pPr>
        <w:spacing w:line="360" w:lineRule="auto"/>
        <w:ind w:firstLine="480"/>
        <w:rPr>
          <w:rFonts w:hint="default" w:ascii="宋体" w:hAnsi="宋体" w:cs="宋体"/>
          <w:color w:val="auto"/>
          <w:sz w:val="24"/>
        </w:rPr>
      </w:pPr>
      <w:r>
        <w:rPr>
          <w:rFonts w:hint="default" w:ascii="宋体" w:hAnsi="宋体" w:cs="宋体"/>
          <w:color w:val="auto"/>
          <w:sz w:val="24"/>
        </w:rPr>
        <w:t>《火力发电厂、变电所二次接线设计技术规定》（DL/T 5136）</w:t>
      </w:r>
    </w:p>
    <w:p>
      <w:pPr>
        <w:spacing w:line="360" w:lineRule="auto"/>
        <w:ind w:firstLine="480"/>
        <w:rPr>
          <w:rFonts w:hint="default" w:ascii="宋体" w:hAnsi="宋体" w:cs="宋体"/>
          <w:color w:val="auto"/>
          <w:sz w:val="24"/>
        </w:rPr>
      </w:pPr>
      <w:r>
        <w:rPr>
          <w:rFonts w:hint="default" w:ascii="宋体" w:hAnsi="宋体" w:cs="宋体"/>
          <w:color w:val="auto"/>
          <w:sz w:val="24"/>
        </w:rPr>
        <w:t>《电力工程直流系统设计技术规程》（DL/T 5044）</w:t>
      </w:r>
    </w:p>
    <w:p>
      <w:pPr>
        <w:spacing w:line="360" w:lineRule="auto"/>
        <w:ind w:firstLine="480"/>
        <w:rPr>
          <w:rFonts w:hint="default" w:ascii="宋体" w:hAnsi="宋体" w:cs="宋体"/>
          <w:color w:val="auto"/>
          <w:sz w:val="24"/>
        </w:rPr>
      </w:pPr>
      <w:r>
        <w:rPr>
          <w:rFonts w:hint="default" w:ascii="宋体" w:hAnsi="宋体" w:cs="宋体"/>
          <w:color w:val="auto"/>
          <w:sz w:val="24"/>
        </w:rPr>
        <w:t>《电力系统调度自动化设计技术规程》（DL/T 5003）</w:t>
      </w:r>
    </w:p>
    <w:p>
      <w:pPr>
        <w:spacing w:line="360" w:lineRule="auto"/>
        <w:ind w:firstLine="480"/>
        <w:rPr>
          <w:rFonts w:hint="default" w:ascii="宋体" w:hAnsi="宋体" w:cs="宋体"/>
          <w:color w:val="auto"/>
          <w:sz w:val="24"/>
        </w:rPr>
      </w:pPr>
      <w:r>
        <w:rPr>
          <w:rFonts w:hint="default" w:ascii="宋体" w:hAnsi="宋体" w:cs="宋体"/>
          <w:color w:val="auto"/>
          <w:sz w:val="24"/>
        </w:rPr>
        <w:t>《变电站通信网络和系统系列标准》（DL/T 860）</w:t>
      </w:r>
    </w:p>
    <w:p>
      <w:pPr>
        <w:spacing w:line="360" w:lineRule="auto"/>
        <w:ind w:firstLine="480"/>
        <w:rPr>
          <w:rFonts w:hint="default" w:ascii="宋体" w:hAnsi="宋体" w:cs="宋体"/>
          <w:color w:val="auto"/>
          <w:sz w:val="24"/>
        </w:rPr>
      </w:pPr>
      <w:r>
        <w:rPr>
          <w:rFonts w:hint="default" w:ascii="宋体" w:hAnsi="宋体" w:cs="宋体"/>
          <w:color w:val="auto"/>
          <w:sz w:val="24"/>
        </w:rPr>
        <w:t>《电力系统数字调度交换机规范》（DL/T 795）</w:t>
      </w:r>
    </w:p>
    <w:p>
      <w:pPr>
        <w:spacing w:line="360" w:lineRule="auto"/>
        <w:ind w:firstLine="480"/>
        <w:rPr>
          <w:rFonts w:hint="default" w:ascii="宋体" w:hAnsi="宋体" w:cs="宋体"/>
          <w:color w:val="auto"/>
          <w:sz w:val="24"/>
        </w:rPr>
      </w:pPr>
      <w:r>
        <w:rPr>
          <w:rFonts w:hint="default" w:ascii="宋体" w:hAnsi="宋体" w:cs="宋体"/>
          <w:color w:val="auto"/>
          <w:sz w:val="24"/>
        </w:rPr>
        <w:t>《远动设备及系统第5部分：传输规约第102篇：电力系统电能累计量传输配套标准》（DL/T 719）</w:t>
      </w:r>
    </w:p>
    <w:p>
      <w:pPr>
        <w:spacing w:line="360" w:lineRule="auto"/>
        <w:ind w:firstLine="480"/>
        <w:rPr>
          <w:rFonts w:hint="default" w:ascii="宋体" w:hAnsi="宋体" w:cs="宋体"/>
          <w:color w:val="auto"/>
          <w:sz w:val="24"/>
        </w:rPr>
      </w:pPr>
      <w:r>
        <w:rPr>
          <w:rFonts w:hint="default" w:ascii="宋体" w:hAnsi="宋体" w:cs="宋体"/>
          <w:color w:val="auto"/>
          <w:sz w:val="24"/>
        </w:rPr>
        <w:t>《远动设备及系统第5部分：传输规约第103篇：继电保护设备接口配套标准（idt IEC60870-5-103）》（DL/T 667）</w:t>
      </w:r>
    </w:p>
    <w:p>
      <w:pPr>
        <w:spacing w:line="360" w:lineRule="auto"/>
        <w:ind w:firstLine="480"/>
        <w:rPr>
          <w:rFonts w:hint="default" w:ascii="宋体" w:hAnsi="宋体" w:cs="宋体"/>
          <w:color w:val="auto"/>
          <w:sz w:val="24"/>
        </w:rPr>
      </w:pPr>
      <w:r>
        <w:rPr>
          <w:rFonts w:hint="default" w:ascii="宋体" w:hAnsi="宋体" w:cs="宋体"/>
          <w:color w:val="auto"/>
          <w:sz w:val="24"/>
        </w:rPr>
        <w:t>《远动设备及系统第5-101部分：传输规约基本远动任务配套标准》（DL/T 634-5101）</w:t>
      </w:r>
    </w:p>
    <w:p>
      <w:pPr>
        <w:spacing w:line="360" w:lineRule="auto"/>
        <w:ind w:firstLine="480"/>
        <w:rPr>
          <w:rFonts w:hint="default" w:ascii="宋体" w:hAnsi="宋体" w:cs="宋体"/>
          <w:color w:val="auto"/>
          <w:sz w:val="24"/>
        </w:rPr>
      </w:pPr>
      <w:r>
        <w:rPr>
          <w:rFonts w:hint="default" w:ascii="宋体" w:hAnsi="宋体" w:cs="宋体"/>
          <w:color w:val="auto"/>
          <w:sz w:val="24"/>
        </w:rPr>
        <w:t>《远动设备及系统第5-104部分：传输规约采用标准传输协议子集的IEC60870-5-101网络访问》（DL/T 634-5101）</w:t>
      </w:r>
    </w:p>
    <w:p>
      <w:pPr>
        <w:spacing w:line="360" w:lineRule="auto"/>
        <w:ind w:firstLine="480"/>
        <w:rPr>
          <w:rFonts w:hint="default" w:ascii="宋体" w:hAnsi="宋体" w:cs="宋体"/>
          <w:color w:val="auto"/>
          <w:sz w:val="24"/>
        </w:rPr>
      </w:pPr>
      <w:r>
        <w:rPr>
          <w:rFonts w:hint="default" w:ascii="宋体" w:hAnsi="宋体" w:cs="宋体"/>
          <w:color w:val="auto"/>
          <w:sz w:val="24"/>
        </w:rPr>
        <w:t>《线路保护及辅助装置标准化设计规范》（Q/GDW 161）</w:t>
      </w:r>
    </w:p>
    <w:p>
      <w:pPr>
        <w:spacing w:line="360" w:lineRule="auto"/>
        <w:ind w:firstLine="480"/>
        <w:rPr>
          <w:rFonts w:hint="default" w:ascii="宋体" w:hAnsi="宋体" w:cs="宋体"/>
          <w:color w:val="auto"/>
          <w:sz w:val="24"/>
        </w:rPr>
      </w:pPr>
      <w:r>
        <w:rPr>
          <w:rFonts w:hint="default" w:ascii="宋体" w:hAnsi="宋体" w:cs="宋体"/>
          <w:color w:val="auto"/>
          <w:sz w:val="24"/>
        </w:rPr>
        <w:t>《变压器、高压并联电抗器和母线保护及辅助装置标准化设计规范》（Q/GDW 175）</w:t>
      </w:r>
    </w:p>
    <w:p>
      <w:pPr>
        <w:spacing w:line="360" w:lineRule="auto"/>
        <w:ind w:firstLine="480"/>
        <w:rPr>
          <w:rFonts w:hint="default" w:ascii="宋体" w:hAnsi="宋体" w:cs="宋体"/>
          <w:color w:val="auto"/>
          <w:sz w:val="24"/>
        </w:rPr>
      </w:pPr>
      <w:r>
        <w:rPr>
          <w:rFonts w:hint="default" w:ascii="宋体" w:hAnsi="宋体" w:cs="宋体"/>
          <w:color w:val="auto"/>
          <w:sz w:val="24"/>
        </w:rPr>
        <w:t>《防止电力生产事故的二十五项重要要求及编制释义》</w:t>
      </w:r>
    </w:p>
    <w:p>
      <w:pPr>
        <w:spacing w:line="360" w:lineRule="auto"/>
        <w:ind w:firstLine="480"/>
        <w:rPr>
          <w:rFonts w:hint="default" w:ascii="宋体" w:hAnsi="宋体" w:cs="宋体"/>
          <w:color w:val="auto"/>
          <w:sz w:val="24"/>
        </w:rPr>
      </w:pPr>
      <w:r>
        <w:rPr>
          <w:rFonts w:hint="default" w:ascii="宋体" w:hAnsi="宋体" w:cs="宋体"/>
          <w:color w:val="auto"/>
          <w:sz w:val="24"/>
        </w:rPr>
        <w:t>《国家电网公司十八项电网重大反事故措施（修订版）</w:t>
      </w:r>
    </w:p>
    <w:p>
      <w:pPr>
        <w:spacing w:line="360" w:lineRule="auto"/>
        <w:ind w:firstLine="480"/>
        <w:rPr>
          <w:rFonts w:hint="default" w:ascii="宋体" w:hAnsi="宋体" w:cs="宋体"/>
          <w:color w:val="auto"/>
          <w:sz w:val="24"/>
        </w:rPr>
      </w:pPr>
      <w:r>
        <w:rPr>
          <w:rFonts w:hint="default" w:ascii="宋体" w:hAnsi="宋体" w:cs="宋体"/>
          <w:color w:val="auto"/>
          <w:sz w:val="24"/>
        </w:rPr>
        <w:t>国调中心关于印发2020年电力监控系统网络安全重点工作的通知</w:t>
      </w:r>
    </w:p>
    <w:p>
      <w:pPr>
        <w:spacing w:line="360" w:lineRule="auto"/>
        <w:ind w:firstLine="480"/>
        <w:rPr>
          <w:rFonts w:hint="default" w:ascii="宋体" w:hAnsi="宋体" w:cs="宋体"/>
          <w:color w:val="auto"/>
          <w:sz w:val="24"/>
        </w:rPr>
      </w:pPr>
      <w:r>
        <w:rPr>
          <w:rFonts w:hint="default" w:ascii="宋体" w:hAnsi="宋体" w:cs="宋体"/>
          <w:color w:val="auto"/>
          <w:sz w:val="24"/>
        </w:rPr>
        <w:t>以上未列规范按国家现行的其它有关法令、法规、政策及有关设计规程、规范、规定等执行。</w:t>
      </w:r>
    </w:p>
    <w:p>
      <w:pPr>
        <w:pStyle w:val="4"/>
        <w:rPr>
          <w:rFonts w:hint="default" w:ascii="宋体" w:hAnsi="宋体" w:eastAsia="宋体" w:cs="宋体"/>
          <w:b/>
          <w:bCs w:val="0"/>
          <w:color w:val="auto"/>
          <w:szCs w:val="24"/>
          <w:lang w:val="en-US" w:eastAsia="zh-CN"/>
        </w:rPr>
      </w:pPr>
      <w:bookmarkStart w:id="209" w:name="_Toc9506"/>
      <w:bookmarkStart w:id="210" w:name="_Toc1283"/>
      <w:bookmarkStart w:id="211" w:name="_Toc12869"/>
      <w:bookmarkStart w:id="212" w:name="_Toc26681"/>
      <w:r>
        <w:rPr>
          <w:rFonts w:hint="eastAsia"/>
          <w:color w:val="auto"/>
          <w:lang w:val="en-US" w:eastAsia="zh-CN"/>
        </w:rPr>
        <w:t>10.2监控系统</w:t>
      </w:r>
      <w:bookmarkEnd w:id="209"/>
      <w:r>
        <w:rPr>
          <w:rFonts w:hint="eastAsia"/>
          <w:color w:val="auto"/>
          <w:lang w:val="en-US" w:eastAsia="zh-CN"/>
        </w:rPr>
        <w:t>总体要求</w:t>
      </w:r>
      <w:bookmarkEnd w:id="210"/>
      <w:bookmarkEnd w:id="211"/>
      <w:bookmarkEnd w:id="212"/>
    </w:p>
    <w:p>
      <w:pPr>
        <w:spacing w:line="360" w:lineRule="auto"/>
        <w:ind w:firstLine="480"/>
        <w:rPr>
          <w:rFonts w:hint="eastAsia" w:ascii="宋体" w:hAnsi="宋体" w:cs="宋体"/>
          <w:color w:val="auto"/>
          <w:sz w:val="24"/>
          <w:szCs w:val="24"/>
          <w:lang w:val="en-US" w:eastAsia="zh-CN"/>
        </w:rPr>
      </w:pPr>
      <w:r>
        <w:rPr>
          <w:rFonts w:hint="eastAsia" w:ascii="宋体" w:hAnsi="宋体" w:eastAsia="宋体" w:cs="宋体"/>
          <w:color w:val="auto"/>
          <w:sz w:val="24"/>
          <w:szCs w:val="24"/>
        </w:rPr>
        <w:t>本项目电站按“无人值班、少人值守”的方式进行设计，配置</w:t>
      </w:r>
      <w:r>
        <w:rPr>
          <w:rFonts w:hint="eastAsia" w:ascii="宋体" w:hAnsi="宋体" w:cs="宋体"/>
          <w:color w:val="auto"/>
          <w:sz w:val="24"/>
          <w:szCs w:val="24"/>
          <w:lang w:val="en-US" w:eastAsia="zh-CN"/>
        </w:rPr>
        <w:t>1</w:t>
      </w:r>
      <w:r>
        <w:rPr>
          <w:rFonts w:hint="eastAsia" w:ascii="宋体" w:hAnsi="宋体" w:eastAsia="宋体" w:cs="宋体"/>
          <w:color w:val="auto"/>
          <w:sz w:val="24"/>
          <w:szCs w:val="24"/>
        </w:rPr>
        <w:t>套计算机监控系统</w:t>
      </w:r>
      <w:r>
        <w:rPr>
          <w:rFonts w:hint="eastAsia" w:ascii="宋体" w:hAnsi="宋体" w:cs="宋体"/>
          <w:color w:val="auto"/>
          <w:sz w:val="24"/>
          <w:szCs w:val="24"/>
          <w:lang w:val="en-US" w:eastAsia="zh-CN"/>
        </w:rPr>
        <w:t>用于微电网及储能一体设计及制造</w:t>
      </w:r>
      <w:r>
        <w:rPr>
          <w:rFonts w:hint="eastAsia" w:ascii="宋体" w:hAnsi="宋体" w:eastAsia="宋体" w:cs="宋体"/>
          <w:color w:val="auto"/>
          <w:sz w:val="24"/>
          <w:szCs w:val="24"/>
        </w:rPr>
        <w:t>，</w:t>
      </w:r>
      <w:r>
        <w:rPr>
          <w:rFonts w:hint="eastAsia" w:ascii="宋体" w:hAnsi="宋体" w:cs="宋体"/>
          <w:color w:val="auto"/>
          <w:sz w:val="24"/>
          <w:szCs w:val="24"/>
          <w:lang w:val="en-US" w:eastAsia="zh-CN"/>
        </w:rPr>
        <w:t>该计算机监控系统集成储能监控系统及微电网监控系统，最后将数据上传至原110kV变电站监测平台上传信息实现集中监控。</w:t>
      </w:r>
      <w:r>
        <w:rPr>
          <w:rFonts w:hint="default" w:ascii="宋体" w:hAnsi="宋体" w:cs="宋体"/>
          <w:color w:val="auto"/>
          <w:kern w:val="2"/>
          <w:sz w:val="24"/>
          <w:szCs w:val="24"/>
          <w:lang w:val="en-US" w:eastAsia="zh-CN"/>
        </w:rPr>
        <w:t>投标人</w:t>
      </w:r>
      <w:r>
        <w:rPr>
          <w:rFonts w:hint="eastAsia" w:ascii="宋体" w:hAnsi="宋体" w:cs="宋体"/>
          <w:color w:val="auto"/>
          <w:sz w:val="24"/>
          <w:szCs w:val="24"/>
          <w:lang w:val="en-US" w:eastAsia="zh-CN"/>
        </w:rPr>
        <w:t>需保证数据能无障碍接入110kV变电站监测平台。</w:t>
      </w:r>
    </w:p>
    <w:p>
      <w:pPr>
        <w:spacing w:line="360" w:lineRule="auto"/>
        <w:ind w:firstLine="480"/>
        <w:rPr>
          <w:rFonts w:hint="eastAsia" w:ascii="宋体" w:hAnsi="宋体" w:eastAsia="宋体" w:cs="宋体"/>
          <w:color w:val="auto"/>
          <w:sz w:val="24"/>
          <w:szCs w:val="24"/>
        </w:rPr>
      </w:pPr>
      <w:r>
        <w:rPr>
          <w:rFonts w:hint="eastAsia" w:ascii="宋体" w:hAnsi="宋体" w:cs="宋体"/>
          <w:color w:val="auto"/>
          <w:sz w:val="24"/>
          <w:szCs w:val="24"/>
          <w:lang w:val="en-US" w:eastAsia="zh-CN"/>
        </w:rPr>
        <w:t>本项目计算机监控系统以微机保护和计算机监控系统为主体，</w:t>
      </w:r>
      <w:r>
        <w:rPr>
          <w:rFonts w:hint="eastAsia" w:ascii="宋体" w:hAnsi="宋体" w:eastAsia="宋体" w:cs="宋体"/>
          <w:color w:val="auto"/>
          <w:sz w:val="24"/>
          <w:szCs w:val="24"/>
        </w:rPr>
        <w:t>集中监测</w:t>
      </w:r>
      <w:r>
        <w:rPr>
          <w:rFonts w:hint="eastAsia" w:ascii="宋体" w:hAnsi="宋体" w:cs="宋体"/>
          <w:color w:val="auto"/>
          <w:sz w:val="24"/>
          <w:szCs w:val="24"/>
          <w:lang w:val="en-US" w:eastAsia="zh-CN"/>
        </w:rPr>
        <w:t>开关柜</w:t>
      </w:r>
      <w:r>
        <w:rPr>
          <w:rFonts w:hint="eastAsia" w:ascii="宋体" w:hAnsi="宋体" w:eastAsia="宋体" w:cs="宋体"/>
          <w:color w:val="auto"/>
          <w:sz w:val="24"/>
          <w:szCs w:val="24"/>
        </w:rPr>
        <w:t>的模拟量和断路器与刀闸位置、保护动作和告警信号、</w:t>
      </w:r>
      <w:r>
        <w:rPr>
          <w:rFonts w:hint="eastAsia" w:ascii="宋体" w:hAnsi="宋体" w:cs="宋体"/>
          <w:color w:val="auto"/>
          <w:sz w:val="24"/>
          <w:szCs w:val="24"/>
          <w:lang w:val="en-US" w:eastAsia="zh-CN"/>
        </w:rPr>
        <w:t>PCS</w:t>
      </w:r>
      <w:r>
        <w:rPr>
          <w:rFonts w:hint="eastAsia" w:ascii="宋体" w:hAnsi="宋体" w:eastAsia="宋体" w:cs="宋体"/>
          <w:color w:val="auto"/>
          <w:sz w:val="24"/>
          <w:szCs w:val="24"/>
        </w:rPr>
        <w:t>运行状态与告警信号等状态量，具备遥测、遥信、遥调、遥控等远动功能。电站监控系统采用以计算机监控系统为基础的集中监控方案。</w:t>
      </w:r>
    </w:p>
    <w:p>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最终设计以按接入系统设计（二次部分）的要求为准。</w:t>
      </w:r>
    </w:p>
    <w:p>
      <w:pPr>
        <w:pStyle w:val="5"/>
        <w:bidi w:val="0"/>
        <w:spacing w:line="360" w:lineRule="auto"/>
        <w:rPr>
          <w:rFonts w:hint="eastAsia" w:ascii="宋体" w:eastAsia="宋体" w:cs="宋体"/>
          <w:b/>
          <w:bCs w:val="0"/>
          <w:color w:val="auto"/>
          <w:szCs w:val="24"/>
          <w:lang w:val="en-US" w:eastAsia="zh-CN"/>
        </w:rPr>
      </w:pPr>
      <w:bookmarkStart w:id="213" w:name="_Toc4745"/>
      <w:r>
        <w:rPr>
          <w:rFonts w:hint="eastAsia"/>
          <w:color w:val="auto"/>
          <w:lang w:val="en-US" w:eastAsia="zh-CN"/>
        </w:rPr>
        <w:t>10.2.1计算机监控系统基本要求</w:t>
      </w:r>
    </w:p>
    <w:p>
      <w:pPr>
        <w:ind w:firstLine="480"/>
        <w:rPr>
          <w:rFonts w:hint="default" w:ascii="宋体" w:hAnsi="宋体" w:eastAsia="宋体" w:cs="宋体"/>
          <w:color w:val="auto"/>
          <w:kern w:val="2"/>
          <w:sz w:val="24"/>
          <w:szCs w:val="24"/>
        </w:rPr>
      </w:pPr>
      <w:r>
        <w:rPr>
          <w:rFonts w:hint="default" w:ascii="宋体" w:hAnsi="宋体" w:eastAsia="宋体" w:cs="宋体"/>
          <w:color w:val="auto"/>
          <w:kern w:val="2"/>
          <w:sz w:val="24"/>
          <w:szCs w:val="24"/>
        </w:rPr>
        <w:t>本工程的</w:t>
      </w:r>
      <w:r>
        <w:rPr>
          <w:rFonts w:hint="eastAsia" w:ascii="宋体" w:hAnsi="宋体" w:eastAsia="宋体" w:cs="宋体"/>
          <w:color w:val="auto"/>
          <w:kern w:val="2"/>
          <w:sz w:val="24"/>
          <w:szCs w:val="24"/>
          <w:lang w:val="en-US" w:eastAsia="zh-CN"/>
        </w:rPr>
        <w:t>计算机监控</w:t>
      </w:r>
      <w:r>
        <w:rPr>
          <w:rFonts w:hint="default" w:ascii="宋体" w:hAnsi="宋体" w:eastAsia="宋体" w:cs="宋体"/>
          <w:color w:val="auto"/>
          <w:kern w:val="2"/>
          <w:sz w:val="24"/>
          <w:szCs w:val="24"/>
        </w:rPr>
        <w:t>系统采用分层分布式结构。其纵向分为两层：站控层和间隔层。站控层采用分布式结构</w:t>
      </w:r>
      <w:r>
        <w:rPr>
          <w:rFonts w:hint="default" w:ascii="宋体" w:hAnsi="宋体" w:cs="宋体"/>
          <w:color w:val="auto"/>
          <w:kern w:val="2"/>
          <w:sz w:val="24"/>
          <w:szCs w:val="24"/>
          <w:lang w:eastAsia="zh-CN"/>
        </w:rPr>
        <w:t>，</w:t>
      </w:r>
      <w:r>
        <w:rPr>
          <w:rFonts w:hint="default" w:ascii="宋体" w:hAnsi="宋体" w:eastAsia="宋体" w:cs="宋体"/>
          <w:color w:val="auto"/>
          <w:kern w:val="2"/>
          <w:sz w:val="24"/>
          <w:szCs w:val="24"/>
        </w:rPr>
        <w:t>间隔层在横向按升压站一次设备配置。</w:t>
      </w:r>
    </w:p>
    <w:p>
      <w:pPr>
        <w:pStyle w:val="51"/>
        <w:spacing w:line="360" w:lineRule="auto"/>
        <w:rPr>
          <w:rFonts w:hint="default" w:ascii="宋体" w:hAnsi="宋体" w:eastAsia="宋体" w:cs="宋体"/>
          <w:color w:val="auto"/>
          <w:kern w:val="2"/>
          <w:sz w:val="24"/>
          <w:szCs w:val="24"/>
        </w:rPr>
      </w:pPr>
      <w:r>
        <w:rPr>
          <w:rFonts w:hint="eastAsia" w:ascii="宋体" w:hAnsi="宋体" w:eastAsia="宋体" w:cs="宋体"/>
          <w:color w:val="auto"/>
          <w:kern w:val="2"/>
          <w:sz w:val="24"/>
          <w:szCs w:val="24"/>
          <w:lang w:val="en-US" w:eastAsia="zh-CN"/>
        </w:rPr>
        <w:t>计算机监控</w:t>
      </w:r>
      <w:r>
        <w:rPr>
          <w:rFonts w:hint="default" w:ascii="宋体" w:hAnsi="宋体" w:eastAsia="宋体" w:cs="宋体"/>
          <w:color w:val="auto"/>
          <w:kern w:val="2"/>
          <w:sz w:val="24"/>
          <w:szCs w:val="24"/>
        </w:rPr>
        <w:t>系统控采用单以太网结构，网络传送协议采用TCP/IP网络协议，网络传输速率≥100Mb/s。站控层</w:t>
      </w:r>
      <w:r>
        <w:rPr>
          <w:rFonts w:hint="eastAsia" w:ascii="宋体" w:hAnsi="宋体" w:eastAsia="宋体" w:cs="宋体"/>
          <w:color w:val="auto"/>
          <w:kern w:val="21"/>
          <w:sz w:val="24"/>
          <w:szCs w:val="24"/>
        </w:rPr>
        <w:t>配置</w:t>
      </w:r>
      <w:r>
        <w:rPr>
          <w:rFonts w:hint="eastAsia" w:ascii="宋体" w:hAnsi="宋体" w:eastAsia="宋体" w:cs="宋体"/>
          <w:color w:val="auto"/>
          <w:kern w:val="21"/>
          <w:sz w:val="24"/>
          <w:szCs w:val="24"/>
          <w:highlight w:val="yellow"/>
        </w:rPr>
        <w:t>主机兼操作员工作站</w:t>
      </w:r>
      <w:r>
        <w:rPr>
          <w:rFonts w:hint="eastAsia" w:cs="宋体"/>
          <w:color w:val="auto"/>
          <w:kern w:val="21"/>
          <w:sz w:val="24"/>
          <w:szCs w:val="24"/>
          <w:lang w:eastAsia="zh-CN"/>
        </w:rPr>
        <w:t>、</w:t>
      </w:r>
      <w:r>
        <w:rPr>
          <w:rFonts w:hint="default" w:ascii="宋体" w:hAnsi="宋体" w:eastAsia="宋体" w:cs="宋体"/>
          <w:color w:val="auto"/>
          <w:kern w:val="2"/>
          <w:sz w:val="24"/>
          <w:szCs w:val="24"/>
          <w:lang w:val="en-US" w:eastAsia="zh-CN"/>
        </w:rPr>
        <w:t>北斗</w:t>
      </w:r>
      <w:r>
        <w:rPr>
          <w:rFonts w:hint="default" w:ascii="宋体" w:hAnsi="宋体" w:eastAsia="宋体" w:cs="宋体"/>
          <w:color w:val="auto"/>
          <w:kern w:val="2"/>
          <w:sz w:val="24"/>
          <w:szCs w:val="24"/>
        </w:rPr>
        <w:t>时钟同步装置、智能设备接口装置</w:t>
      </w:r>
      <w:r>
        <w:rPr>
          <w:rFonts w:hint="default" w:ascii="宋体" w:hAnsi="宋体" w:cs="宋体"/>
          <w:color w:val="auto"/>
          <w:kern w:val="2"/>
          <w:sz w:val="24"/>
          <w:szCs w:val="24"/>
          <w:lang w:eastAsia="zh-CN"/>
        </w:rPr>
        <w:t>、</w:t>
      </w:r>
      <w:r>
        <w:rPr>
          <w:rFonts w:hint="default" w:ascii="宋体" w:hAnsi="宋体" w:eastAsia="宋体" w:cs="宋体"/>
          <w:color w:val="auto"/>
          <w:kern w:val="2"/>
          <w:sz w:val="24"/>
          <w:szCs w:val="24"/>
        </w:rPr>
        <w:t>网络设备及打印机等。间隔层设备主要包括I/O测控装置和网络接口设备。10</w:t>
      </w:r>
      <w:r>
        <w:rPr>
          <w:rFonts w:hint="default" w:ascii="宋体" w:hAnsi="宋体" w:eastAsia="宋体" w:cs="宋体"/>
          <w:color w:val="auto"/>
          <w:kern w:val="2"/>
          <w:sz w:val="24"/>
          <w:szCs w:val="24"/>
          <w:lang w:eastAsia="zh-CN"/>
        </w:rPr>
        <w:t>kV</w:t>
      </w:r>
      <w:r>
        <w:rPr>
          <w:rFonts w:hint="default" w:ascii="宋体" w:hAnsi="宋体" w:eastAsia="宋体" w:cs="宋体"/>
          <w:color w:val="auto"/>
          <w:kern w:val="2"/>
          <w:sz w:val="24"/>
          <w:szCs w:val="24"/>
        </w:rPr>
        <w:t>的间隔层设备采用保护测控一体化装置，分散安装在10</w:t>
      </w:r>
      <w:r>
        <w:rPr>
          <w:rFonts w:hint="default" w:ascii="宋体" w:hAnsi="宋体" w:eastAsia="宋体" w:cs="宋体"/>
          <w:color w:val="auto"/>
          <w:kern w:val="2"/>
          <w:sz w:val="24"/>
          <w:szCs w:val="24"/>
          <w:lang w:eastAsia="zh-CN"/>
        </w:rPr>
        <w:t>kV</w:t>
      </w:r>
      <w:r>
        <w:rPr>
          <w:rFonts w:hint="default" w:ascii="宋体" w:hAnsi="宋体" w:eastAsia="宋体" w:cs="宋体"/>
          <w:color w:val="auto"/>
          <w:kern w:val="2"/>
          <w:sz w:val="24"/>
          <w:szCs w:val="24"/>
        </w:rPr>
        <w:t>开关柜内。</w:t>
      </w:r>
    </w:p>
    <w:p>
      <w:pPr>
        <w:pStyle w:val="51"/>
        <w:spacing w:line="360" w:lineRule="auto"/>
        <w:rPr>
          <w:rFonts w:hint="eastAsia" w:ascii="宋体" w:hAnsi="宋体" w:eastAsia="宋体" w:cs="宋体"/>
          <w:color w:val="auto"/>
          <w:kern w:val="21"/>
          <w:sz w:val="24"/>
          <w:szCs w:val="24"/>
        </w:rPr>
      </w:pPr>
      <w:r>
        <w:rPr>
          <w:rFonts w:hint="eastAsia" w:ascii="宋体" w:hAnsi="宋体" w:eastAsia="宋体" w:cs="宋体"/>
          <w:color w:val="auto"/>
          <w:kern w:val="2"/>
          <w:sz w:val="24"/>
          <w:szCs w:val="24"/>
          <w:lang w:val="en-US" w:eastAsia="zh-CN"/>
        </w:rPr>
        <w:t>计算机</w:t>
      </w:r>
      <w:r>
        <w:rPr>
          <w:rFonts w:hint="eastAsia" w:ascii="宋体" w:hAnsi="宋体" w:eastAsia="宋体" w:cs="宋体"/>
          <w:color w:val="auto"/>
          <w:kern w:val="21"/>
          <w:sz w:val="24"/>
          <w:szCs w:val="24"/>
        </w:rPr>
        <w:t>监控系统网络结构采用间隔层设备直接上站控层网络，测控装置直接与站控层通讯的结构。在站控层网络失效的情况下，间隔层应能独立完成就地数据采集控制层的监测和断路器控制功能。</w:t>
      </w:r>
    </w:p>
    <w:p>
      <w:pPr>
        <w:pStyle w:val="51"/>
        <w:spacing w:line="360" w:lineRule="auto"/>
        <w:rPr>
          <w:rFonts w:hint="eastAsia" w:ascii="宋体" w:hAnsi="宋体" w:eastAsia="宋体" w:cs="宋体"/>
          <w:color w:val="auto"/>
          <w:kern w:val="21"/>
          <w:sz w:val="24"/>
          <w:szCs w:val="24"/>
        </w:rPr>
      </w:pPr>
      <w:r>
        <w:rPr>
          <w:rFonts w:hint="eastAsia" w:ascii="宋体" w:hAnsi="宋体" w:eastAsia="宋体" w:cs="宋体"/>
          <w:color w:val="auto"/>
          <w:kern w:val="21"/>
          <w:sz w:val="24"/>
          <w:szCs w:val="24"/>
        </w:rPr>
        <w:t>站控层网络负责站控层各个工作站之间和来自间隔层的全部数据的传输和各种访问请求。硬件设备、数据链路用以太网构成，网络传送协议采用TCP/IP网络协议，网络传输速率≥100Mb/s</w:t>
      </w:r>
      <w:r>
        <w:rPr>
          <w:rFonts w:hint="eastAsia" w:ascii="宋体" w:hAnsi="宋体" w:eastAsia="宋体" w:cs="宋体"/>
          <w:color w:val="auto"/>
          <w:kern w:val="21"/>
          <w:sz w:val="24"/>
          <w:szCs w:val="24"/>
          <w:lang w:eastAsia="zh-CN"/>
        </w:rPr>
        <w:t>，</w:t>
      </w:r>
      <w:r>
        <w:rPr>
          <w:rFonts w:hint="eastAsia" w:ascii="宋体" w:hAnsi="宋体" w:eastAsia="宋体" w:cs="宋体"/>
          <w:color w:val="auto"/>
          <w:kern w:val="21"/>
          <w:sz w:val="24"/>
          <w:szCs w:val="24"/>
        </w:rPr>
        <w:t>网络配置规模需满足工程远期要求。</w:t>
      </w:r>
    </w:p>
    <w:p>
      <w:pPr>
        <w:ind w:firstLine="480"/>
        <w:rPr>
          <w:rFonts w:hint="eastAsia" w:ascii="宋体" w:hAnsi="宋体" w:eastAsia="宋体" w:cs="宋体"/>
          <w:color w:val="auto"/>
          <w:kern w:val="21"/>
          <w:sz w:val="24"/>
          <w:szCs w:val="24"/>
        </w:rPr>
      </w:pPr>
      <w:r>
        <w:rPr>
          <w:rFonts w:hint="eastAsia" w:ascii="宋体" w:hAnsi="宋体" w:eastAsia="宋体" w:cs="宋体"/>
          <w:color w:val="auto"/>
          <w:kern w:val="21"/>
          <w:sz w:val="24"/>
          <w:szCs w:val="24"/>
        </w:rPr>
        <w:t>间隔层设备通过交换机与站控层以太网连接，其网络协议应成熟可靠，符合网络标准。</w:t>
      </w:r>
    </w:p>
    <w:p>
      <w:pPr>
        <w:pStyle w:val="51"/>
        <w:spacing w:line="360" w:lineRule="auto"/>
        <w:rPr>
          <w:rFonts w:hint="eastAsia" w:ascii="宋体" w:hAnsi="宋体" w:eastAsia="宋体" w:cs="宋体"/>
          <w:color w:val="auto"/>
          <w:kern w:val="21"/>
          <w:sz w:val="24"/>
          <w:szCs w:val="24"/>
        </w:rPr>
      </w:pPr>
      <w:r>
        <w:rPr>
          <w:rFonts w:hint="eastAsia" w:ascii="宋体" w:hAnsi="宋体" w:eastAsia="宋体" w:cs="宋体"/>
          <w:color w:val="auto"/>
          <w:kern w:val="21"/>
          <w:sz w:val="24"/>
          <w:szCs w:val="24"/>
        </w:rPr>
        <w:t>本工程的微机综合自动化系统采用分层分布式结构。其纵向分为两层：站控层和间隔层。站控层采用分布式结构，就地监控和远动接口相互独立。间隔层在横向按升压站一次设备配置。</w:t>
      </w:r>
    </w:p>
    <w:p>
      <w:pPr>
        <w:pStyle w:val="5"/>
        <w:rPr>
          <w:rFonts w:hint="eastAsia"/>
          <w:color w:val="auto"/>
          <w:lang w:val="en-US" w:eastAsia="zh-CN"/>
        </w:rPr>
      </w:pPr>
      <w:r>
        <w:rPr>
          <w:rFonts w:hint="eastAsia"/>
          <w:color w:val="auto"/>
          <w:lang w:val="en-US" w:eastAsia="zh-CN"/>
        </w:rPr>
        <w:t>10.2.2计算机监控系统硬件要求</w:t>
      </w:r>
    </w:p>
    <w:p>
      <w:pPr>
        <w:pStyle w:val="51"/>
        <w:spacing w:line="360"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本项目</w:t>
      </w:r>
      <w:r>
        <w:rPr>
          <w:rFonts w:hint="eastAsia" w:ascii="宋体" w:hAnsi="宋体" w:eastAsia="宋体" w:cs="宋体"/>
          <w:color w:val="auto"/>
          <w:sz w:val="24"/>
          <w:szCs w:val="24"/>
        </w:rPr>
        <w:t>配置</w:t>
      </w:r>
      <w:r>
        <w:rPr>
          <w:rFonts w:hint="eastAsia" w:ascii="宋体" w:hAnsi="宋体" w:cs="宋体"/>
          <w:color w:val="auto"/>
          <w:sz w:val="24"/>
          <w:szCs w:val="24"/>
          <w:lang w:val="en-US" w:eastAsia="zh-CN"/>
        </w:rPr>
        <w:t>1</w:t>
      </w:r>
      <w:r>
        <w:rPr>
          <w:rFonts w:hint="eastAsia" w:ascii="宋体" w:hAnsi="宋体" w:eastAsia="宋体" w:cs="宋体"/>
          <w:color w:val="auto"/>
          <w:sz w:val="24"/>
          <w:szCs w:val="24"/>
        </w:rPr>
        <w:t>套的计算机监控系统，</w:t>
      </w:r>
      <w:r>
        <w:rPr>
          <w:rFonts w:hint="eastAsia" w:ascii="宋体" w:hAnsi="宋体" w:cs="宋体"/>
          <w:color w:val="auto"/>
          <w:sz w:val="24"/>
          <w:szCs w:val="24"/>
          <w:lang w:val="en-US" w:eastAsia="zh-CN"/>
        </w:rPr>
        <w:t>该计算机监控系统集成储能监控系统及微电网监控系统，最后将数据上传至原110kV变电站监测平台上传信息实现集中监控。</w:t>
      </w:r>
      <w:r>
        <w:rPr>
          <w:rFonts w:hint="default" w:ascii="宋体" w:hAnsi="宋体" w:cs="宋体"/>
          <w:color w:val="auto"/>
          <w:kern w:val="2"/>
          <w:sz w:val="24"/>
          <w:szCs w:val="24"/>
          <w:lang w:val="en-US" w:eastAsia="zh-CN"/>
        </w:rPr>
        <w:t>投标人</w:t>
      </w:r>
      <w:r>
        <w:rPr>
          <w:rFonts w:hint="eastAsia" w:ascii="宋体" w:hAnsi="宋体" w:cs="宋体"/>
          <w:color w:val="auto"/>
          <w:sz w:val="24"/>
          <w:szCs w:val="24"/>
          <w:lang w:val="en-US" w:eastAsia="zh-CN"/>
        </w:rPr>
        <w:t>需保证数据能无障碍接入110kV变电站监测平台。</w:t>
      </w:r>
    </w:p>
    <w:p>
      <w:pPr>
        <w:pStyle w:val="51"/>
        <w:spacing w:line="360" w:lineRule="auto"/>
        <w:rPr>
          <w:rFonts w:hint="eastAsia" w:ascii="宋体" w:hAnsi="宋体" w:eastAsia="宋体" w:cs="宋体"/>
          <w:color w:val="auto"/>
          <w:kern w:val="21"/>
          <w:sz w:val="24"/>
          <w:szCs w:val="24"/>
        </w:rPr>
      </w:pPr>
      <w:r>
        <w:rPr>
          <w:rFonts w:hint="eastAsia" w:ascii="宋体" w:hAnsi="宋体" w:eastAsia="宋体" w:cs="宋体"/>
          <w:color w:val="auto"/>
          <w:kern w:val="21"/>
          <w:sz w:val="24"/>
          <w:szCs w:val="24"/>
        </w:rPr>
        <w:t>计算机监控系统应该用标准的、网络的、分布功能和系统化的开放式的硬件结构。计算机的存储和处理能力应满足本变电站的要求。</w:t>
      </w:r>
    </w:p>
    <w:p>
      <w:pPr>
        <w:pStyle w:val="51"/>
        <w:spacing w:line="360" w:lineRule="auto"/>
        <w:rPr>
          <w:rFonts w:hint="eastAsia" w:ascii="宋体" w:hAnsi="宋体" w:eastAsia="宋体" w:cs="宋体"/>
          <w:color w:val="auto"/>
          <w:kern w:val="21"/>
          <w:sz w:val="24"/>
          <w:szCs w:val="24"/>
        </w:rPr>
      </w:pPr>
      <w:r>
        <w:rPr>
          <w:rFonts w:hint="eastAsia" w:ascii="宋体" w:hAnsi="宋体" w:eastAsia="宋体" w:cs="宋体"/>
          <w:color w:val="auto"/>
          <w:kern w:val="21"/>
          <w:sz w:val="24"/>
          <w:szCs w:val="24"/>
        </w:rPr>
        <w:t>所有部件均应采取紧锁措施，抗振性能好，并且更换拆卸方便。</w:t>
      </w:r>
    </w:p>
    <w:p>
      <w:pPr>
        <w:pStyle w:val="51"/>
        <w:spacing w:line="360" w:lineRule="auto"/>
        <w:rPr>
          <w:rFonts w:hint="eastAsia" w:ascii="宋体" w:hAnsi="宋体" w:eastAsia="宋体" w:cs="宋体"/>
          <w:color w:val="auto"/>
          <w:kern w:val="21"/>
          <w:sz w:val="24"/>
          <w:szCs w:val="24"/>
        </w:rPr>
      </w:pPr>
      <w:r>
        <w:rPr>
          <w:rFonts w:hint="eastAsia" w:ascii="宋体" w:hAnsi="宋体" w:eastAsia="宋体" w:cs="宋体"/>
          <w:color w:val="auto"/>
          <w:kern w:val="21"/>
          <w:sz w:val="24"/>
          <w:szCs w:val="24"/>
        </w:rPr>
        <w:t>I/O测控装置应是模块化的、标准化的、容易维护更换的、允许带电插拔的，任何一个模块故障检修时，应不影响其它模块的正常工作。所有I/O测控装置的部件在输入输出回路上都必须具有电气隔离措施。</w:t>
      </w:r>
    </w:p>
    <w:p>
      <w:pPr>
        <w:spacing w:line="360" w:lineRule="auto"/>
        <w:ind w:firstLine="480"/>
        <w:rPr>
          <w:rFonts w:hint="eastAsia" w:ascii="宋体" w:hAnsi="宋体" w:cs="宋体"/>
          <w:color w:val="auto"/>
          <w:sz w:val="24"/>
          <w:szCs w:val="24"/>
          <w:lang w:val="en-US" w:eastAsia="zh-CN"/>
        </w:rPr>
      </w:pPr>
      <w:r>
        <w:rPr>
          <w:rFonts w:hint="eastAsia" w:ascii="宋体" w:hAnsi="宋体" w:eastAsia="宋体" w:cs="宋体"/>
          <w:color w:val="auto"/>
          <w:kern w:val="21"/>
          <w:sz w:val="24"/>
          <w:szCs w:val="24"/>
        </w:rPr>
        <w:t>在站控层计算机故障停运时，间隔层系统能安全运行。一个元件故障不引起误动作，一个单元故障不影响其它单元。</w:t>
      </w:r>
    </w:p>
    <w:p>
      <w:pPr>
        <w:pStyle w:val="5"/>
        <w:numPr>
          <w:ilvl w:val="2"/>
          <w:numId w:val="0"/>
        </w:numPr>
        <w:adjustRightInd w:val="0"/>
        <w:snapToGrid w:val="0"/>
        <w:spacing w:before="156" w:beforeLines="50" w:after="156" w:afterLines="50" w:line="360" w:lineRule="auto"/>
        <w:ind w:left="0" w:leftChars="0" w:firstLine="0" w:firstLineChars="0"/>
        <w:outlineLvl w:val="2"/>
        <w:rPr>
          <w:rFonts w:hint="eastAsia" w:ascii="宋体" w:hAnsi="宋体" w:eastAsia="宋体" w:cs="宋体"/>
          <w:b/>
          <w:bCs w:val="0"/>
          <w:color w:val="auto"/>
          <w:szCs w:val="24"/>
          <w:lang w:val="en-US" w:eastAsia="zh-CN"/>
        </w:rPr>
      </w:pPr>
      <w:bookmarkStart w:id="214" w:name="_Toc25435"/>
      <w:bookmarkStart w:id="215" w:name="_Toc21381"/>
      <w:bookmarkStart w:id="216" w:name="_Toc32599"/>
      <w:r>
        <w:rPr>
          <w:rFonts w:hint="eastAsia"/>
          <w:color w:val="auto"/>
          <w:lang w:val="en-US" w:eastAsia="zh-CN"/>
        </w:rPr>
        <w:t>10.2.3计算机监控系统软件要求</w:t>
      </w:r>
      <w:bookmarkEnd w:id="214"/>
      <w:bookmarkEnd w:id="215"/>
      <w:bookmarkEnd w:id="216"/>
    </w:p>
    <w:p>
      <w:pPr>
        <w:pStyle w:val="51"/>
        <w:spacing w:line="360" w:lineRule="auto"/>
        <w:rPr>
          <w:rFonts w:hint="eastAsia" w:ascii="宋体" w:hAnsi="宋体" w:eastAsia="宋体" w:cs="宋体"/>
          <w:color w:val="auto"/>
          <w:kern w:val="21"/>
          <w:sz w:val="24"/>
          <w:szCs w:val="24"/>
        </w:rPr>
      </w:pPr>
      <w:r>
        <w:rPr>
          <w:rFonts w:hint="eastAsia" w:ascii="宋体" w:hAnsi="宋体" w:eastAsia="宋体" w:cs="宋体"/>
          <w:color w:val="auto"/>
          <w:kern w:val="21"/>
          <w:sz w:val="24"/>
          <w:szCs w:val="24"/>
        </w:rPr>
        <w:t>计算机监控系统应采用国际上流行的、先进的、标准版本的工业软件，必须为中文版，应为模块化结构、开放性好、可靠成熟、方便适用。用户能对软件系统进行安装和生成。</w:t>
      </w:r>
    </w:p>
    <w:p>
      <w:pPr>
        <w:pStyle w:val="51"/>
        <w:spacing w:line="360" w:lineRule="auto"/>
        <w:rPr>
          <w:rFonts w:hint="eastAsia" w:ascii="宋体" w:hAnsi="宋体" w:eastAsia="宋体" w:cs="宋体"/>
          <w:color w:val="auto"/>
          <w:kern w:val="21"/>
          <w:sz w:val="24"/>
          <w:szCs w:val="24"/>
        </w:rPr>
      </w:pPr>
      <w:r>
        <w:rPr>
          <w:rFonts w:hint="eastAsia" w:ascii="宋体" w:hAnsi="宋体" w:eastAsia="宋体" w:cs="宋体"/>
          <w:color w:val="auto"/>
          <w:kern w:val="21"/>
          <w:sz w:val="24"/>
          <w:szCs w:val="24"/>
        </w:rPr>
        <w:t>升压站计算机监控系统中各服务器、主机等所使用的操作系统，均必须为满足电网公司要求的国产安全操作系统，否则无条件更换。</w:t>
      </w:r>
    </w:p>
    <w:p>
      <w:pPr>
        <w:pStyle w:val="51"/>
        <w:spacing w:line="360" w:lineRule="auto"/>
        <w:rPr>
          <w:rFonts w:hint="eastAsia" w:ascii="宋体" w:hAnsi="宋体" w:eastAsia="宋体" w:cs="宋体"/>
          <w:color w:val="auto"/>
          <w:kern w:val="21"/>
          <w:sz w:val="24"/>
          <w:szCs w:val="24"/>
        </w:rPr>
      </w:pPr>
      <w:r>
        <w:rPr>
          <w:rFonts w:hint="eastAsia" w:cs="宋体"/>
          <w:color w:val="auto"/>
          <w:kern w:val="21"/>
          <w:sz w:val="24"/>
          <w:szCs w:val="24"/>
          <w:lang w:val="en-US" w:eastAsia="zh-CN"/>
        </w:rPr>
        <w:t>1</w:t>
      </w:r>
      <w:r>
        <w:rPr>
          <w:rFonts w:hint="eastAsia" w:cs="宋体"/>
          <w:color w:val="auto"/>
          <w:kern w:val="21"/>
          <w:sz w:val="24"/>
          <w:szCs w:val="24"/>
          <w:lang w:eastAsia="zh-CN"/>
        </w:rPr>
        <w:t>）</w:t>
      </w:r>
      <w:r>
        <w:rPr>
          <w:rFonts w:hint="eastAsia" w:ascii="宋体" w:hAnsi="宋体" w:eastAsia="宋体" w:cs="宋体"/>
          <w:color w:val="auto"/>
          <w:kern w:val="21"/>
          <w:sz w:val="24"/>
          <w:szCs w:val="24"/>
        </w:rPr>
        <w:t>应用软件</w:t>
      </w:r>
    </w:p>
    <w:p>
      <w:pPr>
        <w:pStyle w:val="51"/>
        <w:spacing w:line="360" w:lineRule="auto"/>
        <w:rPr>
          <w:rFonts w:hint="eastAsia" w:ascii="宋体" w:hAnsi="宋体" w:eastAsia="宋体" w:cs="宋体"/>
          <w:color w:val="auto"/>
          <w:kern w:val="21"/>
          <w:sz w:val="24"/>
          <w:szCs w:val="24"/>
        </w:rPr>
      </w:pPr>
      <w:r>
        <w:rPr>
          <w:rFonts w:hint="eastAsia" w:ascii="宋体" w:hAnsi="宋体" w:eastAsia="宋体" w:cs="宋体"/>
          <w:color w:val="auto"/>
          <w:kern w:val="21"/>
          <w:sz w:val="24"/>
          <w:szCs w:val="24"/>
        </w:rPr>
        <w:t>应用软件应满足本规范书中各项功能要求。模块化结构，具有良好的实时响应速度和可扩充性。具有出错检测能力。当某个应用软件出错时，除有错误信息提示外，不允许影响其它软件的正常运行。应用程序和数据在结构上应互相独立并满足于反措要求。</w:t>
      </w:r>
    </w:p>
    <w:p>
      <w:pPr>
        <w:pStyle w:val="51"/>
        <w:spacing w:line="360" w:lineRule="auto"/>
        <w:rPr>
          <w:rFonts w:hint="eastAsia" w:ascii="宋体" w:hAnsi="宋体" w:eastAsia="宋体" w:cs="宋体"/>
          <w:color w:val="auto"/>
          <w:kern w:val="21"/>
          <w:sz w:val="24"/>
          <w:szCs w:val="24"/>
        </w:rPr>
      </w:pPr>
      <w:r>
        <w:rPr>
          <w:rFonts w:hint="eastAsia" w:cs="宋体"/>
          <w:color w:val="auto"/>
          <w:kern w:val="21"/>
          <w:sz w:val="24"/>
          <w:szCs w:val="24"/>
          <w:lang w:val="en-US" w:eastAsia="zh-CN"/>
        </w:rPr>
        <w:t>2</w:t>
      </w:r>
      <w:r>
        <w:rPr>
          <w:rFonts w:hint="eastAsia" w:cs="宋体"/>
          <w:color w:val="auto"/>
          <w:kern w:val="21"/>
          <w:sz w:val="24"/>
          <w:szCs w:val="24"/>
          <w:lang w:eastAsia="zh-CN"/>
        </w:rPr>
        <w:t>）</w:t>
      </w:r>
      <w:r>
        <w:rPr>
          <w:rFonts w:hint="eastAsia" w:ascii="宋体" w:hAnsi="宋体" w:eastAsia="宋体" w:cs="宋体"/>
          <w:color w:val="auto"/>
          <w:kern w:val="21"/>
          <w:sz w:val="24"/>
          <w:szCs w:val="24"/>
        </w:rPr>
        <w:t>通信接口软件</w:t>
      </w:r>
    </w:p>
    <w:p>
      <w:pPr>
        <w:pStyle w:val="51"/>
        <w:spacing w:line="360" w:lineRule="auto"/>
        <w:rPr>
          <w:rFonts w:hint="eastAsia" w:ascii="宋体" w:hAnsi="宋体" w:eastAsia="宋体" w:cs="宋体"/>
          <w:color w:val="auto"/>
          <w:kern w:val="21"/>
          <w:sz w:val="24"/>
          <w:szCs w:val="24"/>
        </w:rPr>
      </w:pPr>
      <w:r>
        <w:rPr>
          <w:rFonts w:hint="eastAsia" w:ascii="宋体" w:hAnsi="宋体" w:eastAsia="宋体" w:cs="宋体"/>
          <w:color w:val="auto"/>
          <w:kern w:val="21"/>
          <w:sz w:val="24"/>
          <w:szCs w:val="24"/>
        </w:rPr>
        <w:t>计算机监控系统有较多的通信接口驱动软件，主要是：</w:t>
      </w:r>
    </w:p>
    <w:p>
      <w:pPr>
        <w:pStyle w:val="51"/>
        <w:spacing w:line="360" w:lineRule="auto"/>
        <w:rPr>
          <w:rFonts w:hint="eastAsia" w:ascii="宋体" w:hAnsi="宋体" w:eastAsia="宋体" w:cs="宋体"/>
          <w:color w:val="auto"/>
          <w:kern w:val="21"/>
          <w:sz w:val="24"/>
          <w:szCs w:val="24"/>
        </w:rPr>
      </w:pPr>
      <w:r>
        <w:rPr>
          <w:rFonts w:hint="eastAsia" w:ascii="宋体" w:hAnsi="宋体" w:eastAsia="宋体" w:cs="宋体"/>
          <w:color w:val="auto"/>
          <w:kern w:val="21"/>
          <w:sz w:val="24"/>
          <w:szCs w:val="24"/>
        </w:rPr>
        <w:t>·与微机保护装置的通信接口软件；</w:t>
      </w:r>
    </w:p>
    <w:p>
      <w:pPr>
        <w:pStyle w:val="51"/>
        <w:spacing w:line="360" w:lineRule="auto"/>
        <w:rPr>
          <w:rFonts w:hint="eastAsia" w:ascii="宋体" w:hAnsi="宋体" w:eastAsia="宋体" w:cs="宋体"/>
          <w:color w:val="auto"/>
          <w:kern w:val="21"/>
          <w:sz w:val="24"/>
          <w:szCs w:val="24"/>
        </w:rPr>
      </w:pPr>
      <w:r>
        <w:rPr>
          <w:rFonts w:hint="eastAsia" w:ascii="宋体" w:hAnsi="宋体" w:eastAsia="宋体" w:cs="宋体"/>
          <w:color w:val="auto"/>
          <w:kern w:val="21"/>
          <w:sz w:val="24"/>
          <w:szCs w:val="24"/>
        </w:rPr>
        <w:t>·与直流及UPS电源的通信接口软件；</w:t>
      </w:r>
    </w:p>
    <w:p>
      <w:pPr>
        <w:pStyle w:val="51"/>
        <w:spacing w:line="360" w:lineRule="auto"/>
        <w:rPr>
          <w:rFonts w:hint="eastAsia" w:ascii="宋体" w:hAnsi="宋体" w:eastAsia="宋体" w:cs="宋体"/>
          <w:color w:val="auto"/>
          <w:kern w:val="21"/>
          <w:sz w:val="24"/>
          <w:szCs w:val="24"/>
        </w:rPr>
      </w:pPr>
      <w:r>
        <w:rPr>
          <w:rFonts w:hint="eastAsia" w:ascii="宋体" w:hAnsi="宋体" w:eastAsia="宋体" w:cs="宋体"/>
          <w:color w:val="auto"/>
          <w:kern w:val="21"/>
          <w:sz w:val="24"/>
          <w:szCs w:val="24"/>
        </w:rPr>
        <w:t>·与</w:t>
      </w:r>
      <w:r>
        <w:rPr>
          <w:rFonts w:hint="eastAsia" w:cs="宋体"/>
          <w:color w:val="auto"/>
          <w:kern w:val="21"/>
          <w:sz w:val="24"/>
          <w:szCs w:val="24"/>
          <w:lang w:val="en-US" w:eastAsia="zh-CN"/>
        </w:rPr>
        <w:t>储能</w:t>
      </w:r>
      <w:r>
        <w:rPr>
          <w:rFonts w:hint="eastAsia" w:ascii="宋体" w:hAnsi="宋体" w:eastAsia="宋体" w:cs="宋体"/>
          <w:color w:val="auto"/>
          <w:kern w:val="21"/>
          <w:sz w:val="24"/>
          <w:szCs w:val="24"/>
        </w:rPr>
        <w:t>监控系统的通信接口软件；</w:t>
      </w:r>
    </w:p>
    <w:p>
      <w:pPr>
        <w:pStyle w:val="51"/>
        <w:spacing w:line="360" w:lineRule="auto"/>
        <w:rPr>
          <w:rFonts w:hint="eastAsia" w:ascii="宋体" w:hAnsi="宋体" w:eastAsia="宋体" w:cs="宋体"/>
          <w:color w:val="auto"/>
          <w:kern w:val="21"/>
          <w:sz w:val="24"/>
          <w:szCs w:val="24"/>
        </w:rPr>
      </w:pPr>
      <w:r>
        <w:rPr>
          <w:rFonts w:hint="eastAsia" w:ascii="宋体" w:hAnsi="宋体" w:eastAsia="宋体" w:cs="宋体"/>
          <w:color w:val="auto"/>
          <w:kern w:val="21"/>
          <w:sz w:val="24"/>
          <w:szCs w:val="24"/>
        </w:rPr>
        <w:t>计算机监控系统与智能设备的通信规约应执行国标、行标及IEC标准。</w:t>
      </w:r>
    </w:p>
    <w:p>
      <w:pPr>
        <w:pStyle w:val="51"/>
        <w:spacing w:line="360" w:lineRule="auto"/>
        <w:rPr>
          <w:rFonts w:hint="eastAsia" w:ascii="宋体" w:hAnsi="宋体" w:eastAsia="宋体" w:cs="宋体"/>
          <w:color w:val="auto"/>
          <w:kern w:val="21"/>
          <w:sz w:val="24"/>
          <w:szCs w:val="24"/>
        </w:rPr>
      </w:pPr>
      <w:r>
        <w:rPr>
          <w:rFonts w:hint="eastAsia" w:ascii="宋体" w:hAnsi="宋体" w:eastAsia="宋体" w:cs="宋体"/>
          <w:color w:val="auto"/>
          <w:kern w:val="21"/>
          <w:sz w:val="24"/>
          <w:szCs w:val="24"/>
          <w:lang w:eastAsia="zh-CN"/>
        </w:rPr>
        <w:t>投标人</w:t>
      </w:r>
      <w:r>
        <w:rPr>
          <w:rFonts w:hint="eastAsia" w:ascii="宋体" w:hAnsi="宋体" w:eastAsia="宋体" w:cs="宋体"/>
          <w:color w:val="auto"/>
          <w:kern w:val="21"/>
          <w:sz w:val="24"/>
          <w:szCs w:val="24"/>
        </w:rPr>
        <w:t>应完成各种通信规约的转换，使计算机监控系统实时正确地接收和发送数据。</w:t>
      </w:r>
    </w:p>
    <w:p>
      <w:pPr>
        <w:pStyle w:val="51"/>
        <w:spacing w:line="360" w:lineRule="auto"/>
        <w:rPr>
          <w:rFonts w:hint="eastAsia" w:ascii="宋体" w:hAnsi="宋体" w:eastAsia="宋体" w:cs="宋体"/>
          <w:color w:val="auto"/>
          <w:kern w:val="21"/>
          <w:sz w:val="24"/>
          <w:szCs w:val="24"/>
        </w:rPr>
      </w:pPr>
      <w:r>
        <w:rPr>
          <w:rFonts w:hint="eastAsia" w:cs="宋体"/>
          <w:color w:val="auto"/>
          <w:kern w:val="21"/>
          <w:sz w:val="24"/>
          <w:szCs w:val="24"/>
          <w:lang w:val="en-US" w:eastAsia="zh-CN"/>
        </w:rPr>
        <w:t>3</w:t>
      </w:r>
      <w:r>
        <w:rPr>
          <w:rFonts w:hint="eastAsia" w:cs="宋体"/>
          <w:color w:val="auto"/>
          <w:kern w:val="21"/>
          <w:sz w:val="24"/>
          <w:szCs w:val="24"/>
          <w:lang w:eastAsia="zh-CN"/>
        </w:rPr>
        <w:t>）</w:t>
      </w:r>
      <w:r>
        <w:rPr>
          <w:rFonts w:hint="eastAsia" w:ascii="宋体" w:hAnsi="宋体" w:eastAsia="宋体" w:cs="宋体"/>
          <w:color w:val="auto"/>
          <w:kern w:val="21"/>
          <w:sz w:val="24"/>
          <w:szCs w:val="24"/>
        </w:rPr>
        <w:t>核心防护软件</w:t>
      </w:r>
    </w:p>
    <w:p>
      <w:pPr>
        <w:pStyle w:val="51"/>
        <w:spacing w:line="360" w:lineRule="auto"/>
        <w:rPr>
          <w:rFonts w:hint="eastAsia" w:ascii="宋体" w:hAnsi="宋体" w:eastAsia="宋体" w:cs="宋体"/>
          <w:color w:val="auto"/>
          <w:kern w:val="21"/>
          <w:sz w:val="24"/>
          <w:szCs w:val="24"/>
        </w:rPr>
      </w:pPr>
      <w:r>
        <w:rPr>
          <w:rFonts w:hint="eastAsia" w:ascii="宋体" w:hAnsi="宋体" w:eastAsia="宋体" w:cs="宋体"/>
          <w:color w:val="auto"/>
          <w:kern w:val="21"/>
          <w:sz w:val="24"/>
          <w:szCs w:val="24"/>
        </w:rPr>
        <w:t>为保证主机/服务器重要的数据和文件不被更改、删除、非法拷贝；关键业务、进程不被非法停止，根据国家发改委令2014年第14号《电力监控系统安全防护规定》、国能安全[2015]36号《国家能源局关于印发电力监控系统安全防护总体方案等安全防护方案和评估规范的通知》及国能综安全（2016）92号的要求，生产控制大区主机操作系统应进行安全加固。加固方式包括：安全配置、安全补丁、采用专用软件强化操作系统访问控制能力、以及配置安全的应有程序。</w:t>
      </w:r>
    </w:p>
    <w:p>
      <w:pPr>
        <w:pStyle w:val="51"/>
        <w:spacing w:line="360" w:lineRule="auto"/>
        <w:rPr>
          <w:rFonts w:hint="eastAsia" w:ascii="宋体" w:hAnsi="宋体" w:eastAsia="宋体" w:cs="宋体"/>
          <w:color w:val="auto"/>
          <w:kern w:val="21"/>
          <w:sz w:val="24"/>
          <w:szCs w:val="24"/>
        </w:rPr>
      </w:pPr>
      <w:r>
        <w:rPr>
          <w:rFonts w:hint="eastAsia" w:ascii="宋体" w:hAnsi="宋体" w:eastAsia="宋体" w:cs="宋体"/>
          <w:color w:val="auto"/>
          <w:kern w:val="21"/>
          <w:sz w:val="24"/>
          <w:szCs w:val="24"/>
        </w:rPr>
        <w:t>本工程要求对全站服务器、工作站、网络边界等部署加固软件。</w:t>
      </w:r>
    </w:p>
    <w:p>
      <w:pPr>
        <w:pStyle w:val="5"/>
        <w:spacing w:line="360" w:lineRule="auto"/>
        <w:rPr>
          <w:rFonts w:hint="eastAsia"/>
          <w:color w:val="auto"/>
          <w:lang w:val="en-US" w:eastAsia="zh-CN"/>
        </w:rPr>
      </w:pPr>
      <w:r>
        <w:rPr>
          <w:rFonts w:hint="eastAsia"/>
          <w:color w:val="auto"/>
          <w:lang w:val="en-US" w:eastAsia="zh-CN"/>
        </w:rPr>
        <w:t>10.2.4计算机监控系统其他要求</w:t>
      </w:r>
    </w:p>
    <w:p>
      <w:pPr>
        <w:bidi w:val="0"/>
        <w:ind w:firstLine="102" w:firstLineChars="49"/>
        <w:outlineLvl w:val="3"/>
        <w:rPr>
          <w:rFonts w:hint="eastAsia"/>
          <w:color w:val="auto"/>
        </w:rPr>
      </w:pPr>
      <w:r>
        <w:rPr>
          <w:rFonts w:hint="eastAsia" w:ascii="Calibri" w:eastAsia="宋体"/>
          <w:color w:val="auto"/>
          <w:lang w:val="en-US" w:eastAsia="zh-CN"/>
        </w:rPr>
        <w:t>1、系统报警处理</w:t>
      </w:r>
    </w:p>
    <w:p>
      <w:pPr>
        <w:spacing w:line="360" w:lineRule="auto"/>
        <w:rPr>
          <w:rFonts w:hint="eastAsia"/>
          <w:color w:val="auto"/>
        </w:rPr>
      </w:pPr>
      <w:r>
        <w:rPr>
          <w:rFonts w:hint="eastAsia"/>
          <w:color w:val="auto"/>
        </w:rPr>
        <w:t>监控系统应具有事故报警和预告分级报警功能。事故报警包括非正常操作引起的断路器跳闸和保护装置动作信号；预告报警包括一般设备变位、状态异常信息、模拟量或温度量越限等。</w:t>
      </w:r>
    </w:p>
    <w:p>
      <w:pPr>
        <w:spacing w:line="360" w:lineRule="auto"/>
        <w:rPr>
          <w:rFonts w:hint="eastAsia"/>
          <w:color w:val="auto"/>
        </w:rPr>
      </w:pPr>
      <w:r>
        <w:rPr>
          <w:rFonts w:hint="eastAsia" w:eastAsia="宋体"/>
          <w:color w:val="auto"/>
          <w:lang w:eastAsia="zh-CN"/>
        </w:rPr>
        <w:t>（</w:t>
      </w:r>
      <w:r>
        <w:rPr>
          <w:rFonts w:hint="eastAsia" w:ascii="Calibri" w:eastAsia="宋体"/>
          <w:color w:val="auto"/>
          <w:lang w:val="en-US" w:eastAsia="zh-CN"/>
        </w:rPr>
        <w:t>1</w:t>
      </w:r>
      <w:r>
        <w:rPr>
          <w:rFonts w:hint="eastAsia" w:eastAsia="宋体"/>
          <w:color w:val="auto"/>
          <w:lang w:eastAsia="zh-CN"/>
        </w:rPr>
        <w:t>）</w:t>
      </w:r>
      <w:r>
        <w:rPr>
          <w:rFonts w:hint="eastAsia"/>
          <w:color w:val="auto"/>
        </w:rPr>
        <w:t>事故报警</w:t>
      </w:r>
    </w:p>
    <w:p>
      <w:pPr>
        <w:spacing w:line="360" w:lineRule="auto"/>
        <w:rPr>
          <w:rFonts w:hint="eastAsia"/>
          <w:color w:val="auto"/>
        </w:rPr>
      </w:pPr>
      <w:r>
        <w:rPr>
          <w:rFonts w:hint="eastAsia"/>
          <w:color w:val="auto"/>
        </w:rPr>
        <w:t>事故状态方式时，事故报警立即发出音响报警（报警音量可调），运行工作站的显示画面上用颜色改变并闪烁表示该设备变位，同时显示红色报警条文，报警条文可以选择随机打印或召唤打印。</w:t>
      </w:r>
    </w:p>
    <w:p>
      <w:pPr>
        <w:spacing w:line="360" w:lineRule="auto"/>
        <w:rPr>
          <w:rFonts w:hint="eastAsia"/>
          <w:color w:val="auto"/>
        </w:rPr>
      </w:pPr>
      <w:r>
        <w:rPr>
          <w:rFonts w:hint="eastAsia"/>
          <w:color w:val="auto"/>
        </w:rPr>
        <w:t>事故报警通过手动或自动方式确认，每次确认一次报警，自动确认时间可调。</w:t>
      </w:r>
    </w:p>
    <w:p>
      <w:pPr>
        <w:spacing w:line="360" w:lineRule="auto"/>
        <w:rPr>
          <w:rFonts w:hint="eastAsia"/>
          <w:color w:val="auto"/>
        </w:rPr>
      </w:pPr>
      <w:r>
        <w:rPr>
          <w:rFonts w:hint="eastAsia"/>
          <w:color w:val="auto"/>
        </w:rPr>
        <w:t>报警一旦确认，声音、闪光即停止。</w:t>
      </w:r>
    </w:p>
    <w:p>
      <w:pPr>
        <w:spacing w:line="360" w:lineRule="auto"/>
        <w:rPr>
          <w:rFonts w:hint="eastAsia"/>
          <w:color w:val="auto"/>
        </w:rPr>
      </w:pPr>
      <w:r>
        <w:rPr>
          <w:rFonts w:hint="eastAsia"/>
          <w:color w:val="auto"/>
        </w:rPr>
        <w:t>第一次事故报警发生阶段，允许下一个报警信号进入，即第二次报警不应覆盖上一次的报警内容。报警装置可在任何时间进行手动试验，试验信息不予传送、记录。报警处理可以在主计算机上予以定义或退出。事故报警应有自动推画面功能。</w:t>
      </w:r>
    </w:p>
    <w:p>
      <w:pPr>
        <w:spacing w:line="360" w:lineRule="auto"/>
        <w:rPr>
          <w:rFonts w:hint="eastAsia"/>
          <w:color w:val="auto"/>
        </w:rPr>
      </w:pPr>
      <w:r>
        <w:rPr>
          <w:rFonts w:hint="eastAsia" w:eastAsia="宋体"/>
          <w:color w:val="auto"/>
          <w:lang w:eastAsia="zh-CN"/>
        </w:rPr>
        <w:t>（</w:t>
      </w:r>
      <w:r>
        <w:rPr>
          <w:rFonts w:hint="eastAsia" w:ascii="Calibri" w:eastAsia="宋体"/>
          <w:color w:val="auto"/>
          <w:lang w:val="en-US" w:eastAsia="zh-CN"/>
        </w:rPr>
        <w:t>2</w:t>
      </w:r>
      <w:r>
        <w:rPr>
          <w:rFonts w:hint="eastAsia" w:eastAsia="宋体"/>
          <w:color w:val="auto"/>
          <w:lang w:eastAsia="zh-CN"/>
        </w:rPr>
        <w:t>）</w:t>
      </w:r>
      <w:r>
        <w:rPr>
          <w:rFonts w:hint="eastAsia"/>
          <w:color w:val="auto"/>
        </w:rPr>
        <w:t>预告报警</w:t>
      </w:r>
    </w:p>
    <w:p>
      <w:pPr>
        <w:spacing w:line="360" w:lineRule="auto"/>
        <w:rPr>
          <w:rFonts w:hint="eastAsia"/>
          <w:color w:val="auto"/>
        </w:rPr>
      </w:pPr>
      <w:r>
        <w:rPr>
          <w:rFonts w:hint="eastAsia"/>
          <w:color w:val="auto"/>
        </w:rPr>
        <w:t>预告报警发生时，除不向远方发送信息外，其处理方式与上述事故报警处理相同（音响和提示信息颜色应区别于事故报警）。部分预告信号应具有延时触发功能。</w:t>
      </w:r>
    </w:p>
    <w:p>
      <w:pPr>
        <w:spacing w:line="360" w:lineRule="auto"/>
        <w:rPr>
          <w:rFonts w:hint="eastAsia"/>
          <w:color w:val="auto"/>
        </w:rPr>
      </w:pPr>
      <w:r>
        <w:rPr>
          <w:rFonts w:hint="eastAsia" w:eastAsia="宋体"/>
          <w:color w:val="auto"/>
          <w:lang w:eastAsia="zh-CN"/>
        </w:rPr>
        <w:t>（</w:t>
      </w:r>
      <w:r>
        <w:rPr>
          <w:rFonts w:hint="eastAsia" w:ascii="Calibri" w:eastAsia="宋体"/>
          <w:color w:val="auto"/>
          <w:lang w:val="en-US" w:eastAsia="zh-CN"/>
        </w:rPr>
        <w:t>3</w:t>
      </w:r>
      <w:r>
        <w:rPr>
          <w:rFonts w:hint="eastAsia" w:eastAsia="宋体"/>
          <w:color w:val="auto"/>
          <w:lang w:eastAsia="zh-CN"/>
        </w:rPr>
        <w:t>）</w:t>
      </w:r>
      <w:r>
        <w:rPr>
          <w:rFonts w:hint="eastAsia"/>
          <w:color w:val="auto"/>
        </w:rPr>
        <w:t>对每一测量值（包括计算量值），可由用户序列设置四种规定的运行限值（低低限、低限、高限、高高限），分别可以定义作为预告报警和事故报警。</w:t>
      </w:r>
    </w:p>
    <w:p>
      <w:pPr>
        <w:spacing w:line="360" w:lineRule="auto"/>
        <w:rPr>
          <w:rFonts w:hint="eastAsia" w:ascii="宋体" w:hAnsi="宋体" w:eastAsia="宋体" w:cs="宋体"/>
          <w:color w:val="auto"/>
          <w:kern w:val="21"/>
          <w:szCs w:val="24"/>
        </w:rPr>
      </w:pPr>
      <w:r>
        <w:rPr>
          <w:rFonts w:hint="eastAsia"/>
          <w:color w:val="auto"/>
        </w:rPr>
        <w:t>四个限值均设有越/复限死区，以避免实测值处于限值附近频繁报警。</w:t>
      </w:r>
    </w:p>
    <w:p>
      <w:pPr>
        <w:bidi w:val="0"/>
        <w:ind w:firstLine="102" w:firstLineChars="49"/>
        <w:outlineLvl w:val="3"/>
        <w:rPr>
          <w:rFonts w:hint="eastAsia"/>
          <w:color w:val="auto"/>
        </w:rPr>
      </w:pPr>
      <w:r>
        <w:rPr>
          <w:rFonts w:hint="eastAsia" w:ascii="Calibri" w:eastAsia="宋体"/>
          <w:color w:val="auto"/>
          <w:lang w:val="en-US" w:eastAsia="zh-CN"/>
        </w:rPr>
        <w:t>2、事件顺序记录及事故追忆</w:t>
      </w:r>
    </w:p>
    <w:p>
      <w:pPr>
        <w:spacing w:line="360" w:lineRule="auto"/>
        <w:rPr>
          <w:rFonts w:hint="eastAsia"/>
          <w:color w:val="auto"/>
        </w:rPr>
      </w:pPr>
      <w:r>
        <w:rPr>
          <w:rFonts w:hint="eastAsia"/>
          <w:color w:val="auto"/>
        </w:rPr>
        <w:t>当</w:t>
      </w:r>
      <w:r>
        <w:rPr>
          <w:rFonts w:hint="eastAsia" w:ascii="Calibri" w:eastAsia="宋体"/>
          <w:color w:val="auto"/>
          <w:lang w:val="en-US" w:eastAsia="zh-CN"/>
        </w:rPr>
        <w:t>内部元器件</w:t>
      </w:r>
      <w:r>
        <w:rPr>
          <w:rFonts w:hint="eastAsia"/>
          <w:color w:val="auto"/>
        </w:rPr>
        <w:t>出现故障时，将</w:t>
      </w:r>
      <w:r>
        <w:rPr>
          <w:rFonts w:hint="eastAsia" w:ascii="Calibri" w:eastAsia="宋体"/>
          <w:color w:val="auto"/>
          <w:lang w:val="en-US" w:eastAsia="zh-CN"/>
        </w:rPr>
        <w:t>故障时相关元器件的的状态进行记录</w:t>
      </w:r>
      <w:r>
        <w:rPr>
          <w:rFonts w:hint="eastAsia"/>
          <w:color w:val="auto"/>
        </w:rPr>
        <w:t>，事件顺序记录功能应将事件过程中各设备动作顺序，带时标记录、存储、显示、打印，生成事件记录报告，供查询。系统保存1年的事件顺序记录条文。事件分辨率：测控装置≤1ms，站控层≤2ms。事件顺序记录应带时标及时送往调度主站。</w:t>
      </w:r>
    </w:p>
    <w:p>
      <w:pPr>
        <w:bidi w:val="0"/>
        <w:rPr>
          <w:rFonts w:hint="eastAsia"/>
          <w:color w:val="auto"/>
        </w:rPr>
      </w:pPr>
      <w:r>
        <w:rPr>
          <w:rFonts w:hint="eastAsia"/>
          <w:color w:val="auto"/>
        </w:rPr>
        <w:t>事故追忆范围为事故前1min到事故后2min的所有相关模拟量值，采样周期与实时系统采样周期一致。系统可生成事故追忆表，以显示、打印方式输出。</w:t>
      </w:r>
    </w:p>
    <w:p>
      <w:pPr>
        <w:bidi w:val="0"/>
        <w:ind w:firstLine="102" w:firstLineChars="49"/>
        <w:outlineLvl w:val="3"/>
        <w:rPr>
          <w:rFonts w:hint="eastAsia"/>
          <w:color w:val="auto"/>
          <w:lang w:val="en-US" w:eastAsia="zh-CN"/>
        </w:rPr>
      </w:pPr>
      <w:r>
        <w:rPr>
          <w:rFonts w:hint="eastAsia" w:ascii="Calibri" w:eastAsia="宋体"/>
          <w:color w:val="auto"/>
          <w:lang w:val="en-US" w:eastAsia="zh-CN"/>
        </w:rPr>
        <w:t>3、画面生成及显示</w:t>
      </w:r>
    </w:p>
    <w:p>
      <w:pPr>
        <w:spacing w:line="360" w:lineRule="auto"/>
        <w:rPr>
          <w:rFonts w:hint="eastAsia"/>
          <w:color w:val="auto"/>
        </w:rPr>
      </w:pPr>
      <w:r>
        <w:rPr>
          <w:rFonts w:hint="eastAsia"/>
          <w:color w:val="auto"/>
        </w:rPr>
        <w:t>系统应具有电网拓扑识别功能，实现带电设备的颜色标识。所有静态和动态画面应存储在画面数据库内。应具有图元编辑图形制作功能，使用户能够在任一台主计算机或人机工作站上均能方便直观的完成实时画面的在线编辑、修改、定义、生成、删除、调用和实时数据库连接等功能，并且对画面的生成和修改应能够通过网络广播方式给其他工作站。在主控室运行工作站显示器上显示的各种信息应以报告、图形等形式提供给运行人员。</w:t>
      </w:r>
    </w:p>
    <w:p>
      <w:pPr>
        <w:spacing w:line="360" w:lineRule="auto"/>
        <w:rPr>
          <w:rFonts w:hint="eastAsia"/>
          <w:color w:val="auto"/>
        </w:rPr>
      </w:pPr>
      <w:r>
        <w:rPr>
          <w:rFonts w:hint="eastAsia" w:eastAsia="宋体"/>
          <w:color w:val="auto"/>
          <w:lang w:eastAsia="zh-CN"/>
        </w:rPr>
        <w:t>（</w:t>
      </w:r>
      <w:r>
        <w:rPr>
          <w:rFonts w:hint="eastAsia" w:ascii="Calibri" w:eastAsia="宋体"/>
          <w:color w:val="auto"/>
          <w:lang w:val="en-US" w:eastAsia="zh-CN"/>
        </w:rPr>
        <w:t>1</w:t>
      </w:r>
      <w:r>
        <w:rPr>
          <w:rFonts w:hint="eastAsia" w:eastAsia="宋体"/>
          <w:color w:val="auto"/>
          <w:lang w:eastAsia="zh-CN"/>
        </w:rPr>
        <w:t>）</w:t>
      </w:r>
      <w:r>
        <w:rPr>
          <w:rFonts w:hint="eastAsia"/>
          <w:color w:val="auto"/>
        </w:rPr>
        <w:t>输出方式及要求</w:t>
      </w:r>
    </w:p>
    <w:p>
      <w:pPr>
        <w:spacing w:line="360" w:lineRule="auto"/>
        <w:rPr>
          <w:rFonts w:hint="eastAsia"/>
          <w:color w:val="auto"/>
        </w:rPr>
      </w:pPr>
      <w:r>
        <w:rPr>
          <w:rFonts w:hint="eastAsia"/>
          <w:color w:val="auto"/>
        </w:rPr>
        <w:t>a）电气主接线图中应包括电气量实时值，设备运行状态、潮流方向，断路器、隔离开关、接地开关位置，“就地/远方”转换开关位置等。</w:t>
      </w:r>
    </w:p>
    <w:p>
      <w:pPr>
        <w:spacing w:line="360" w:lineRule="auto"/>
        <w:rPr>
          <w:rFonts w:hint="eastAsia"/>
          <w:color w:val="auto"/>
        </w:rPr>
      </w:pPr>
      <w:r>
        <w:rPr>
          <w:rFonts w:hint="eastAsia"/>
          <w:color w:val="auto"/>
        </w:rPr>
        <w:t>b）画面上显示的文字应为中文。</w:t>
      </w:r>
    </w:p>
    <w:p>
      <w:pPr>
        <w:spacing w:line="360" w:lineRule="auto"/>
        <w:rPr>
          <w:rFonts w:hint="eastAsia"/>
          <w:color w:val="auto"/>
        </w:rPr>
      </w:pPr>
      <w:r>
        <w:rPr>
          <w:rFonts w:hint="eastAsia"/>
          <w:color w:val="auto"/>
        </w:rPr>
        <w:t>c）图形和曲线可储存及硬拷贝。</w:t>
      </w:r>
    </w:p>
    <w:p>
      <w:pPr>
        <w:spacing w:line="360" w:lineRule="auto"/>
        <w:rPr>
          <w:rFonts w:hint="eastAsia"/>
          <w:color w:val="auto"/>
        </w:rPr>
      </w:pPr>
      <w:r>
        <w:rPr>
          <w:rFonts w:hint="eastAsia"/>
          <w:color w:val="auto"/>
        </w:rPr>
        <w:t>d）用户可生成、制作、修改图形。在一个工作站上制作的图形可送往其它工作站。</w:t>
      </w:r>
    </w:p>
    <w:p>
      <w:pPr>
        <w:spacing w:line="360" w:lineRule="auto"/>
        <w:rPr>
          <w:rFonts w:hint="eastAsia"/>
          <w:color w:val="auto"/>
        </w:rPr>
      </w:pPr>
      <w:r>
        <w:rPr>
          <w:rFonts w:hint="eastAsia"/>
          <w:color w:val="auto"/>
        </w:rPr>
        <w:t>e）电压棒图及曲线的时标刻度、采样周期可由用户选择。</w:t>
      </w:r>
    </w:p>
    <w:p>
      <w:pPr>
        <w:spacing w:line="360" w:lineRule="auto"/>
        <w:rPr>
          <w:rFonts w:hint="eastAsia"/>
          <w:color w:val="auto"/>
        </w:rPr>
      </w:pPr>
      <w:r>
        <w:rPr>
          <w:rFonts w:hint="eastAsia"/>
          <w:color w:val="auto"/>
        </w:rPr>
        <w:t>f）每幅图形均标注有日历时间。</w:t>
      </w:r>
    </w:p>
    <w:p>
      <w:pPr>
        <w:bidi w:val="0"/>
        <w:rPr>
          <w:rFonts w:hint="eastAsia"/>
          <w:color w:val="auto"/>
        </w:rPr>
      </w:pPr>
      <w:r>
        <w:rPr>
          <w:rFonts w:hint="eastAsia" w:ascii="Calibri" w:eastAsia="宋体"/>
          <w:color w:val="auto"/>
          <w:lang w:val="en-US" w:eastAsia="zh-CN"/>
        </w:rPr>
        <w:t>4、在线计算及制表</w:t>
      </w:r>
    </w:p>
    <w:p>
      <w:pPr>
        <w:spacing w:line="360" w:lineRule="auto"/>
        <w:rPr>
          <w:rFonts w:hint="eastAsia"/>
          <w:color w:val="auto"/>
        </w:rPr>
      </w:pPr>
      <w:r>
        <w:rPr>
          <w:rFonts w:hint="eastAsia" w:eastAsia="宋体"/>
          <w:color w:val="auto"/>
          <w:lang w:eastAsia="zh-CN"/>
        </w:rPr>
        <w:t>（</w:t>
      </w:r>
      <w:r>
        <w:rPr>
          <w:rFonts w:hint="eastAsia" w:ascii="Calibri" w:eastAsia="宋体"/>
          <w:color w:val="auto"/>
          <w:lang w:val="en-US" w:eastAsia="zh-CN"/>
        </w:rPr>
        <w:t>1</w:t>
      </w:r>
      <w:r>
        <w:rPr>
          <w:rFonts w:hint="eastAsia" w:eastAsia="宋体"/>
          <w:color w:val="auto"/>
          <w:lang w:eastAsia="zh-CN"/>
        </w:rPr>
        <w:t>）</w:t>
      </w:r>
      <w:r>
        <w:rPr>
          <w:rFonts w:hint="eastAsia"/>
          <w:color w:val="auto"/>
        </w:rPr>
        <w:t>在线计算</w:t>
      </w:r>
    </w:p>
    <w:p>
      <w:pPr>
        <w:spacing w:line="360" w:lineRule="auto"/>
        <w:rPr>
          <w:rFonts w:hint="eastAsia"/>
          <w:color w:val="auto"/>
        </w:rPr>
      </w:pPr>
      <w:r>
        <w:rPr>
          <w:rFonts w:hint="eastAsia"/>
          <w:color w:val="auto"/>
        </w:rPr>
        <w:t>a）系统应向操作人员提供方便的实时计算功能。</w:t>
      </w:r>
    </w:p>
    <w:p>
      <w:pPr>
        <w:spacing w:line="360" w:lineRule="auto"/>
        <w:rPr>
          <w:rFonts w:hint="eastAsia"/>
          <w:color w:val="auto"/>
        </w:rPr>
      </w:pPr>
      <w:r>
        <w:rPr>
          <w:rFonts w:hint="eastAsia"/>
          <w:color w:val="auto"/>
        </w:rPr>
        <w:t>b）应具有加、减、乘、除、积分、求平均值、求最大最小值和逻辑判断，以及进行功率总加、电量分时累计等计算功能。</w:t>
      </w:r>
    </w:p>
    <w:p>
      <w:pPr>
        <w:spacing w:line="360" w:lineRule="auto"/>
        <w:rPr>
          <w:rFonts w:hint="eastAsia"/>
          <w:color w:val="auto"/>
        </w:rPr>
      </w:pPr>
      <w:r>
        <w:rPr>
          <w:rFonts w:hint="eastAsia"/>
          <w:color w:val="auto"/>
        </w:rPr>
        <w:t>c）供计算的值可以是采集量、人工输入量或前次计算量，这些计算从数据库取变量数据，并把计算结果返送数据库。</w:t>
      </w:r>
    </w:p>
    <w:p>
      <w:pPr>
        <w:spacing w:line="360" w:lineRule="auto"/>
        <w:rPr>
          <w:rFonts w:hint="eastAsia"/>
          <w:color w:val="auto"/>
        </w:rPr>
      </w:pPr>
      <w:r>
        <w:rPr>
          <w:rFonts w:hint="eastAsia"/>
          <w:color w:val="auto"/>
        </w:rPr>
        <w:t>d）计算结果应可以处理和显示，并可以对计算结果进行合理性检查。</w:t>
      </w:r>
    </w:p>
    <w:p>
      <w:pPr>
        <w:spacing w:line="360" w:lineRule="auto"/>
        <w:rPr>
          <w:rFonts w:hint="eastAsia"/>
          <w:color w:val="auto"/>
        </w:rPr>
      </w:pPr>
      <w:r>
        <w:rPr>
          <w:rFonts w:hint="eastAsia"/>
          <w:color w:val="auto"/>
        </w:rPr>
        <w:t>e）应可以由用户用人机交互方式或编程方式定义一些特殊公式，并按用户要求的周期进行计算。</w:t>
      </w:r>
    </w:p>
    <w:p>
      <w:pPr>
        <w:spacing w:line="360" w:lineRule="auto"/>
        <w:rPr>
          <w:rFonts w:hint="eastAsia"/>
          <w:color w:val="auto"/>
        </w:rPr>
      </w:pPr>
      <w:r>
        <w:rPr>
          <w:rFonts w:hint="eastAsia" w:eastAsia="宋体"/>
          <w:color w:val="auto"/>
          <w:lang w:eastAsia="zh-CN"/>
        </w:rPr>
        <w:t>（</w:t>
      </w:r>
      <w:r>
        <w:rPr>
          <w:rFonts w:hint="eastAsia" w:ascii="Calibri" w:eastAsia="宋体"/>
          <w:color w:val="auto"/>
          <w:lang w:val="en-US" w:eastAsia="zh-CN"/>
        </w:rPr>
        <w:t>2</w:t>
      </w:r>
      <w:r>
        <w:rPr>
          <w:rFonts w:hint="eastAsia" w:eastAsia="宋体"/>
          <w:color w:val="auto"/>
          <w:lang w:eastAsia="zh-CN"/>
        </w:rPr>
        <w:t>）</w:t>
      </w:r>
      <w:r>
        <w:rPr>
          <w:rFonts w:hint="eastAsia"/>
          <w:color w:val="auto"/>
        </w:rPr>
        <w:t>报表</w:t>
      </w:r>
    </w:p>
    <w:p>
      <w:pPr>
        <w:spacing w:line="360" w:lineRule="auto"/>
        <w:rPr>
          <w:rFonts w:hint="eastAsia"/>
          <w:color w:val="auto"/>
        </w:rPr>
      </w:pPr>
      <w:r>
        <w:rPr>
          <w:rFonts w:hint="eastAsia"/>
          <w:color w:val="auto"/>
        </w:rPr>
        <w:t xml:space="preserve">监控系统应能生成不同格式的生产运行报表。提供的报表包括并不限于： </w:t>
      </w:r>
    </w:p>
    <w:p>
      <w:pPr>
        <w:spacing w:line="360" w:lineRule="auto"/>
        <w:rPr>
          <w:rFonts w:hint="eastAsia"/>
          <w:color w:val="auto"/>
        </w:rPr>
      </w:pPr>
      <w:r>
        <w:rPr>
          <w:rFonts w:hint="eastAsia"/>
          <w:color w:val="auto"/>
        </w:rPr>
        <w:t>a）实时值表。</w:t>
      </w:r>
    </w:p>
    <w:p>
      <w:pPr>
        <w:spacing w:line="360" w:lineRule="auto"/>
        <w:rPr>
          <w:rFonts w:hint="eastAsia"/>
          <w:color w:val="auto"/>
        </w:rPr>
      </w:pPr>
      <w:r>
        <w:rPr>
          <w:rFonts w:hint="eastAsia"/>
          <w:color w:val="auto"/>
        </w:rPr>
        <w:t>b）正点值表。</w:t>
      </w:r>
    </w:p>
    <w:p>
      <w:pPr>
        <w:spacing w:line="360" w:lineRule="auto"/>
        <w:rPr>
          <w:rFonts w:hint="eastAsia"/>
          <w:color w:val="auto"/>
        </w:rPr>
      </w:pPr>
      <w:r>
        <w:rPr>
          <w:rFonts w:hint="eastAsia"/>
          <w:color w:val="auto"/>
        </w:rPr>
        <w:t>c）开关站负荷运行日志表（值班表）。</w:t>
      </w:r>
    </w:p>
    <w:p>
      <w:pPr>
        <w:spacing w:line="360" w:lineRule="auto"/>
        <w:rPr>
          <w:rFonts w:hint="eastAsia"/>
          <w:color w:val="auto"/>
        </w:rPr>
      </w:pPr>
      <w:r>
        <w:rPr>
          <w:rFonts w:hint="eastAsia"/>
          <w:color w:val="auto"/>
        </w:rPr>
        <w:t>d）电能量表。</w:t>
      </w:r>
    </w:p>
    <w:p>
      <w:pPr>
        <w:spacing w:line="360" w:lineRule="auto"/>
        <w:rPr>
          <w:rFonts w:hint="eastAsia"/>
          <w:color w:val="auto"/>
        </w:rPr>
      </w:pPr>
      <w:r>
        <w:rPr>
          <w:rFonts w:hint="eastAsia"/>
          <w:color w:val="auto"/>
        </w:rPr>
        <w:t>e）向电调汇报表。</w:t>
      </w:r>
    </w:p>
    <w:p>
      <w:pPr>
        <w:spacing w:line="360" w:lineRule="auto"/>
        <w:rPr>
          <w:rFonts w:hint="eastAsia"/>
          <w:color w:val="auto"/>
        </w:rPr>
      </w:pPr>
      <w:r>
        <w:rPr>
          <w:rFonts w:hint="eastAsia"/>
          <w:color w:val="auto"/>
        </w:rPr>
        <w:t>f）交接班记录。</w:t>
      </w:r>
    </w:p>
    <w:p>
      <w:pPr>
        <w:spacing w:line="360" w:lineRule="auto"/>
        <w:rPr>
          <w:rFonts w:hint="eastAsia"/>
          <w:color w:val="auto"/>
        </w:rPr>
      </w:pPr>
      <w:r>
        <w:rPr>
          <w:rFonts w:hint="eastAsia"/>
          <w:color w:val="auto"/>
        </w:rPr>
        <w:t>g）事件顺序记录一览表。</w:t>
      </w:r>
    </w:p>
    <w:p>
      <w:pPr>
        <w:spacing w:line="360" w:lineRule="auto"/>
        <w:rPr>
          <w:rFonts w:hint="eastAsia"/>
          <w:color w:val="auto"/>
        </w:rPr>
      </w:pPr>
      <w:r>
        <w:rPr>
          <w:rFonts w:hint="eastAsia"/>
          <w:color w:val="auto"/>
        </w:rPr>
        <w:t>h）报警记录一览表。</w:t>
      </w:r>
    </w:p>
    <w:p>
      <w:pPr>
        <w:spacing w:line="360" w:lineRule="auto"/>
        <w:rPr>
          <w:rFonts w:hint="eastAsia"/>
          <w:color w:val="auto"/>
        </w:rPr>
      </w:pPr>
      <w:r>
        <w:rPr>
          <w:rFonts w:hint="eastAsia"/>
          <w:color w:val="auto"/>
        </w:rPr>
        <w:t>i）微机保护配置定值一览表。</w:t>
      </w:r>
    </w:p>
    <w:p>
      <w:pPr>
        <w:spacing w:line="360" w:lineRule="auto"/>
        <w:rPr>
          <w:rFonts w:hint="eastAsia"/>
          <w:color w:val="auto"/>
        </w:rPr>
      </w:pPr>
      <w:r>
        <w:rPr>
          <w:rFonts w:hint="eastAsia"/>
          <w:color w:val="auto"/>
        </w:rPr>
        <w:t>j）主要设备参数表。</w:t>
      </w:r>
    </w:p>
    <w:p>
      <w:pPr>
        <w:spacing w:line="360" w:lineRule="auto"/>
        <w:rPr>
          <w:rFonts w:hint="eastAsia"/>
          <w:color w:val="auto"/>
        </w:rPr>
      </w:pPr>
      <w:r>
        <w:rPr>
          <w:rFonts w:hint="eastAsia"/>
          <w:color w:val="auto"/>
        </w:rPr>
        <w:t>k）自诊断报告。</w:t>
      </w:r>
    </w:p>
    <w:p>
      <w:pPr>
        <w:spacing w:line="360" w:lineRule="auto"/>
        <w:rPr>
          <w:rFonts w:hint="eastAsia"/>
          <w:color w:val="auto"/>
        </w:rPr>
      </w:pPr>
      <w:r>
        <w:rPr>
          <w:rFonts w:hint="eastAsia"/>
          <w:color w:val="auto"/>
        </w:rPr>
        <w:t>l）其他运行需要的报表</w:t>
      </w:r>
    </w:p>
    <w:p>
      <w:pPr>
        <w:spacing w:line="360" w:lineRule="auto"/>
        <w:rPr>
          <w:rFonts w:hint="eastAsia"/>
          <w:color w:val="auto"/>
        </w:rPr>
      </w:pPr>
      <w:r>
        <w:rPr>
          <w:rFonts w:hint="eastAsia" w:eastAsia="宋体"/>
          <w:color w:val="auto"/>
          <w:lang w:eastAsia="zh-CN"/>
        </w:rPr>
        <w:t>（</w:t>
      </w:r>
      <w:r>
        <w:rPr>
          <w:rFonts w:hint="eastAsia" w:ascii="Calibri" w:eastAsia="宋体"/>
          <w:color w:val="auto"/>
          <w:lang w:val="en-US" w:eastAsia="zh-CN"/>
        </w:rPr>
        <w:t>3</w:t>
      </w:r>
      <w:r>
        <w:rPr>
          <w:rFonts w:hint="eastAsia" w:eastAsia="宋体"/>
          <w:color w:val="auto"/>
          <w:lang w:eastAsia="zh-CN"/>
        </w:rPr>
        <w:t>）</w:t>
      </w:r>
      <w:r>
        <w:rPr>
          <w:rFonts w:hint="eastAsia"/>
          <w:color w:val="auto"/>
        </w:rPr>
        <w:t>输出方式及要求</w:t>
      </w:r>
    </w:p>
    <w:p>
      <w:pPr>
        <w:spacing w:line="360" w:lineRule="auto"/>
        <w:rPr>
          <w:rFonts w:hint="eastAsia"/>
          <w:color w:val="auto"/>
        </w:rPr>
      </w:pPr>
      <w:r>
        <w:rPr>
          <w:rFonts w:hint="eastAsia"/>
          <w:color w:val="auto"/>
        </w:rPr>
        <w:t>a）实时及定时显示。</w:t>
      </w:r>
    </w:p>
    <w:p>
      <w:pPr>
        <w:spacing w:line="360" w:lineRule="auto"/>
        <w:rPr>
          <w:rFonts w:hint="eastAsia"/>
          <w:color w:val="auto"/>
        </w:rPr>
      </w:pPr>
      <w:r>
        <w:rPr>
          <w:rFonts w:hint="eastAsia"/>
          <w:color w:val="auto"/>
        </w:rPr>
        <w:t>b）召唤及定时打印。</w:t>
      </w:r>
    </w:p>
    <w:p>
      <w:pPr>
        <w:spacing w:line="360" w:lineRule="auto"/>
        <w:rPr>
          <w:rFonts w:hint="eastAsia"/>
          <w:color w:val="auto"/>
        </w:rPr>
      </w:pPr>
      <w:r>
        <w:rPr>
          <w:rFonts w:hint="eastAsia"/>
          <w:color w:val="auto"/>
        </w:rPr>
        <w:t>c）生产运行报表应能由用户编辑、修改、定义、增加和减少。</w:t>
      </w:r>
    </w:p>
    <w:p>
      <w:pPr>
        <w:spacing w:line="360" w:lineRule="auto"/>
        <w:rPr>
          <w:rFonts w:hint="eastAsia"/>
          <w:color w:val="auto"/>
        </w:rPr>
      </w:pPr>
      <w:r>
        <w:rPr>
          <w:rFonts w:hint="eastAsia"/>
          <w:color w:val="auto"/>
        </w:rPr>
        <w:t>d）报表应使用汉字。</w:t>
      </w:r>
    </w:p>
    <w:p>
      <w:pPr>
        <w:spacing w:line="360" w:lineRule="auto"/>
        <w:rPr>
          <w:rFonts w:hint="eastAsia"/>
          <w:color w:val="auto"/>
        </w:rPr>
      </w:pPr>
      <w:r>
        <w:rPr>
          <w:rFonts w:hint="eastAsia"/>
          <w:color w:val="auto"/>
        </w:rPr>
        <w:t>e）报表应按时间顺序存储，报表的保存量应满足运行要求。</w:t>
      </w:r>
    </w:p>
    <w:p>
      <w:pPr>
        <w:spacing w:line="360" w:lineRule="auto"/>
        <w:rPr>
          <w:rFonts w:hint="eastAsia"/>
          <w:color w:val="auto"/>
        </w:rPr>
      </w:pPr>
      <w:r>
        <w:rPr>
          <w:rFonts w:hint="eastAsia"/>
          <w:color w:val="auto"/>
        </w:rPr>
        <w:t>此部分通讯、计量等需满足相关</w:t>
      </w:r>
      <w:r>
        <w:rPr>
          <w:rFonts w:hint="eastAsia" w:ascii="Calibri" w:eastAsia="宋体"/>
          <w:color w:val="auto"/>
          <w:lang w:val="en-US" w:eastAsia="zh-CN"/>
        </w:rPr>
        <w:t>规范</w:t>
      </w:r>
      <w:r>
        <w:rPr>
          <w:rFonts w:hint="eastAsia"/>
          <w:color w:val="auto"/>
        </w:rPr>
        <w:t>要求。</w:t>
      </w:r>
    </w:p>
    <w:p>
      <w:pPr>
        <w:pStyle w:val="4"/>
        <w:rPr>
          <w:rFonts w:hint="eastAsia"/>
          <w:color w:val="auto"/>
          <w:lang w:val="en-US" w:eastAsia="zh-CN"/>
        </w:rPr>
      </w:pPr>
      <w:bookmarkStart w:id="217" w:name="_Toc13612"/>
      <w:bookmarkStart w:id="218" w:name="_Toc7520"/>
      <w:bookmarkStart w:id="219" w:name="_Toc5547"/>
      <w:r>
        <w:rPr>
          <w:rFonts w:hint="eastAsia"/>
          <w:color w:val="auto"/>
          <w:lang w:val="en-US" w:eastAsia="zh-CN"/>
        </w:rPr>
        <w:t>10.3站控层设备配置</w:t>
      </w:r>
      <w:bookmarkEnd w:id="217"/>
      <w:bookmarkEnd w:id="218"/>
      <w:bookmarkEnd w:id="219"/>
    </w:p>
    <w:p>
      <w:pPr>
        <w:pStyle w:val="5"/>
        <w:rPr>
          <w:rFonts w:hint="eastAsia"/>
          <w:color w:val="auto"/>
        </w:rPr>
      </w:pPr>
      <w:r>
        <w:rPr>
          <w:rFonts w:hint="eastAsia"/>
          <w:color w:val="auto"/>
          <w:lang w:val="en-US" w:eastAsia="zh-CN"/>
        </w:rPr>
        <w:t>10.3.1</w:t>
      </w:r>
      <w:r>
        <w:rPr>
          <w:rFonts w:hint="eastAsia"/>
          <w:color w:val="auto"/>
        </w:rPr>
        <w:t>主机兼操作员站</w:t>
      </w:r>
    </w:p>
    <w:p>
      <w:pPr>
        <w:spacing w:line="360" w:lineRule="auto"/>
        <w:rPr>
          <w:rFonts w:hint="default"/>
          <w:color w:val="auto"/>
          <w:lang w:val="en-US" w:eastAsia="zh-CN"/>
        </w:rPr>
      </w:pPr>
      <w:r>
        <w:rPr>
          <w:rFonts w:hint="default"/>
          <w:color w:val="auto"/>
        </w:rPr>
        <w:t>用作站控层数据收集、处理、存储及网络管理的中心以及站内监控系统的主要人机界面，用于图形及报表显示、事件记录及报警状态显示和查询，设备状态和参数的查询，操作指导，操作控制命令的解释和下达等等。运行人员可通过运行工作站对厂区各一次及二次设备进行运行监测和操作控制。</w:t>
      </w:r>
      <w:r>
        <w:rPr>
          <w:rFonts w:hint="eastAsia" w:ascii="Calibri" w:eastAsia="宋体"/>
          <w:color w:val="auto"/>
          <w:highlight w:val="yellow"/>
          <w:lang w:val="en-US" w:eastAsia="zh-CN"/>
        </w:rPr>
        <w:t>本次储能主机兼操作员站与微电网系统供用。</w:t>
      </w:r>
    </w:p>
    <w:p>
      <w:pPr>
        <w:pStyle w:val="5"/>
        <w:spacing w:line="360" w:lineRule="auto"/>
        <w:rPr>
          <w:rFonts w:hint="eastAsia"/>
          <w:color w:val="auto"/>
        </w:rPr>
      </w:pPr>
      <w:r>
        <w:rPr>
          <w:rFonts w:hint="eastAsia"/>
          <w:color w:val="auto"/>
          <w:lang w:val="en-US" w:eastAsia="zh-CN"/>
        </w:rPr>
        <w:t>10.3.2</w:t>
      </w:r>
      <w:r>
        <w:rPr>
          <w:rFonts w:hint="eastAsia"/>
          <w:color w:val="auto"/>
        </w:rPr>
        <w:t>时钟同步</w:t>
      </w:r>
    </w:p>
    <w:p>
      <w:pPr>
        <w:ind w:firstLine="480"/>
        <w:rPr>
          <w:rFonts w:hint="default" w:ascii="宋体" w:hAnsi="宋体" w:eastAsia="宋体" w:cs="宋体"/>
          <w:color w:val="auto"/>
          <w:lang w:val="en-US" w:eastAsia="zh-CN"/>
        </w:rPr>
      </w:pPr>
      <w:r>
        <w:rPr>
          <w:rFonts w:hint="eastAsia" w:ascii="宋体" w:hAnsi="宋体" w:cs="宋体"/>
          <w:color w:val="auto"/>
        </w:rPr>
        <w:t>本工程</w:t>
      </w:r>
      <w:r>
        <w:rPr>
          <w:rFonts w:hint="eastAsia" w:ascii="宋体" w:hAnsi="宋体" w:cs="宋体"/>
          <w:color w:val="auto"/>
          <w:lang w:val="en-US" w:eastAsia="zh-CN"/>
        </w:rPr>
        <w:t>储能、柴发、微电网平台需统一明确时钟源，满足规范GB/T 26865.2-2011《电力系统实时动态监测系统 第2部分：数据传输协议》要求配置。</w:t>
      </w:r>
      <w:r>
        <w:rPr>
          <w:rFonts w:hint="eastAsia" w:ascii="宋体" w:hAnsi="宋体" w:cs="宋体"/>
          <w:color w:val="auto"/>
        </w:rPr>
        <w:t>本工程</w:t>
      </w:r>
      <w:r>
        <w:rPr>
          <w:rFonts w:hint="eastAsia" w:ascii="宋体" w:hAnsi="宋体" w:cs="宋体"/>
          <w:color w:val="auto"/>
          <w:lang w:val="en-US" w:eastAsia="zh-CN"/>
        </w:rPr>
        <w:t>电气二次预制舱内</w:t>
      </w:r>
      <w:r>
        <w:rPr>
          <w:rFonts w:hint="eastAsia" w:ascii="宋体" w:hAnsi="宋体" w:cs="宋体"/>
          <w:color w:val="auto"/>
        </w:rPr>
        <w:t>配置</w:t>
      </w:r>
      <w:r>
        <w:rPr>
          <w:rFonts w:hint="eastAsia" w:ascii="宋体" w:hAnsi="宋体" w:cs="宋体"/>
          <w:color w:val="auto"/>
          <w:lang w:val="en-US" w:eastAsia="zh-CN"/>
        </w:rPr>
        <w:t>双北斗</w:t>
      </w:r>
      <w:r>
        <w:rPr>
          <w:rFonts w:hint="eastAsia" w:ascii="宋体" w:hAnsi="宋体" w:cs="宋体"/>
          <w:color w:val="auto"/>
        </w:rPr>
        <w:t>时钟同步系统1套</w:t>
      </w:r>
      <w:r>
        <w:rPr>
          <w:rFonts w:hint="eastAsia" w:ascii="宋体" w:hAnsi="宋体" w:cs="宋体"/>
          <w:color w:val="auto"/>
          <w:lang w:val="en-US" w:eastAsia="zh-CN"/>
        </w:rPr>
        <w:t>与110kV变电站内同步时钟对时屏进行统一对时</w:t>
      </w:r>
      <w:r>
        <w:rPr>
          <w:rFonts w:hint="eastAsia" w:ascii="宋体" w:hAnsi="宋体" w:cs="宋体"/>
          <w:color w:val="auto"/>
        </w:rPr>
        <w:t>，用于实现保护装置</w:t>
      </w:r>
      <w:r>
        <w:rPr>
          <w:rFonts w:hint="eastAsia" w:ascii="宋体" w:hAnsi="宋体" w:cs="宋体"/>
          <w:color w:val="auto"/>
          <w:lang w:eastAsia="zh-CN"/>
        </w:rPr>
        <w:t>、</w:t>
      </w:r>
      <w:r>
        <w:rPr>
          <w:rFonts w:hint="eastAsia" w:ascii="宋体" w:hAnsi="宋体" w:cs="宋体"/>
          <w:color w:val="auto"/>
          <w:lang w:val="en-US" w:eastAsia="zh-CN"/>
        </w:rPr>
        <w:t>微电网系统、储能系统、柴发、</w:t>
      </w:r>
      <w:r>
        <w:rPr>
          <w:rFonts w:hint="eastAsia" w:ascii="宋体" w:hAnsi="宋体" w:cs="宋体"/>
          <w:color w:val="auto"/>
        </w:rPr>
        <w:t>计算机监控系统等设备的时钟同步</w:t>
      </w:r>
      <w:r>
        <w:rPr>
          <w:rFonts w:hint="eastAsia" w:ascii="宋体" w:hAnsi="宋体" w:cs="宋体"/>
          <w:color w:val="auto"/>
          <w:lang w:val="en-US" w:eastAsia="zh-CN"/>
        </w:rPr>
        <w:t>一致问题</w:t>
      </w:r>
      <w:r>
        <w:rPr>
          <w:rFonts w:hint="eastAsia" w:ascii="宋体" w:hAnsi="宋体" w:cs="宋体"/>
          <w:color w:val="auto"/>
        </w:rPr>
        <w:t>。</w:t>
      </w:r>
      <w:r>
        <w:rPr>
          <w:rFonts w:hint="eastAsia" w:ascii="宋体" w:hAnsi="宋体" w:cs="宋体"/>
          <w:color w:val="auto"/>
          <w:lang w:val="en-US" w:eastAsia="zh-CN"/>
        </w:rPr>
        <w:t>微电网系统设备柜（暂定）设置于110kV变电站二次设备室，由110kV变电站的预留对时接口进行统一对时。</w:t>
      </w:r>
    </w:p>
    <w:p>
      <w:pPr>
        <w:pStyle w:val="5"/>
        <w:spacing w:line="360" w:lineRule="auto"/>
        <w:rPr>
          <w:rFonts w:hint="eastAsia"/>
          <w:color w:val="auto"/>
        </w:rPr>
      </w:pPr>
      <w:r>
        <w:rPr>
          <w:rFonts w:hint="eastAsia"/>
          <w:color w:val="auto"/>
          <w:lang w:val="en-US" w:eastAsia="zh-CN"/>
        </w:rPr>
        <w:t>10.3.3</w:t>
      </w:r>
      <w:r>
        <w:rPr>
          <w:rFonts w:hint="eastAsia"/>
          <w:color w:val="auto"/>
        </w:rPr>
        <w:t>电能质量在线监测装置</w:t>
      </w:r>
    </w:p>
    <w:p>
      <w:pPr>
        <w:spacing w:line="360" w:lineRule="auto"/>
        <w:rPr>
          <w:rFonts w:hint="eastAsia"/>
          <w:color w:val="auto"/>
        </w:rPr>
      </w:pPr>
      <w:r>
        <w:rPr>
          <w:rFonts w:hint="eastAsia"/>
          <w:color w:val="auto"/>
        </w:rPr>
        <w:t>电能质量在线监测装置至少满足的技术要求：</w:t>
      </w:r>
    </w:p>
    <w:p>
      <w:pPr>
        <w:spacing w:line="360" w:lineRule="auto"/>
        <w:rPr>
          <w:rFonts w:hint="eastAsia"/>
          <w:color w:val="auto"/>
        </w:rPr>
      </w:pPr>
      <w:r>
        <w:rPr>
          <w:rFonts w:hint="eastAsia"/>
          <w:color w:val="auto"/>
        </w:rPr>
        <w:t>监测设备根据安装地点和监测要求，应具备可选择的监测功能，包括电压偏差、频率偏差、三相电压幅值相位不平衡度、三相电流幅值相位不平衡度、负序电流、谐波、电压波动。</w:t>
      </w:r>
    </w:p>
    <w:p>
      <w:pPr>
        <w:spacing w:line="360" w:lineRule="auto"/>
        <w:rPr>
          <w:rFonts w:hint="eastAsia"/>
          <w:color w:val="auto"/>
        </w:rPr>
      </w:pPr>
      <w:r>
        <w:rPr>
          <w:rFonts w:hint="eastAsia"/>
          <w:color w:val="auto"/>
        </w:rPr>
        <w:t>监测设备应具有记录存储功能，且监测设备的存储记录应至少保存15天。</w:t>
      </w:r>
    </w:p>
    <w:p>
      <w:pPr>
        <w:spacing w:line="360" w:lineRule="auto"/>
        <w:rPr>
          <w:rFonts w:hint="eastAsia"/>
          <w:color w:val="auto"/>
        </w:rPr>
      </w:pPr>
      <w:r>
        <w:rPr>
          <w:rFonts w:hint="eastAsia"/>
          <w:color w:val="auto"/>
        </w:rPr>
        <w:t>监测设备应具有实时数据显示、权限管理、设置、对时、统计、自检等功能。</w:t>
      </w:r>
    </w:p>
    <w:p>
      <w:pPr>
        <w:spacing w:line="360" w:lineRule="auto"/>
        <w:rPr>
          <w:rFonts w:hint="eastAsia"/>
          <w:color w:val="auto"/>
        </w:rPr>
      </w:pPr>
      <w:r>
        <w:rPr>
          <w:rFonts w:hint="eastAsia"/>
          <w:color w:val="auto"/>
        </w:rPr>
        <w:t>监测设备应具备标准通信接口，实现监测数据的实时传输或定时提取，并能对通信口进行灵活配置与实时监视。通信规约可参照变电站综合自动化设备的相关规定。</w:t>
      </w:r>
    </w:p>
    <w:p>
      <w:pPr>
        <w:spacing w:line="360" w:lineRule="auto"/>
        <w:rPr>
          <w:rFonts w:hint="eastAsia"/>
          <w:color w:val="auto"/>
        </w:rPr>
      </w:pPr>
      <w:r>
        <w:rPr>
          <w:rFonts w:hint="eastAsia"/>
          <w:color w:val="auto"/>
        </w:rPr>
        <w:t>准确度要求</w:t>
      </w:r>
    </w:p>
    <w:p>
      <w:pPr>
        <w:spacing w:line="360" w:lineRule="auto"/>
        <w:rPr>
          <w:rFonts w:hint="eastAsia"/>
          <w:color w:val="auto"/>
        </w:rPr>
      </w:pPr>
      <w:r>
        <w:rPr>
          <w:rFonts w:hint="eastAsia"/>
          <w:color w:val="auto"/>
        </w:rPr>
        <w:t>监测设备各相应指标的精度误差应满足下述要求：</w:t>
      </w:r>
    </w:p>
    <w:p>
      <w:pPr>
        <w:spacing w:line="360" w:lineRule="auto"/>
        <w:rPr>
          <w:rFonts w:hint="eastAsia"/>
          <w:color w:val="auto"/>
        </w:rPr>
      </w:pPr>
      <w:r>
        <w:rPr>
          <w:rFonts w:hint="eastAsia"/>
          <w:color w:val="auto"/>
        </w:rPr>
        <w:t>电压偏差：            ≤0.5％；</w:t>
      </w:r>
    </w:p>
    <w:p>
      <w:pPr>
        <w:spacing w:line="360" w:lineRule="auto"/>
        <w:rPr>
          <w:rFonts w:hint="eastAsia"/>
          <w:color w:val="auto"/>
        </w:rPr>
      </w:pPr>
      <w:r>
        <w:rPr>
          <w:rFonts w:hint="eastAsia"/>
          <w:color w:val="auto"/>
        </w:rPr>
        <w:t>频率偏差：            ≤0.01Hz；</w:t>
      </w:r>
    </w:p>
    <w:p>
      <w:pPr>
        <w:spacing w:line="360" w:lineRule="auto"/>
        <w:rPr>
          <w:rFonts w:hint="eastAsia"/>
          <w:color w:val="auto"/>
        </w:rPr>
      </w:pPr>
      <w:r>
        <w:rPr>
          <w:rFonts w:hint="eastAsia"/>
          <w:color w:val="auto"/>
        </w:rPr>
        <w:t>三相电压不平衡度：    ≤0.2％；</w:t>
      </w:r>
    </w:p>
    <w:p>
      <w:pPr>
        <w:spacing w:line="360" w:lineRule="auto"/>
        <w:rPr>
          <w:rFonts w:hint="eastAsia"/>
          <w:color w:val="auto"/>
        </w:rPr>
      </w:pPr>
      <w:r>
        <w:rPr>
          <w:rFonts w:hint="eastAsia"/>
          <w:color w:val="auto"/>
        </w:rPr>
        <w:t>三相电流不平衡度：    ≤1％；</w:t>
      </w:r>
    </w:p>
    <w:p>
      <w:pPr>
        <w:spacing w:line="360" w:lineRule="auto"/>
        <w:rPr>
          <w:rFonts w:hint="eastAsia"/>
          <w:color w:val="auto"/>
        </w:rPr>
      </w:pPr>
      <w:r>
        <w:rPr>
          <w:rFonts w:hint="eastAsia"/>
          <w:color w:val="auto"/>
        </w:rPr>
        <w:t>闪变：                ≤5％；</w:t>
      </w:r>
    </w:p>
    <w:p>
      <w:pPr>
        <w:spacing w:line="360" w:lineRule="auto"/>
        <w:rPr>
          <w:rFonts w:hint="eastAsia"/>
          <w:color w:val="auto"/>
        </w:rPr>
      </w:pPr>
      <w:r>
        <w:rPr>
          <w:rFonts w:hint="eastAsia"/>
          <w:color w:val="auto"/>
        </w:rPr>
        <w:t>电压波动：            ≤5％；</w:t>
      </w:r>
    </w:p>
    <w:p>
      <w:pPr>
        <w:pStyle w:val="5"/>
        <w:spacing w:line="360" w:lineRule="auto"/>
        <w:rPr>
          <w:rFonts w:hint="eastAsia"/>
          <w:color w:val="auto"/>
        </w:rPr>
      </w:pPr>
      <w:r>
        <w:rPr>
          <w:rFonts w:hint="eastAsia"/>
          <w:color w:val="auto"/>
          <w:lang w:val="en-US" w:eastAsia="zh-CN"/>
        </w:rPr>
        <w:t>10.3.4</w:t>
      </w:r>
      <w:r>
        <w:rPr>
          <w:rFonts w:hint="eastAsia"/>
          <w:color w:val="auto"/>
        </w:rPr>
        <w:t>智能设备接口装置</w:t>
      </w:r>
    </w:p>
    <w:p>
      <w:pPr>
        <w:spacing w:line="360" w:lineRule="auto"/>
        <w:rPr>
          <w:rFonts w:hint="eastAsia"/>
          <w:color w:val="auto"/>
        </w:rPr>
      </w:pPr>
      <w:r>
        <w:rPr>
          <w:rFonts w:hint="eastAsia"/>
          <w:color w:val="auto"/>
        </w:rPr>
        <w:t>设备组屏（柜），为智能通信及规约转换装置，用于多种继电保护装置及其它智能设备与当地监控等通信。在间隔层，通过多种类型的标准通信接口与继电保护、直流屏、交流屏、UPS、电度表及电表处理器等装置进行通信，搜集各类保护及其他信息，再通过网络或串口，经规约转换后送往监控装置等。</w:t>
      </w:r>
    </w:p>
    <w:p>
      <w:pPr>
        <w:pStyle w:val="4"/>
        <w:spacing w:line="360" w:lineRule="auto"/>
        <w:rPr>
          <w:rFonts w:hint="eastAsia" w:eastAsia="宋体"/>
          <w:color w:val="auto"/>
          <w:lang w:val="en-US" w:eastAsia="zh-CN"/>
        </w:rPr>
      </w:pPr>
      <w:bookmarkStart w:id="220" w:name="_Toc25208"/>
      <w:bookmarkStart w:id="221" w:name="_Toc1495"/>
      <w:bookmarkStart w:id="222" w:name="_Toc22089"/>
      <w:r>
        <w:rPr>
          <w:rFonts w:hint="eastAsia"/>
          <w:color w:val="auto"/>
          <w:lang w:val="en-US" w:eastAsia="zh-CN"/>
        </w:rPr>
        <w:t>10.4</w:t>
      </w:r>
      <w:r>
        <w:rPr>
          <w:rFonts w:hint="eastAsia"/>
          <w:color w:val="auto"/>
        </w:rPr>
        <w:t>网络</w:t>
      </w:r>
      <w:r>
        <w:rPr>
          <w:rFonts w:hint="eastAsia"/>
          <w:color w:val="auto"/>
          <w:lang w:val="en-US" w:eastAsia="zh-CN"/>
        </w:rPr>
        <w:t>层</w:t>
      </w:r>
      <w:r>
        <w:rPr>
          <w:rFonts w:hint="eastAsia"/>
          <w:color w:val="auto"/>
        </w:rPr>
        <w:t>设备</w:t>
      </w:r>
      <w:r>
        <w:rPr>
          <w:rFonts w:hint="eastAsia"/>
          <w:color w:val="auto"/>
          <w:lang w:val="en-US" w:eastAsia="zh-CN"/>
        </w:rPr>
        <w:t>配置</w:t>
      </w:r>
      <w:bookmarkEnd w:id="220"/>
      <w:bookmarkEnd w:id="221"/>
      <w:bookmarkEnd w:id="222"/>
    </w:p>
    <w:p>
      <w:pPr>
        <w:pStyle w:val="5"/>
        <w:spacing w:line="360" w:lineRule="auto"/>
        <w:rPr>
          <w:rFonts w:hint="eastAsia"/>
          <w:color w:val="auto"/>
        </w:rPr>
      </w:pPr>
      <w:r>
        <w:rPr>
          <w:rFonts w:hint="eastAsia"/>
          <w:color w:val="auto"/>
          <w:lang w:val="en-US" w:eastAsia="zh-CN"/>
        </w:rPr>
        <w:t>10.4.1</w:t>
      </w:r>
      <w:r>
        <w:rPr>
          <w:rFonts w:hint="eastAsia"/>
          <w:color w:val="auto"/>
        </w:rPr>
        <w:t>工业以太网交换机</w:t>
      </w:r>
    </w:p>
    <w:p>
      <w:pPr>
        <w:spacing w:line="360" w:lineRule="auto"/>
        <w:rPr>
          <w:rFonts w:hint="eastAsia"/>
          <w:color w:val="auto"/>
        </w:rPr>
      </w:pPr>
      <w:r>
        <w:rPr>
          <w:rFonts w:hint="eastAsia"/>
          <w:color w:val="auto"/>
        </w:rPr>
        <w:t>用于厂区保护和测控装置的通信。网络传输速率≥100Mbps，可构成工业级以太网，实现站级单元的信息共享以及站内设备的在线监测、数据处理以及站级联锁控制，设备组屏（柜）布置。</w:t>
      </w:r>
    </w:p>
    <w:p>
      <w:pPr>
        <w:spacing w:line="360" w:lineRule="auto"/>
        <w:rPr>
          <w:rFonts w:hint="eastAsia"/>
          <w:color w:val="auto"/>
        </w:rPr>
      </w:pPr>
      <w:r>
        <w:rPr>
          <w:rFonts w:hint="eastAsia"/>
          <w:color w:val="auto"/>
        </w:rPr>
        <w:t>工业以太网交换机应满足以下要求：</w:t>
      </w:r>
    </w:p>
    <w:p>
      <w:pPr>
        <w:spacing w:line="360" w:lineRule="auto"/>
        <w:rPr>
          <w:rFonts w:hint="eastAsia"/>
          <w:color w:val="auto"/>
        </w:rPr>
      </w:pPr>
      <w:r>
        <w:rPr>
          <w:rFonts w:hint="eastAsia"/>
          <w:color w:val="auto"/>
        </w:rPr>
        <w:t>端口：16/24个100MRJ-45端口+2个100FX多模光纤1300nm-ST接口</w:t>
      </w:r>
    </w:p>
    <w:p>
      <w:pPr>
        <w:spacing w:line="360" w:lineRule="auto"/>
        <w:rPr>
          <w:rFonts w:hint="eastAsia"/>
          <w:color w:val="auto"/>
        </w:rPr>
      </w:pPr>
      <w:r>
        <w:rPr>
          <w:rFonts w:hint="eastAsia"/>
          <w:color w:val="auto"/>
        </w:rPr>
        <w:t>传输距离：至少2kM</w:t>
      </w:r>
    </w:p>
    <w:p>
      <w:pPr>
        <w:spacing w:line="360" w:lineRule="auto"/>
        <w:rPr>
          <w:rFonts w:hint="eastAsia"/>
          <w:color w:val="auto"/>
        </w:rPr>
      </w:pPr>
      <w:r>
        <w:rPr>
          <w:rFonts w:hint="eastAsia"/>
          <w:color w:val="auto"/>
        </w:rPr>
        <w:t>支持VLAN、RSTP（快速生成树）、MSTP（多生成树）、广播风暴抑制、端口速率限制优先级队列</w:t>
      </w:r>
    </w:p>
    <w:p>
      <w:pPr>
        <w:spacing w:line="360" w:lineRule="auto"/>
        <w:rPr>
          <w:rFonts w:hint="eastAsia"/>
          <w:color w:val="auto"/>
        </w:rPr>
      </w:pPr>
      <w:r>
        <w:rPr>
          <w:rFonts w:hint="eastAsia"/>
          <w:color w:val="auto"/>
        </w:rPr>
        <w:t>电源：DC220V/AC220V自适应</w:t>
      </w:r>
    </w:p>
    <w:p>
      <w:pPr>
        <w:spacing w:line="360" w:lineRule="auto"/>
        <w:rPr>
          <w:rFonts w:hint="eastAsia"/>
          <w:color w:val="auto"/>
        </w:rPr>
      </w:pPr>
      <w:r>
        <w:rPr>
          <w:rFonts w:hint="eastAsia"/>
          <w:color w:val="auto"/>
        </w:rPr>
        <w:t>工作温度：-40ºC~+85ºC，自冷散热方式（无风扇）；</w:t>
      </w:r>
    </w:p>
    <w:p>
      <w:pPr>
        <w:spacing w:line="360" w:lineRule="auto"/>
        <w:rPr>
          <w:rFonts w:hint="eastAsia"/>
          <w:color w:val="auto"/>
        </w:rPr>
      </w:pPr>
      <w:r>
        <w:rPr>
          <w:rFonts w:hint="eastAsia"/>
          <w:color w:val="auto"/>
        </w:rPr>
        <w:t>防护等级：IP40，封装至少为镀锌钢等金属结构</w:t>
      </w:r>
    </w:p>
    <w:p>
      <w:pPr>
        <w:spacing w:line="360" w:lineRule="auto"/>
        <w:rPr>
          <w:rFonts w:hint="eastAsia"/>
          <w:color w:val="auto"/>
        </w:rPr>
      </w:pPr>
      <w:r>
        <w:rPr>
          <w:rFonts w:hint="eastAsia"/>
          <w:color w:val="auto"/>
        </w:rPr>
        <w:t>满足标准：IEEE1613Class2(电力)，IEC61850-3(电力)</w:t>
      </w:r>
    </w:p>
    <w:p>
      <w:pPr>
        <w:spacing w:line="360" w:lineRule="auto"/>
        <w:rPr>
          <w:rFonts w:hint="eastAsia"/>
          <w:color w:val="auto"/>
        </w:rPr>
      </w:pPr>
      <w:r>
        <w:rPr>
          <w:rFonts w:hint="eastAsia"/>
          <w:color w:val="auto"/>
        </w:rPr>
        <w:t>安装方式：19"机架安装，后出线</w:t>
      </w:r>
    </w:p>
    <w:p>
      <w:pPr>
        <w:pStyle w:val="5"/>
        <w:rPr>
          <w:rFonts w:hint="eastAsia"/>
          <w:color w:val="auto"/>
        </w:rPr>
      </w:pPr>
      <w:r>
        <w:rPr>
          <w:rFonts w:hint="eastAsia"/>
          <w:color w:val="auto"/>
          <w:lang w:val="en-US" w:eastAsia="zh-CN"/>
        </w:rPr>
        <w:t>10.4.2</w:t>
      </w:r>
      <w:r>
        <w:rPr>
          <w:rFonts w:hint="eastAsia"/>
          <w:color w:val="auto"/>
        </w:rPr>
        <w:t>其他网络设备</w:t>
      </w:r>
    </w:p>
    <w:p>
      <w:pPr>
        <w:spacing w:line="360" w:lineRule="auto"/>
        <w:rPr>
          <w:rFonts w:hint="eastAsia"/>
          <w:color w:val="auto"/>
        </w:rPr>
      </w:pPr>
      <w:r>
        <w:rPr>
          <w:rFonts w:hint="eastAsia"/>
          <w:color w:val="auto"/>
        </w:rPr>
        <w:t>包括光/电转换器，接口设备（如光纤接线盒）和网络连接线、电缆、光缆及网络安全设备等完成监控系统通信所需的全部接口设备及连接件。</w:t>
      </w:r>
    </w:p>
    <w:p>
      <w:pPr>
        <w:pStyle w:val="4"/>
        <w:spacing w:line="360" w:lineRule="auto"/>
        <w:rPr>
          <w:rFonts w:hint="eastAsia" w:eastAsia="宋体"/>
          <w:color w:val="auto"/>
          <w:lang w:val="en-US" w:eastAsia="zh-CN"/>
        </w:rPr>
      </w:pPr>
      <w:bookmarkStart w:id="223" w:name="_Toc1456"/>
      <w:bookmarkStart w:id="224" w:name="_Toc26824"/>
      <w:bookmarkStart w:id="225" w:name="_Toc23406"/>
      <w:r>
        <w:rPr>
          <w:rFonts w:hint="eastAsia"/>
          <w:color w:val="auto"/>
          <w:lang w:val="en-US" w:eastAsia="zh-CN"/>
        </w:rPr>
        <w:t>10.5</w:t>
      </w:r>
      <w:r>
        <w:rPr>
          <w:rFonts w:hint="eastAsia"/>
          <w:color w:val="auto"/>
        </w:rPr>
        <w:t>间隔层设备</w:t>
      </w:r>
      <w:r>
        <w:rPr>
          <w:rFonts w:hint="eastAsia"/>
          <w:color w:val="auto"/>
          <w:lang w:val="en-US" w:eastAsia="zh-CN"/>
        </w:rPr>
        <w:t>配置</w:t>
      </w:r>
      <w:bookmarkEnd w:id="223"/>
      <w:bookmarkEnd w:id="224"/>
      <w:bookmarkEnd w:id="225"/>
    </w:p>
    <w:p>
      <w:pPr>
        <w:pStyle w:val="5"/>
        <w:rPr>
          <w:rFonts w:hint="eastAsia"/>
          <w:color w:val="auto"/>
          <w:lang w:val="en-US" w:eastAsia="zh-CN"/>
        </w:rPr>
      </w:pPr>
      <w:r>
        <w:rPr>
          <w:rFonts w:hint="eastAsia"/>
          <w:color w:val="auto"/>
          <w:lang w:val="en-US" w:eastAsia="zh-CN"/>
        </w:rPr>
        <w:t>10.5.1储能区主要元件</w:t>
      </w:r>
    </w:p>
    <w:p>
      <w:pPr>
        <w:spacing w:line="360" w:lineRule="auto"/>
        <w:rPr>
          <w:rFonts w:hint="eastAsia"/>
          <w:color w:val="auto"/>
          <w:lang w:val="en-US"/>
        </w:rPr>
      </w:pPr>
      <w:r>
        <w:rPr>
          <w:rFonts w:hint="eastAsia" w:ascii="Calibri" w:eastAsia="宋体"/>
          <w:color w:val="auto"/>
          <w:lang w:val="en-US" w:eastAsia="zh-CN"/>
        </w:rPr>
        <w:t>（1）PCS 保护：</w:t>
      </w:r>
    </w:p>
    <w:p>
      <w:pPr>
        <w:spacing w:line="360" w:lineRule="auto"/>
        <w:rPr>
          <w:rFonts w:hint="eastAsia"/>
          <w:color w:val="auto"/>
          <w:lang w:val="en-US"/>
        </w:rPr>
      </w:pPr>
      <w:r>
        <w:rPr>
          <w:rFonts w:hint="eastAsia" w:ascii="Calibri" w:eastAsia="宋体"/>
          <w:color w:val="auto"/>
          <w:lang w:val="en-US" w:eastAsia="zh-CN"/>
        </w:rPr>
        <w:t>PCS 具有直流输入过/欠压保护、极性反接保护、输出过压保护、过流和短路保护、接地保护(具有故障检测功能)、过载保护、过热保护、孤岛检测保护等功能。此部分保护由 PCS 设备实现。</w:t>
      </w:r>
    </w:p>
    <w:p>
      <w:pPr>
        <w:spacing w:line="360" w:lineRule="auto"/>
        <w:rPr>
          <w:rFonts w:hint="eastAsia"/>
          <w:color w:val="auto"/>
          <w:lang w:val="en-US"/>
        </w:rPr>
      </w:pPr>
      <w:r>
        <w:rPr>
          <w:rFonts w:hint="eastAsia" w:ascii="Calibri" w:eastAsia="宋体"/>
          <w:color w:val="auto"/>
          <w:lang w:val="en-US" w:eastAsia="zh-CN"/>
        </w:rPr>
        <w:t>（2）电池管理系统保护：</w:t>
      </w:r>
    </w:p>
    <w:p>
      <w:pPr>
        <w:adjustRightInd/>
        <w:snapToGrid/>
        <w:spacing w:line="360" w:lineRule="auto"/>
        <w:ind w:firstLine="0" w:firstLineChars="0"/>
        <w:rPr>
          <w:rFonts w:hint="eastAsia"/>
          <w:color w:val="auto"/>
          <w:lang w:val="en-US" w:eastAsia="zh-CN"/>
        </w:rPr>
      </w:pPr>
      <w:r>
        <w:rPr>
          <w:rFonts w:hint="eastAsia" w:ascii="Calibri" w:eastAsia="宋体"/>
          <w:color w:val="auto"/>
          <w:lang w:val="en-US" w:eastAsia="zh-CN"/>
        </w:rPr>
        <w:t>电池管理系统具备电池的过压保护、欠压保护、过流保护、短路保护、过温保护漏电保护等电气保护功能，并能发出告警信号或跳闸指令，实施就地故障隔离，同时上报保护信息</w:t>
      </w:r>
    </w:p>
    <w:p>
      <w:pPr>
        <w:adjustRightInd/>
        <w:snapToGrid/>
        <w:spacing w:line="360" w:lineRule="auto"/>
        <w:ind w:firstLine="420" w:firstLineChars="200"/>
        <w:rPr>
          <w:rFonts w:hint="eastAsia"/>
          <w:color w:val="auto"/>
          <w:lang w:val="en-US"/>
        </w:rPr>
      </w:pPr>
      <w:r>
        <w:rPr>
          <w:rFonts w:hint="eastAsia" w:ascii="Calibri"/>
          <w:color w:val="auto"/>
          <w:lang w:val="en-US"/>
        </w:rPr>
        <w:t>（</w:t>
      </w:r>
      <w:r>
        <w:rPr>
          <w:rFonts w:hint="eastAsia" w:ascii="Calibri" w:eastAsia="宋体"/>
          <w:color w:val="auto"/>
          <w:lang w:val="en-US" w:eastAsia="zh-CN"/>
        </w:rPr>
        <w:t>3</w:t>
      </w:r>
      <w:r>
        <w:rPr>
          <w:rFonts w:hint="eastAsia" w:ascii="Calibri"/>
          <w:color w:val="auto"/>
          <w:lang w:val="en-US"/>
        </w:rPr>
        <w:t>）同期并网</w:t>
      </w:r>
    </w:p>
    <w:p>
      <w:pPr>
        <w:spacing w:line="360" w:lineRule="auto"/>
        <w:ind w:firstLine="0"/>
        <w:rPr>
          <w:rFonts w:hint="eastAsia"/>
          <w:color w:val="auto"/>
        </w:rPr>
      </w:pPr>
      <w:r>
        <w:rPr>
          <w:rFonts w:hint="eastAsia" w:ascii="Calibri"/>
          <w:color w:val="auto"/>
          <w:lang w:val="en-US"/>
        </w:rPr>
        <w:t>根据NB/T33015-2014，储能站应具有自动同期功能（由PCS系统实现），启动时与并网点的电压、频率和相位偏差应符合95JB/T3950的规定，且不应引起并网点的电能质量超出GB/T12326、GB/T12326、GB/T14549、GB/T15543对电压偏差、电压波动和闪变、谐波以及三相电压不平衡规定的范围。</w:t>
      </w:r>
    </w:p>
    <w:p>
      <w:pPr>
        <w:pStyle w:val="5"/>
        <w:spacing w:line="360" w:lineRule="auto"/>
        <w:rPr>
          <w:rFonts w:hint="eastAsia"/>
          <w:color w:val="auto"/>
        </w:rPr>
      </w:pPr>
      <w:r>
        <w:rPr>
          <w:rFonts w:hint="eastAsia"/>
          <w:color w:val="auto"/>
          <w:lang w:val="en-US" w:eastAsia="zh-CN"/>
        </w:rPr>
        <w:t>10.5.2</w:t>
      </w:r>
      <w:r>
        <w:rPr>
          <w:rFonts w:hint="eastAsia"/>
          <w:color w:val="auto"/>
        </w:rPr>
        <w:t>公用测控装置</w:t>
      </w:r>
    </w:p>
    <w:p>
      <w:pPr>
        <w:spacing w:line="360" w:lineRule="auto"/>
        <w:rPr>
          <w:rFonts w:hint="eastAsia"/>
          <w:color w:val="auto"/>
        </w:rPr>
      </w:pPr>
      <w:r>
        <w:rPr>
          <w:rFonts w:hint="eastAsia"/>
          <w:color w:val="auto"/>
        </w:rPr>
        <w:t>1</w:t>
      </w:r>
      <w:r>
        <w:rPr>
          <w:rFonts w:hint="eastAsia" w:eastAsia="宋体"/>
          <w:color w:val="auto"/>
          <w:lang w:eastAsia="zh-CN"/>
        </w:rPr>
        <w:t>）</w:t>
      </w:r>
      <w:r>
        <w:rPr>
          <w:rFonts w:hint="eastAsia"/>
          <w:color w:val="auto"/>
        </w:rPr>
        <w:t>装置应拥有断路器测控、地刀的控制及与用于温度、直流系统测量的常规变送器的接口。</w:t>
      </w:r>
    </w:p>
    <w:p>
      <w:pPr>
        <w:spacing w:line="360" w:lineRule="auto"/>
        <w:rPr>
          <w:rFonts w:hint="eastAsia"/>
          <w:color w:val="auto"/>
        </w:rPr>
      </w:pPr>
      <w:r>
        <w:rPr>
          <w:rFonts w:hint="eastAsia"/>
          <w:color w:val="auto"/>
        </w:rPr>
        <w:t>2</w:t>
      </w:r>
      <w:r>
        <w:rPr>
          <w:rFonts w:hint="eastAsia" w:eastAsia="宋体"/>
          <w:color w:val="auto"/>
          <w:lang w:eastAsia="zh-CN"/>
        </w:rPr>
        <w:t>）</w:t>
      </w:r>
      <w:r>
        <w:rPr>
          <w:rFonts w:hint="eastAsia"/>
          <w:color w:val="auto"/>
        </w:rPr>
        <w:t>每套装置至少应有以下功能：</w:t>
      </w:r>
    </w:p>
    <w:p>
      <w:pPr>
        <w:spacing w:line="360" w:lineRule="auto"/>
        <w:rPr>
          <w:rFonts w:hint="eastAsia"/>
          <w:color w:val="auto"/>
          <w:lang w:eastAsia="zh-CN"/>
        </w:rPr>
      </w:pPr>
      <w:r>
        <w:rPr>
          <w:rFonts w:hint="eastAsia"/>
          <w:color w:val="auto"/>
        </w:rPr>
        <w:t>至少100路自定义遥信开入，开关量输入为DC220V光电隔离输入</w:t>
      </w:r>
      <w:r>
        <w:rPr>
          <w:rFonts w:hint="eastAsia" w:eastAsia="宋体"/>
          <w:color w:val="auto"/>
          <w:lang w:eastAsia="zh-CN"/>
        </w:rPr>
        <w:t>；</w:t>
      </w:r>
    </w:p>
    <w:p>
      <w:pPr>
        <w:spacing w:line="360" w:lineRule="auto"/>
        <w:rPr>
          <w:rFonts w:hint="eastAsia"/>
          <w:color w:val="auto"/>
        </w:rPr>
      </w:pPr>
      <w:r>
        <w:rPr>
          <w:rFonts w:hint="eastAsia"/>
          <w:color w:val="auto"/>
        </w:rPr>
        <w:t>一组电压、一组电流的模拟量输入，其基本计算量有电流、电压、电度计算、频率、功率及功率因数；</w:t>
      </w:r>
    </w:p>
    <w:p>
      <w:pPr>
        <w:spacing w:line="360" w:lineRule="auto"/>
        <w:rPr>
          <w:rFonts w:hint="eastAsia"/>
          <w:color w:val="auto"/>
        </w:rPr>
      </w:pPr>
      <w:r>
        <w:rPr>
          <w:rFonts w:hint="eastAsia"/>
          <w:color w:val="auto"/>
        </w:rPr>
        <w:t>遥控输出至少可配置为16路遥控分合，遥控出口为空节点，遥控分合闸无公共点，出口动作保持时间可程序设定；</w:t>
      </w:r>
    </w:p>
    <w:p>
      <w:pPr>
        <w:spacing w:line="360" w:lineRule="auto"/>
        <w:rPr>
          <w:rFonts w:hint="eastAsia"/>
          <w:color w:val="auto"/>
        </w:rPr>
      </w:pPr>
      <w:r>
        <w:rPr>
          <w:rFonts w:hint="eastAsia"/>
          <w:color w:val="auto"/>
        </w:rPr>
        <w:t>遥控事件记录及事件SOE；</w:t>
      </w:r>
    </w:p>
    <w:p>
      <w:pPr>
        <w:spacing w:line="360" w:lineRule="auto"/>
        <w:rPr>
          <w:rFonts w:hint="eastAsia"/>
          <w:color w:val="auto"/>
        </w:rPr>
      </w:pPr>
      <w:r>
        <w:rPr>
          <w:rFonts w:hint="eastAsia"/>
          <w:color w:val="auto"/>
        </w:rPr>
        <w:t>支持电力行业标准DL/T1667-1999（IEC60870-5-103标准）的通讯规约，配有独立的以太网（100Mbps），超五类或光纤通讯接口；</w:t>
      </w:r>
    </w:p>
    <w:p>
      <w:pPr>
        <w:spacing w:line="360" w:lineRule="auto"/>
        <w:rPr>
          <w:rFonts w:hint="eastAsia"/>
          <w:color w:val="auto"/>
        </w:rPr>
      </w:pPr>
      <w:r>
        <w:rPr>
          <w:rFonts w:hint="eastAsia"/>
          <w:color w:val="auto"/>
        </w:rPr>
        <w:t>对时功能：装置具有同步对时接口，同步对时方式采用RS485串行数据通信接口接收</w:t>
      </w:r>
      <w:r>
        <w:rPr>
          <w:rFonts w:hint="eastAsia" w:ascii="Calibri" w:eastAsia="宋体"/>
          <w:color w:val="auto"/>
          <w:lang w:val="en-US" w:eastAsia="zh-CN"/>
        </w:rPr>
        <w:t>北斗</w:t>
      </w:r>
      <w:r>
        <w:rPr>
          <w:rFonts w:hint="eastAsia"/>
          <w:color w:val="auto"/>
        </w:rPr>
        <w:t>发出的IRIG-B(DC)时码作为对时信号源，对时误差小于1ms逻辑闭锁功能，闭锁逻辑可编程。</w:t>
      </w:r>
    </w:p>
    <w:p>
      <w:pPr>
        <w:pStyle w:val="5"/>
        <w:spacing w:line="360" w:lineRule="auto"/>
        <w:rPr>
          <w:rFonts w:hint="eastAsia" w:ascii="宋体" w:hAnsi="宋体" w:eastAsia="宋体" w:cs="宋体"/>
          <w:color w:val="auto"/>
          <w:sz w:val="24"/>
          <w:szCs w:val="24"/>
          <w:lang w:val="en-US" w:eastAsia="zh-CN"/>
        </w:rPr>
      </w:pPr>
      <w:r>
        <w:rPr>
          <w:rFonts w:hint="eastAsia"/>
          <w:color w:val="auto"/>
          <w:lang w:val="en-US" w:eastAsia="zh-CN"/>
        </w:rPr>
        <w:t>10.5.3</w:t>
      </w:r>
      <w:r>
        <w:rPr>
          <w:rFonts w:hint="eastAsia" w:ascii="宋体" w:hAnsi="宋体" w:eastAsia="宋体" w:cs="宋体"/>
          <w:color w:val="auto"/>
          <w:sz w:val="24"/>
          <w:szCs w:val="24"/>
          <w:lang w:val="en-US" w:eastAsia="zh-CN"/>
        </w:rPr>
        <w:t>防孤岛保护装置</w:t>
      </w:r>
    </w:p>
    <w:p>
      <w:pPr>
        <w:spacing w:line="360" w:lineRule="auto"/>
        <w:rPr>
          <w:rFonts w:hint="eastAsia"/>
          <w:color w:val="auto"/>
          <w:lang w:val="en-US" w:eastAsia="zh-CN"/>
        </w:rPr>
      </w:pPr>
      <w:r>
        <w:rPr>
          <w:rFonts w:hint="eastAsia" w:ascii="宋体" w:hAnsi="宋体" w:eastAsia="宋体" w:cs="宋体"/>
          <w:color w:val="auto"/>
          <w:sz w:val="24"/>
          <w:szCs w:val="24"/>
          <w:lang w:val="en-US" w:eastAsia="zh-CN"/>
        </w:rPr>
        <w:t>本项目10kV</w:t>
      </w:r>
      <w:r>
        <w:rPr>
          <w:rFonts w:hint="eastAsia" w:ascii="宋体" w:hAnsi="宋体" w:cs="宋体"/>
          <w:color w:val="auto"/>
          <w:sz w:val="24"/>
          <w:szCs w:val="24"/>
          <w:lang w:val="en-US" w:eastAsia="zh-CN"/>
        </w:rPr>
        <w:t>储能</w:t>
      </w:r>
      <w:r>
        <w:rPr>
          <w:rFonts w:hint="eastAsia" w:ascii="宋体" w:hAnsi="宋体" w:eastAsia="宋体" w:cs="宋体"/>
          <w:color w:val="auto"/>
          <w:sz w:val="24"/>
          <w:szCs w:val="24"/>
          <w:lang w:val="en-US" w:eastAsia="zh-CN"/>
        </w:rPr>
        <w:t>电站侧配置防孤岛保护装置，能够保护由</w:t>
      </w:r>
      <w:r>
        <w:rPr>
          <w:rFonts w:hint="eastAsia" w:ascii="宋体" w:hAnsi="宋体" w:cs="宋体"/>
          <w:color w:val="auto"/>
          <w:sz w:val="24"/>
          <w:szCs w:val="24"/>
          <w:lang w:val="en-US" w:eastAsia="zh-CN"/>
        </w:rPr>
        <w:t>PCS</w:t>
      </w:r>
      <w:r>
        <w:rPr>
          <w:rFonts w:hint="eastAsia" w:ascii="宋体" w:hAnsi="宋体" w:eastAsia="宋体" w:cs="宋体"/>
          <w:color w:val="auto"/>
          <w:sz w:val="24"/>
          <w:szCs w:val="24"/>
          <w:lang w:val="en-US" w:eastAsia="zh-CN"/>
        </w:rPr>
        <w:t>设备的防孤岛检测失效引起的隐患。防</w:t>
      </w:r>
      <w:r>
        <w:rPr>
          <w:rFonts w:hint="eastAsia" w:ascii="宋体" w:hAnsi="宋体" w:cs="宋体"/>
          <w:color w:val="auto"/>
          <w:sz w:val="24"/>
          <w:szCs w:val="24"/>
          <w:lang w:val="en-US" w:eastAsia="zh-CN"/>
        </w:rPr>
        <w:t>孤岛保护</w:t>
      </w:r>
      <w:r>
        <w:rPr>
          <w:rFonts w:hint="eastAsia" w:ascii="宋体" w:hAnsi="宋体" w:eastAsia="宋体" w:cs="宋体"/>
          <w:color w:val="auto"/>
          <w:sz w:val="24"/>
          <w:szCs w:val="24"/>
          <w:lang w:val="en-US" w:eastAsia="zh-CN"/>
        </w:rPr>
        <w:t>装置具备快速监测孤岛并且监测到孤岛后立即断开与电网连接的能力，孤岛方案与继电保护配置、安全自动装置、和低电压穿越等相配合，并在时间上互相匹配，以避免非同期合闸。</w:t>
      </w:r>
    </w:p>
    <w:p>
      <w:pPr>
        <w:pStyle w:val="5"/>
        <w:spacing w:line="360" w:lineRule="auto"/>
        <w:rPr>
          <w:rFonts w:hint="eastAsia"/>
          <w:color w:val="auto"/>
        </w:rPr>
      </w:pPr>
      <w:r>
        <w:rPr>
          <w:rFonts w:hint="eastAsia"/>
          <w:color w:val="auto"/>
          <w:lang w:val="en-US" w:eastAsia="zh-CN"/>
        </w:rPr>
        <w:t>10.5.4</w:t>
      </w:r>
      <w:r>
        <w:rPr>
          <w:rFonts w:hint="eastAsia"/>
          <w:color w:val="auto"/>
        </w:rPr>
        <w:t>频率电压紧急控制装置</w:t>
      </w:r>
    </w:p>
    <w:p>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配置频率电压紧急控制装置1套，根据频率、电压事故情况实现过频过压切机、压出力、解列等措施保证系统的安全。若出现紧急故障时，为了保持电力系统安全稳定运行和持续供电，在切除故障设备的同时，及时采取果断的控制措施切断电源、切除负荷及主动解列，使系统尽快恢复。频率电压异常紧急控制装置应具备滑差闭锁功能以及判断短路功能、包含过过压、低电压、过频率及低频等保护功能。</w:t>
      </w:r>
    </w:p>
    <w:p>
      <w:pPr>
        <w:spacing w:line="360" w:lineRule="auto"/>
        <w:rPr>
          <w:rFonts w:hint="eastAsia"/>
          <w:color w:val="auto"/>
        </w:rPr>
      </w:pPr>
      <w:r>
        <w:rPr>
          <w:rFonts w:hint="eastAsia"/>
          <w:color w:val="auto"/>
        </w:rPr>
        <w:t>根据对安全自动装置的要求，需在</w:t>
      </w:r>
      <w:r>
        <w:rPr>
          <w:rFonts w:hint="eastAsia" w:ascii="Calibri" w:eastAsia="宋体"/>
          <w:color w:val="auto"/>
          <w:lang w:val="en-US" w:eastAsia="zh-CN"/>
        </w:rPr>
        <w:t>储能</w:t>
      </w:r>
      <w:r>
        <w:rPr>
          <w:rFonts w:hint="eastAsia"/>
          <w:color w:val="auto"/>
        </w:rPr>
        <w:t>电站并网点装设频率电压异常紧急控制装置，频率电压异常紧急控制装置应具备滑差闭锁功能以及判断短路功能。</w:t>
      </w:r>
    </w:p>
    <w:p>
      <w:pPr>
        <w:pStyle w:val="51"/>
        <w:spacing w:line="360" w:lineRule="auto"/>
        <w:jc w:val="center"/>
        <w:rPr>
          <w:rFonts w:hint="eastAsia" w:ascii="宋体" w:hAnsi="宋体" w:eastAsia="宋体" w:cs="宋体"/>
          <w:color w:val="auto"/>
          <w:kern w:val="21"/>
          <w:sz w:val="24"/>
          <w:szCs w:val="24"/>
        </w:rPr>
      </w:pPr>
      <w:r>
        <w:rPr>
          <w:rFonts w:hint="eastAsia" w:ascii="宋体" w:hAnsi="宋体" w:eastAsia="宋体" w:cs="宋体"/>
          <w:color w:val="auto"/>
          <w:kern w:val="21"/>
          <w:sz w:val="24"/>
          <w:szCs w:val="24"/>
        </w:rPr>
        <w:t>表1  频率电压紧急控制装置标准技术参数表</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8"/>
        <w:gridCol w:w="3519"/>
        <w:gridCol w:w="734"/>
        <w:gridCol w:w="35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8" w:type="dxa"/>
            <w:vAlign w:val="center"/>
          </w:tcPr>
          <w:p>
            <w:pPr>
              <w:pStyle w:val="51"/>
              <w:spacing w:line="240" w:lineRule="auto"/>
              <w:ind w:firstLine="0" w:firstLineChars="0"/>
              <w:jc w:val="center"/>
              <w:rPr>
                <w:rFonts w:hint="eastAsia" w:ascii="宋体" w:hAnsi="宋体" w:eastAsia="宋体" w:cs="宋体"/>
                <w:color w:val="auto"/>
                <w:kern w:val="21"/>
                <w:sz w:val="24"/>
                <w:szCs w:val="24"/>
                <w:vertAlign w:val="baseline"/>
                <w:lang w:val="en-US" w:eastAsia="zh-CN"/>
              </w:rPr>
            </w:pPr>
            <w:r>
              <w:rPr>
                <w:rFonts w:hint="eastAsia" w:cs="宋体"/>
                <w:color w:val="auto"/>
                <w:kern w:val="21"/>
                <w:sz w:val="24"/>
                <w:szCs w:val="24"/>
                <w:vertAlign w:val="baseline"/>
                <w:lang w:val="en-US" w:eastAsia="zh-CN"/>
              </w:rPr>
              <w:t>序号</w:t>
            </w:r>
          </w:p>
        </w:tc>
        <w:tc>
          <w:tcPr>
            <w:tcW w:w="3519" w:type="dxa"/>
            <w:vAlign w:val="center"/>
          </w:tcPr>
          <w:p>
            <w:pPr>
              <w:pStyle w:val="51"/>
              <w:spacing w:line="240" w:lineRule="auto"/>
              <w:ind w:firstLine="0" w:firstLineChars="0"/>
              <w:jc w:val="center"/>
              <w:rPr>
                <w:rFonts w:hint="eastAsia" w:ascii="宋体" w:hAnsi="宋体" w:eastAsia="宋体" w:cs="宋体"/>
                <w:color w:val="auto"/>
                <w:kern w:val="21"/>
                <w:sz w:val="24"/>
                <w:szCs w:val="24"/>
                <w:vertAlign w:val="baseline"/>
              </w:rPr>
            </w:pPr>
            <w:r>
              <w:rPr>
                <w:rFonts w:hint="eastAsia"/>
                <w:color w:val="auto"/>
              </w:rPr>
              <w:t>参数名称</w:t>
            </w:r>
          </w:p>
        </w:tc>
        <w:tc>
          <w:tcPr>
            <w:tcW w:w="734" w:type="dxa"/>
            <w:vAlign w:val="center"/>
          </w:tcPr>
          <w:p>
            <w:pPr>
              <w:pStyle w:val="51"/>
              <w:spacing w:line="240" w:lineRule="auto"/>
              <w:ind w:firstLine="0" w:firstLineChars="0"/>
              <w:jc w:val="center"/>
              <w:rPr>
                <w:rFonts w:hint="eastAsia" w:ascii="宋体" w:hAnsi="宋体" w:eastAsia="宋体" w:cs="宋体"/>
                <w:color w:val="auto"/>
                <w:kern w:val="21"/>
                <w:sz w:val="24"/>
                <w:szCs w:val="24"/>
                <w:vertAlign w:val="baseline"/>
                <w:lang w:val="en-US" w:eastAsia="zh-CN"/>
              </w:rPr>
            </w:pPr>
            <w:r>
              <w:rPr>
                <w:rFonts w:hint="eastAsia" w:cs="宋体"/>
                <w:color w:val="auto"/>
                <w:kern w:val="21"/>
                <w:sz w:val="24"/>
                <w:szCs w:val="24"/>
                <w:vertAlign w:val="baseline"/>
                <w:lang w:val="en-US" w:eastAsia="zh-CN"/>
              </w:rPr>
              <w:t>单位</w:t>
            </w:r>
          </w:p>
        </w:tc>
        <w:tc>
          <w:tcPr>
            <w:tcW w:w="3541" w:type="dxa"/>
            <w:vAlign w:val="center"/>
          </w:tcPr>
          <w:p>
            <w:pPr>
              <w:pStyle w:val="51"/>
              <w:spacing w:line="240" w:lineRule="auto"/>
              <w:ind w:firstLine="0" w:firstLineChars="0"/>
              <w:jc w:val="center"/>
              <w:rPr>
                <w:rFonts w:hint="eastAsia" w:ascii="宋体" w:hAnsi="宋体" w:eastAsia="宋体" w:cs="宋体"/>
                <w:color w:val="auto"/>
                <w:kern w:val="21"/>
                <w:sz w:val="24"/>
                <w:szCs w:val="24"/>
                <w:vertAlign w:val="baseline"/>
              </w:rPr>
            </w:pPr>
            <w:r>
              <w:rPr>
                <w:rFonts w:hint="eastAsia" w:cs="宋体"/>
                <w:color w:val="auto"/>
                <w:kern w:val="21"/>
                <w:szCs w:val="24"/>
              </w:rPr>
              <w:t>标准参数值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8" w:type="dxa"/>
            <w:vAlign w:val="center"/>
          </w:tcPr>
          <w:p>
            <w:pPr>
              <w:pStyle w:val="51"/>
              <w:spacing w:line="240" w:lineRule="auto"/>
              <w:ind w:firstLine="0" w:firstLineChars="0"/>
              <w:jc w:val="center"/>
              <w:rPr>
                <w:rFonts w:hint="eastAsia" w:ascii="宋体" w:hAnsi="宋体" w:eastAsia="宋体" w:cs="宋体"/>
                <w:color w:val="auto"/>
                <w:kern w:val="21"/>
                <w:sz w:val="24"/>
                <w:szCs w:val="24"/>
                <w:vertAlign w:val="baseline"/>
                <w:lang w:val="en-US" w:eastAsia="zh-CN"/>
              </w:rPr>
            </w:pPr>
            <w:r>
              <w:rPr>
                <w:rFonts w:hint="eastAsia" w:cs="宋体"/>
                <w:color w:val="auto"/>
                <w:kern w:val="21"/>
                <w:sz w:val="24"/>
                <w:szCs w:val="24"/>
                <w:vertAlign w:val="baseline"/>
                <w:lang w:val="en-US" w:eastAsia="zh-CN"/>
              </w:rPr>
              <w:t>1</w:t>
            </w:r>
          </w:p>
        </w:tc>
        <w:tc>
          <w:tcPr>
            <w:tcW w:w="3519" w:type="dxa"/>
            <w:vAlign w:val="center"/>
          </w:tcPr>
          <w:p>
            <w:pPr>
              <w:pStyle w:val="51"/>
              <w:spacing w:line="240" w:lineRule="auto"/>
              <w:ind w:firstLine="0" w:firstLineChars="0"/>
              <w:jc w:val="center"/>
              <w:rPr>
                <w:rFonts w:hint="eastAsia" w:ascii="宋体" w:hAnsi="宋体" w:eastAsia="宋体" w:cs="宋体"/>
                <w:color w:val="auto"/>
                <w:kern w:val="21"/>
                <w:sz w:val="24"/>
                <w:szCs w:val="24"/>
                <w:vertAlign w:val="baseline"/>
              </w:rPr>
            </w:pPr>
            <w:r>
              <w:rPr>
                <w:rFonts w:hint="eastAsia"/>
                <w:color w:val="auto"/>
              </w:rPr>
              <w:t>*电流测量精度</w:t>
            </w:r>
          </w:p>
        </w:tc>
        <w:tc>
          <w:tcPr>
            <w:tcW w:w="734" w:type="dxa"/>
            <w:vAlign w:val="center"/>
          </w:tcPr>
          <w:p>
            <w:pPr>
              <w:pStyle w:val="51"/>
              <w:spacing w:line="240" w:lineRule="auto"/>
              <w:ind w:firstLine="0" w:firstLineChars="0"/>
              <w:jc w:val="center"/>
              <w:rPr>
                <w:rFonts w:hint="eastAsia" w:ascii="宋体" w:hAnsi="宋体" w:eastAsia="宋体" w:cs="宋体"/>
                <w:color w:val="auto"/>
                <w:kern w:val="21"/>
                <w:sz w:val="24"/>
                <w:szCs w:val="24"/>
                <w:vertAlign w:val="baseline"/>
                <w:lang w:val="en-US" w:eastAsia="zh-CN"/>
              </w:rPr>
            </w:pPr>
            <w:r>
              <w:rPr>
                <w:rFonts w:hint="eastAsia" w:cs="宋体"/>
                <w:color w:val="auto"/>
                <w:kern w:val="21"/>
                <w:sz w:val="24"/>
                <w:szCs w:val="24"/>
                <w:vertAlign w:val="baseline"/>
                <w:lang w:val="en-US" w:eastAsia="zh-CN"/>
              </w:rPr>
              <w:t>A</w:t>
            </w:r>
          </w:p>
        </w:tc>
        <w:tc>
          <w:tcPr>
            <w:tcW w:w="3541" w:type="dxa"/>
            <w:vAlign w:val="center"/>
          </w:tcPr>
          <w:p>
            <w:pPr>
              <w:pStyle w:val="51"/>
              <w:spacing w:line="240" w:lineRule="auto"/>
              <w:ind w:firstLine="0" w:firstLineChars="0"/>
              <w:jc w:val="center"/>
              <w:rPr>
                <w:rFonts w:hint="eastAsia" w:ascii="宋体" w:hAnsi="宋体" w:eastAsia="宋体" w:cs="宋体"/>
                <w:color w:val="auto"/>
                <w:kern w:val="21"/>
                <w:sz w:val="24"/>
                <w:szCs w:val="24"/>
                <w:vertAlign w:val="baseline"/>
              </w:rPr>
            </w:pPr>
            <w:r>
              <w:rPr>
                <w:rFonts w:hint="eastAsia" w:cs="宋体"/>
                <w:color w:val="auto"/>
                <w:kern w:val="21"/>
                <w:szCs w:val="24"/>
              </w:rPr>
              <w:t>0-3.5In，测量误差≤1%（相对误差）或0.02 In（绝对误差）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8" w:type="dxa"/>
            <w:vAlign w:val="center"/>
          </w:tcPr>
          <w:p>
            <w:pPr>
              <w:pStyle w:val="51"/>
              <w:spacing w:line="240" w:lineRule="auto"/>
              <w:ind w:firstLine="0" w:firstLineChars="0"/>
              <w:jc w:val="center"/>
              <w:rPr>
                <w:rFonts w:hint="eastAsia" w:ascii="宋体" w:hAnsi="宋体" w:eastAsia="宋体" w:cs="宋体"/>
                <w:color w:val="auto"/>
                <w:kern w:val="21"/>
                <w:sz w:val="24"/>
                <w:szCs w:val="24"/>
                <w:vertAlign w:val="baseline"/>
                <w:lang w:val="en-US" w:eastAsia="zh-CN"/>
              </w:rPr>
            </w:pPr>
            <w:r>
              <w:rPr>
                <w:rFonts w:hint="eastAsia" w:cs="宋体"/>
                <w:color w:val="auto"/>
                <w:kern w:val="21"/>
                <w:sz w:val="24"/>
                <w:szCs w:val="24"/>
                <w:vertAlign w:val="baseline"/>
                <w:lang w:val="en-US" w:eastAsia="zh-CN"/>
              </w:rPr>
              <w:t>2</w:t>
            </w:r>
          </w:p>
        </w:tc>
        <w:tc>
          <w:tcPr>
            <w:tcW w:w="3519" w:type="dxa"/>
            <w:vAlign w:val="center"/>
          </w:tcPr>
          <w:p>
            <w:pPr>
              <w:pStyle w:val="51"/>
              <w:spacing w:line="240" w:lineRule="auto"/>
              <w:ind w:firstLine="0" w:firstLineChars="0"/>
              <w:jc w:val="center"/>
              <w:rPr>
                <w:rFonts w:hint="eastAsia" w:ascii="宋体" w:hAnsi="宋体" w:eastAsia="宋体" w:cs="宋体"/>
                <w:color w:val="auto"/>
                <w:kern w:val="21"/>
                <w:sz w:val="24"/>
                <w:szCs w:val="24"/>
                <w:vertAlign w:val="baseline"/>
              </w:rPr>
            </w:pPr>
            <w:r>
              <w:rPr>
                <w:rFonts w:hint="eastAsia"/>
                <w:color w:val="auto"/>
              </w:rPr>
              <w:t>*电压测量精度</w:t>
            </w:r>
          </w:p>
        </w:tc>
        <w:tc>
          <w:tcPr>
            <w:tcW w:w="734" w:type="dxa"/>
            <w:vAlign w:val="center"/>
          </w:tcPr>
          <w:p>
            <w:pPr>
              <w:pStyle w:val="51"/>
              <w:spacing w:line="240" w:lineRule="auto"/>
              <w:ind w:firstLine="0" w:firstLineChars="0"/>
              <w:jc w:val="center"/>
              <w:rPr>
                <w:rFonts w:hint="eastAsia" w:ascii="宋体" w:hAnsi="宋体" w:eastAsia="宋体" w:cs="宋体"/>
                <w:color w:val="auto"/>
                <w:kern w:val="21"/>
                <w:sz w:val="24"/>
                <w:szCs w:val="24"/>
                <w:vertAlign w:val="baseline"/>
                <w:lang w:val="en-US" w:eastAsia="zh-CN"/>
              </w:rPr>
            </w:pPr>
            <w:r>
              <w:rPr>
                <w:rFonts w:hint="eastAsia" w:cs="宋体"/>
                <w:color w:val="auto"/>
                <w:kern w:val="21"/>
                <w:sz w:val="24"/>
                <w:szCs w:val="24"/>
                <w:vertAlign w:val="baseline"/>
                <w:lang w:val="en-US" w:eastAsia="zh-CN"/>
              </w:rPr>
              <w:t>V</w:t>
            </w:r>
          </w:p>
        </w:tc>
        <w:tc>
          <w:tcPr>
            <w:tcW w:w="3541" w:type="dxa"/>
            <w:vAlign w:val="center"/>
          </w:tcPr>
          <w:p>
            <w:pPr>
              <w:pStyle w:val="51"/>
              <w:spacing w:line="240" w:lineRule="auto"/>
              <w:ind w:firstLine="0" w:firstLineChars="0"/>
              <w:jc w:val="center"/>
              <w:rPr>
                <w:rFonts w:hint="eastAsia" w:ascii="宋体" w:hAnsi="宋体" w:eastAsia="宋体" w:cs="宋体"/>
                <w:color w:val="auto"/>
                <w:kern w:val="21"/>
                <w:sz w:val="24"/>
                <w:szCs w:val="24"/>
                <w:vertAlign w:val="baseline"/>
              </w:rPr>
            </w:pPr>
            <w:r>
              <w:rPr>
                <w:rFonts w:hint="eastAsia" w:cs="宋体"/>
                <w:color w:val="auto"/>
                <w:kern w:val="21"/>
                <w:szCs w:val="24"/>
              </w:rPr>
              <w:t>0-3.5In，测量误差≤1%（相对误差）或0.02 In（绝对误差）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8" w:type="dxa"/>
            <w:vAlign w:val="center"/>
          </w:tcPr>
          <w:p>
            <w:pPr>
              <w:pStyle w:val="51"/>
              <w:spacing w:line="240" w:lineRule="auto"/>
              <w:ind w:firstLine="0" w:firstLineChars="0"/>
              <w:jc w:val="center"/>
              <w:rPr>
                <w:rFonts w:hint="eastAsia" w:ascii="宋体" w:hAnsi="宋体" w:eastAsia="宋体" w:cs="宋体"/>
                <w:color w:val="auto"/>
                <w:kern w:val="21"/>
                <w:sz w:val="24"/>
                <w:szCs w:val="24"/>
                <w:vertAlign w:val="baseline"/>
                <w:lang w:val="en-US" w:eastAsia="zh-CN"/>
              </w:rPr>
            </w:pPr>
            <w:r>
              <w:rPr>
                <w:rFonts w:hint="eastAsia" w:cs="宋体"/>
                <w:color w:val="auto"/>
                <w:kern w:val="21"/>
                <w:sz w:val="24"/>
                <w:szCs w:val="24"/>
                <w:vertAlign w:val="baseline"/>
                <w:lang w:val="en-US" w:eastAsia="zh-CN"/>
              </w:rPr>
              <w:t>3</w:t>
            </w:r>
          </w:p>
        </w:tc>
        <w:tc>
          <w:tcPr>
            <w:tcW w:w="3519" w:type="dxa"/>
            <w:vAlign w:val="center"/>
          </w:tcPr>
          <w:p>
            <w:pPr>
              <w:pStyle w:val="51"/>
              <w:spacing w:line="240" w:lineRule="auto"/>
              <w:ind w:firstLine="0" w:firstLineChars="0"/>
              <w:jc w:val="center"/>
              <w:rPr>
                <w:rFonts w:hint="eastAsia" w:ascii="宋体" w:hAnsi="宋体" w:eastAsia="宋体" w:cs="宋体"/>
                <w:color w:val="auto"/>
                <w:kern w:val="21"/>
                <w:sz w:val="24"/>
                <w:szCs w:val="24"/>
                <w:vertAlign w:val="baseline"/>
              </w:rPr>
            </w:pPr>
            <w:r>
              <w:rPr>
                <w:rFonts w:hint="eastAsia"/>
                <w:color w:val="auto"/>
              </w:rPr>
              <w:t>*频率测量精度</w:t>
            </w:r>
          </w:p>
        </w:tc>
        <w:tc>
          <w:tcPr>
            <w:tcW w:w="734" w:type="dxa"/>
            <w:vAlign w:val="center"/>
          </w:tcPr>
          <w:p>
            <w:pPr>
              <w:pStyle w:val="51"/>
              <w:spacing w:line="240" w:lineRule="auto"/>
              <w:ind w:firstLine="0" w:firstLineChars="0"/>
              <w:jc w:val="center"/>
              <w:rPr>
                <w:rFonts w:hint="eastAsia" w:ascii="宋体" w:hAnsi="宋体" w:eastAsia="宋体" w:cs="宋体"/>
                <w:color w:val="auto"/>
                <w:kern w:val="21"/>
                <w:sz w:val="24"/>
                <w:szCs w:val="24"/>
                <w:vertAlign w:val="baseline"/>
              </w:rPr>
            </w:pPr>
            <w:r>
              <w:rPr>
                <w:rFonts w:hint="eastAsia" w:cs="宋体"/>
                <w:color w:val="auto"/>
                <w:kern w:val="21"/>
                <w:szCs w:val="24"/>
              </w:rPr>
              <w:t>Hz</w:t>
            </w:r>
          </w:p>
        </w:tc>
        <w:tc>
          <w:tcPr>
            <w:tcW w:w="3541" w:type="dxa"/>
            <w:vAlign w:val="center"/>
          </w:tcPr>
          <w:p>
            <w:pPr>
              <w:pStyle w:val="51"/>
              <w:spacing w:line="240" w:lineRule="auto"/>
              <w:ind w:firstLine="0" w:firstLineChars="0"/>
              <w:jc w:val="center"/>
              <w:rPr>
                <w:rFonts w:hint="eastAsia" w:ascii="宋体" w:hAnsi="宋体" w:eastAsia="宋体" w:cs="宋体"/>
                <w:color w:val="auto"/>
                <w:kern w:val="21"/>
                <w:sz w:val="24"/>
                <w:szCs w:val="24"/>
                <w:vertAlign w:val="baseline"/>
              </w:rPr>
            </w:pPr>
            <w:r>
              <w:rPr>
                <w:rFonts w:hint="eastAsia" w:cs="宋体"/>
                <w:color w:val="auto"/>
                <w:kern w:val="21"/>
                <w:szCs w:val="24"/>
              </w:rPr>
              <w:t>0.01Hz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8" w:type="dxa"/>
            <w:vAlign w:val="center"/>
          </w:tcPr>
          <w:p>
            <w:pPr>
              <w:pStyle w:val="51"/>
              <w:spacing w:line="240" w:lineRule="auto"/>
              <w:ind w:firstLine="0" w:firstLineChars="0"/>
              <w:jc w:val="center"/>
              <w:rPr>
                <w:rFonts w:hint="eastAsia" w:ascii="宋体" w:hAnsi="宋体" w:eastAsia="宋体" w:cs="宋体"/>
                <w:color w:val="auto"/>
                <w:kern w:val="21"/>
                <w:sz w:val="24"/>
                <w:szCs w:val="24"/>
                <w:vertAlign w:val="baseline"/>
                <w:lang w:val="en-US" w:eastAsia="zh-CN"/>
              </w:rPr>
            </w:pPr>
            <w:r>
              <w:rPr>
                <w:rFonts w:hint="eastAsia" w:cs="宋体"/>
                <w:color w:val="auto"/>
                <w:kern w:val="21"/>
                <w:sz w:val="24"/>
                <w:szCs w:val="24"/>
                <w:vertAlign w:val="baseline"/>
                <w:lang w:val="en-US" w:eastAsia="zh-CN"/>
              </w:rPr>
              <w:t>4</w:t>
            </w:r>
          </w:p>
        </w:tc>
        <w:tc>
          <w:tcPr>
            <w:tcW w:w="3519" w:type="dxa"/>
            <w:vAlign w:val="center"/>
          </w:tcPr>
          <w:p>
            <w:pPr>
              <w:pStyle w:val="51"/>
              <w:spacing w:line="240" w:lineRule="auto"/>
              <w:ind w:firstLine="0" w:firstLineChars="0"/>
              <w:jc w:val="center"/>
              <w:rPr>
                <w:rFonts w:hint="eastAsia" w:ascii="宋体" w:hAnsi="宋体" w:eastAsia="宋体" w:cs="宋体"/>
                <w:color w:val="auto"/>
                <w:kern w:val="21"/>
                <w:sz w:val="24"/>
                <w:szCs w:val="24"/>
                <w:vertAlign w:val="baseline"/>
              </w:rPr>
            </w:pPr>
            <w:r>
              <w:rPr>
                <w:rFonts w:hint="eastAsia"/>
                <w:color w:val="auto"/>
              </w:rPr>
              <w:t>*整组动作时间</w:t>
            </w:r>
          </w:p>
        </w:tc>
        <w:tc>
          <w:tcPr>
            <w:tcW w:w="734" w:type="dxa"/>
            <w:vAlign w:val="center"/>
          </w:tcPr>
          <w:p>
            <w:pPr>
              <w:pStyle w:val="51"/>
              <w:spacing w:line="240" w:lineRule="auto"/>
              <w:ind w:firstLine="0" w:firstLineChars="0"/>
              <w:jc w:val="center"/>
              <w:rPr>
                <w:rFonts w:hint="eastAsia" w:ascii="宋体" w:hAnsi="宋体" w:eastAsia="宋体" w:cs="宋体"/>
                <w:color w:val="auto"/>
                <w:kern w:val="21"/>
                <w:sz w:val="24"/>
                <w:szCs w:val="24"/>
                <w:vertAlign w:val="baseline"/>
              </w:rPr>
            </w:pPr>
            <w:r>
              <w:rPr>
                <w:rFonts w:hint="eastAsia" w:cs="宋体"/>
                <w:color w:val="auto"/>
                <w:kern w:val="21"/>
                <w:szCs w:val="24"/>
              </w:rPr>
              <w:t>ms</w:t>
            </w:r>
          </w:p>
        </w:tc>
        <w:tc>
          <w:tcPr>
            <w:tcW w:w="3541" w:type="dxa"/>
            <w:vAlign w:val="center"/>
          </w:tcPr>
          <w:p>
            <w:pPr>
              <w:pStyle w:val="51"/>
              <w:spacing w:line="240" w:lineRule="auto"/>
              <w:ind w:firstLine="0" w:firstLineChars="0"/>
              <w:jc w:val="center"/>
              <w:rPr>
                <w:rFonts w:hint="eastAsia" w:ascii="宋体" w:hAnsi="宋体" w:eastAsia="宋体" w:cs="宋体"/>
                <w:color w:val="auto"/>
                <w:kern w:val="21"/>
                <w:sz w:val="24"/>
                <w:szCs w:val="24"/>
                <w:vertAlign w:val="baseline"/>
              </w:rPr>
            </w:pPr>
            <w:r>
              <w:rPr>
                <w:rFonts w:hint="eastAsia" w:cs="宋体"/>
                <w:color w:val="auto"/>
                <w:kern w:val="21"/>
                <w:szCs w:val="24"/>
              </w:rPr>
              <w:t>不大于60ms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8" w:type="dxa"/>
            <w:vAlign w:val="center"/>
          </w:tcPr>
          <w:p>
            <w:pPr>
              <w:pStyle w:val="51"/>
              <w:spacing w:line="240" w:lineRule="auto"/>
              <w:ind w:firstLine="0" w:firstLineChars="0"/>
              <w:jc w:val="center"/>
              <w:rPr>
                <w:rFonts w:hint="eastAsia" w:ascii="宋体" w:hAnsi="宋体" w:eastAsia="宋体" w:cs="宋体"/>
                <w:color w:val="auto"/>
                <w:kern w:val="21"/>
                <w:sz w:val="24"/>
                <w:szCs w:val="24"/>
                <w:vertAlign w:val="baseline"/>
                <w:lang w:val="en-US" w:eastAsia="zh-CN"/>
              </w:rPr>
            </w:pPr>
            <w:r>
              <w:rPr>
                <w:rFonts w:hint="eastAsia" w:cs="宋体"/>
                <w:color w:val="auto"/>
                <w:kern w:val="21"/>
                <w:sz w:val="24"/>
                <w:szCs w:val="24"/>
                <w:vertAlign w:val="baseline"/>
                <w:lang w:val="en-US" w:eastAsia="zh-CN"/>
              </w:rPr>
              <w:t>5</w:t>
            </w:r>
          </w:p>
        </w:tc>
        <w:tc>
          <w:tcPr>
            <w:tcW w:w="3519" w:type="dxa"/>
            <w:vAlign w:val="center"/>
          </w:tcPr>
          <w:p>
            <w:pPr>
              <w:pStyle w:val="51"/>
              <w:spacing w:line="240" w:lineRule="auto"/>
              <w:ind w:firstLine="0" w:firstLineChars="0"/>
              <w:jc w:val="center"/>
              <w:rPr>
                <w:rFonts w:hint="eastAsia" w:ascii="宋体" w:hAnsi="宋体" w:eastAsia="宋体" w:cs="宋体"/>
                <w:color w:val="auto"/>
                <w:kern w:val="21"/>
                <w:sz w:val="24"/>
                <w:szCs w:val="24"/>
                <w:vertAlign w:val="baseline"/>
              </w:rPr>
            </w:pPr>
            <w:r>
              <w:rPr>
                <w:rFonts w:hint="eastAsia"/>
                <w:color w:val="auto"/>
              </w:rPr>
              <w:t>交流电流回路过载能力</w:t>
            </w:r>
          </w:p>
        </w:tc>
        <w:tc>
          <w:tcPr>
            <w:tcW w:w="734" w:type="dxa"/>
            <w:vAlign w:val="center"/>
          </w:tcPr>
          <w:p>
            <w:pPr>
              <w:pStyle w:val="51"/>
              <w:spacing w:line="240" w:lineRule="auto"/>
              <w:ind w:firstLine="0" w:firstLineChars="0"/>
              <w:jc w:val="center"/>
              <w:rPr>
                <w:rFonts w:hint="eastAsia" w:ascii="宋体" w:hAnsi="宋体" w:eastAsia="宋体" w:cs="宋体"/>
                <w:color w:val="auto"/>
                <w:kern w:val="21"/>
                <w:sz w:val="24"/>
                <w:szCs w:val="24"/>
                <w:vertAlign w:val="baseline"/>
              </w:rPr>
            </w:pPr>
          </w:p>
        </w:tc>
        <w:tc>
          <w:tcPr>
            <w:tcW w:w="3541" w:type="dxa"/>
            <w:vAlign w:val="center"/>
          </w:tcPr>
          <w:p>
            <w:pPr>
              <w:pStyle w:val="51"/>
              <w:keepNext w:val="0"/>
              <w:keepLines w:val="0"/>
              <w:pageBreakBefore w:val="0"/>
              <w:widowControl w:val="0"/>
              <w:kinsoku/>
              <w:wordWrap/>
              <w:overflowPunct/>
              <w:topLinePunct/>
              <w:autoSpaceDE/>
              <w:autoSpaceDN/>
              <w:bidi w:val="0"/>
              <w:adjustRightInd/>
              <w:snapToGrid/>
              <w:spacing w:line="240" w:lineRule="auto"/>
              <w:ind w:firstLine="0" w:firstLineChars="0"/>
              <w:jc w:val="center"/>
              <w:textAlignment w:val="auto"/>
              <w:rPr>
                <w:rFonts w:hint="eastAsia" w:cs="宋体"/>
                <w:color w:val="auto"/>
                <w:kern w:val="21"/>
                <w:szCs w:val="24"/>
              </w:rPr>
            </w:pPr>
            <w:r>
              <w:rPr>
                <w:rFonts w:hint="eastAsia" w:cs="宋体"/>
                <w:color w:val="auto"/>
                <w:kern w:val="21"/>
                <w:szCs w:val="24"/>
              </w:rPr>
              <w:t>2 In，连续工作；10 In，10s；</w:t>
            </w:r>
          </w:p>
          <w:p>
            <w:pPr>
              <w:pStyle w:val="51"/>
              <w:spacing w:line="240" w:lineRule="auto"/>
              <w:ind w:firstLine="0" w:firstLineChars="0"/>
              <w:jc w:val="center"/>
              <w:rPr>
                <w:rFonts w:hint="eastAsia" w:ascii="宋体" w:hAnsi="宋体" w:eastAsia="宋体" w:cs="宋体"/>
                <w:color w:val="auto"/>
                <w:kern w:val="21"/>
                <w:sz w:val="24"/>
                <w:szCs w:val="24"/>
                <w:vertAlign w:val="baseline"/>
              </w:rPr>
            </w:pPr>
            <w:r>
              <w:rPr>
                <w:rFonts w:hint="eastAsia" w:cs="宋体"/>
                <w:color w:val="auto"/>
                <w:kern w:val="21"/>
                <w:szCs w:val="24"/>
              </w:rPr>
              <w:t>40 In，1s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8" w:type="dxa"/>
            <w:vAlign w:val="center"/>
          </w:tcPr>
          <w:p>
            <w:pPr>
              <w:pStyle w:val="51"/>
              <w:spacing w:line="240" w:lineRule="auto"/>
              <w:ind w:firstLine="0" w:firstLineChars="0"/>
              <w:jc w:val="center"/>
              <w:rPr>
                <w:rFonts w:hint="eastAsia" w:ascii="宋体" w:hAnsi="宋体" w:eastAsia="宋体" w:cs="宋体"/>
                <w:color w:val="auto"/>
                <w:kern w:val="21"/>
                <w:sz w:val="24"/>
                <w:szCs w:val="24"/>
                <w:vertAlign w:val="baseline"/>
                <w:lang w:val="en-US" w:eastAsia="zh-CN"/>
              </w:rPr>
            </w:pPr>
            <w:r>
              <w:rPr>
                <w:rFonts w:hint="eastAsia" w:cs="宋体"/>
                <w:color w:val="auto"/>
                <w:kern w:val="21"/>
                <w:sz w:val="24"/>
                <w:szCs w:val="24"/>
                <w:vertAlign w:val="baseline"/>
                <w:lang w:val="en-US" w:eastAsia="zh-CN"/>
              </w:rPr>
              <w:t>6</w:t>
            </w:r>
          </w:p>
        </w:tc>
        <w:tc>
          <w:tcPr>
            <w:tcW w:w="3519" w:type="dxa"/>
            <w:vAlign w:val="center"/>
          </w:tcPr>
          <w:p>
            <w:pPr>
              <w:pStyle w:val="51"/>
              <w:spacing w:line="240" w:lineRule="auto"/>
              <w:ind w:firstLine="0" w:firstLineChars="0"/>
              <w:jc w:val="center"/>
              <w:rPr>
                <w:rFonts w:hint="eastAsia" w:ascii="宋体" w:hAnsi="宋体" w:eastAsia="宋体" w:cs="宋体"/>
                <w:color w:val="auto"/>
                <w:kern w:val="21"/>
                <w:sz w:val="24"/>
                <w:szCs w:val="24"/>
                <w:vertAlign w:val="baseline"/>
              </w:rPr>
            </w:pPr>
            <w:r>
              <w:rPr>
                <w:rFonts w:hint="eastAsia"/>
                <w:color w:val="auto"/>
              </w:rPr>
              <w:t>交流电压回路过载能力</w:t>
            </w:r>
          </w:p>
        </w:tc>
        <w:tc>
          <w:tcPr>
            <w:tcW w:w="734" w:type="dxa"/>
            <w:vAlign w:val="center"/>
          </w:tcPr>
          <w:p>
            <w:pPr>
              <w:pStyle w:val="51"/>
              <w:spacing w:line="240" w:lineRule="auto"/>
              <w:ind w:firstLine="0" w:firstLineChars="0"/>
              <w:jc w:val="center"/>
              <w:rPr>
                <w:rFonts w:hint="eastAsia" w:ascii="宋体" w:hAnsi="宋体" w:eastAsia="宋体" w:cs="宋体"/>
                <w:color w:val="auto"/>
                <w:kern w:val="21"/>
                <w:sz w:val="24"/>
                <w:szCs w:val="24"/>
                <w:vertAlign w:val="baseline"/>
              </w:rPr>
            </w:pPr>
          </w:p>
        </w:tc>
        <w:tc>
          <w:tcPr>
            <w:tcW w:w="3541" w:type="dxa"/>
            <w:vAlign w:val="center"/>
          </w:tcPr>
          <w:p>
            <w:pPr>
              <w:pStyle w:val="51"/>
              <w:spacing w:line="240" w:lineRule="auto"/>
              <w:ind w:firstLine="0" w:firstLineChars="0"/>
              <w:jc w:val="center"/>
              <w:rPr>
                <w:rFonts w:hint="eastAsia" w:ascii="宋体" w:hAnsi="宋体" w:eastAsia="宋体" w:cs="宋体"/>
                <w:color w:val="auto"/>
                <w:kern w:val="21"/>
                <w:sz w:val="24"/>
                <w:szCs w:val="24"/>
                <w:vertAlign w:val="baseline"/>
              </w:rPr>
            </w:pPr>
            <w:r>
              <w:rPr>
                <w:rFonts w:hint="eastAsia" w:cs="宋体"/>
                <w:color w:val="auto"/>
                <w:kern w:val="21"/>
                <w:szCs w:val="24"/>
              </w:rPr>
              <w:t>1.2Un，连续工作；1.4Un，10s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8" w:type="dxa"/>
            <w:vAlign w:val="center"/>
          </w:tcPr>
          <w:p>
            <w:pPr>
              <w:pStyle w:val="51"/>
              <w:spacing w:line="240" w:lineRule="auto"/>
              <w:ind w:firstLine="0" w:firstLineChars="0"/>
              <w:jc w:val="center"/>
              <w:rPr>
                <w:rFonts w:hint="eastAsia" w:ascii="宋体" w:hAnsi="宋体" w:eastAsia="宋体" w:cs="宋体"/>
                <w:color w:val="auto"/>
                <w:kern w:val="21"/>
                <w:sz w:val="24"/>
                <w:szCs w:val="24"/>
                <w:vertAlign w:val="baseline"/>
                <w:lang w:val="en-US" w:eastAsia="zh-CN"/>
              </w:rPr>
            </w:pPr>
            <w:r>
              <w:rPr>
                <w:rFonts w:hint="eastAsia" w:cs="宋体"/>
                <w:color w:val="auto"/>
                <w:kern w:val="21"/>
                <w:sz w:val="24"/>
                <w:szCs w:val="24"/>
                <w:vertAlign w:val="baseline"/>
                <w:lang w:val="en-US" w:eastAsia="zh-CN"/>
              </w:rPr>
              <w:t>7</w:t>
            </w:r>
          </w:p>
        </w:tc>
        <w:tc>
          <w:tcPr>
            <w:tcW w:w="3519" w:type="dxa"/>
            <w:vAlign w:val="center"/>
          </w:tcPr>
          <w:p>
            <w:pPr>
              <w:pStyle w:val="51"/>
              <w:spacing w:line="240" w:lineRule="auto"/>
              <w:ind w:firstLine="0" w:firstLineChars="0"/>
              <w:jc w:val="center"/>
              <w:rPr>
                <w:rFonts w:hint="eastAsia" w:ascii="宋体" w:hAnsi="宋体" w:eastAsia="宋体" w:cs="宋体"/>
                <w:color w:val="auto"/>
                <w:kern w:val="21"/>
                <w:sz w:val="24"/>
                <w:szCs w:val="24"/>
                <w:vertAlign w:val="baseline"/>
              </w:rPr>
            </w:pPr>
            <w:r>
              <w:rPr>
                <w:rFonts w:hint="eastAsia"/>
                <w:color w:val="auto"/>
              </w:rPr>
              <w:t>交流电压回路功率损耗（每相）</w:t>
            </w:r>
          </w:p>
        </w:tc>
        <w:tc>
          <w:tcPr>
            <w:tcW w:w="734" w:type="dxa"/>
            <w:vAlign w:val="center"/>
          </w:tcPr>
          <w:p>
            <w:pPr>
              <w:pStyle w:val="51"/>
              <w:spacing w:line="240" w:lineRule="auto"/>
              <w:ind w:firstLine="0" w:firstLineChars="0"/>
              <w:jc w:val="center"/>
              <w:rPr>
                <w:rFonts w:hint="eastAsia" w:ascii="宋体" w:hAnsi="宋体" w:eastAsia="宋体" w:cs="宋体"/>
                <w:color w:val="auto"/>
                <w:kern w:val="21"/>
                <w:sz w:val="24"/>
                <w:szCs w:val="24"/>
                <w:vertAlign w:val="baseline"/>
              </w:rPr>
            </w:pPr>
            <w:r>
              <w:rPr>
                <w:rFonts w:hint="eastAsia" w:cs="宋体"/>
                <w:color w:val="auto"/>
                <w:kern w:val="21"/>
                <w:szCs w:val="24"/>
              </w:rPr>
              <w:t>VA</w:t>
            </w:r>
          </w:p>
        </w:tc>
        <w:tc>
          <w:tcPr>
            <w:tcW w:w="3541" w:type="dxa"/>
            <w:vAlign w:val="center"/>
          </w:tcPr>
          <w:p>
            <w:pPr>
              <w:pStyle w:val="51"/>
              <w:spacing w:line="240" w:lineRule="auto"/>
              <w:ind w:firstLine="0" w:firstLineChars="0"/>
              <w:jc w:val="center"/>
              <w:rPr>
                <w:rFonts w:hint="eastAsia" w:ascii="宋体" w:hAnsi="宋体" w:eastAsia="宋体" w:cs="宋体"/>
                <w:color w:val="auto"/>
                <w:kern w:val="21"/>
                <w:sz w:val="24"/>
                <w:szCs w:val="24"/>
                <w:vertAlign w:val="baseline"/>
              </w:rPr>
            </w:pPr>
            <w:r>
              <w:rPr>
                <w:rFonts w:hint="eastAsia" w:cs="宋体"/>
                <w:color w:val="auto"/>
                <w:kern w:val="21"/>
                <w:szCs w:val="24"/>
              </w:rPr>
              <w:t>≤1VA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8" w:type="dxa"/>
            <w:vAlign w:val="center"/>
          </w:tcPr>
          <w:p>
            <w:pPr>
              <w:pStyle w:val="51"/>
              <w:spacing w:line="240" w:lineRule="auto"/>
              <w:ind w:firstLine="0" w:firstLineChars="0"/>
              <w:jc w:val="center"/>
              <w:rPr>
                <w:rFonts w:hint="eastAsia" w:ascii="宋体" w:hAnsi="宋体" w:eastAsia="宋体" w:cs="宋体"/>
                <w:color w:val="auto"/>
                <w:kern w:val="21"/>
                <w:sz w:val="24"/>
                <w:szCs w:val="24"/>
                <w:vertAlign w:val="baseline"/>
                <w:lang w:val="en-US" w:eastAsia="zh-CN"/>
              </w:rPr>
            </w:pPr>
            <w:r>
              <w:rPr>
                <w:rFonts w:hint="eastAsia" w:cs="宋体"/>
                <w:color w:val="auto"/>
                <w:kern w:val="21"/>
                <w:sz w:val="24"/>
                <w:szCs w:val="24"/>
                <w:vertAlign w:val="baseline"/>
                <w:lang w:val="en-US" w:eastAsia="zh-CN"/>
              </w:rPr>
              <w:t>8</w:t>
            </w:r>
          </w:p>
        </w:tc>
        <w:tc>
          <w:tcPr>
            <w:tcW w:w="3519" w:type="dxa"/>
            <w:vAlign w:val="center"/>
          </w:tcPr>
          <w:p>
            <w:pPr>
              <w:pStyle w:val="51"/>
              <w:spacing w:line="240" w:lineRule="auto"/>
              <w:ind w:firstLine="0" w:firstLineChars="0"/>
              <w:jc w:val="center"/>
              <w:rPr>
                <w:rFonts w:hint="eastAsia" w:ascii="宋体" w:hAnsi="宋体" w:eastAsia="宋体" w:cs="宋体"/>
                <w:color w:val="auto"/>
                <w:kern w:val="21"/>
                <w:sz w:val="24"/>
                <w:szCs w:val="24"/>
                <w:vertAlign w:val="baseline"/>
              </w:rPr>
            </w:pPr>
            <w:r>
              <w:rPr>
                <w:rFonts w:hint="eastAsia" w:cs="宋体"/>
                <w:color w:val="auto"/>
                <w:kern w:val="21"/>
                <w:szCs w:val="24"/>
              </w:rPr>
              <w:t>交流电流回路功率损耗（每相）</w:t>
            </w:r>
          </w:p>
        </w:tc>
        <w:tc>
          <w:tcPr>
            <w:tcW w:w="734" w:type="dxa"/>
            <w:vAlign w:val="center"/>
          </w:tcPr>
          <w:p>
            <w:pPr>
              <w:pStyle w:val="51"/>
              <w:spacing w:line="240" w:lineRule="auto"/>
              <w:ind w:firstLine="0" w:firstLineChars="0"/>
              <w:jc w:val="center"/>
              <w:rPr>
                <w:rFonts w:hint="eastAsia" w:ascii="宋体" w:hAnsi="宋体" w:eastAsia="宋体" w:cs="宋体"/>
                <w:color w:val="auto"/>
                <w:kern w:val="21"/>
                <w:sz w:val="24"/>
                <w:szCs w:val="24"/>
                <w:vertAlign w:val="baseline"/>
              </w:rPr>
            </w:pPr>
            <w:r>
              <w:rPr>
                <w:rFonts w:hint="eastAsia" w:cs="宋体"/>
                <w:color w:val="auto"/>
                <w:kern w:val="21"/>
                <w:szCs w:val="24"/>
              </w:rPr>
              <w:t>VA</w:t>
            </w:r>
          </w:p>
        </w:tc>
        <w:tc>
          <w:tcPr>
            <w:tcW w:w="3541" w:type="dxa"/>
            <w:vAlign w:val="center"/>
          </w:tcPr>
          <w:p>
            <w:pPr>
              <w:pStyle w:val="51"/>
              <w:keepNext w:val="0"/>
              <w:keepLines w:val="0"/>
              <w:pageBreakBefore w:val="0"/>
              <w:widowControl w:val="0"/>
              <w:kinsoku/>
              <w:wordWrap/>
              <w:overflowPunct/>
              <w:topLinePunct/>
              <w:autoSpaceDE/>
              <w:autoSpaceDN/>
              <w:bidi w:val="0"/>
              <w:adjustRightInd/>
              <w:snapToGrid/>
              <w:spacing w:line="240" w:lineRule="auto"/>
              <w:ind w:firstLine="0" w:firstLineChars="0"/>
              <w:jc w:val="center"/>
              <w:textAlignment w:val="auto"/>
              <w:rPr>
                <w:rFonts w:hint="eastAsia" w:cs="宋体"/>
                <w:color w:val="auto"/>
                <w:kern w:val="21"/>
                <w:szCs w:val="24"/>
              </w:rPr>
            </w:pPr>
            <w:r>
              <w:rPr>
                <w:rFonts w:hint="eastAsia" w:cs="宋体"/>
                <w:color w:val="auto"/>
                <w:kern w:val="21"/>
                <w:szCs w:val="24"/>
              </w:rPr>
              <w:t>≤0.5VA(In=1A)</w:t>
            </w:r>
          </w:p>
          <w:p>
            <w:pPr>
              <w:pStyle w:val="51"/>
              <w:spacing w:line="240" w:lineRule="auto"/>
              <w:ind w:firstLine="0" w:firstLineChars="0"/>
              <w:jc w:val="center"/>
              <w:rPr>
                <w:rFonts w:hint="eastAsia" w:ascii="宋体" w:hAnsi="宋体" w:eastAsia="宋体" w:cs="宋体"/>
                <w:color w:val="auto"/>
                <w:kern w:val="21"/>
                <w:sz w:val="24"/>
                <w:szCs w:val="24"/>
                <w:vertAlign w:val="baseline"/>
              </w:rPr>
            </w:pPr>
            <w:r>
              <w:rPr>
                <w:rFonts w:hint="eastAsia" w:cs="宋体"/>
                <w:color w:val="auto"/>
                <w:kern w:val="21"/>
                <w:szCs w:val="24"/>
              </w:rPr>
              <w:t>≤1VA（In=5A）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8" w:type="dxa"/>
            <w:vAlign w:val="center"/>
          </w:tcPr>
          <w:p>
            <w:pPr>
              <w:pStyle w:val="51"/>
              <w:spacing w:line="240" w:lineRule="auto"/>
              <w:ind w:firstLine="0" w:firstLineChars="0"/>
              <w:jc w:val="center"/>
              <w:rPr>
                <w:rFonts w:hint="eastAsia" w:ascii="宋体" w:hAnsi="宋体" w:eastAsia="宋体" w:cs="宋体"/>
                <w:color w:val="auto"/>
                <w:kern w:val="21"/>
                <w:sz w:val="24"/>
                <w:szCs w:val="24"/>
                <w:vertAlign w:val="baseline"/>
                <w:lang w:val="en-US" w:eastAsia="zh-CN"/>
              </w:rPr>
            </w:pPr>
            <w:r>
              <w:rPr>
                <w:rFonts w:hint="eastAsia" w:cs="宋体"/>
                <w:color w:val="auto"/>
                <w:kern w:val="21"/>
                <w:sz w:val="24"/>
                <w:szCs w:val="24"/>
                <w:vertAlign w:val="baseline"/>
                <w:lang w:val="en-US" w:eastAsia="zh-CN"/>
              </w:rPr>
              <w:t>9</w:t>
            </w:r>
          </w:p>
        </w:tc>
        <w:tc>
          <w:tcPr>
            <w:tcW w:w="3519" w:type="dxa"/>
            <w:vAlign w:val="center"/>
          </w:tcPr>
          <w:p>
            <w:pPr>
              <w:pStyle w:val="51"/>
              <w:spacing w:line="240" w:lineRule="auto"/>
              <w:ind w:firstLine="0" w:firstLineChars="0"/>
              <w:jc w:val="center"/>
              <w:rPr>
                <w:rFonts w:hint="eastAsia" w:ascii="宋体" w:hAnsi="宋体" w:eastAsia="宋体" w:cs="宋体"/>
                <w:color w:val="auto"/>
                <w:kern w:val="21"/>
                <w:sz w:val="24"/>
                <w:szCs w:val="24"/>
                <w:vertAlign w:val="baseline"/>
              </w:rPr>
            </w:pPr>
            <w:r>
              <w:rPr>
                <w:rFonts w:hint="eastAsia" w:cs="宋体"/>
                <w:color w:val="auto"/>
                <w:kern w:val="21"/>
                <w:szCs w:val="24"/>
              </w:rPr>
              <w:t>装置直流消耗</w:t>
            </w:r>
          </w:p>
        </w:tc>
        <w:tc>
          <w:tcPr>
            <w:tcW w:w="734" w:type="dxa"/>
            <w:vAlign w:val="center"/>
          </w:tcPr>
          <w:p>
            <w:pPr>
              <w:pStyle w:val="51"/>
              <w:spacing w:line="240" w:lineRule="auto"/>
              <w:ind w:firstLine="0" w:firstLineChars="0"/>
              <w:jc w:val="center"/>
              <w:rPr>
                <w:rFonts w:hint="eastAsia" w:ascii="宋体" w:hAnsi="宋体" w:eastAsia="宋体" w:cs="宋体"/>
                <w:color w:val="auto"/>
                <w:kern w:val="21"/>
                <w:sz w:val="24"/>
                <w:szCs w:val="24"/>
                <w:vertAlign w:val="baseline"/>
              </w:rPr>
            </w:pPr>
            <w:r>
              <w:rPr>
                <w:rFonts w:hint="eastAsia" w:cs="宋体"/>
                <w:color w:val="auto"/>
                <w:kern w:val="21"/>
                <w:szCs w:val="24"/>
              </w:rPr>
              <w:t>W</w:t>
            </w:r>
          </w:p>
        </w:tc>
        <w:tc>
          <w:tcPr>
            <w:tcW w:w="3541" w:type="dxa"/>
            <w:vAlign w:val="center"/>
          </w:tcPr>
          <w:p>
            <w:pPr>
              <w:pStyle w:val="51"/>
              <w:keepNext w:val="0"/>
              <w:keepLines w:val="0"/>
              <w:pageBreakBefore w:val="0"/>
              <w:widowControl w:val="0"/>
              <w:kinsoku/>
              <w:wordWrap/>
              <w:overflowPunct/>
              <w:topLinePunct/>
              <w:autoSpaceDE/>
              <w:autoSpaceDN/>
              <w:bidi w:val="0"/>
              <w:adjustRightInd/>
              <w:snapToGrid/>
              <w:spacing w:line="240" w:lineRule="auto"/>
              <w:ind w:firstLine="0" w:firstLineChars="0"/>
              <w:jc w:val="center"/>
              <w:textAlignment w:val="auto"/>
              <w:rPr>
                <w:rFonts w:hint="eastAsia" w:cs="宋体"/>
                <w:color w:val="auto"/>
                <w:kern w:val="21"/>
                <w:szCs w:val="24"/>
              </w:rPr>
            </w:pPr>
            <w:r>
              <w:rPr>
                <w:rFonts w:hint="eastAsia" w:cs="宋体"/>
                <w:color w:val="auto"/>
                <w:kern w:val="21"/>
                <w:szCs w:val="24"/>
              </w:rPr>
              <w:t>≤50W(工作时)</w:t>
            </w:r>
          </w:p>
          <w:p>
            <w:pPr>
              <w:pStyle w:val="51"/>
              <w:spacing w:line="240" w:lineRule="auto"/>
              <w:ind w:firstLine="0" w:firstLineChars="0"/>
              <w:jc w:val="center"/>
              <w:rPr>
                <w:rFonts w:hint="eastAsia" w:cs="宋体"/>
                <w:color w:val="auto"/>
                <w:kern w:val="21"/>
                <w:szCs w:val="24"/>
              </w:rPr>
            </w:pPr>
            <w:r>
              <w:rPr>
                <w:rFonts w:hint="eastAsia" w:cs="宋体"/>
                <w:color w:val="auto"/>
                <w:kern w:val="21"/>
                <w:szCs w:val="24"/>
              </w:rPr>
              <w:t xml:space="preserve"> ≤80W（动作时）</w:t>
            </w:r>
          </w:p>
          <w:p>
            <w:pPr>
              <w:pStyle w:val="51"/>
              <w:spacing w:line="240" w:lineRule="auto"/>
              <w:ind w:firstLine="0" w:firstLineChars="0"/>
              <w:jc w:val="center"/>
              <w:rPr>
                <w:rFonts w:hint="eastAsia" w:ascii="宋体" w:hAnsi="宋体" w:eastAsia="宋体" w:cs="宋体"/>
                <w:color w:val="auto"/>
                <w:kern w:val="21"/>
                <w:sz w:val="24"/>
                <w:szCs w:val="24"/>
                <w:vertAlign w:val="baseline"/>
              </w:rPr>
            </w:pPr>
            <w:r>
              <w:rPr>
                <w:rFonts w:hint="eastAsia" w:cs="宋体"/>
                <w:color w:val="auto"/>
                <w:kern w:val="21"/>
                <w:szCs w:val="24"/>
              </w:rPr>
              <w:t>当招标方提出特殊要求导致装置的接入量超过一定规模时，该指标可适当放宽。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8" w:type="dxa"/>
            <w:vAlign w:val="center"/>
          </w:tcPr>
          <w:p>
            <w:pPr>
              <w:pStyle w:val="51"/>
              <w:spacing w:line="240" w:lineRule="auto"/>
              <w:ind w:firstLine="0" w:firstLineChars="0"/>
              <w:jc w:val="center"/>
              <w:rPr>
                <w:rFonts w:hint="default" w:cs="宋体"/>
                <w:color w:val="auto"/>
                <w:kern w:val="21"/>
                <w:sz w:val="24"/>
                <w:szCs w:val="24"/>
                <w:vertAlign w:val="baseline"/>
                <w:lang w:val="en-US" w:eastAsia="zh-CN"/>
              </w:rPr>
            </w:pPr>
            <w:r>
              <w:rPr>
                <w:rFonts w:hint="eastAsia" w:cs="宋体"/>
                <w:color w:val="auto"/>
                <w:kern w:val="21"/>
                <w:sz w:val="24"/>
                <w:szCs w:val="24"/>
                <w:vertAlign w:val="baseline"/>
                <w:lang w:val="en-US" w:eastAsia="zh-CN"/>
              </w:rPr>
              <w:t>10</w:t>
            </w:r>
          </w:p>
        </w:tc>
        <w:tc>
          <w:tcPr>
            <w:tcW w:w="3519" w:type="dxa"/>
            <w:vAlign w:val="center"/>
          </w:tcPr>
          <w:p>
            <w:pPr>
              <w:pStyle w:val="51"/>
              <w:spacing w:line="240" w:lineRule="auto"/>
              <w:ind w:firstLine="0" w:firstLineChars="0"/>
              <w:jc w:val="center"/>
              <w:rPr>
                <w:rFonts w:hint="eastAsia" w:ascii="宋体" w:hAnsi="宋体" w:eastAsia="宋体" w:cs="宋体"/>
                <w:color w:val="auto"/>
                <w:kern w:val="21"/>
                <w:sz w:val="24"/>
                <w:szCs w:val="24"/>
                <w:vertAlign w:val="baseline"/>
              </w:rPr>
            </w:pPr>
            <w:r>
              <w:rPr>
                <w:rFonts w:hint="eastAsia" w:cs="宋体"/>
                <w:color w:val="auto"/>
                <w:kern w:val="21"/>
                <w:szCs w:val="24"/>
              </w:rPr>
              <w:t>跳闸触点容量</w:t>
            </w:r>
          </w:p>
        </w:tc>
        <w:tc>
          <w:tcPr>
            <w:tcW w:w="734" w:type="dxa"/>
            <w:vAlign w:val="center"/>
          </w:tcPr>
          <w:p>
            <w:pPr>
              <w:pStyle w:val="51"/>
              <w:spacing w:line="240" w:lineRule="auto"/>
              <w:ind w:firstLine="0" w:firstLineChars="0"/>
              <w:jc w:val="center"/>
              <w:rPr>
                <w:rFonts w:hint="eastAsia" w:ascii="宋体" w:hAnsi="宋体" w:eastAsia="宋体" w:cs="宋体"/>
                <w:color w:val="auto"/>
                <w:kern w:val="21"/>
                <w:sz w:val="24"/>
                <w:szCs w:val="24"/>
                <w:vertAlign w:val="baseline"/>
              </w:rPr>
            </w:pPr>
          </w:p>
        </w:tc>
        <w:tc>
          <w:tcPr>
            <w:tcW w:w="3541" w:type="dxa"/>
            <w:vAlign w:val="center"/>
          </w:tcPr>
          <w:p>
            <w:pPr>
              <w:pStyle w:val="51"/>
              <w:keepNext w:val="0"/>
              <w:keepLines w:val="0"/>
              <w:pageBreakBefore w:val="0"/>
              <w:widowControl w:val="0"/>
              <w:kinsoku/>
              <w:wordWrap/>
              <w:overflowPunct/>
              <w:topLinePunct/>
              <w:autoSpaceDE/>
              <w:autoSpaceDN/>
              <w:bidi w:val="0"/>
              <w:adjustRightInd/>
              <w:snapToGrid/>
              <w:spacing w:line="240" w:lineRule="auto"/>
              <w:ind w:firstLine="0" w:firstLineChars="0"/>
              <w:jc w:val="center"/>
              <w:textAlignment w:val="auto"/>
              <w:rPr>
                <w:rFonts w:hint="eastAsia" w:cs="宋体"/>
                <w:color w:val="auto"/>
                <w:kern w:val="21"/>
                <w:szCs w:val="24"/>
              </w:rPr>
            </w:pPr>
            <w:r>
              <w:rPr>
                <w:rFonts w:hint="eastAsia" w:cs="宋体"/>
                <w:color w:val="auto"/>
                <w:kern w:val="21"/>
                <w:szCs w:val="24"/>
              </w:rPr>
              <w:t>长期允许通过电流不小于5A；</w:t>
            </w:r>
          </w:p>
          <w:p>
            <w:pPr>
              <w:pStyle w:val="51"/>
              <w:spacing w:line="240" w:lineRule="auto"/>
              <w:ind w:firstLine="0" w:firstLineChars="0"/>
              <w:jc w:val="center"/>
              <w:rPr>
                <w:rFonts w:hint="eastAsia" w:ascii="宋体" w:hAnsi="宋体" w:eastAsia="宋体" w:cs="宋体"/>
                <w:color w:val="auto"/>
                <w:kern w:val="21"/>
                <w:sz w:val="24"/>
                <w:szCs w:val="24"/>
                <w:vertAlign w:val="baseline"/>
              </w:rPr>
            </w:pPr>
            <w:r>
              <w:rPr>
                <w:rFonts w:hint="eastAsia" w:cs="宋体"/>
                <w:color w:val="auto"/>
                <w:kern w:val="21"/>
                <w:szCs w:val="24"/>
              </w:rPr>
              <w:t>触点断开容量为不小于50W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8" w:type="dxa"/>
            <w:vAlign w:val="center"/>
          </w:tcPr>
          <w:p>
            <w:pPr>
              <w:pStyle w:val="51"/>
              <w:spacing w:line="240" w:lineRule="auto"/>
              <w:ind w:firstLine="0" w:firstLineChars="0"/>
              <w:jc w:val="center"/>
              <w:rPr>
                <w:rFonts w:hint="default" w:cs="宋体"/>
                <w:color w:val="auto"/>
                <w:kern w:val="21"/>
                <w:sz w:val="24"/>
                <w:szCs w:val="24"/>
                <w:vertAlign w:val="baseline"/>
                <w:lang w:val="en-US" w:eastAsia="zh-CN"/>
              </w:rPr>
            </w:pPr>
            <w:r>
              <w:rPr>
                <w:rFonts w:hint="eastAsia" w:cs="宋体"/>
                <w:color w:val="auto"/>
                <w:kern w:val="21"/>
                <w:sz w:val="24"/>
                <w:szCs w:val="24"/>
                <w:vertAlign w:val="baseline"/>
                <w:lang w:val="en-US" w:eastAsia="zh-CN"/>
              </w:rPr>
              <w:t>11</w:t>
            </w:r>
          </w:p>
        </w:tc>
        <w:tc>
          <w:tcPr>
            <w:tcW w:w="3519" w:type="dxa"/>
            <w:vAlign w:val="center"/>
          </w:tcPr>
          <w:p>
            <w:pPr>
              <w:pStyle w:val="51"/>
              <w:spacing w:line="240" w:lineRule="auto"/>
              <w:ind w:firstLine="0" w:firstLineChars="0"/>
              <w:jc w:val="center"/>
              <w:rPr>
                <w:rFonts w:hint="eastAsia" w:ascii="宋体" w:hAnsi="宋体" w:eastAsia="宋体" w:cs="宋体"/>
                <w:color w:val="auto"/>
                <w:kern w:val="21"/>
                <w:sz w:val="24"/>
                <w:szCs w:val="24"/>
                <w:vertAlign w:val="baseline"/>
              </w:rPr>
            </w:pPr>
            <w:r>
              <w:rPr>
                <w:rFonts w:hint="eastAsia" w:cs="宋体"/>
                <w:color w:val="auto"/>
                <w:kern w:val="21"/>
                <w:szCs w:val="24"/>
              </w:rPr>
              <w:t>其它触点容量</w:t>
            </w:r>
          </w:p>
        </w:tc>
        <w:tc>
          <w:tcPr>
            <w:tcW w:w="734" w:type="dxa"/>
            <w:vAlign w:val="center"/>
          </w:tcPr>
          <w:p>
            <w:pPr>
              <w:pStyle w:val="51"/>
              <w:spacing w:line="240" w:lineRule="auto"/>
              <w:ind w:firstLine="0" w:firstLineChars="0"/>
              <w:jc w:val="center"/>
              <w:rPr>
                <w:rFonts w:hint="eastAsia" w:ascii="宋体" w:hAnsi="宋体" w:eastAsia="宋体" w:cs="宋体"/>
                <w:color w:val="auto"/>
                <w:kern w:val="21"/>
                <w:sz w:val="24"/>
                <w:szCs w:val="24"/>
                <w:vertAlign w:val="baseline"/>
              </w:rPr>
            </w:pPr>
          </w:p>
        </w:tc>
        <w:tc>
          <w:tcPr>
            <w:tcW w:w="3541" w:type="dxa"/>
            <w:vAlign w:val="center"/>
          </w:tcPr>
          <w:p>
            <w:pPr>
              <w:pStyle w:val="51"/>
              <w:keepNext w:val="0"/>
              <w:keepLines w:val="0"/>
              <w:pageBreakBefore w:val="0"/>
              <w:widowControl w:val="0"/>
              <w:kinsoku/>
              <w:wordWrap/>
              <w:overflowPunct/>
              <w:topLinePunct/>
              <w:autoSpaceDE/>
              <w:autoSpaceDN/>
              <w:bidi w:val="0"/>
              <w:adjustRightInd/>
              <w:snapToGrid/>
              <w:spacing w:line="240" w:lineRule="auto"/>
              <w:ind w:firstLine="0" w:firstLineChars="0"/>
              <w:jc w:val="center"/>
              <w:textAlignment w:val="auto"/>
              <w:rPr>
                <w:rFonts w:hint="eastAsia" w:cs="宋体"/>
                <w:color w:val="auto"/>
                <w:kern w:val="21"/>
                <w:szCs w:val="24"/>
              </w:rPr>
            </w:pPr>
            <w:r>
              <w:rPr>
                <w:rFonts w:hint="eastAsia" w:cs="宋体"/>
                <w:color w:val="auto"/>
                <w:kern w:val="21"/>
                <w:szCs w:val="24"/>
              </w:rPr>
              <w:t>长期允许通过电流不小于2A；</w:t>
            </w:r>
          </w:p>
          <w:p>
            <w:pPr>
              <w:pStyle w:val="51"/>
              <w:spacing w:line="240" w:lineRule="auto"/>
              <w:ind w:firstLine="0" w:firstLineChars="0"/>
              <w:jc w:val="center"/>
              <w:rPr>
                <w:rFonts w:hint="eastAsia" w:ascii="宋体" w:hAnsi="宋体" w:eastAsia="宋体" w:cs="宋体"/>
                <w:color w:val="auto"/>
                <w:kern w:val="21"/>
                <w:sz w:val="24"/>
                <w:szCs w:val="24"/>
                <w:vertAlign w:val="baseline"/>
              </w:rPr>
            </w:pPr>
            <w:r>
              <w:rPr>
                <w:rFonts w:hint="eastAsia" w:cs="宋体"/>
                <w:color w:val="auto"/>
                <w:kern w:val="21"/>
                <w:szCs w:val="24"/>
              </w:rPr>
              <w:t>触点断开容量为不小于30W</w:t>
            </w:r>
          </w:p>
        </w:tc>
      </w:tr>
    </w:tbl>
    <w:p>
      <w:pPr>
        <w:pStyle w:val="5"/>
        <w:spacing w:line="360" w:lineRule="auto"/>
        <w:rPr>
          <w:rFonts w:hint="eastAsia" w:ascii="宋体" w:hAnsi="宋体" w:eastAsia="宋体" w:cs="宋体"/>
          <w:color w:val="auto"/>
          <w:kern w:val="21"/>
          <w:szCs w:val="24"/>
        </w:rPr>
      </w:pPr>
      <w:r>
        <w:rPr>
          <w:rFonts w:hint="eastAsia"/>
          <w:color w:val="auto"/>
          <w:lang w:val="en-US" w:eastAsia="zh-CN"/>
        </w:rPr>
        <w:t>10.5.5</w:t>
      </w:r>
      <w:r>
        <w:rPr>
          <w:rFonts w:hint="eastAsia"/>
          <w:color w:val="auto"/>
        </w:rPr>
        <w:t>保护测控一体化装置</w:t>
      </w:r>
    </w:p>
    <w:p>
      <w:pPr>
        <w:spacing w:line="360" w:lineRule="auto"/>
        <w:ind w:firstLine="480"/>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储能</w:t>
      </w:r>
      <w:r>
        <w:rPr>
          <w:rFonts w:hint="eastAsia" w:ascii="宋体" w:hAnsi="宋体" w:eastAsia="宋体" w:cs="宋体"/>
          <w:color w:val="auto"/>
          <w:sz w:val="24"/>
          <w:szCs w:val="24"/>
          <w:lang w:val="en-US" w:eastAsia="zh-CN"/>
        </w:rPr>
        <w:t>电站并网线路发生各种类型短路故障时，</w:t>
      </w:r>
      <w:r>
        <w:rPr>
          <w:rFonts w:hint="eastAsia" w:ascii="宋体" w:hAnsi="宋体" w:cs="宋体"/>
          <w:color w:val="auto"/>
          <w:sz w:val="24"/>
          <w:szCs w:val="24"/>
          <w:lang w:val="en-US" w:eastAsia="zh-CN"/>
        </w:rPr>
        <w:t>保护测控一体化装置</w:t>
      </w:r>
      <w:r>
        <w:rPr>
          <w:rFonts w:hint="eastAsia" w:ascii="宋体" w:hAnsi="宋体" w:eastAsia="宋体" w:cs="宋体"/>
          <w:color w:val="auto"/>
          <w:sz w:val="24"/>
          <w:szCs w:val="24"/>
          <w:lang w:val="en-US" w:eastAsia="zh-CN"/>
        </w:rPr>
        <w:t>能快速动作，瞬时跳开相应断路器，满足全线故障时快速可靠切除故障的要求。采用重合闸时，应具备检无压和检同期合闸功能。并网柜与并网点开关柜功能保持一直，相应的“四遥”功能必须接入机场电力智能监控系统，实现统一监控、原创操控及现场操作。</w:t>
      </w:r>
    </w:p>
    <w:p>
      <w:pPr>
        <w:spacing w:line="360" w:lineRule="auto"/>
        <w:ind w:firstLine="480"/>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（1）</w:t>
      </w:r>
      <w:r>
        <w:rPr>
          <w:rFonts w:hint="eastAsia" w:ascii="宋体" w:hAnsi="宋体" w:eastAsia="宋体" w:cs="宋体"/>
          <w:color w:val="auto"/>
          <w:sz w:val="24"/>
          <w:szCs w:val="24"/>
          <w:lang w:val="en-US" w:eastAsia="zh-CN"/>
        </w:rPr>
        <w:t>要求如下：</w:t>
      </w:r>
    </w:p>
    <w:p>
      <w:pPr>
        <w:spacing w:line="360" w:lineRule="auto"/>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1）微机综合继电保护器尚有故障录波、电能计量等功能，计量精度等级1级，配有光端口、以太网、RS485、RS232等通讯接口，支持DL/T 860、IEC 61850、DL/T 667（IEC60870-5-103）、DL/T 634.5104（IEC 60870-5-104）、Modbus RTU、TCP/IP、DNP3.0等标准通讯规约，符合GB/T 14285《继电保护和安全自动装置技术规程》。留可实现遥控、遥信、遥测联网功能，并按设计要求安装在开关柜内。能监测10kV高压配电柜进线、出线和母联的三相电流、三相电压、零序电压、零序电流、频率、功率因数、有功功率、无功功率、有功电能、无功电能满足标书对综合继保装置的要求。</w:t>
      </w:r>
    </w:p>
    <w:p>
      <w:pPr>
        <w:spacing w:line="360" w:lineRule="auto"/>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2）具有独立的操作回路，可进行断路器的正常遥控分、合；具有当地复归和远方复归功能；具有备自投和自动重合闸功能；具有液晶显示窗口，用以读取数据和测量值。操作界面应为中文或英文菜单。</w:t>
      </w:r>
    </w:p>
    <w:p>
      <w:pPr>
        <w:spacing w:line="360" w:lineRule="auto"/>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10kV高压配电柜所有进线、出线和母联断路器的开关状态及故障报警具有断路器分合位置、断路器操作机构故障、接地故障信号、接地刀闸位置、断路器小车位置、隔离车位置、摇控就地操作方式、储能电机异常、弹簧储能状态、控制回路断线、变压器超温跳闸信号以及综合继电保护器的故障跳闸信号和内部故障信号等信号开入采集量不少于10个。</w:t>
      </w:r>
    </w:p>
    <w:p>
      <w:pPr>
        <w:spacing w:line="360" w:lineRule="auto"/>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进线柜接地故障信号1对、手车位置信号（小车位置、隔离车位置）1对、接地刀闸分合闸状态信号1对、断路器状态信号1对、保护装置跳闸信号1对、断路器控制回路断线信号1对、断路器操作机构故障信号1对、继电保护动作信号和自动装置动作信号1对、高压断路器和低压断路器操作方式信号1对备用2对。</w:t>
      </w:r>
    </w:p>
    <w:p>
      <w:pPr>
        <w:spacing w:line="360" w:lineRule="auto"/>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5）断路器三相电流、零序电流、母线电压、有功和无功功率、有功和无功电度。具备至少两个脉冲输入点，装置具备电度量计数功能。</w:t>
      </w:r>
    </w:p>
    <w:p>
      <w:pPr>
        <w:spacing w:line="360" w:lineRule="auto"/>
        <w:ind w:firstLine="480"/>
        <w:rPr>
          <w:rFonts w:hint="eastAsia" w:ascii="宋体" w:hAnsi="宋体" w:eastAsia="宋体" w:cs="宋体"/>
          <w:color w:val="auto"/>
          <w:kern w:val="2"/>
          <w:sz w:val="24"/>
          <w:szCs w:val="24"/>
        </w:rPr>
      </w:pPr>
      <w:r>
        <w:rPr>
          <w:rFonts w:hint="eastAsia" w:ascii="宋体" w:hAnsi="宋体" w:eastAsia="宋体" w:cs="宋体"/>
          <w:color w:val="auto"/>
          <w:sz w:val="24"/>
          <w:szCs w:val="24"/>
          <w:lang w:val="en-US" w:eastAsia="zh-CN"/>
        </w:rPr>
        <w:t>6）具有故障记录功能，记录故障至少五次，故障录波时间总长不低于10秒；任意一段保护动作均应有详细的事件记录，通过串行口输出，并应有相应中央信号报警接点输出；具备至少两个备用遥控输出点。</w:t>
      </w:r>
    </w:p>
    <w:p>
      <w:pPr>
        <w:spacing w:line="360" w:lineRule="auto"/>
        <w:ind w:firstLine="480"/>
        <w:rPr>
          <w:rFonts w:hint="eastAsia" w:ascii="宋体" w:hAnsi="宋体" w:eastAsia="宋体" w:cs="宋体"/>
          <w:color w:val="auto"/>
          <w:kern w:val="2"/>
          <w:sz w:val="24"/>
          <w:szCs w:val="24"/>
        </w:rPr>
      </w:pPr>
      <w:r>
        <w:rPr>
          <w:rFonts w:hint="eastAsia" w:ascii="宋体" w:hAnsi="宋体" w:cs="宋体"/>
          <w:color w:val="auto"/>
          <w:sz w:val="24"/>
          <w:szCs w:val="24"/>
          <w:lang w:val="en-US" w:eastAsia="zh-CN"/>
        </w:rPr>
        <w:t>（2）</w:t>
      </w:r>
      <w:r>
        <w:rPr>
          <w:rFonts w:hint="eastAsia" w:ascii="宋体" w:hAnsi="宋体" w:eastAsia="宋体" w:cs="宋体"/>
          <w:color w:val="auto"/>
          <w:kern w:val="2"/>
          <w:sz w:val="24"/>
          <w:szCs w:val="24"/>
        </w:rPr>
        <w:t>保护测控一体化装置。装置至少应有以下功能：</w:t>
      </w:r>
    </w:p>
    <w:p>
      <w:pPr>
        <w:spacing w:line="360" w:lineRule="auto"/>
        <w:ind w:firstLine="48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1）测控功能</w:t>
      </w:r>
    </w:p>
    <w:p>
      <w:pPr>
        <w:spacing w:line="360" w:lineRule="auto"/>
        <w:ind w:firstLine="48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遥测量：Iam、Icm、I0、UA、UB、UC、UAB、UBC、UCA、U0、F、P、Q、COSф共14个模拟量。通过积分计算得出有功电度、无功电度，所有这些量都在当地实时计算，实时累加。电流精度达到0.2级，其余精度达到0.5级；</w:t>
      </w:r>
    </w:p>
    <w:p>
      <w:pPr>
        <w:spacing w:line="360" w:lineRule="auto"/>
        <w:ind w:firstLine="48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遥信量：20路自定义遥信开入，并有事件顺序记录(SOE)。遥信分辨率小于1ms；</w:t>
      </w:r>
    </w:p>
    <w:p>
      <w:pPr>
        <w:spacing w:line="360" w:lineRule="auto"/>
        <w:ind w:firstLine="48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遥控量：一组断路器遥控分/合、闭锁；</w:t>
      </w:r>
    </w:p>
    <w:p>
      <w:pPr>
        <w:spacing w:line="360" w:lineRule="auto"/>
        <w:ind w:firstLine="48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站变I/O测控装置具有至少3路4~20mA模拟量输入；</w:t>
      </w:r>
    </w:p>
    <w:p>
      <w:pPr>
        <w:spacing w:line="360" w:lineRule="auto"/>
        <w:ind w:firstLine="48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配有断路器操作插件，具有逻辑跳闸电路、操作闭锁电路、电源和跳合闸回路监视以及相关测试部件等，应可适应各种断路器操作机构；</w:t>
      </w:r>
    </w:p>
    <w:p>
      <w:pPr>
        <w:spacing w:line="360" w:lineRule="auto"/>
        <w:ind w:firstLine="48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逻辑闭锁功能，闭锁逻辑可编程；</w:t>
      </w:r>
    </w:p>
    <w:p>
      <w:pPr>
        <w:spacing w:line="360" w:lineRule="auto"/>
        <w:ind w:firstLine="48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2）对时功能：装置具有同步对时接口，同步对时方式采用RS485串行数据通信接口接收</w:t>
      </w:r>
      <w:r>
        <w:rPr>
          <w:rFonts w:hint="eastAsia" w:ascii="宋体" w:hAnsi="宋体" w:cs="宋体"/>
          <w:color w:val="auto"/>
          <w:kern w:val="2"/>
          <w:sz w:val="24"/>
          <w:szCs w:val="24"/>
          <w:lang w:val="en-US" w:eastAsia="zh-CN"/>
        </w:rPr>
        <w:t>北斗</w:t>
      </w:r>
      <w:r>
        <w:rPr>
          <w:rFonts w:hint="eastAsia" w:ascii="宋体" w:hAnsi="宋体" w:eastAsia="宋体" w:cs="宋体"/>
          <w:color w:val="auto"/>
          <w:kern w:val="2"/>
          <w:sz w:val="24"/>
          <w:szCs w:val="24"/>
        </w:rPr>
        <w:t>发出的IRIG-B(DC)时码作为对时信号源，对时误差小于1ms；</w:t>
      </w:r>
    </w:p>
    <w:p>
      <w:pPr>
        <w:spacing w:line="360" w:lineRule="auto"/>
        <w:ind w:firstLine="48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3）通信功能：具备强大的通信功能，配有独立的以太网（100Mbps），超五类线或光纤通讯接口，支持IEC60870-5-103规约；配有RS232和RS485接口，支持MODBUSRTU规约。</w:t>
      </w:r>
    </w:p>
    <w:p>
      <w:pPr>
        <w:spacing w:line="360" w:lineRule="auto"/>
        <w:ind w:firstLine="48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4）录波功能</w:t>
      </w:r>
    </w:p>
    <w:p>
      <w:pPr>
        <w:spacing w:line="360" w:lineRule="auto"/>
        <w:ind w:firstLine="48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装置应具有故障录波功能，能以COMTRADE数据格式输出上传监控主机。</w:t>
      </w:r>
    </w:p>
    <w:p>
      <w:pPr>
        <w:spacing w:line="360" w:lineRule="auto"/>
        <w:ind w:firstLine="48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记录故障前后线路电流、电压等模拟量，断路器位置、保护跳合闸命令等开关量。记录装置的操作事件、状态输入量变位事件、更改定值事件及装置告警事件等。</w:t>
      </w:r>
    </w:p>
    <w:p>
      <w:pPr>
        <w:spacing w:line="360" w:lineRule="auto"/>
        <w:ind w:firstLine="48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记录的录波报告为不小于10个，记录的事件不小于500条。记录的报告或事件可被PC机读取。</w:t>
      </w:r>
    </w:p>
    <w:p>
      <w:pPr>
        <w:spacing w:line="360" w:lineRule="auto"/>
        <w:ind w:firstLine="48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5）保护信息功能</w:t>
      </w:r>
    </w:p>
    <w:p>
      <w:pPr>
        <w:spacing w:line="360" w:lineRule="auto"/>
        <w:ind w:firstLine="48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装置描述的远方查看。</w:t>
      </w:r>
    </w:p>
    <w:p>
      <w:pPr>
        <w:spacing w:line="360" w:lineRule="auto"/>
        <w:ind w:firstLine="48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系统定值的远方查看。</w:t>
      </w:r>
    </w:p>
    <w:p>
      <w:pPr>
        <w:spacing w:line="360" w:lineRule="auto"/>
        <w:ind w:firstLine="48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保护定值和区号的远方查看、修改功能。</w:t>
      </w:r>
    </w:p>
    <w:p>
      <w:pPr>
        <w:spacing w:line="360" w:lineRule="auto"/>
        <w:ind w:firstLine="48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软压板状态的远方查看、投退、遥控功能。</w:t>
      </w:r>
    </w:p>
    <w:p>
      <w:pPr>
        <w:spacing w:line="360" w:lineRule="auto"/>
        <w:ind w:firstLine="48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装置保护开入状态的远方查看。</w:t>
      </w:r>
    </w:p>
    <w:p>
      <w:pPr>
        <w:spacing w:line="360" w:lineRule="auto"/>
        <w:ind w:firstLine="48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装置运行状态（包括保护动作元件的状态、运行告警和装置自检信息）的远方查看。</w:t>
      </w:r>
    </w:p>
    <w:p>
      <w:pPr>
        <w:spacing w:line="360" w:lineRule="auto"/>
        <w:ind w:firstLine="48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远方对装置信号复归。</w:t>
      </w:r>
    </w:p>
    <w:p>
      <w:pPr>
        <w:spacing w:line="360" w:lineRule="auto"/>
        <w:ind w:firstLine="48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故障录波上送功能。</w:t>
      </w:r>
    </w:p>
    <w:p>
      <w:pPr>
        <w:spacing w:line="360" w:lineRule="auto"/>
        <w:ind w:firstLine="48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6）保护配置</w:t>
      </w:r>
    </w:p>
    <w:p>
      <w:pPr>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10</w:t>
      </w:r>
      <w:r>
        <w:rPr>
          <w:rFonts w:hint="eastAsia" w:ascii="宋体" w:hAnsi="宋体" w:eastAsia="宋体" w:cs="宋体"/>
          <w:color w:val="auto"/>
          <w:kern w:val="2"/>
          <w:sz w:val="24"/>
          <w:szCs w:val="24"/>
          <w:lang w:eastAsia="zh-CN"/>
        </w:rPr>
        <w:t>kV</w:t>
      </w:r>
      <w:r>
        <w:rPr>
          <w:rFonts w:hint="eastAsia" w:ascii="宋体" w:hAnsi="宋体" w:eastAsia="宋体" w:cs="宋体"/>
          <w:color w:val="auto"/>
          <w:kern w:val="2"/>
          <w:sz w:val="24"/>
          <w:szCs w:val="24"/>
        </w:rPr>
        <w:t>线路的I/O测控装置应具有微机型I、II段复合电压方向过流保护、复合电压过流保护、零序电流保护功能，还应具备低频低压减载、故障录波、事故记录掉电不消失等功能；</w:t>
      </w:r>
    </w:p>
    <w:p>
      <w:pPr>
        <w:pStyle w:val="5"/>
        <w:rPr>
          <w:rFonts w:hint="eastAsia"/>
          <w:color w:val="auto"/>
          <w:lang w:val="en-US" w:eastAsia="zh-CN"/>
        </w:rPr>
      </w:pPr>
      <w:r>
        <w:rPr>
          <w:rFonts w:hint="eastAsia"/>
          <w:color w:val="auto"/>
          <w:lang w:val="en-US" w:eastAsia="zh-CN"/>
        </w:rPr>
        <w:t>10.5.6电能质量在线监测装置</w:t>
      </w:r>
    </w:p>
    <w:p>
      <w:pP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接入厂内原有电能质量系统、本次新增储能柴发电能质量数据，实现对柴发和储能并网处实现1024点/周波的电能质量监测，结合并网点处、10kV总降的进线处的各类电能质量指标和异常事件进行实时监视、专业分析及故障告警，包括但不限于全面采集系统内及并网点处的谐波与间谐波、电压指标、三相不平衡等数据，并进行专业智能分析，提前定位异常事件，及时进行干预，定位异常分析原因。</w:t>
      </w:r>
    </w:p>
    <w:p>
      <w:pPr>
        <w:rPr>
          <w:rFonts w:hint="eastAsia"/>
          <w:color w:val="auto"/>
          <w:lang w:eastAsia="zh-CN"/>
        </w:rPr>
      </w:pPr>
      <w:bookmarkStart w:id="226" w:name="_Toc256367585"/>
      <w:bookmarkStart w:id="227" w:name="_Toc527738383"/>
      <w:bookmarkStart w:id="228" w:name="_Toc20473"/>
      <w:r>
        <w:rPr>
          <w:rFonts w:hint="eastAsia" w:ascii="Calibri" w:eastAsia="宋体"/>
          <w:color w:val="auto"/>
          <w:lang w:val="en-US" w:eastAsia="zh-CN"/>
        </w:rPr>
        <w:t>1、</w:t>
      </w:r>
      <w:r>
        <w:rPr>
          <w:rFonts w:hint="eastAsia" w:eastAsia="宋体"/>
          <w:color w:val="auto"/>
          <w:lang w:eastAsia="zh-CN"/>
        </w:rPr>
        <w:t>使用环境条件</w:t>
      </w:r>
      <w:bookmarkEnd w:id="226"/>
      <w:bookmarkEnd w:id="227"/>
      <w:bookmarkEnd w:id="228"/>
    </w:p>
    <w:p>
      <w:pPr>
        <w:ind w:firstLine="0"/>
        <w:rPr>
          <w:rFonts w:hint="eastAsia"/>
          <w:color w:val="auto"/>
        </w:rPr>
      </w:pPr>
      <w:r>
        <w:rPr>
          <w:rFonts w:hint="eastAsia"/>
          <w:color w:val="auto"/>
        </w:rPr>
        <w:t>设备工作温度：－10℃～＋40℃。</w:t>
      </w:r>
    </w:p>
    <w:p>
      <w:pPr>
        <w:ind w:firstLine="0"/>
        <w:rPr>
          <w:rFonts w:hint="eastAsia"/>
          <w:color w:val="auto"/>
        </w:rPr>
      </w:pPr>
      <w:r>
        <w:rPr>
          <w:rFonts w:hint="eastAsia"/>
          <w:color w:val="auto"/>
        </w:rPr>
        <w:t>湿度：</w:t>
      </w:r>
    </w:p>
    <w:p>
      <w:pPr>
        <w:ind w:firstLine="0"/>
        <w:rPr>
          <w:rFonts w:hint="eastAsia"/>
          <w:color w:val="auto"/>
        </w:rPr>
      </w:pPr>
      <w:r>
        <w:rPr>
          <w:rFonts w:hint="eastAsia"/>
          <w:color w:val="auto"/>
        </w:rPr>
        <w:t>在</w:t>
      </w:r>
      <w:r>
        <w:rPr>
          <w:color w:val="auto"/>
        </w:rPr>
        <w:t>24h</w:t>
      </w:r>
      <w:r>
        <w:rPr>
          <w:rFonts w:hint="eastAsia"/>
          <w:color w:val="auto"/>
        </w:rPr>
        <w:t>内测得的相对湿度的平均值：≤</w:t>
      </w:r>
      <w:r>
        <w:rPr>
          <w:color w:val="auto"/>
        </w:rPr>
        <w:t>95％</w:t>
      </w:r>
      <w:r>
        <w:rPr>
          <w:rFonts w:hint="eastAsia"/>
          <w:color w:val="auto"/>
        </w:rPr>
        <w:t>；</w:t>
      </w:r>
    </w:p>
    <w:p>
      <w:pPr>
        <w:ind w:firstLine="0"/>
        <w:rPr>
          <w:rFonts w:hint="eastAsia"/>
          <w:color w:val="auto"/>
        </w:rPr>
      </w:pPr>
      <w:r>
        <w:rPr>
          <w:rFonts w:hint="eastAsia"/>
          <w:color w:val="auto"/>
        </w:rPr>
        <w:t>在</w:t>
      </w:r>
      <w:r>
        <w:rPr>
          <w:color w:val="auto"/>
        </w:rPr>
        <w:t>24h</w:t>
      </w:r>
      <w:r>
        <w:rPr>
          <w:rFonts w:hint="eastAsia"/>
          <w:color w:val="auto"/>
        </w:rPr>
        <w:t>内测得的水蒸气压力的平均值：≤</w:t>
      </w:r>
      <w:r>
        <w:rPr>
          <w:color w:val="auto"/>
        </w:rPr>
        <w:t>2.2kPa</w:t>
      </w:r>
      <w:r>
        <w:rPr>
          <w:rFonts w:hint="eastAsia"/>
          <w:color w:val="auto"/>
        </w:rPr>
        <w:t>；</w:t>
      </w:r>
    </w:p>
    <w:p>
      <w:pPr>
        <w:ind w:firstLine="0"/>
        <w:rPr>
          <w:rFonts w:hint="eastAsia"/>
          <w:color w:val="auto"/>
        </w:rPr>
      </w:pPr>
      <w:r>
        <w:rPr>
          <w:rFonts w:hint="eastAsia"/>
          <w:color w:val="auto"/>
        </w:rPr>
        <w:t>月相对湿度平均值：≤</w:t>
      </w:r>
      <w:r>
        <w:rPr>
          <w:color w:val="auto"/>
        </w:rPr>
        <w:t>90％</w:t>
      </w:r>
      <w:r>
        <w:rPr>
          <w:rFonts w:hint="eastAsia"/>
          <w:color w:val="auto"/>
        </w:rPr>
        <w:t>；</w:t>
      </w:r>
    </w:p>
    <w:p>
      <w:pPr>
        <w:ind w:firstLine="0"/>
        <w:rPr>
          <w:rFonts w:hint="eastAsia"/>
          <w:color w:val="auto"/>
        </w:rPr>
      </w:pPr>
      <w:r>
        <w:rPr>
          <w:rFonts w:hint="eastAsia"/>
          <w:color w:val="auto"/>
        </w:rPr>
        <w:t>月水蒸气压力平均值：≤</w:t>
      </w:r>
      <w:r>
        <w:rPr>
          <w:color w:val="auto"/>
        </w:rPr>
        <w:t>1.8kPa</w:t>
      </w:r>
      <w:r>
        <w:rPr>
          <w:rFonts w:hint="eastAsia"/>
          <w:color w:val="auto"/>
        </w:rPr>
        <w:t>。</w:t>
      </w:r>
    </w:p>
    <w:p>
      <w:pPr>
        <w:rPr>
          <w:rFonts w:hint="eastAsia"/>
          <w:color w:val="auto"/>
          <w:lang w:eastAsia="zh-CN"/>
        </w:rPr>
      </w:pPr>
      <w:bookmarkStart w:id="229" w:name="_Toc30996"/>
      <w:bookmarkStart w:id="230" w:name="_Toc252535467"/>
      <w:bookmarkStart w:id="231" w:name="_Toc527738384"/>
      <w:bookmarkStart w:id="232" w:name="_Toc256367586"/>
      <w:r>
        <w:rPr>
          <w:rFonts w:hint="eastAsia" w:ascii="Calibri" w:eastAsia="宋体"/>
          <w:color w:val="auto"/>
          <w:lang w:val="en-US" w:eastAsia="zh-CN"/>
        </w:rPr>
        <w:t>2、</w:t>
      </w:r>
      <w:r>
        <w:rPr>
          <w:rFonts w:hint="eastAsia" w:eastAsia="宋体"/>
          <w:color w:val="auto"/>
          <w:lang w:eastAsia="zh-CN"/>
        </w:rPr>
        <w:t>装置额定参数</w:t>
      </w:r>
      <w:bookmarkEnd w:id="229"/>
      <w:bookmarkEnd w:id="230"/>
      <w:bookmarkEnd w:id="231"/>
      <w:bookmarkEnd w:id="232"/>
    </w:p>
    <w:p>
      <w:pPr>
        <w:ind w:firstLine="0"/>
        <w:rPr>
          <w:rFonts w:hint="eastAsia"/>
          <w:color w:val="auto"/>
        </w:rPr>
      </w:pPr>
      <w:r>
        <w:rPr>
          <w:rFonts w:hint="eastAsia"/>
          <w:color w:val="auto"/>
        </w:rPr>
        <w:t>额定工作交流电源：220V，允许偏差±20％，谐波电压总畸变率不大于8％。</w:t>
      </w:r>
    </w:p>
    <w:p>
      <w:pPr>
        <w:ind w:firstLine="0"/>
        <w:rPr>
          <w:rFonts w:hint="eastAsia"/>
          <w:color w:val="auto"/>
        </w:rPr>
      </w:pPr>
      <w:r>
        <w:rPr>
          <w:rFonts w:hint="eastAsia"/>
          <w:color w:val="auto"/>
        </w:rPr>
        <w:t>额定工作直流电源：220V，允许变化范围±20％。</w:t>
      </w:r>
    </w:p>
    <w:p>
      <w:pPr>
        <w:ind w:firstLine="0"/>
        <w:rPr>
          <w:rFonts w:hint="eastAsia"/>
          <w:color w:val="auto"/>
        </w:rPr>
      </w:pPr>
      <w:r>
        <w:rPr>
          <w:rFonts w:hint="eastAsia"/>
          <w:color w:val="auto"/>
        </w:rPr>
        <w:t>额定交流电压：57.7V/100V/220V，过载能力为额定电压的</w:t>
      </w:r>
      <m:oMath>
        <m:rad>
          <m:radPr>
            <m:degHide m:val="1"/>
            <m:ctrlPr>
              <w:rPr>
                <w:rFonts w:ascii="Cambria Math" w:hAnsi="Cambria Math"/>
                <w:i/>
                <w:color w:val="auto"/>
              </w:rPr>
            </m:ctrlPr>
          </m:radPr>
          <m:deg>
            <m:ctrlPr>
              <w:rPr>
                <w:rFonts w:ascii="Cambria Math" w:hAnsi="Cambria Math"/>
                <w:i/>
                <w:color w:val="auto"/>
              </w:rPr>
            </m:ctrlPr>
          </m:deg>
          <m:e>
            <m:r>
              <m:rPr/>
              <w:rPr>
                <w:rFonts w:hint="default" w:ascii="Cambria Math" w:hAnsi="Cambria Math"/>
                <w:color w:val="auto"/>
                <w:lang w:val="en-US" w:eastAsia="zh-CN"/>
              </w:rPr>
              <m:t>3</m:t>
            </m:r>
            <m:ctrlPr>
              <w:rPr>
                <w:rFonts w:ascii="Cambria Math" w:hAnsi="Cambria Math"/>
                <w:i/>
                <w:color w:val="auto"/>
              </w:rPr>
            </m:ctrlPr>
          </m:e>
        </m:rad>
      </m:oMath>
      <w:r>
        <w:rPr>
          <w:rFonts w:hint="eastAsia"/>
          <w:color w:val="auto"/>
        </w:rPr>
        <w:t>倍，波峰系数不小于2。</w:t>
      </w:r>
    </w:p>
    <w:p>
      <w:pPr>
        <w:ind w:firstLine="0"/>
        <w:rPr>
          <w:rFonts w:hint="eastAsia"/>
          <w:color w:val="auto"/>
        </w:rPr>
      </w:pPr>
      <w:r>
        <w:rPr>
          <w:rFonts w:hint="eastAsia"/>
          <w:color w:val="auto"/>
        </w:rPr>
        <w:t>额定交流电流：1A/5A，过载能力为1.2倍额定电流连续工作，波峰系数不小于3。</w:t>
      </w:r>
    </w:p>
    <w:p>
      <w:pPr>
        <w:ind w:firstLine="0"/>
        <w:rPr>
          <w:rFonts w:hint="eastAsia"/>
          <w:color w:val="auto"/>
        </w:rPr>
      </w:pPr>
      <w:r>
        <w:rPr>
          <w:rFonts w:hint="eastAsia"/>
          <w:color w:val="auto"/>
        </w:rPr>
        <w:t>额定频率：50Hz，允许偏差－5％～＋5％。</w:t>
      </w:r>
    </w:p>
    <w:p>
      <w:pPr>
        <w:rPr>
          <w:rFonts w:hint="eastAsia"/>
          <w:color w:val="auto"/>
          <w:lang w:eastAsia="zh-CN"/>
        </w:rPr>
      </w:pPr>
      <w:bookmarkStart w:id="233" w:name="_Toc527738385"/>
      <w:bookmarkStart w:id="234" w:name="_Toc252535468"/>
      <w:bookmarkStart w:id="235" w:name="_Toc13421"/>
      <w:bookmarkStart w:id="236" w:name="_Toc256367587"/>
      <w:r>
        <w:rPr>
          <w:rFonts w:hint="eastAsia" w:ascii="Calibri" w:eastAsia="宋体"/>
          <w:color w:val="auto"/>
          <w:lang w:val="en-US" w:eastAsia="zh-CN"/>
        </w:rPr>
        <w:t>3、</w:t>
      </w:r>
      <w:r>
        <w:rPr>
          <w:rFonts w:hint="eastAsia" w:eastAsia="宋体"/>
          <w:color w:val="auto"/>
          <w:lang w:eastAsia="zh-CN"/>
        </w:rPr>
        <w:t>装置功率消耗</w:t>
      </w:r>
      <w:bookmarkEnd w:id="233"/>
      <w:bookmarkEnd w:id="234"/>
      <w:bookmarkEnd w:id="235"/>
      <w:bookmarkEnd w:id="236"/>
    </w:p>
    <w:p>
      <w:pPr>
        <w:ind w:firstLine="0"/>
        <w:rPr>
          <w:rFonts w:hint="eastAsia"/>
          <w:color w:val="auto"/>
        </w:rPr>
      </w:pPr>
      <w:r>
        <w:rPr>
          <w:rFonts w:hint="eastAsia"/>
          <w:color w:val="auto"/>
        </w:rPr>
        <w:t>通过TV二次回路供电的监测设备，电源消耗的有功功率不大于5W。交流电流回路功率消耗每相不大于0.5VA（IN=1A）或0.75VA（IN=5A），交流电压回路功率消耗（额定电压下）每相不大于0.75VA。</w:t>
      </w:r>
    </w:p>
    <w:p>
      <w:pPr>
        <w:rPr>
          <w:rFonts w:hint="eastAsia"/>
          <w:color w:val="auto"/>
          <w:lang w:eastAsia="zh-CN"/>
        </w:rPr>
      </w:pPr>
      <w:bookmarkStart w:id="237" w:name="_Toc250621495"/>
      <w:bookmarkStart w:id="238" w:name="_Toc250621609"/>
      <w:bookmarkStart w:id="239" w:name="_Toc527738386"/>
      <w:bookmarkStart w:id="240" w:name="_Toc250485452"/>
      <w:bookmarkStart w:id="241" w:name="_Toc250740462"/>
      <w:bookmarkStart w:id="242" w:name="_Toc250484021"/>
      <w:bookmarkStart w:id="243" w:name="_Toc23057"/>
      <w:bookmarkStart w:id="244" w:name="_Toc252535465"/>
      <w:bookmarkStart w:id="245" w:name="_Toc256367584"/>
      <w:bookmarkStart w:id="246" w:name="_Toc250741110"/>
      <w:r>
        <w:rPr>
          <w:rFonts w:hint="eastAsia" w:ascii="Calibri" w:eastAsia="宋体"/>
          <w:color w:val="auto"/>
          <w:lang w:val="en-US" w:eastAsia="zh-CN"/>
        </w:rPr>
        <w:t>4、</w:t>
      </w:r>
      <w:r>
        <w:rPr>
          <w:rFonts w:hint="eastAsia" w:eastAsia="宋体"/>
          <w:color w:val="auto"/>
          <w:lang w:eastAsia="zh-CN"/>
        </w:rPr>
        <w:t>规范性引用文件</w:t>
      </w:r>
      <w:bookmarkEnd w:id="237"/>
      <w:bookmarkEnd w:id="238"/>
      <w:bookmarkEnd w:id="239"/>
      <w:bookmarkEnd w:id="240"/>
      <w:bookmarkEnd w:id="241"/>
      <w:bookmarkEnd w:id="242"/>
      <w:bookmarkEnd w:id="243"/>
      <w:bookmarkEnd w:id="244"/>
      <w:bookmarkEnd w:id="245"/>
      <w:bookmarkEnd w:id="246"/>
    </w:p>
    <w:p>
      <w:pPr>
        <w:ind w:firstLine="0"/>
        <w:rPr>
          <w:rFonts w:hint="eastAsia"/>
          <w:color w:val="auto"/>
        </w:rPr>
      </w:pPr>
      <w:r>
        <w:rPr>
          <w:rFonts w:hint="eastAsia"/>
          <w:color w:val="auto"/>
        </w:rPr>
        <w:t>装置至少应满足最新版本的表1所列规定、规范和标准的要求，但不限于表1所列规范和标准。</w:t>
      </w:r>
    </w:p>
    <w:p>
      <w:pPr>
        <w:ind w:firstLine="0"/>
        <w:jc w:val="center"/>
        <w:rPr>
          <w:rFonts w:hint="eastAsia"/>
          <w:color w:val="auto"/>
        </w:rPr>
      </w:pPr>
      <w:r>
        <w:rPr>
          <w:rFonts w:hint="eastAsia"/>
          <w:color w:val="auto"/>
        </w:rPr>
        <w:t>表1  规范性引用文件</w:t>
      </w:r>
    </w:p>
    <w:tbl>
      <w:tblPr>
        <w:tblStyle w:val="22"/>
        <w:tblW w:w="8585"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800"/>
        <w:gridCol w:w="6785"/>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jc w:val="center"/>
        </w:trPr>
        <w:tc>
          <w:tcPr>
            <w:tcW w:w="1800" w:type="dxa"/>
            <w:noWrap w:val="0"/>
            <w:tcMar>
              <w:left w:w="0" w:type="dxa"/>
              <w:right w:w="0" w:type="dxa"/>
            </w:tcMar>
            <w:vAlign w:val="center"/>
          </w:tcPr>
          <w:p>
            <w:pPr>
              <w:spacing w:line="240" w:lineRule="auto"/>
              <w:ind w:firstLine="0" w:firstLineChars="0"/>
              <w:jc w:val="left"/>
              <w:rPr>
                <w:rFonts w:hint="eastAsia"/>
                <w:color w:val="auto"/>
              </w:rPr>
            </w:pPr>
            <w:r>
              <w:rPr>
                <w:rFonts w:hint="eastAsia"/>
                <w:color w:val="auto"/>
              </w:rPr>
              <w:t>标  准  号</w:t>
            </w:r>
          </w:p>
        </w:tc>
        <w:tc>
          <w:tcPr>
            <w:tcW w:w="6785" w:type="dxa"/>
            <w:noWrap w:val="0"/>
            <w:tcMar>
              <w:left w:w="0" w:type="dxa"/>
              <w:right w:w="0" w:type="dxa"/>
            </w:tcMar>
            <w:vAlign w:val="top"/>
          </w:tcPr>
          <w:p>
            <w:pPr>
              <w:spacing w:line="240" w:lineRule="auto"/>
              <w:ind w:firstLine="0" w:firstLineChars="0"/>
              <w:rPr>
                <w:rFonts w:hint="eastAsia"/>
                <w:color w:val="auto"/>
              </w:rPr>
            </w:pPr>
            <w:r>
              <w:rPr>
                <w:rFonts w:hint="eastAsia"/>
                <w:color w:val="auto"/>
              </w:rPr>
              <w:t>标  准  名  称</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800" w:type="dxa"/>
            <w:noWrap w:val="0"/>
            <w:tcMar>
              <w:left w:w="0" w:type="dxa"/>
              <w:right w:w="0" w:type="dxa"/>
            </w:tcMar>
            <w:vAlign w:val="center"/>
          </w:tcPr>
          <w:p>
            <w:pPr>
              <w:spacing w:line="240" w:lineRule="auto"/>
              <w:ind w:firstLine="0" w:firstLineChars="0"/>
              <w:jc w:val="left"/>
              <w:rPr>
                <w:rFonts w:hint="eastAsia"/>
                <w:color w:val="auto"/>
              </w:rPr>
            </w:pPr>
            <w:r>
              <w:rPr>
                <w:color w:val="auto"/>
              </w:rPr>
              <w:t>GB/T 191</w:t>
            </w:r>
          </w:p>
        </w:tc>
        <w:tc>
          <w:tcPr>
            <w:tcW w:w="6785" w:type="dxa"/>
            <w:noWrap w:val="0"/>
            <w:tcMar>
              <w:left w:w="0" w:type="dxa"/>
              <w:right w:w="0" w:type="dxa"/>
            </w:tcMar>
            <w:vAlign w:val="top"/>
          </w:tcPr>
          <w:p>
            <w:pPr>
              <w:spacing w:line="240" w:lineRule="auto"/>
              <w:ind w:firstLine="0" w:firstLineChars="0"/>
              <w:rPr>
                <w:rFonts w:hint="eastAsia"/>
                <w:color w:val="auto"/>
              </w:rPr>
            </w:pPr>
            <w:r>
              <w:rPr>
                <w:rFonts w:hint="eastAsia"/>
                <w:color w:val="auto"/>
              </w:rPr>
              <w:t>包装储运图示标志</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800" w:type="dxa"/>
            <w:noWrap w:val="0"/>
            <w:tcMar>
              <w:left w:w="0" w:type="dxa"/>
              <w:right w:w="0" w:type="dxa"/>
            </w:tcMar>
            <w:vAlign w:val="center"/>
          </w:tcPr>
          <w:p>
            <w:pPr>
              <w:spacing w:line="240" w:lineRule="auto"/>
              <w:ind w:firstLine="0" w:firstLineChars="0"/>
              <w:jc w:val="left"/>
              <w:rPr>
                <w:rFonts w:hint="eastAsia"/>
                <w:color w:val="auto"/>
              </w:rPr>
            </w:pPr>
            <w:r>
              <w:rPr>
                <w:color w:val="auto"/>
              </w:rPr>
              <w:t>GB/T 2423.1</w:t>
            </w:r>
          </w:p>
        </w:tc>
        <w:tc>
          <w:tcPr>
            <w:tcW w:w="6785" w:type="dxa"/>
            <w:noWrap w:val="0"/>
            <w:tcMar>
              <w:left w:w="0" w:type="dxa"/>
              <w:right w:w="0" w:type="dxa"/>
            </w:tcMar>
            <w:vAlign w:val="top"/>
          </w:tcPr>
          <w:p>
            <w:pPr>
              <w:spacing w:line="240" w:lineRule="auto"/>
              <w:ind w:firstLine="0" w:firstLineChars="0"/>
              <w:rPr>
                <w:rFonts w:hint="eastAsia"/>
                <w:color w:val="auto"/>
              </w:rPr>
            </w:pPr>
            <w:r>
              <w:rPr>
                <w:rFonts w:hint="eastAsia"/>
                <w:color w:val="auto"/>
              </w:rPr>
              <w:t>电工电子产品环境试验  第</w:t>
            </w:r>
            <w:r>
              <w:rPr>
                <w:color w:val="auto"/>
              </w:rPr>
              <w:t>2</w:t>
            </w:r>
            <w:r>
              <w:rPr>
                <w:rFonts w:hint="eastAsia"/>
                <w:color w:val="auto"/>
              </w:rPr>
              <w:t>部分</w:t>
            </w:r>
            <w:r>
              <w:rPr>
                <w:color w:val="auto"/>
              </w:rPr>
              <w:t>：</w:t>
            </w:r>
            <w:r>
              <w:rPr>
                <w:rFonts w:hint="eastAsia"/>
                <w:color w:val="auto"/>
              </w:rPr>
              <w:t>试验方法 试验</w:t>
            </w:r>
            <w:r>
              <w:rPr>
                <w:color w:val="auto"/>
              </w:rPr>
              <w:t>A：</w:t>
            </w:r>
            <w:r>
              <w:rPr>
                <w:rFonts w:hint="eastAsia"/>
                <w:color w:val="auto"/>
              </w:rPr>
              <w:t>低温</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800" w:type="dxa"/>
            <w:noWrap w:val="0"/>
            <w:tcMar>
              <w:left w:w="0" w:type="dxa"/>
              <w:right w:w="0" w:type="dxa"/>
            </w:tcMar>
            <w:vAlign w:val="center"/>
          </w:tcPr>
          <w:p>
            <w:pPr>
              <w:spacing w:line="240" w:lineRule="auto"/>
              <w:ind w:firstLine="0" w:firstLineChars="0"/>
              <w:jc w:val="left"/>
              <w:rPr>
                <w:rFonts w:hint="eastAsia"/>
                <w:color w:val="auto"/>
              </w:rPr>
            </w:pPr>
            <w:r>
              <w:rPr>
                <w:color w:val="auto"/>
              </w:rPr>
              <w:t>GB/T 2423.2</w:t>
            </w:r>
          </w:p>
        </w:tc>
        <w:tc>
          <w:tcPr>
            <w:tcW w:w="6785" w:type="dxa"/>
            <w:noWrap w:val="0"/>
            <w:tcMar>
              <w:left w:w="0" w:type="dxa"/>
              <w:right w:w="0" w:type="dxa"/>
            </w:tcMar>
            <w:vAlign w:val="top"/>
          </w:tcPr>
          <w:p>
            <w:pPr>
              <w:spacing w:line="240" w:lineRule="auto"/>
              <w:ind w:firstLine="0" w:firstLineChars="0"/>
              <w:rPr>
                <w:rFonts w:hint="eastAsia"/>
                <w:color w:val="auto"/>
              </w:rPr>
            </w:pPr>
            <w:r>
              <w:rPr>
                <w:rFonts w:hint="eastAsia"/>
                <w:color w:val="auto"/>
              </w:rPr>
              <w:t>电工电子产品环境试验  第</w:t>
            </w:r>
            <w:r>
              <w:rPr>
                <w:color w:val="auto"/>
              </w:rPr>
              <w:t>2</w:t>
            </w:r>
            <w:r>
              <w:rPr>
                <w:rFonts w:hint="eastAsia"/>
                <w:color w:val="auto"/>
              </w:rPr>
              <w:t>部分</w:t>
            </w:r>
            <w:r>
              <w:rPr>
                <w:color w:val="auto"/>
              </w:rPr>
              <w:t>：</w:t>
            </w:r>
            <w:r>
              <w:rPr>
                <w:rFonts w:hint="eastAsia"/>
                <w:color w:val="auto"/>
              </w:rPr>
              <w:t>试验方法 试验</w:t>
            </w:r>
            <w:r>
              <w:rPr>
                <w:color w:val="auto"/>
              </w:rPr>
              <w:t>B：</w:t>
            </w:r>
            <w:r>
              <w:rPr>
                <w:rFonts w:hint="eastAsia"/>
                <w:color w:val="auto"/>
              </w:rPr>
              <w:t>高温</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800" w:type="dxa"/>
            <w:noWrap w:val="0"/>
            <w:tcMar>
              <w:left w:w="0" w:type="dxa"/>
              <w:right w:w="0" w:type="dxa"/>
            </w:tcMar>
            <w:vAlign w:val="center"/>
          </w:tcPr>
          <w:p>
            <w:pPr>
              <w:spacing w:line="240" w:lineRule="auto"/>
              <w:ind w:firstLine="0" w:firstLineChars="0"/>
              <w:jc w:val="left"/>
              <w:rPr>
                <w:rFonts w:hint="eastAsia"/>
                <w:color w:val="auto"/>
              </w:rPr>
            </w:pPr>
            <w:r>
              <w:rPr>
                <w:color w:val="auto"/>
              </w:rPr>
              <w:t>GB/T 2423.4</w:t>
            </w:r>
          </w:p>
        </w:tc>
        <w:tc>
          <w:tcPr>
            <w:tcW w:w="6785" w:type="dxa"/>
            <w:noWrap w:val="0"/>
            <w:tcMar>
              <w:left w:w="0" w:type="dxa"/>
              <w:right w:w="0" w:type="dxa"/>
            </w:tcMar>
            <w:vAlign w:val="top"/>
          </w:tcPr>
          <w:p>
            <w:pPr>
              <w:spacing w:line="240" w:lineRule="auto"/>
              <w:ind w:firstLine="0" w:firstLineChars="0"/>
              <w:rPr>
                <w:rFonts w:hint="eastAsia"/>
                <w:color w:val="auto"/>
              </w:rPr>
            </w:pPr>
            <w:r>
              <w:rPr>
                <w:rFonts w:hint="eastAsia"/>
                <w:color w:val="auto"/>
              </w:rPr>
              <w:t>电工电子产品基本环境试验规程  试验</w:t>
            </w:r>
            <w:r>
              <w:rPr>
                <w:color w:val="auto"/>
              </w:rPr>
              <w:t>Db：</w:t>
            </w:r>
            <w:r>
              <w:rPr>
                <w:rFonts w:hint="eastAsia"/>
                <w:color w:val="auto"/>
              </w:rPr>
              <w:t>交变湿热试验方法</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800" w:type="dxa"/>
            <w:noWrap w:val="0"/>
            <w:tcMar>
              <w:left w:w="0" w:type="dxa"/>
              <w:right w:w="0" w:type="dxa"/>
            </w:tcMar>
            <w:vAlign w:val="center"/>
          </w:tcPr>
          <w:p>
            <w:pPr>
              <w:spacing w:line="240" w:lineRule="auto"/>
              <w:ind w:firstLine="0" w:firstLineChars="0"/>
              <w:jc w:val="left"/>
              <w:rPr>
                <w:rFonts w:hint="eastAsia"/>
                <w:color w:val="auto"/>
              </w:rPr>
            </w:pPr>
            <w:r>
              <w:rPr>
                <w:color w:val="auto"/>
              </w:rPr>
              <w:t>GB/T 2423.5</w:t>
            </w:r>
          </w:p>
        </w:tc>
        <w:tc>
          <w:tcPr>
            <w:tcW w:w="6785" w:type="dxa"/>
            <w:noWrap w:val="0"/>
            <w:tcMar>
              <w:left w:w="0" w:type="dxa"/>
              <w:right w:w="0" w:type="dxa"/>
            </w:tcMar>
            <w:vAlign w:val="top"/>
          </w:tcPr>
          <w:p>
            <w:pPr>
              <w:spacing w:line="240" w:lineRule="auto"/>
              <w:ind w:firstLine="0" w:firstLineChars="0"/>
              <w:rPr>
                <w:rFonts w:hint="eastAsia"/>
                <w:color w:val="auto"/>
              </w:rPr>
            </w:pPr>
            <w:r>
              <w:rPr>
                <w:rFonts w:hint="eastAsia"/>
                <w:color w:val="auto"/>
              </w:rPr>
              <w:t>电工电子产品环境试验  第2部分：试验方法 试验</w:t>
            </w:r>
            <w:r>
              <w:rPr>
                <w:color w:val="auto"/>
              </w:rPr>
              <w:t>Ea</w:t>
            </w:r>
            <w:r>
              <w:rPr>
                <w:rFonts w:hint="eastAsia"/>
                <w:color w:val="auto"/>
              </w:rPr>
              <w:t>和导则</w:t>
            </w:r>
            <w:r>
              <w:rPr>
                <w:color w:val="auto"/>
              </w:rPr>
              <w:t>：</w:t>
            </w:r>
            <w:r>
              <w:rPr>
                <w:rFonts w:hint="eastAsia"/>
                <w:color w:val="auto"/>
              </w:rPr>
              <w:t>冲击</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800" w:type="dxa"/>
            <w:noWrap w:val="0"/>
            <w:tcMar>
              <w:left w:w="0" w:type="dxa"/>
              <w:right w:w="0" w:type="dxa"/>
            </w:tcMar>
            <w:vAlign w:val="center"/>
          </w:tcPr>
          <w:p>
            <w:pPr>
              <w:spacing w:line="240" w:lineRule="auto"/>
              <w:ind w:firstLine="0" w:firstLineChars="0"/>
              <w:jc w:val="left"/>
              <w:rPr>
                <w:rFonts w:hint="eastAsia"/>
                <w:color w:val="auto"/>
              </w:rPr>
            </w:pPr>
            <w:r>
              <w:rPr>
                <w:color w:val="auto"/>
              </w:rPr>
              <w:t>GB/T 2423.10</w:t>
            </w:r>
          </w:p>
        </w:tc>
        <w:tc>
          <w:tcPr>
            <w:tcW w:w="6785" w:type="dxa"/>
            <w:noWrap w:val="0"/>
            <w:tcMar>
              <w:left w:w="0" w:type="dxa"/>
              <w:right w:w="0" w:type="dxa"/>
            </w:tcMar>
            <w:vAlign w:val="top"/>
          </w:tcPr>
          <w:p>
            <w:pPr>
              <w:spacing w:line="240" w:lineRule="auto"/>
              <w:ind w:firstLine="0" w:firstLineChars="0"/>
              <w:rPr>
                <w:rFonts w:hint="eastAsia"/>
                <w:color w:val="auto"/>
              </w:rPr>
            </w:pPr>
            <w:r>
              <w:rPr>
                <w:rFonts w:hint="eastAsia"/>
                <w:color w:val="auto"/>
              </w:rPr>
              <w:t>电工电子产品环境试验  第2部分：试验方法 试验</w:t>
            </w:r>
            <w:r>
              <w:rPr>
                <w:color w:val="auto"/>
              </w:rPr>
              <w:t>Fc</w:t>
            </w:r>
            <w:r>
              <w:rPr>
                <w:rFonts w:hint="eastAsia"/>
                <w:color w:val="auto"/>
              </w:rPr>
              <w:t>和导则</w:t>
            </w:r>
            <w:r>
              <w:rPr>
                <w:color w:val="auto"/>
              </w:rPr>
              <w:t>：</w:t>
            </w:r>
            <w:r>
              <w:rPr>
                <w:rFonts w:hint="eastAsia"/>
                <w:color w:val="auto"/>
              </w:rPr>
              <w:t>振动</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800" w:type="dxa"/>
            <w:noWrap w:val="0"/>
            <w:tcMar>
              <w:left w:w="0" w:type="dxa"/>
              <w:right w:w="0" w:type="dxa"/>
            </w:tcMar>
            <w:vAlign w:val="center"/>
          </w:tcPr>
          <w:p>
            <w:pPr>
              <w:spacing w:line="240" w:lineRule="auto"/>
              <w:ind w:firstLine="0" w:firstLineChars="0"/>
              <w:jc w:val="left"/>
              <w:rPr>
                <w:rFonts w:hint="eastAsia"/>
                <w:color w:val="auto"/>
              </w:rPr>
            </w:pPr>
            <w:r>
              <w:rPr>
                <w:color w:val="auto"/>
              </w:rPr>
              <w:t>GB/T 2829</w:t>
            </w:r>
          </w:p>
        </w:tc>
        <w:tc>
          <w:tcPr>
            <w:tcW w:w="6785" w:type="dxa"/>
            <w:noWrap w:val="0"/>
            <w:tcMar>
              <w:left w:w="0" w:type="dxa"/>
              <w:right w:w="0" w:type="dxa"/>
            </w:tcMar>
            <w:vAlign w:val="top"/>
          </w:tcPr>
          <w:p>
            <w:pPr>
              <w:spacing w:line="240" w:lineRule="auto"/>
              <w:ind w:firstLine="0" w:firstLineChars="0"/>
              <w:rPr>
                <w:rFonts w:hint="eastAsia"/>
                <w:color w:val="auto"/>
              </w:rPr>
            </w:pPr>
            <w:r>
              <w:rPr>
                <w:rFonts w:hint="eastAsia"/>
                <w:color w:val="auto"/>
              </w:rPr>
              <w:t>周期检验计数抽样程序及表</w:t>
            </w:r>
            <w:r>
              <w:rPr>
                <w:color w:val="auto"/>
              </w:rPr>
              <w:t>（</w:t>
            </w:r>
            <w:r>
              <w:rPr>
                <w:rFonts w:hint="eastAsia"/>
                <w:color w:val="auto"/>
              </w:rPr>
              <w:t>适用于对过程稳定性的检验</w:t>
            </w:r>
            <w:r>
              <w:rPr>
                <w:color w:val="auto"/>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800" w:type="dxa"/>
            <w:noWrap w:val="0"/>
            <w:tcMar>
              <w:left w:w="0" w:type="dxa"/>
              <w:right w:w="0" w:type="dxa"/>
            </w:tcMar>
            <w:vAlign w:val="center"/>
          </w:tcPr>
          <w:p>
            <w:pPr>
              <w:spacing w:line="240" w:lineRule="auto"/>
              <w:ind w:firstLine="0" w:firstLineChars="0"/>
              <w:jc w:val="left"/>
              <w:rPr>
                <w:rFonts w:hint="eastAsia"/>
                <w:color w:val="auto"/>
              </w:rPr>
            </w:pPr>
            <w:r>
              <w:rPr>
                <w:color w:val="auto"/>
              </w:rPr>
              <w:t>GB 4208</w:t>
            </w:r>
          </w:p>
        </w:tc>
        <w:tc>
          <w:tcPr>
            <w:tcW w:w="6785" w:type="dxa"/>
            <w:noWrap w:val="0"/>
            <w:tcMar>
              <w:left w:w="0" w:type="dxa"/>
              <w:right w:w="0" w:type="dxa"/>
            </w:tcMar>
            <w:vAlign w:val="top"/>
          </w:tcPr>
          <w:p>
            <w:pPr>
              <w:spacing w:line="240" w:lineRule="auto"/>
              <w:ind w:firstLine="0" w:firstLineChars="0"/>
              <w:rPr>
                <w:rFonts w:hint="eastAsia"/>
                <w:color w:val="auto"/>
              </w:rPr>
            </w:pPr>
            <w:r>
              <w:rPr>
                <w:rFonts w:hint="eastAsia"/>
                <w:color w:val="auto"/>
              </w:rPr>
              <w:t>外壳防护等级</w:t>
            </w:r>
            <w:r>
              <w:rPr>
                <w:color w:val="auto"/>
              </w:rPr>
              <w:t>（IP</w:t>
            </w:r>
            <w:r>
              <w:rPr>
                <w:rFonts w:hint="eastAsia"/>
                <w:color w:val="auto"/>
              </w:rPr>
              <w:t>代码</w:t>
            </w:r>
            <w:r>
              <w:rPr>
                <w:color w:val="auto"/>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800" w:type="dxa"/>
            <w:noWrap w:val="0"/>
            <w:tcMar>
              <w:left w:w="0" w:type="dxa"/>
              <w:right w:w="0" w:type="dxa"/>
            </w:tcMar>
            <w:vAlign w:val="center"/>
          </w:tcPr>
          <w:p>
            <w:pPr>
              <w:spacing w:line="240" w:lineRule="auto"/>
              <w:ind w:firstLine="0" w:firstLineChars="0"/>
              <w:jc w:val="left"/>
              <w:rPr>
                <w:rFonts w:hint="eastAsia"/>
                <w:color w:val="auto"/>
              </w:rPr>
            </w:pPr>
            <w:r>
              <w:rPr>
                <w:color w:val="auto"/>
              </w:rPr>
              <w:t>GB/T 12325</w:t>
            </w:r>
          </w:p>
        </w:tc>
        <w:tc>
          <w:tcPr>
            <w:tcW w:w="6785" w:type="dxa"/>
            <w:noWrap w:val="0"/>
            <w:tcMar>
              <w:left w:w="0" w:type="dxa"/>
              <w:right w:w="0" w:type="dxa"/>
            </w:tcMar>
            <w:vAlign w:val="top"/>
          </w:tcPr>
          <w:p>
            <w:pPr>
              <w:spacing w:line="240" w:lineRule="auto"/>
              <w:ind w:firstLine="0" w:firstLineChars="0"/>
              <w:rPr>
                <w:rFonts w:hint="eastAsia"/>
                <w:color w:val="auto"/>
              </w:rPr>
            </w:pPr>
            <w:r>
              <w:rPr>
                <w:rFonts w:hint="eastAsia"/>
                <w:color w:val="auto"/>
              </w:rPr>
              <w:t>电能质量  供电电压偏差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800" w:type="dxa"/>
            <w:noWrap w:val="0"/>
            <w:tcMar>
              <w:left w:w="0" w:type="dxa"/>
              <w:right w:w="0" w:type="dxa"/>
            </w:tcMar>
            <w:vAlign w:val="center"/>
          </w:tcPr>
          <w:p>
            <w:pPr>
              <w:spacing w:line="240" w:lineRule="auto"/>
              <w:ind w:firstLine="0" w:firstLineChars="0"/>
              <w:jc w:val="left"/>
              <w:rPr>
                <w:rFonts w:hint="eastAsia"/>
                <w:color w:val="auto"/>
              </w:rPr>
            </w:pPr>
            <w:r>
              <w:rPr>
                <w:color w:val="auto"/>
              </w:rPr>
              <w:t>GB</w:t>
            </w:r>
            <w:r>
              <w:rPr>
                <w:rFonts w:hint="eastAsia"/>
                <w:color w:val="auto"/>
              </w:rPr>
              <w:t>/T</w:t>
            </w:r>
            <w:r>
              <w:rPr>
                <w:color w:val="auto"/>
              </w:rPr>
              <w:t xml:space="preserve"> 12326</w:t>
            </w:r>
          </w:p>
        </w:tc>
        <w:tc>
          <w:tcPr>
            <w:tcW w:w="6785" w:type="dxa"/>
            <w:noWrap w:val="0"/>
            <w:tcMar>
              <w:left w:w="0" w:type="dxa"/>
              <w:right w:w="0" w:type="dxa"/>
            </w:tcMar>
            <w:vAlign w:val="top"/>
          </w:tcPr>
          <w:p>
            <w:pPr>
              <w:spacing w:line="240" w:lineRule="auto"/>
              <w:ind w:firstLine="0" w:firstLineChars="0"/>
              <w:rPr>
                <w:rFonts w:hint="eastAsia"/>
                <w:color w:val="auto"/>
              </w:rPr>
            </w:pPr>
            <w:r>
              <w:rPr>
                <w:rFonts w:hint="eastAsia"/>
                <w:color w:val="auto"/>
              </w:rPr>
              <w:t>电能质量  电压波动和闪变</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800" w:type="dxa"/>
            <w:noWrap w:val="0"/>
            <w:tcMar>
              <w:left w:w="0" w:type="dxa"/>
              <w:right w:w="0" w:type="dxa"/>
            </w:tcMar>
            <w:vAlign w:val="center"/>
          </w:tcPr>
          <w:p>
            <w:pPr>
              <w:spacing w:line="240" w:lineRule="auto"/>
              <w:ind w:firstLine="0" w:firstLineChars="0"/>
              <w:jc w:val="left"/>
              <w:rPr>
                <w:rFonts w:hint="eastAsia"/>
                <w:color w:val="auto"/>
              </w:rPr>
            </w:pPr>
            <w:r>
              <w:rPr>
                <w:color w:val="auto"/>
              </w:rPr>
              <w:t>GB/T 14549</w:t>
            </w:r>
          </w:p>
        </w:tc>
        <w:tc>
          <w:tcPr>
            <w:tcW w:w="6785" w:type="dxa"/>
            <w:noWrap w:val="0"/>
            <w:tcMar>
              <w:left w:w="0" w:type="dxa"/>
              <w:right w:w="0" w:type="dxa"/>
            </w:tcMar>
            <w:vAlign w:val="top"/>
          </w:tcPr>
          <w:p>
            <w:pPr>
              <w:spacing w:line="240" w:lineRule="auto"/>
              <w:ind w:firstLine="0" w:firstLineChars="0"/>
              <w:rPr>
                <w:rFonts w:hint="eastAsia"/>
                <w:color w:val="auto"/>
              </w:rPr>
            </w:pPr>
            <w:r>
              <w:rPr>
                <w:rFonts w:hint="eastAsia"/>
                <w:color w:val="auto"/>
              </w:rPr>
              <w:t>电能质量  公用电网谐波</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800" w:type="dxa"/>
            <w:noWrap w:val="0"/>
            <w:tcMar>
              <w:left w:w="0" w:type="dxa"/>
              <w:right w:w="0" w:type="dxa"/>
            </w:tcMar>
            <w:vAlign w:val="center"/>
          </w:tcPr>
          <w:p>
            <w:pPr>
              <w:spacing w:line="240" w:lineRule="auto"/>
              <w:ind w:firstLine="0" w:firstLineChars="0"/>
              <w:jc w:val="left"/>
              <w:rPr>
                <w:rFonts w:hint="eastAsia"/>
                <w:color w:val="auto"/>
              </w:rPr>
            </w:pPr>
            <w:r>
              <w:rPr>
                <w:color w:val="auto"/>
              </w:rPr>
              <w:t>GB/T 15543</w:t>
            </w:r>
          </w:p>
        </w:tc>
        <w:tc>
          <w:tcPr>
            <w:tcW w:w="6785" w:type="dxa"/>
            <w:noWrap w:val="0"/>
            <w:tcMar>
              <w:left w:w="0" w:type="dxa"/>
              <w:right w:w="0" w:type="dxa"/>
            </w:tcMar>
            <w:vAlign w:val="top"/>
          </w:tcPr>
          <w:p>
            <w:pPr>
              <w:spacing w:line="240" w:lineRule="auto"/>
              <w:ind w:firstLine="0" w:firstLineChars="0"/>
              <w:rPr>
                <w:rFonts w:hint="eastAsia"/>
                <w:color w:val="auto"/>
              </w:rPr>
            </w:pPr>
            <w:r>
              <w:rPr>
                <w:rFonts w:hint="eastAsia"/>
                <w:color w:val="auto"/>
              </w:rPr>
              <w:t>电能质量  三相电压不平衡</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800" w:type="dxa"/>
            <w:noWrap w:val="0"/>
            <w:tcMar>
              <w:left w:w="0" w:type="dxa"/>
              <w:right w:w="0" w:type="dxa"/>
            </w:tcMar>
            <w:vAlign w:val="center"/>
          </w:tcPr>
          <w:p>
            <w:pPr>
              <w:spacing w:line="240" w:lineRule="auto"/>
              <w:ind w:firstLine="0" w:firstLineChars="0"/>
              <w:jc w:val="left"/>
              <w:rPr>
                <w:rFonts w:hint="eastAsia"/>
                <w:color w:val="auto"/>
              </w:rPr>
            </w:pPr>
            <w:r>
              <w:rPr>
                <w:color w:val="auto"/>
              </w:rPr>
              <w:t>GB/T 15945</w:t>
            </w:r>
          </w:p>
        </w:tc>
        <w:tc>
          <w:tcPr>
            <w:tcW w:w="6785" w:type="dxa"/>
            <w:noWrap w:val="0"/>
            <w:tcMar>
              <w:left w:w="0" w:type="dxa"/>
              <w:right w:w="0" w:type="dxa"/>
            </w:tcMar>
            <w:vAlign w:val="top"/>
          </w:tcPr>
          <w:p>
            <w:pPr>
              <w:spacing w:line="240" w:lineRule="auto"/>
              <w:ind w:firstLine="0" w:firstLineChars="0"/>
              <w:rPr>
                <w:rFonts w:hint="eastAsia"/>
                <w:color w:val="auto"/>
              </w:rPr>
            </w:pPr>
            <w:r>
              <w:rPr>
                <w:rFonts w:hint="eastAsia"/>
                <w:color w:val="auto"/>
              </w:rPr>
              <w:t>电能质量  电力系统频率偏差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800" w:type="dxa"/>
            <w:noWrap w:val="0"/>
            <w:tcMar>
              <w:left w:w="0" w:type="dxa"/>
              <w:right w:w="0" w:type="dxa"/>
            </w:tcMar>
            <w:vAlign w:val="center"/>
          </w:tcPr>
          <w:p>
            <w:pPr>
              <w:spacing w:line="240" w:lineRule="auto"/>
              <w:ind w:firstLine="0" w:firstLineChars="0"/>
              <w:jc w:val="left"/>
              <w:rPr>
                <w:rFonts w:hint="eastAsia"/>
                <w:color w:val="auto"/>
              </w:rPr>
            </w:pPr>
            <w:r>
              <w:rPr>
                <w:rFonts w:hint="eastAsia"/>
                <w:color w:val="auto"/>
              </w:rPr>
              <w:t>GB/T 18481</w:t>
            </w:r>
          </w:p>
        </w:tc>
        <w:tc>
          <w:tcPr>
            <w:tcW w:w="6785" w:type="dxa"/>
            <w:noWrap w:val="0"/>
            <w:tcMar>
              <w:left w:w="0" w:type="dxa"/>
              <w:right w:w="0" w:type="dxa"/>
            </w:tcMar>
            <w:vAlign w:val="top"/>
          </w:tcPr>
          <w:p>
            <w:pPr>
              <w:spacing w:line="240" w:lineRule="auto"/>
              <w:ind w:firstLine="0" w:firstLineChars="0"/>
              <w:rPr>
                <w:rFonts w:hint="eastAsia"/>
                <w:color w:val="auto"/>
              </w:rPr>
            </w:pPr>
            <w:r>
              <w:rPr>
                <w:rFonts w:hint="eastAsia"/>
                <w:color w:val="auto"/>
              </w:rPr>
              <w:t>电能质量  暂时过电压和瞬态过电压</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800" w:type="dxa"/>
            <w:noWrap w:val="0"/>
            <w:tcMar>
              <w:left w:w="0" w:type="dxa"/>
              <w:right w:w="0" w:type="dxa"/>
            </w:tcMar>
            <w:vAlign w:val="center"/>
          </w:tcPr>
          <w:p>
            <w:pPr>
              <w:spacing w:line="240" w:lineRule="auto"/>
              <w:ind w:firstLine="0" w:firstLineChars="0"/>
              <w:jc w:val="left"/>
              <w:rPr>
                <w:rFonts w:hint="eastAsia"/>
                <w:color w:val="auto"/>
              </w:rPr>
            </w:pPr>
            <w:r>
              <w:rPr>
                <w:rFonts w:hint="eastAsia"/>
                <w:color w:val="auto"/>
              </w:rPr>
              <w:t>GB/T 19862</w:t>
            </w:r>
          </w:p>
        </w:tc>
        <w:tc>
          <w:tcPr>
            <w:tcW w:w="6785" w:type="dxa"/>
            <w:noWrap w:val="0"/>
            <w:tcMar>
              <w:left w:w="0" w:type="dxa"/>
              <w:right w:w="0" w:type="dxa"/>
            </w:tcMar>
            <w:vAlign w:val="top"/>
          </w:tcPr>
          <w:p>
            <w:pPr>
              <w:spacing w:line="240" w:lineRule="auto"/>
              <w:ind w:firstLine="0" w:firstLineChars="0"/>
              <w:rPr>
                <w:rFonts w:hint="eastAsia"/>
                <w:color w:val="auto"/>
              </w:rPr>
            </w:pPr>
            <w:r>
              <w:rPr>
                <w:rFonts w:hint="eastAsia"/>
                <w:color w:val="auto"/>
              </w:rPr>
              <w:t>电能质量监测设备通用要求</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800" w:type="dxa"/>
            <w:noWrap w:val="0"/>
            <w:tcMar>
              <w:left w:w="0" w:type="dxa"/>
              <w:right w:w="0" w:type="dxa"/>
            </w:tcMar>
            <w:vAlign w:val="top"/>
          </w:tcPr>
          <w:p>
            <w:pPr>
              <w:spacing w:line="240" w:lineRule="auto"/>
              <w:ind w:firstLine="0" w:firstLineChars="0"/>
              <w:jc w:val="left"/>
              <w:rPr>
                <w:rFonts w:hint="eastAsia"/>
                <w:color w:val="auto"/>
              </w:rPr>
            </w:pPr>
            <w:r>
              <w:rPr>
                <w:color w:val="auto"/>
              </w:rPr>
              <w:t>GB 17625.1</w:t>
            </w:r>
          </w:p>
        </w:tc>
        <w:tc>
          <w:tcPr>
            <w:tcW w:w="6785" w:type="dxa"/>
            <w:noWrap w:val="0"/>
            <w:tcMar>
              <w:left w:w="0" w:type="dxa"/>
              <w:right w:w="0" w:type="dxa"/>
            </w:tcMar>
            <w:vAlign w:val="top"/>
          </w:tcPr>
          <w:p>
            <w:pPr>
              <w:spacing w:line="240" w:lineRule="auto"/>
              <w:ind w:firstLine="0" w:firstLineChars="0"/>
              <w:rPr>
                <w:rFonts w:hint="eastAsia"/>
                <w:color w:val="auto"/>
              </w:rPr>
            </w:pPr>
            <w:r>
              <w:rPr>
                <w:rFonts w:hint="eastAsia"/>
                <w:color w:val="auto"/>
              </w:rPr>
              <w:t>电磁兼容  限值  谐波电流发射限值（设备每相输入电流≤16A）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800" w:type="dxa"/>
            <w:noWrap w:val="0"/>
            <w:tcMar>
              <w:left w:w="0" w:type="dxa"/>
              <w:right w:w="0" w:type="dxa"/>
            </w:tcMar>
            <w:vAlign w:val="top"/>
          </w:tcPr>
          <w:p>
            <w:pPr>
              <w:spacing w:line="240" w:lineRule="auto"/>
              <w:ind w:firstLine="0" w:firstLineChars="0"/>
              <w:jc w:val="left"/>
              <w:rPr>
                <w:rFonts w:hint="eastAsia"/>
                <w:color w:val="auto"/>
              </w:rPr>
            </w:pPr>
            <w:r>
              <w:rPr>
                <w:color w:val="auto"/>
              </w:rPr>
              <w:t>GB/T 17626.2</w:t>
            </w:r>
          </w:p>
        </w:tc>
        <w:tc>
          <w:tcPr>
            <w:tcW w:w="6785" w:type="dxa"/>
            <w:noWrap w:val="0"/>
            <w:tcMar>
              <w:left w:w="0" w:type="dxa"/>
              <w:right w:w="0" w:type="dxa"/>
            </w:tcMar>
            <w:vAlign w:val="top"/>
          </w:tcPr>
          <w:p>
            <w:pPr>
              <w:spacing w:line="240" w:lineRule="auto"/>
              <w:ind w:firstLine="0" w:firstLineChars="0"/>
              <w:rPr>
                <w:rFonts w:hint="eastAsia"/>
                <w:color w:val="auto"/>
              </w:rPr>
            </w:pPr>
            <w:r>
              <w:rPr>
                <w:rFonts w:hint="eastAsia"/>
                <w:color w:val="auto"/>
              </w:rPr>
              <w:t>电磁兼容  试验和测量技术 静电放电抗扰度试验</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800" w:type="dxa"/>
            <w:noWrap w:val="0"/>
            <w:tcMar>
              <w:left w:w="0" w:type="dxa"/>
              <w:right w:w="0" w:type="dxa"/>
            </w:tcMar>
            <w:vAlign w:val="top"/>
          </w:tcPr>
          <w:p>
            <w:pPr>
              <w:spacing w:line="240" w:lineRule="auto"/>
              <w:ind w:firstLine="0" w:firstLineChars="0"/>
              <w:jc w:val="left"/>
              <w:rPr>
                <w:rFonts w:hint="eastAsia"/>
                <w:color w:val="auto"/>
              </w:rPr>
            </w:pPr>
            <w:r>
              <w:rPr>
                <w:color w:val="auto"/>
              </w:rPr>
              <w:t>GB/T 17626.3</w:t>
            </w:r>
          </w:p>
        </w:tc>
        <w:tc>
          <w:tcPr>
            <w:tcW w:w="6785" w:type="dxa"/>
            <w:noWrap w:val="0"/>
            <w:tcMar>
              <w:left w:w="0" w:type="dxa"/>
              <w:right w:w="0" w:type="dxa"/>
            </w:tcMar>
            <w:vAlign w:val="top"/>
          </w:tcPr>
          <w:p>
            <w:pPr>
              <w:spacing w:line="240" w:lineRule="auto"/>
              <w:ind w:firstLine="0" w:firstLineChars="0"/>
              <w:rPr>
                <w:rFonts w:hint="eastAsia"/>
                <w:color w:val="auto"/>
              </w:rPr>
            </w:pPr>
            <w:r>
              <w:rPr>
                <w:rFonts w:hint="eastAsia"/>
                <w:color w:val="auto"/>
              </w:rPr>
              <w:t>电磁兼容  试验和测量技术 射频电磁场辐射抗扰度试验</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800" w:type="dxa"/>
            <w:noWrap w:val="0"/>
            <w:tcMar>
              <w:left w:w="0" w:type="dxa"/>
              <w:right w:w="0" w:type="dxa"/>
            </w:tcMar>
            <w:vAlign w:val="top"/>
          </w:tcPr>
          <w:p>
            <w:pPr>
              <w:spacing w:line="240" w:lineRule="auto"/>
              <w:ind w:firstLine="0" w:firstLineChars="0"/>
              <w:jc w:val="left"/>
              <w:rPr>
                <w:rFonts w:hint="eastAsia"/>
                <w:color w:val="auto"/>
              </w:rPr>
            </w:pPr>
            <w:r>
              <w:rPr>
                <w:color w:val="auto"/>
              </w:rPr>
              <w:t>GB/T 17626.4</w:t>
            </w:r>
          </w:p>
        </w:tc>
        <w:tc>
          <w:tcPr>
            <w:tcW w:w="6785" w:type="dxa"/>
            <w:noWrap w:val="0"/>
            <w:tcMar>
              <w:left w:w="0" w:type="dxa"/>
              <w:right w:w="0" w:type="dxa"/>
            </w:tcMar>
            <w:vAlign w:val="top"/>
          </w:tcPr>
          <w:p>
            <w:pPr>
              <w:spacing w:line="240" w:lineRule="auto"/>
              <w:ind w:firstLine="0" w:firstLineChars="0"/>
              <w:rPr>
                <w:rFonts w:hint="eastAsia"/>
                <w:color w:val="auto"/>
              </w:rPr>
            </w:pPr>
            <w:r>
              <w:rPr>
                <w:rFonts w:hint="eastAsia"/>
                <w:color w:val="auto"/>
              </w:rPr>
              <w:t>电磁兼容  试验和测量技术 电快速瞬变脉冲群抗扰度试验</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800" w:type="dxa"/>
            <w:noWrap w:val="0"/>
            <w:tcMar>
              <w:left w:w="0" w:type="dxa"/>
              <w:right w:w="0" w:type="dxa"/>
            </w:tcMar>
            <w:vAlign w:val="top"/>
          </w:tcPr>
          <w:p>
            <w:pPr>
              <w:spacing w:line="240" w:lineRule="auto"/>
              <w:ind w:firstLine="0" w:firstLineChars="0"/>
              <w:jc w:val="left"/>
              <w:rPr>
                <w:rFonts w:hint="eastAsia"/>
                <w:color w:val="auto"/>
              </w:rPr>
            </w:pPr>
            <w:r>
              <w:rPr>
                <w:color w:val="auto"/>
              </w:rPr>
              <w:t>GB/T 17626.5</w:t>
            </w:r>
          </w:p>
        </w:tc>
        <w:tc>
          <w:tcPr>
            <w:tcW w:w="6785" w:type="dxa"/>
            <w:noWrap w:val="0"/>
            <w:tcMar>
              <w:left w:w="0" w:type="dxa"/>
              <w:right w:w="0" w:type="dxa"/>
            </w:tcMar>
            <w:vAlign w:val="top"/>
          </w:tcPr>
          <w:p>
            <w:pPr>
              <w:spacing w:line="240" w:lineRule="auto"/>
              <w:ind w:firstLine="0" w:firstLineChars="0"/>
              <w:rPr>
                <w:rFonts w:hint="eastAsia"/>
                <w:color w:val="auto"/>
              </w:rPr>
            </w:pPr>
            <w:r>
              <w:rPr>
                <w:rFonts w:hint="eastAsia"/>
                <w:color w:val="auto"/>
              </w:rPr>
              <w:t>电磁兼容  试验和测量技术 浪涌（冲击）抗扰度试验</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800" w:type="dxa"/>
            <w:noWrap w:val="0"/>
            <w:tcMar>
              <w:left w:w="0" w:type="dxa"/>
              <w:right w:w="0" w:type="dxa"/>
            </w:tcMar>
            <w:vAlign w:val="top"/>
          </w:tcPr>
          <w:p>
            <w:pPr>
              <w:spacing w:line="240" w:lineRule="auto"/>
              <w:ind w:firstLine="0" w:firstLineChars="0"/>
              <w:jc w:val="left"/>
              <w:rPr>
                <w:rFonts w:hint="eastAsia"/>
                <w:color w:val="auto"/>
              </w:rPr>
            </w:pPr>
            <w:r>
              <w:rPr>
                <w:color w:val="auto"/>
              </w:rPr>
              <w:t>GB/T 17626.11</w:t>
            </w:r>
          </w:p>
        </w:tc>
        <w:tc>
          <w:tcPr>
            <w:tcW w:w="6785" w:type="dxa"/>
            <w:noWrap w:val="0"/>
            <w:tcMar>
              <w:left w:w="0" w:type="dxa"/>
              <w:right w:w="0" w:type="dxa"/>
            </w:tcMar>
            <w:vAlign w:val="top"/>
          </w:tcPr>
          <w:p>
            <w:pPr>
              <w:spacing w:line="240" w:lineRule="auto"/>
              <w:ind w:firstLine="0" w:firstLineChars="0"/>
              <w:rPr>
                <w:rFonts w:hint="eastAsia"/>
                <w:color w:val="auto"/>
              </w:rPr>
            </w:pPr>
            <w:r>
              <w:rPr>
                <w:rFonts w:hint="eastAsia"/>
                <w:color w:val="auto"/>
              </w:rPr>
              <w:t>电磁兼容  试验和测量技术 电压暂降、短时中断和电压变化的抗扰度试验</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800" w:type="dxa"/>
            <w:noWrap w:val="0"/>
            <w:tcMar>
              <w:left w:w="0" w:type="dxa"/>
              <w:right w:w="0" w:type="dxa"/>
            </w:tcMar>
            <w:vAlign w:val="center"/>
          </w:tcPr>
          <w:p>
            <w:pPr>
              <w:topLinePunct w:val="0"/>
              <w:snapToGrid/>
              <w:spacing w:before="0" w:after="0" w:line="240" w:lineRule="auto"/>
              <w:ind w:left="0" w:leftChars="0" w:right="0" w:rightChars="0" w:firstLine="0" w:firstLineChars="0"/>
              <w:jc w:val="left"/>
              <w:rPr>
                <w:color w:val="auto"/>
                <w:lang w:val="en-US" w:eastAsia="zh-CN"/>
              </w:rPr>
            </w:pPr>
            <w:bookmarkStart w:id="247" w:name="_Toc12041"/>
            <w:bookmarkStart w:id="248" w:name="_Toc252535469"/>
            <w:bookmarkStart w:id="249" w:name="_Toc527738387"/>
            <w:bookmarkStart w:id="250" w:name="_Toc256367588"/>
            <w:r>
              <w:rPr>
                <w:rFonts w:hint="eastAsia"/>
                <w:color w:val="auto"/>
              </w:rPr>
              <w:t>国家电网设备〔</w:t>
            </w:r>
            <w:r>
              <w:rPr>
                <w:color w:val="auto"/>
              </w:rPr>
              <w:t>2018〕979号　</w:t>
            </w:r>
          </w:p>
        </w:tc>
        <w:tc>
          <w:tcPr>
            <w:tcW w:w="6785" w:type="dxa"/>
            <w:noWrap w:val="0"/>
            <w:tcMar>
              <w:left w:w="0" w:type="dxa"/>
              <w:right w:w="0" w:type="dxa"/>
            </w:tcMar>
            <w:vAlign w:val="center"/>
          </w:tcPr>
          <w:p>
            <w:pPr>
              <w:topLinePunct w:val="0"/>
              <w:snapToGrid/>
              <w:spacing w:before="0" w:after="0" w:line="240" w:lineRule="auto"/>
              <w:ind w:left="0" w:leftChars="0" w:right="0" w:rightChars="0" w:firstLine="0" w:firstLineChars="0"/>
              <w:rPr>
                <w:rFonts w:hint="eastAsia"/>
                <w:color w:val="auto"/>
                <w:lang w:val="en-US" w:eastAsia="zh-CN"/>
              </w:rPr>
            </w:pPr>
            <w:r>
              <w:rPr>
                <w:color w:val="auto"/>
              </w:rPr>
              <w:t>国家电网有限公司关于印发十八项电网重大反事故措施（修订版）的通知)</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800" w:type="dxa"/>
            <w:noWrap w:val="0"/>
            <w:tcMar>
              <w:left w:w="0" w:type="dxa"/>
              <w:right w:w="0" w:type="dxa"/>
            </w:tcMar>
            <w:vAlign w:val="center"/>
          </w:tcPr>
          <w:p>
            <w:pPr>
              <w:topLinePunct w:val="0"/>
              <w:snapToGrid/>
              <w:spacing w:before="0" w:after="0" w:line="240" w:lineRule="auto"/>
              <w:ind w:left="0" w:leftChars="0" w:right="0" w:rightChars="0" w:firstLine="0" w:firstLineChars="0"/>
              <w:jc w:val="left"/>
              <w:rPr>
                <w:rFonts w:hint="eastAsia"/>
                <w:color w:val="auto"/>
                <w:lang w:val="en-US" w:eastAsia="zh-CN"/>
              </w:rPr>
            </w:pPr>
            <w:r>
              <w:rPr>
                <w:rFonts w:hint="eastAsia" w:ascii="Calibri" w:eastAsia="宋体"/>
                <w:color w:val="auto"/>
                <w:lang w:val="en-US" w:eastAsia="zh-CN"/>
              </w:rPr>
              <w:t>国家能源局</w:t>
            </w:r>
          </w:p>
        </w:tc>
        <w:tc>
          <w:tcPr>
            <w:tcW w:w="6785" w:type="dxa"/>
            <w:noWrap w:val="0"/>
            <w:tcMar>
              <w:left w:w="0" w:type="dxa"/>
              <w:right w:w="0" w:type="dxa"/>
            </w:tcMar>
            <w:vAlign w:val="center"/>
          </w:tcPr>
          <w:p>
            <w:pPr>
              <w:adjustRightInd/>
              <w:snapToGrid/>
              <w:spacing w:line="240" w:lineRule="auto"/>
              <w:ind w:firstLine="0" w:firstLineChars="0"/>
              <w:rPr>
                <w:rFonts w:hint="eastAsia"/>
                <w:color w:val="auto"/>
                <w:lang w:val="en-US" w:eastAsia="zh-CN"/>
              </w:rPr>
            </w:pPr>
            <w:r>
              <w:rPr>
                <w:rFonts w:hint="eastAsia" w:ascii="Calibri" w:eastAsia="宋体"/>
                <w:color w:val="auto"/>
                <w:lang w:val="en-US" w:eastAsia="zh-CN"/>
              </w:rPr>
              <w:t>《防止电力生产事故的二十五项重点要求（2023版）》</w:t>
            </w:r>
          </w:p>
        </w:tc>
      </w:tr>
    </w:tbl>
    <w:p>
      <w:pPr>
        <w:rPr>
          <w:rFonts w:hint="eastAsia"/>
          <w:color w:val="auto"/>
          <w:lang w:eastAsia="zh-CN"/>
        </w:rPr>
      </w:pPr>
      <w:r>
        <w:rPr>
          <w:rFonts w:hint="eastAsia" w:ascii="Calibri" w:eastAsia="宋体"/>
          <w:color w:val="auto"/>
          <w:lang w:val="en-US" w:eastAsia="zh-CN"/>
        </w:rPr>
        <w:t>5、</w:t>
      </w:r>
      <w:r>
        <w:rPr>
          <w:rFonts w:hint="eastAsia" w:eastAsia="宋体"/>
          <w:color w:val="auto"/>
          <w:lang w:eastAsia="zh-CN"/>
        </w:rPr>
        <w:t>电能质量在线监测装置总的技术要求</w:t>
      </w:r>
      <w:bookmarkEnd w:id="247"/>
      <w:bookmarkEnd w:id="248"/>
      <w:bookmarkEnd w:id="249"/>
      <w:bookmarkEnd w:id="250"/>
    </w:p>
    <w:p>
      <w:pPr>
        <w:ind w:firstLine="0"/>
        <w:rPr>
          <w:rFonts w:hint="eastAsia"/>
          <w:color w:val="auto"/>
        </w:rPr>
      </w:pPr>
      <w:r>
        <w:rPr>
          <w:rFonts w:hint="eastAsia" w:eastAsia="宋体"/>
          <w:color w:val="auto"/>
          <w:lang w:eastAsia="zh-CN"/>
        </w:rPr>
        <w:t>（</w:t>
      </w:r>
      <w:r>
        <w:rPr>
          <w:rFonts w:hint="eastAsia" w:ascii="Calibri" w:eastAsia="宋体"/>
          <w:color w:val="auto"/>
          <w:lang w:val="en-US" w:eastAsia="zh-CN"/>
        </w:rPr>
        <w:t>1</w:t>
      </w:r>
      <w:r>
        <w:rPr>
          <w:rFonts w:hint="eastAsia" w:eastAsia="宋体"/>
          <w:color w:val="auto"/>
          <w:lang w:eastAsia="zh-CN"/>
        </w:rPr>
        <w:t>）</w:t>
      </w:r>
      <w:r>
        <w:rPr>
          <w:rFonts w:hint="eastAsia"/>
          <w:color w:val="auto"/>
        </w:rPr>
        <w:t>监测设备根据安装地点和监测要求，应具备可选择的监测功能，包括电压偏差、频率偏差、三相电压幅值相位不平衡度、三相电流幅值相位不平衡度、负序电流、谐波、电压波动。电气量监测：具备全电量监测，电压/电流精度±0.1%，有功、无功、功率因数精度±0.2%，频率精度±0.003Hz，三相电压不平衡度精度±0.1%，三相电流不平衡度精度±0.5%，谐波、间谐波等级A级，有功电能精度0.2S级，无功电能精度0.5S级。</w:t>
      </w:r>
    </w:p>
    <w:p>
      <w:pPr>
        <w:ind w:firstLine="0"/>
        <w:rPr>
          <w:rFonts w:hint="eastAsia"/>
          <w:color w:val="auto"/>
        </w:rPr>
      </w:pPr>
      <w:r>
        <w:rPr>
          <w:rFonts w:hint="eastAsia" w:eastAsia="宋体"/>
          <w:color w:val="auto"/>
          <w:lang w:eastAsia="zh-CN"/>
        </w:rPr>
        <w:t>（</w:t>
      </w:r>
      <w:r>
        <w:rPr>
          <w:rFonts w:hint="eastAsia" w:ascii="Calibri" w:eastAsia="宋体"/>
          <w:color w:val="auto"/>
          <w:lang w:val="en-US" w:eastAsia="zh-CN"/>
        </w:rPr>
        <w:t>2</w:t>
      </w:r>
      <w:r>
        <w:rPr>
          <w:rFonts w:hint="eastAsia" w:eastAsia="宋体"/>
          <w:color w:val="auto"/>
          <w:lang w:eastAsia="zh-CN"/>
        </w:rPr>
        <w:t>）</w:t>
      </w:r>
      <w:r>
        <w:rPr>
          <w:rFonts w:hint="eastAsia"/>
          <w:color w:val="auto"/>
        </w:rPr>
        <w:t>稳态监测：具备电压偏差、频率偏差、不平衡度、</w:t>
      </w:r>
      <w:r>
        <w:rPr>
          <w:rFonts w:hint="eastAsia" w:ascii="Calibri" w:eastAsia="宋体"/>
          <w:color w:val="auto"/>
          <w:lang w:val="en-US" w:eastAsia="zh-CN"/>
        </w:rPr>
        <w:t>谐波（2～63次）、间谐波（0.5～62.5次）</w:t>
      </w:r>
      <w:r>
        <w:rPr>
          <w:rFonts w:hint="eastAsia"/>
          <w:color w:val="auto"/>
        </w:rPr>
        <w:t>、电压波动和闪变数据监测，可实现基于国标GB/T 12325、GB/T 12326、GB/T 15543、GB/T 15945、GB/T 14549、GB/T 24337的电能质量标准评估。</w:t>
      </w:r>
    </w:p>
    <w:p>
      <w:pPr>
        <w:ind w:firstLine="0"/>
        <w:rPr>
          <w:rFonts w:hint="eastAsia"/>
          <w:color w:val="auto"/>
        </w:rPr>
      </w:pPr>
      <w:r>
        <w:rPr>
          <w:rFonts w:hint="eastAsia" w:eastAsia="宋体"/>
          <w:color w:val="auto"/>
          <w:lang w:eastAsia="zh-CN"/>
        </w:rPr>
        <w:t>（</w:t>
      </w:r>
      <w:r>
        <w:rPr>
          <w:rFonts w:hint="eastAsia" w:ascii="Calibri" w:eastAsia="宋体"/>
          <w:color w:val="auto"/>
          <w:lang w:val="en-US" w:eastAsia="zh-CN"/>
        </w:rPr>
        <w:t>3</w:t>
      </w:r>
      <w:r>
        <w:rPr>
          <w:rFonts w:hint="eastAsia" w:eastAsia="宋体"/>
          <w:color w:val="auto"/>
          <w:lang w:eastAsia="zh-CN"/>
        </w:rPr>
        <w:t>）</w:t>
      </w:r>
      <w:r>
        <w:rPr>
          <w:rFonts w:hint="eastAsia"/>
          <w:color w:val="auto"/>
        </w:rPr>
        <w:t>超高次谐波：支持2kHz～150kHz超高次谐波电压监测。</w:t>
      </w:r>
    </w:p>
    <w:p>
      <w:pPr>
        <w:ind w:firstLine="0"/>
        <w:rPr>
          <w:rFonts w:hint="eastAsia"/>
          <w:color w:val="auto"/>
        </w:rPr>
      </w:pPr>
      <w:r>
        <w:rPr>
          <w:rFonts w:hint="eastAsia" w:eastAsia="宋体"/>
          <w:color w:val="auto"/>
          <w:lang w:eastAsia="zh-CN"/>
        </w:rPr>
        <w:t>（</w:t>
      </w:r>
      <w:r>
        <w:rPr>
          <w:rFonts w:hint="eastAsia" w:ascii="Calibri" w:eastAsia="宋体"/>
          <w:color w:val="auto"/>
          <w:lang w:val="en-US" w:eastAsia="zh-CN"/>
        </w:rPr>
        <w:t>4</w:t>
      </w:r>
      <w:r>
        <w:rPr>
          <w:rFonts w:hint="eastAsia" w:eastAsia="宋体"/>
          <w:color w:val="auto"/>
          <w:lang w:eastAsia="zh-CN"/>
        </w:rPr>
        <w:t>）</w:t>
      </w:r>
      <w:r>
        <w:rPr>
          <w:rFonts w:hint="eastAsia"/>
          <w:color w:val="auto"/>
        </w:rPr>
        <w:t>暂态监测：电压暂升暂降中断、冲击电流捕捉功能，具备基于暂态的扰动源定位及SEMI F47容忍度分析，支持SEMI F47容忍度曲线分区联动告警功能。</w:t>
      </w:r>
    </w:p>
    <w:p>
      <w:pPr>
        <w:ind w:firstLine="0"/>
        <w:rPr>
          <w:rFonts w:hint="eastAsia"/>
          <w:color w:val="auto"/>
        </w:rPr>
      </w:pPr>
      <w:r>
        <w:rPr>
          <w:rFonts w:hint="eastAsia" w:eastAsia="宋体"/>
          <w:color w:val="auto"/>
          <w:lang w:eastAsia="zh-CN"/>
        </w:rPr>
        <w:t>（</w:t>
      </w:r>
      <w:r>
        <w:rPr>
          <w:rFonts w:hint="eastAsia" w:ascii="Calibri" w:eastAsia="宋体"/>
          <w:color w:val="auto"/>
          <w:lang w:val="en-US" w:eastAsia="zh-CN"/>
        </w:rPr>
        <w:t>5</w:t>
      </w:r>
      <w:r>
        <w:rPr>
          <w:rFonts w:hint="eastAsia" w:eastAsia="宋体"/>
          <w:color w:val="auto"/>
          <w:lang w:eastAsia="zh-CN"/>
        </w:rPr>
        <w:t>）</w:t>
      </w:r>
      <w:r>
        <w:rPr>
          <w:rFonts w:hint="eastAsia"/>
          <w:color w:val="auto"/>
        </w:rPr>
        <w:t>瞬态监测：20us瞬态过电压、电压/电流突变量监测及事件捕捉。</w:t>
      </w:r>
    </w:p>
    <w:p>
      <w:pPr>
        <w:ind w:firstLine="0"/>
        <w:rPr>
          <w:rFonts w:hint="eastAsia"/>
          <w:color w:val="auto"/>
        </w:rPr>
      </w:pPr>
      <w:r>
        <w:rPr>
          <w:rFonts w:hint="eastAsia" w:eastAsia="宋体"/>
          <w:color w:val="auto"/>
          <w:lang w:eastAsia="zh-CN"/>
        </w:rPr>
        <w:t>（</w:t>
      </w:r>
      <w:r>
        <w:rPr>
          <w:rFonts w:hint="eastAsia" w:ascii="Calibri" w:eastAsia="宋体"/>
          <w:color w:val="auto"/>
          <w:lang w:val="en-US" w:eastAsia="zh-CN"/>
        </w:rPr>
        <w:t>6</w:t>
      </w:r>
      <w:r>
        <w:rPr>
          <w:rFonts w:hint="eastAsia" w:eastAsia="宋体"/>
          <w:color w:val="auto"/>
          <w:lang w:eastAsia="zh-CN"/>
        </w:rPr>
        <w:t>）</w:t>
      </w:r>
      <w:r>
        <w:rPr>
          <w:rFonts w:hint="eastAsia"/>
          <w:color w:val="auto"/>
        </w:rPr>
        <w:t>监测预警：支持三相电流电压、零序电流电压、负序电流电压等参数周波级别的越限告警功能，可实现告警信号远传。</w:t>
      </w:r>
    </w:p>
    <w:p>
      <w:pPr>
        <w:ind w:firstLine="0"/>
        <w:rPr>
          <w:rFonts w:hint="eastAsia"/>
          <w:color w:val="auto"/>
        </w:rPr>
      </w:pPr>
      <w:r>
        <w:rPr>
          <w:rFonts w:hint="eastAsia" w:eastAsia="宋体"/>
          <w:color w:val="auto"/>
          <w:lang w:eastAsia="zh-CN"/>
        </w:rPr>
        <w:t>（</w:t>
      </w:r>
      <w:r>
        <w:rPr>
          <w:rFonts w:hint="eastAsia" w:ascii="Calibri" w:eastAsia="宋体"/>
          <w:color w:val="auto"/>
          <w:lang w:val="en-US" w:eastAsia="zh-CN"/>
        </w:rPr>
        <w:t>7</w:t>
      </w:r>
      <w:r>
        <w:rPr>
          <w:rFonts w:hint="eastAsia" w:eastAsia="宋体"/>
          <w:color w:val="auto"/>
          <w:lang w:eastAsia="zh-CN"/>
        </w:rPr>
        <w:t>）</w:t>
      </w:r>
      <w:r>
        <w:rPr>
          <w:rFonts w:hint="eastAsia"/>
          <w:color w:val="auto"/>
        </w:rPr>
        <w:t>扰动源定位：对供电电压异常扰动实现扰动源定位功能，记录扰动源相别，扰动幅值大小、持续时间，扰动源方向以及扰动判据的可信度信息。</w:t>
      </w:r>
    </w:p>
    <w:p>
      <w:pPr>
        <w:ind w:firstLine="0"/>
        <w:rPr>
          <w:rFonts w:hint="eastAsia"/>
          <w:color w:val="auto"/>
        </w:rPr>
      </w:pPr>
      <w:r>
        <w:rPr>
          <w:rFonts w:hint="eastAsia" w:eastAsia="宋体"/>
          <w:color w:val="auto"/>
          <w:lang w:eastAsia="zh-CN"/>
        </w:rPr>
        <w:t>（</w:t>
      </w:r>
      <w:r>
        <w:rPr>
          <w:rFonts w:hint="eastAsia" w:ascii="Calibri" w:eastAsia="宋体"/>
          <w:color w:val="auto"/>
          <w:lang w:val="en-US" w:eastAsia="zh-CN"/>
        </w:rPr>
        <w:t>8</w:t>
      </w:r>
      <w:r>
        <w:rPr>
          <w:rFonts w:hint="eastAsia" w:eastAsia="宋体"/>
          <w:color w:val="auto"/>
          <w:lang w:eastAsia="zh-CN"/>
        </w:rPr>
        <w:t>）</w:t>
      </w:r>
      <w:r>
        <w:rPr>
          <w:rFonts w:hint="eastAsia"/>
          <w:color w:val="auto"/>
        </w:rPr>
        <w:t>故障录波：</w:t>
      </w:r>
      <w:r>
        <w:rPr>
          <w:rFonts w:hint="eastAsia" w:ascii="Calibri" w:eastAsia="宋体"/>
          <w:color w:val="auto"/>
          <w:lang w:val="en-US" w:eastAsia="zh-CN"/>
        </w:rPr>
        <w:t>波形记录采样率不小于1024点/周波，波形长度不小于400周波，存储条数不少于128条</w:t>
      </w:r>
      <w:r>
        <w:rPr>
          <w:rFonts w:hint="eastAsia"/>
          <w:color w:val="auto"/>
        </w:rPr>
        <w:t>，波形文件采用标准COMTRADE格式。支持不同配电室多终端分布式同步录波，可以实现稳态、暂态、瞬态触发所有终端同步录波合并分析。</w:t>
      </w:r>
    </w:p>
    <w:p>
      <w:pPr>
        <w:ind w:firstLine="0"/>
        <w:rPr>
          <w:rFonts w:hint="eastAsia"/>
          <w:color w:val="auto"/>
        </w:rPr>
      </w:pPr>
      <w:r>
        <w:rPr>
          <w:rFonts w:hint="eastAsia" w:eastAsia="宋体"/>
          <w:color w:val="auto"/>
          <w:lang w:eastAsia="zh-CN"/>
        </w:rPr>
        <w:t>（</w:t>
      </w:r>
      <w:r>
        <w:rPr>
          <w:rFonts w:hint="eastAsia" w:ascii="Calibri" w:eastAsia="宋体"/>
          <w:color w:val="auto"/>
          <w:lang w:val="en-US" w:eastAsia="zh-CN"/>
        </w:rPr>
        <w:t>9</w:t>
      </w:r>
      <w:r>
        <w:rPr>
          <w:rFonts w:hint="eastAsia" w:eastAsia="宋体"/>
          <w:color w:val="auto"/>
          <w:lang w:eastAsia="zh-CN"/>
        </w:rPr>
        <w:t>）</w:t>
      </w:r>
      <w:r>
        <w:rPr>
          <w:rFonts w:hint="eastAsia"/>
          <w:color w:val="auto"/>
        </w:rPr>
        <w:t>通信功能：至少具备2路以太网、1路RS485，支持IEC-61850、GOOSE、Modbus TCP、Modbus RTU协议，支持多个TCP连接，可同时上传多个系统。</w:t>
      </w:r>
    </w:p>
    <w:p>
      <w:pPr>
        <w:ind w:firstLine="0"/>
        <w:rPr>
          <w:rFonts w:hint="eastAsia"/>
          <w:color w:val="auto"/>
        </w:rPr>
      </w:pPr>
      <w:bookmarkStart w:id="251" w:name="_Toc250485454"/>
      <w:bookmarkStart w:id="252" w:name="_Toc250621611"/>
      <w:bookmarkStart w:id="253" w:name="_Toc250484023"/>
      <w:bookmarkStart w:id="254" w:name="_Toc250621497"/>
      <w:bookmarkStart w:id="255" w:name="_Toc250740464"/>
      <w:bookmarkStart w:id="256" w:name="_Toc250741112"/>
      <w:r>
        <w:rPr>
          <w:rFonts w:hint="eastAsia" w:eastAsia="宋体"/>
          <w:color w:val="auto"/>
          <w:lang w:eastAsia="zh-CN"/>
        </w:rPr>
        <w:t>（</w:t>
      </w:r>
      <w:r>
        <w:rPr>
          <w:rFonts w:hint="eastAsia" w:ascii="Calibri" w:eastAsia="宋体"/>
          <w:color w:val="auto"/>
          <w:lang w:val="en-US" w:eastAsia="zh-CN"/>
        </w:rPr>
        <w:t>10</w:t>
      </w:r>
      <w:r>
        <w:rPr>
          <w:rFonts w:hint="eastAsia" w:eastAsia="宋体"/>
          <w:color w:val="auto"/>
          <w:lang w:eastAsia="zh-CN"/>
        </w:rPr>
        <w:t>）</w:t>
      </w:r>
      <w:r>
        <w:rPr>
          <w:rFonts w:hint="eastAsia"/>
          <w:color w:val="auto"/>
        </w:rPr>
        <w:t>准确度要求</w:t>
      </w:r>
      <w:bookmarkEnd w:id="251"/>
      <w:bookmarkEnd w:id="252"/>
      <w:bookmarkEnd w:id="253"/>
      <w:bookmarkEnd w:id="254"/>
      <w:bookmarkEnd w:id="255"/>
      <w:bookmarkEnd w:id="256"/>
      <w:r>
        <w:rPr>
          <w:rFonts w:hint="eastAsia"/>
          <w:color w:val="auto"/>
        </w:rPr>
        <w:t>。</w:t>
      </w:r>
    </w:p>
    <w:p>
      <w:pPr>
        <w:ind w:firstLine="0"/>
        <w:rPr>
          <w:rFonts w:hint="eastAsia"/>
          <w:color w:val="auto"/>
        </w:rPr>
      </w:pPr>
      <w:r>
        <w:rPr>
          <w:rFonts w:hint="eastAsia"/>
          <w:color w:val="auto"/>
        </w:rPr>
        <w:t>监测设备各相应指标的精度误差应满足下述要求</w:t>
      </w:r>
      <w:r>
        <w:rPr>
          <w:color w:val="auto"/>
        </w:rPr>
        <w:t>：</w:t>
      </w:r>
    </w:p>
    <w:p>
      <w:pPr>
        <w:ind w:firstLine="0"/>
        <w:rPr>
          <w:rFonts w:hint="eastAsia"/>
          <w:color w:val="auto"/>
        </w:rPr>
      </w:pPr>
      <w:r>
        <w:rPr>
          <w:rFonts w:hint="eastAsia"/>
          <w:color w:val="auto"/>
        </w:rPr>
        <w:t>电压偏差：≤</w:t>
      </w:r>
      <w:r>
        <w:rPr>
          <w:color w:val="auto"/>
        </w:rPr>
        <w:t>0.</w:t>
      </w:r>
      <w:r>
        <w:rPr>
          <w:rFonts w:hint="eastAsia"/>
          <w:color w:val="auto"/>
        </w:rPr>
        <w:t>5</w:t>
      </w:r>
      <w:r>
        <w:rPr>
          <w:color w:val="auto"/>
        </w:rPr>
        <w:t>％</w:t>
      </w:r>
      <w:r>
        <w:rPr>
          <w:rFonts w:hint="eastAsia"/>
          <w:color w:val="auto"/>
        </w:rPr>
        <w:t>；</w:t>
      </w:r>
    </w:p>
    <w:p>
      <w:pPr>
        <w:ind w:firstLine="0"/>
        <w:rPr>
          <w:rFonts w:hint="eastAsia"/>
          <w:color w:val="auto"/>
        </w:rPr>
      </w:pPr>
      <w:r>
        <w:rPr>
          <w:rFonts w:hint="eastAsia"/>
          <w:color w:val="auto"/>
        </w:rPr>
        <w:t>频率偏差：≤</w:t>
      </w:r>
      <w:r>
        <w:rPr>
          <w:color w:val="auto"/>
        </w:rPr>
        <w:t>0.01Hz</w:t>
      </w:r>
      <w:r>
        <w:rPr>
          <w:rFonts w:hint="eastAsia"/>
          <w:color w:val="auto"/>
        </w:rPr>
        <w:t>；</w:t>
      </w:r>
    </w:p>
    <w:p>
      <w:pPr>
        <w:ind w:firstLine="0"/>
        <w:rPr>
          <w:rFonts w:hint="eastAsia"/>
          <w:color w:val="auto"/>
        </w:rPr>
      </w:pPr>
      <w:r>
        <w:rPr>
          <w:rFonts w:hint="eastAsia"/>
          <w:color w:val="auto"/>
        </w:rPr>
        <w:t>三相电压不平衡度：≤</w:t>
      </w:r>
      <w:r>
        <w:rPr>
          <w:color w:val="auto"/>
        </w:rPr>
        <w:t>0.2％</w:t>
      </w:r>
      <w:r>
        <w:rPr>
          <w:rFonts w:hint="eastAsia"/>
          <w:color w:val="auto"/>
        </w:rPr>
        <w:t>；</w:t>
      </w:r>
    </w:p>
    <w:p>
      <w:pPr>
        <w:ind w:firstLine="0"/>
        <w:rPr>
          <w:rFonts w:hint="eastAsia"/>
          <w:color w:val="auto"/>
        </w:rPr>
      </w:pPr>
      <w:r>
        <w:rPr>
          <w:rFonts w:hint="eastAsia"/>
          <w:color w:val="auto"/>
        </w:rPr>
        <w:t>三相电流不平衡度：≤1</w:t>
      </w:r>
      <w:r>
        <w:rPr>
          <w:color w:val="auto"/>
        </w:rPr>
        <w:t>％</w:t>
      </w:r>
      <w:r>
        <w:rPr>
          <w:rFonts w:hint="eastAsia"/>
          <w:color w:val="auto"/>
        </w:rPr>
        <w:t>；</w:t>
      </w:r>
    </w:p>
    <w:p>
      <w:pPr>
        <w:ind w:firstLine="0"/>
        <w:rPr>
          <w:rFonts w:hint="eastAsia"/>
          <w:color w:val="auto"/>
        </w:rPr>
      </w:pPr>
      <w:r>
        <w:rPr>
          <w:rFonts w:hint="eastAsia"/>
          <w:color w:val="auto"/>
        </w:rPr>
        <w:t>闪变：≤5</w:t>
      </w:r>
      <w:r>
        <w:rPr>
          <w:color w:val="auto"/>
        </w:rPr>
        <w:t>％</w:t>
      </w:r>
      <w:r>
        <w:rPr>
          <w:rFonts w:hint="eastAsia"/>
          <w:color w:val="auto"/>
        </w:rPr>
        <w:t>；</w:t>
      </w:r>
    </w:p>
    <w:p>
      <w:pPr>
        <w:ind w:firstLine="0"/>
        <w:rPr>
          <w:rFonts w:hint="eastAsia"/>
          <w:color w:val="auto"/>
        </w:rPr>
      </w:pPr>
      <w:r>
        <w:rPr>
          <w:rFonts w:hint="eastAsia"/>
          <w:color w:val="auto"/>
        </w:rPr>
        <w:t>电压波动：≤5</w:t>
      </w:r>
      <w:r>
        <w:rPr>
          <w:color w:val="auto"/>
        </w:rPr>
        <w:t>％</w:t>
      </w:r>
      <w:r>
        <w:rPr>
          <w:rFonts w:hint="eastAsia"/>
          <w:color w:val="auto"/>
        </w:rPr>
        <w:t>；</w:t>
      </w:r>
    </w:p>
    <w:p>
      <w:pPr>
        <w:ind w:firstLine="0"/>
        <w:rPr>
          <w:rFonts w:hint="eastAsia"/>
          <w:color w:val="auto"/>
        </w:rPr>
      </w:pPr>
      <w:r>
        <w:rPr>
          <w:rFonts w:hint="eastAsia"/>
          <w:color w:val="auto"/>
        </w:rPr>
        <w:t>谐波：具体规定见表2。</w:t>
      </w:r>
    </w:p>
    <w:p>
      <w:pPr>
        <w:ind w:firstLine="0"/>
        <w:jc w:val="center"/>
        <w:rPr>
          <w:rFonts w:hint="eastAsia"/>
          <w:color w:val="auto"/>
        </w:rPr>
      </w:pPr>
      <w:r>
        <w:rPr>
          <w:rFonts w:hint="eastAsia"/>
          <w:color w:val="auto"/>
        </w:rPr>
        <w:t>表2  谐波监测准确度等级</w:t>
      </w:r>
    </w:p>
    <w:tbl>
      <w:tblPr>
        <w:tblStyle w:val="22"/>
        <w:tblW w:w="7776"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133"/>
        <w:gridCol w:w="2004"/>
        <w:gridCol w:w="2249"/>
        <w:gridCol w:w="2390"/>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133" w:type="dxa"/>
            <w:noWrap w:val="0"/>
            <w:tcMar>
              <w:left w:w="0" w:type="dxa"/>
              <w:right w:w="0" w:type="dxa"/>
            </w:tcMar>
            <w:vAlign w:val="center"/>
          </w:tcPr>
          <w:p>
            <w:pPr>
              <w:spacing w:line="240" w:lineRule="auto"/>
              <w:ind w:firstLine="0" w:firstLineChars="0"/>
              <w:jc w:val="left"/>
              <w:rPr>
                <w:rFonts w:hint="eastAsia"/>
                <w:color w:val="auto"/>
              </w:rPr>
            </w:pPr>
            <w:r>
              <w:rPr>
                <w:rFonts w:hint="eastAsia"/>
                <w:color w:val="auto"/>
              </w:rPr>
              <w:t>等    级</w:t>
            </w:r>
          </w:p>
        </w:tc>
        <w:tc>
          <w:tcPr>
            <w:tcW w:w="2004" w:type="dxa"/>
            <w:noWrap w:val="0"/>
            <w:tcMar>
              <w:left w:w="0" w:type="dxa"/>
              <w:right w:w="0" w:type="dxa"/>
            </w:tcMar>
            <w:vAlign w:val="center"/>
          </w:tcPr>
          <w:p>
            <w:pPr>
              <w:spacing w:line="240" w:lineRule="auto"/>
              <w:ind w:firstLine="0" w:firstLineChars="0"/>
              <w:jc w:val="left"/>
              <w:rPr>
                <w:color w:val="auto"/>
              </w:rPr>
            </w:pPr>
            <w:r>
              <w:rPr>
                <w:rFonts w:hint="eastAsia"/>
                <w:color w:val="auto"/>
              </w:rPr>
              <w:t>被  测  量</w:t>
            </w:r>
          </w:p>
        </w:tc>
        <w:tc>
          <w:tcPr>
            <w:tcW w:w="2249" w:type="dxa"/>
            <w:noWrap w:val="0"/>
            <w:tcMar>
              <w:left w:w="0" w:type="dxa"/>
              <w:right w:w="0" w:type="dxa"/>
            </w:tcMar>
            <w:vAlign w:val="center"/>
          </w:tcPr>
          <w:p>
            <w:pPr>
              <w:spacing w:line="240" w:lineRule="auto"/>
              <w:ind w:firstLine="0" w:firstLineChars="0"/>
              <w:jc w:val="left"/>
              <w:rPr>
                <w:color w:val="auto"/>
              </w:rPr>
            </w:pPr>
            <w:r>
              <w:rPr>
                <w:rFonts w:hint="eastAsia"/>
                <w:color w:val="auto"/>
              </w:rPr>
              <w:t>条    件</w:t>
            </w:r>
          </w:p>
        </w:tc>
        <w:tc>
          <w:tcPr>
            <w:tcW w:w="2390" w:type="dxa"/>
            <w:noWrap w:val="0"/>
            <w:tcMar>
              <w:left w:w="0" w:type="dxa"/>
              <w:right w:w="0" w:type="dxa"/>
            </w:tcMar>
            <w:vAlign w:val="center"/>
          </w:tcPr>
          <w:p>
            <w:pPr>
              <w:spacing w:line="240" w:lineRule="auto"/>
              <w:ind w:firstLine="0" w:firstLineChars="0"/>
              <w:jc w:val="left"/>
              <w:rPr>
                <w:color w:val="auto"/>
              </w:rPr>
            </w:pPr>
            <w:r>
              <w:rPr>
                <w:rFonts w:hint="eastAsia"/>
                <w:color w:val="auto"/>
              </w:rPr>
              <w:t>允  许  误  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133" w:type="dxa"/>
            <w:vMerge w:val="restart"/>
            <w:noWrap w:val="0"/>
            <w:tcMar>
              <w:left w:w="0" w:type="dxa"/>
              <w:right w:w="0" w:type="dxa"/>
            </w:tcMar>
            <w:vAlign w:val="center"/>
          </w:tcPr>
          <w:p>
            <w:pPr>
              <w:spacing w:line="240" w:lineRule="auto"/>
              <w:ind w:firstLine="0" w:firstLineChars="0"/>
              <w:jc w:val="left"/>
              <w:rPr>
                <w:rFonts w:hint="eastAsia"/>
                <w:color w:val="auto"/>
              </w:rPr>
            </w:pPr>
            <w:r>
              <w:rPr>
                <w:rFonts w:hint="eastAsia"/>
                <w:color w:val="auto"/>
              </w:rPr>
              <w:t>A</w:t>
            </w:r>
          </w:p>
        </w:tc>
        <w:tc>
          <w:tcPr>
            <w:tcW w:w="2004" w:type="dxa"/>
            <w:noWrap w:val="0"/>
            <w:tcMar>
              <w:left w:w="0" w:type="dxa"/>
              <w:right w:w="0" w:type="dxa"/>
            </w:tcMar>
            <w:vAlign w:val="center"/>
          </w:tcPr>
          <w:p>
            <w:pPr>
              <w:spacing w:line="240" w:lineRule="auto"/>
              <w:ind w:firstLine="0" w:firstLineChars="0"/>
              <w:jc w:val="left"/>
              <w:rPr>
                <w:color w:val="auto"/>
                <w:lang w:val="fr-CA"/>
              </w:rPr>
            </w:pPr>
            <w:r>
              <w:rPr>
                <w:rFonts w:hint="eastAsia" w:ascii="Calibri"/>
                <w:color w:val="auto"/>
                <w:lang w:val="fr-CA"/>
              </w:rPr>
              <w:t>电压</w:t>
            </w:r>
          </w:p>
        </w:tc>
        <w:tc>
          <w:tcPr>
            <w:tcW w:w="2249" w:type="dxa"/>
            <w:noWrap w:val="0"/>
            <w:tcMar>
              <w:left w:w="0" w:type="dxa"/>
              <w:right w:w="0" w:type="dxa"/>
            </w:tcMar>
            <w:vAlign w:val="center"/>
          </w:tcPr>
          <w:p>
            <w:pPr>
              <w:spacing w:line="240" w:lineRule="auto"/>
              <w:ind w:firstLine="0" w:firstLineChars="0"/>
              <w:jc w:val="left"/>
              <w:rPr>
                <w:color w:val="auto"/>
                <w:lang w:val="fr-CA"/>
              </w:rPr>
            </w:pPr>
            <w:r>
              <w:rPr>
                <w:rFonts w:hint="eastAsia" w:ascii="Calibri"/>
                <w:color w:val="auto"/>
                <w:lang w:val="fr-CA"/>
              </w:rPr>
              <w:t>Uh≥</w:t>
            </w:r>
            <w:r>
              <w:rPr>
                <w:color w:val="auto"/>
                <w:lang w:val="fr-CA"/>
              </w:rPr>
              <w:t>1％</w:t>
            </w:r>
            <w:r>
              <w:rPr>
                <w:rFonts w:hint="eastAsia" w:ascii="Calibri"/>
                <w:color w:val="auto"/>
                <w:lang w:val="fr-CA"/>
              </w:rPr>
              <w:t>UN</w:t>
            </w:r>
          </w:p>
          <w:p>
            <w:pPr>
              <w:spacing w:line="240" w:lineRule="auto"/>
              <w:ind w:firstLine="0" w:firstLineChars="0"/>
              <w:jc w:val="left"/>
              <w:rPr>
                <w:color w:val="auto"/>
                <w:lang w:val="fr-CA"/>
              </w:rPr>
            </w:pPr>
            <w:r>
              <w:rPr>
                <w:rFonts w:hint="eastAsia" w:ascii="Calibri"/>
                <w:color w:val="auto"/>
                <w:lang w:val="fr-CA"/>
              </w:rPr>
              <w:t>Uh＜</w:t>
            </w:r>
            <w:r>
              <w:rPr>
                <w:color w:val="auto"/>
                <w:lang w:val="fr-CA"/>
              </w:rPr>
              <w:t>1％U</w:t>
            </w:r>
            <w:r>
              <w:rPr>
                <w:rFonts w:hint="eastAsia" w:ascii="Calibri"/>
                <w:color w:val="auto"/>
                <w:lang w:val="fr-CA"/>
              </w:rPr>
              <w:t>N</w:t>
            </w:r>
          </w:p>
        </w:tc>
        <w:tc>
          <w:tcPr>
            <w:tcW w:w="2390" w:type="dxa"/>
            <w:noWrap w:val="0"/>
            <w:tcMar>
              <w:left w:w="0" w:type="dxa"/>
              <w:right w:w="0" w:type="dxa"/>
            </w:tcMar>
            <w:vAlign w:val="center"/>
          </w:tcPr>
          <w:p>
            <w:pPr>
              <w:spacing w:line="240" w:lineRule="auto"/>
              <w:ind w:firstLine="0" w:firstLineChars="0"/>
              <w:jc w:val="left"/>
              <w:rPr>
                <w:color w:val="auto"/>
                <w:lang w:val="en-GB"/>
              </w:rPr>
            </w:pPr>
            <w:r>
              <w:rPr>
                <w:color w:val="auto"/>
                <w:lang w:val="en-GB"/>
              </w:rPr>
              <w:t>5％</w:t>
            </w:r>
            <w:r>
              <w:rPr>
                <w:rFonts w:hint="eastAsia" w:ascii="Calibri"/>
                <w:color w:val="auto"/>
                <w:lang w:val="fr-CA"/>
              </w:rPr>
              <w:t>Uh</w:t>
            </w:r>
          </w:p>
          <w:p>
            <w:pPr>
              <w:spacing w:line="240" w:lineRule="auto"/>
              <w:ind w:firstLine="0" w:firstLineChars="0"/>
              <w:jc w:val="left"/>
              <w:rPr>
                <w:color w:val="auto"/>
              </w:rPr>
            </w:pPr>
            <w:r>
              <w:rPr>
                <w:color w:val="auto"/>
              </w:rPr>
              <w:t>0</w:t>
            </w:r>
            <w:r>
              <w:rPr>
                <w:rFonts w:hint="eastAsia"/>
                <w:color w:val="auto"/>
              </w:rPr>
              <w:t>.</w:t>
            </w:r>
            <w:r>
              <w:rPr>
                <w:color w:val="auto"/>
              </w:rPr>
              <w:t>05％</w:t>
            </w:r>
            <w:r>
              <w:rPr>
                <w:color w:val="auto"/>
                <w:lang w:val="fr-CA"/>
              </w:rPr>
              <w:t>U</w:t>
            </w:r>
            <w:r>
              <w:rPr>
                <w:rFonts w:hint="eastAsia" w:ascii="Calibri"/>
                <w:color w:val="auto"/>
                <w:lang w:val="fr-CA"/>
              </w:rPr>
              <w:t>N</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133" w:type="dxa"/>
            <w:vMerge w:val="continue"/>
            <w:noWrap w:val="0"/>
            <w:tcMar>
              <w:left w:w="0" w:type="dxa"/>
              <w:right w:w="0" w:type="dxa"/>
            </w:tcMar>
            <w:vAlign w:val="center"/>
          </w:tcPr>
          <w:p>
            <w:pPr>
              <w:widowControl w:val="0"/>
              <w:spacing w:line="240" w:lineRule="auto"/>
              <w:ind w:firstLine="0" w:firstLineChars="0"/>
              <w:jc w:val="left"/>
              <w:rPr>
                <w:rFonts w:hint="eastAsia" w:ascii="Calibri" w:hAnsi="Calibri" w:eastAsia="宋体" w:cs="Calibri"/>
                <w:color w:val="auto"/>
                <w:kern w:val="2"/>
                <w:sz w:val="21"/>
                <w:szCs w:val="21"/>
                <w:lang w:val="en-US" w:eastAsia="zh-CN" w:bidi="ar-SA"/>
              </w:rPr>
            </w:pPr>
          </w:p>
        </w:tc>
        <w:tc>
          <w:tcPr>
            <w:tcW w:w="2004" w:type="dxa"/>
            <w:noWrap w:val="0"/>
            <w:tcMar>
              <w:left w:w="0" w:type="dxa"/>
              <w:right w:w="0" w:type="dxa"/>
            </w:tcMar>
            <w:vAlign w:val="center"/>
          </w:tcPr>
          <w:p>
            <w:pPr>
              <w:widowControl w:val="0"/>
              <w:spacing w:line="240" w:lineRule="auto"/>
              <w:ind w:firstLine="0" w:firstLineChars="0"/>
              <w:jc w:val="left"/>
              <w:rPr>
                <w:rFonts w:ascii="Calibri" w:hAnsi="Calibri" w:eastAsia="宋体" w:cs="Calibri"/>
                <w:color w:val="auto"/>
                <w:kern w:val="2"/>
                <w:sz w:val="21"/>
                <w:szCs w:val="21"/>
                <w:lang w:val="en-US" w:eastAsia="zh-CN" w:bidi="ar-SA"/>
              </w:rPr>
            </w:pPr>
            <w:r>
              <w:rPr>
                <w:rFonts w:hint="eastAsia" w:ascii="Calibri" w:hAnsi="Calibri" w:eastAsia="宋体" w:cs="Calibri"/>
                <w:color w:val="auto"/>
                <w:kern w:val="2"/>
                <w:sz w:val="21"/>
                <w:szCs w:val="21"/>
                <w:lang w:val="en-US" w:eastAsia="zh-CN" w:bidi="ar-SA"/>
              </w:rPr>
              <w:t>电流</w:t>
            </w:r>
          </w:p>
        </w:tc>
        <w:tc>
          <w:tcPr>
            <w:tcW w:w="2249" w:type="dxa"/>
            <w:noWrap w:val="0"/>
            <w:tcMar>
              <w:left w:w="0" w:type="dxa"/>
              <w:right w:w="0" w:type="dxa"/>
            </w:tcMar>
            <w:vAlign w:val="center"/>
          </w:tcPr>
          <w:p>
            <w:pPr>
              <w:widowControl w:val="0"/>
              <w:spacing w:line="240" w:lineRule="auto"/>
              <w:ind w:firstLine="0" w:firstLineChars="0"/>
              <w:jc w:val="left"/>
              <w:rPr>
                <w:rFonts w:ascii="Calibri" w:hAnsi="Calibri" w:eastAsia="宋体" w:cs="Calibri"/>
                <w:color w:val="auto"/>
                <w:kern w:val="2"/>
                <w:sz w:val="21"/>
                <w:szCs w:val="21"/>
                <w:lang w:val="en-US" w:eastAsia="zh-CN" w:bidi="ar-SA"/>
              </w:rPr>
            </w:pPr>
            <w:r>
              <w:rPr>
                <w:rFonts w:ascii="Calibri" w:hAnsi="Calibri" w:eastAsia="宋体" w:cs="Calibri"/>
                <w:color w:val="auto"/>
                <w:kern w:val="2"/>
                <w:sz w:val="21"/>
                <w:szCs w:val="21"/>
                <w:lang w:val="en-US" w:eastAsia="zh-CN" w:bidi="ar-SA"/>
              </w:rPr>
              <w:t>I</w:t>
            </w:r>
            <w:r>
              <w:rPr>
                <w:rFonts w:hint="eastAsia" w:ascii="Calibri" w:hAnsi="Calibri" w:eastAsia="宋体" w:cs="Calibri"/>
                <w:color w:val="auto"/>
                <w:kern w:val="2"/>
                <w:sz w:val="21"/>
                <w:szCs w:val="21"/>
                <w:lang w:val="en-US" w:eastAsia="zh-CN" w:bidi="ar-SA"/>
              </w:rPr>
              <w:t>h≥</w:t>
            </w:r>
            <w:r>
              <w:rPr>
                <w:rFonts w:ascii="Calibri" w:hAnsi="Calibri" w:eastAsia="宋体" w:cs="Calibri"/>
                <w:color w:val="auto"/>
                <w:kern w:val="2"/>
                <w:sz w:val="21"/>
                <w:szCs w:val="21"/>
                <w:lang w:val="en-US" w:eastAsia="zh-CN" w:bidi="ar-SA"/>
              </w:rPr>
              <w:t>3％I</w:t>
            </w:r>
            <w:r>
              <w:rPr>
                <w:rFonts w:hint="eastAsia" w:ascii="Calibri" w:hAnsi="Calibri" w:eastAsia="宋体" w:cs="Calibri"/>
                <w:color w:val="auto"/>
                <w:kern w:val="2"/>
                <w:sz w:val="21"/>
                <w:szCs w:val="21"/>
                <w:lang w:val="en-US" w:eastAsia="zh-CN" w:bidi="ar-SA"/>
              </w:rPr>
              <w:t>N</w:t>
            </w:r>
          </w:p>
          <w:p>
            <w:pPr>
              <w:widowControl w:val="0"/>
              <w:spacing w:line="240" w:lineRule="auto"/>
              <w:ind w:firstLine="0" w:firstLineChars="0"/>
              <w:jc w:val="left"/>
              <w:rPr>
                <w:rFonts w:ascii="Calibri" w:hAnsi="Calibri" w:eastAsia="宋体" w:cs="Calibri"/>
                <w:color w:val="auto"/>
                <w:kern w:val="2"/>
                <w:sz w:val="21"/>
                <w:szCs w:val="21"/>
                <w:lang w:val="en-US" w:eastAsia="zh-CN" w:bidi="ar-SA"/>
              </w:rPr>
            </w:pPr>
            <w:r>
              <w:rPr>
                <w:rFonts w:ascii="Calibri" w:hAnsi="Calibri" w:eastAsia="宋体" w:cs="Calibri"/>
                <w:color w:val="auto"/>
                <w:kern w:val="2"/>
                <w:sz w:val="21"/>
                <w:szCs w:val="21"/>
                <w:lang w:val="en-US" w:eastAsia="zh-CN" w:bidi="ar-SA"/>
              </w:rPr>
              <w:t>I</w:t>
            </w:r>
            <w:r>
              <w:rPr>
                <w:rFonts w:hint="eastAsia" w:ascii="Calibri" w:hAnsi="Calibri" w:eastAsia="宋体" w:cs="Calibri"/>
                <w:color w:val="auto"/>
                <w:kern w:val="2"/>
                <w:sz w:val="21"/>
                <w:szCs w:val="21"/>
                <w:lang w:val="en-US" w:eastAsia="zh-CN" w:bidi="ar-SA"/>
              </w:rPr>
              <w:t>h＜</w:t>
            </w:r>
            <w:r>
              <w:rPr>
                <w:rFonts w:ascii="Calibri" w:hAnsi="Calibri" w:eastAsia="宋体" w:cs="Calibri"/>
                <w:color w:val="auto"/>
                <w:kern w:val="2"/>
                <w:sz w:val="21"/>
                <w:szCs w:val="21"/>
                <w:lang w:val="en-US" w:eastAsia="zh-CN" w:bidi="ar-SA"/>
              </w:rPr>
              <w:t>3％I</w:t>
            </w:r>
            <w:r>
              <w:rPr>
                <w:rFonts w:hint="eastAsia" w:ascii="Calibri" w:hAnsi="Calibri" w:eastAsia="宋体" w:cs="Calibri"/>
                <w:color w:val="auto"/>
                <w:kern w:val="2"/>
                <w:sz w:val="21"/>
                <w:szCs w:val="21"/>
                <w:lang w:val="en-US" w:eastAsia="zh-CN" w:bidi="ar-SA"/>
              </w:rPr>
              <w:t>N</w:t>
            </w:r>
          </w:p>
        </w:tc>
        <w:tc>
          <w:tcPr>
            <w:tcW w:w="2390" w:type="dxa"/>
            <w:noWrap w:val="0"/>
            <w:tcMar>
              <w:left w:w="0" w:type="dxa"/>
              <w:right w:w="0" w:type="dxa"/>
            </w:tcMar>
            <w:vAlign w:val="center"/>
          </w:tcPr>
          <w:p>
            <w:pPr>
              <w:widowControl w:val="0"/>
              <w:spacing w:line="240" w:lineRule="auto"/>
              <w:ind w:firstLine="0" w:firstLineChars="0"/>
              <w:jc w:val="left"/>
              <w:rPr>
                <w:rFonts w:ascii="Calibri" w:hAnsi="Calibri" w:eastAsia="宋体" w:cs="Calibri"/>
                <w:color w:val="auto"/>
                <w:kern w:val="2"/>
                <w:sz w:val="21"/>
                <w:szCs w:val="21"/>
                <w:lang w:val="en-US" w:eastAsia="zh-CN" w:bidi="ar-SA"/>
              </w:rPr>
            </w:pPr>
            <w:r>
              <w:rPr>
                <w:rFonts w:ascii="Calibri" w:hAnsi="Calibri" w:eastAsia="宋体" w:cs="Calibri"/>
                <w:color w:val="auto"/>
                <w:kern w:val="2"/>
                <w:sz w:val="21"/>
                <w:szCs w:val="21"/>
                <w:lang w:val="en-US" w:eastAsia="zh-CN" w:bidi="ar-SA"/>
              </w:rPr>
              <w:t>5％I</w:t>
            </w:r>
            <w:r>
              <w:rPr>
                <w:rFonts w:hint="eastAsia" w:ascii="Calibri" w:hAnsi="Calibri" w:eastAsia="宋体" w:cs="Calibri"/>
                <w:color w:val="auto"/>
                <w:kern w:val="2"/>
                <w:sz w:val="21"/>
                <w:szCs w:val="21"/>
                <w:lang w:val="en-US" w:eastAsia="zh-CN" w:bidi="ar-SA"/>
              </w:rPr>
              <w:t>h</w:t>
            </w:r>
          </w:p>
          <w:p>
            <w:pPr>
              <w:widowControl w:val="0"/>
              <w:spacing w:line="240" w:lineRule="auto"/>
              <w:ind w:firstLine="0" w:firstLineChars="0"/>
              <w:jc w:val="left"/>
              <w:rPr>
                <w:rFonts w:ascii="Calibri" w:hAnsi="Calibri" w:eastAsia="宋体" w:cs="Calibri"/>
                <w:color w:val="auto"/>
                <w:kern w:val="2"/>
                <w:sz w:val="21"/>
                <w:szCs w:val="21"/>
                <w:lang w:val="en-US" w:eastAsia="zh-CN" w:bidi="ar-SA"/>
              </w:rPr>
            </w:pPr>
            <w:r>
              <w:rPr>
                <w:rFonts w:ascii="Calibri" w:hAnsi="Calibri" w:eastAsia="宋体" w:cs="Calibri"/>
                <w:color w:val="auto"/>
                <w:kern w:val="2"/>
                <w:sz w:val="21"/>
                <w:szCs w:val="21"/>
                <w:lang w:val="en-US" w:eastAsia="zh-CN" w:bidi="ar-SA"/>
              </w:rPr>
              <w:t>0.15％I</w:t>
            </w:r>
            <w:r>
              <w:rPr>
                <w:rFonts w:hint="eastAsia" w:ascii="Calibri" w:hAnsi="Calibri" w:eastAsia="宋体" w:cs="Calibri"/>
                <w:color w:val="auto"/>
                <w:kern w:val="2"/>
                <w:sz w:val="21"/>
                <w:szCs w:val="21"/>
                <w:lang w:val="en-US" w:eastAsia="zh-CN" w:bidi="ar-SA"/>
              </w:rPr>
              <w:t>N</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133" w:type="dxa"/>
            <w:vMerge w:val="restart"/>
            <w:noWrap w:val="0"/>
            <w:tcMar>
              <w:left w:w="0" w:type="dxa"/>
              <w:right w:w="0" w:type="dxa"/>
            </w:tcMar>
            <w:vAlign w:val="center"/>
          </w:tcPr>
          <w:p>
            <w:pPr>
              <w:spacing w:line="240" w:lineRule="auto"/>
              <w:ind w:firstLine="0" w:firstLineChars="0"/>
              <w:jc w:val="left"/>
              <w:rPr>
                <w:rFonts w:hint="eastAsia"/>
                <w:color w:val="auto"/>
              </w:rPr>
            </w:pPr>
            <w:r>
              <w:rPr>
                <w:rFonts w:hint="eastAsia"/>
                <w:color w:val="auto"/>
              </w:rPr>
              <w:t>B</w:t>
            </w:r>
          </w:p>
        </w:tc>
        <w:tc>
          <w:tcPr>
            <w:tcW w:w="2004" w:type="dxa"/>
            <w:noWrap w:val="0"/>
            <w:tcMar>
              <w:left w:w="0" w:type="dxa"/>
              <w:right w:w="0" w:type="dxa"/>
            </w:tcMar>
            <w:vAlign w:val="center"/>
          </w:tcPr>
          <w:p>
            <w:pPr>
              <w:spacing w:line="240" w:lineRule="auto"/>
              <w:ind w:firstLine="0" w:firstLineChars="0"/>
              <w:jc w:val="left"/>
              <w:rPr>
                <w:color w:val="auto"/>
                <w:lang w:val="fr-CA"/>
              </w:rPr>
            </w:pPr>
            <w:r>
              <w:rPr>
                <w:rFonts w:hint="eastAsia" w:ascii="Calibri"/>
                <w:color w:val="auto"/>
                <w:lang w:val="fr-CA"/>
              </w:rPr>
              <w:t>电压</w:t>
            </w:r>
          </w:p>
        </w:tc>
        <w:tc>
          <w:tcPr>
            <w:tcW w:w="2249" w:type="dxa"/>
            <w:noWrap w:val="0"/>
            <w:tcMar>
              <w:left w:w="0" w:type="dxa"/>
              <w:right w:w="0" w:type="dxa"/>
            </w:tcMar>
            <w:vAlign w:val="center"/>
          </w:tcPr>
          <w:p>
            <w:pPr>
              <w:spacing w:line="240" w:lineRule="auto"/>
              <w:ind w:firstLine="0" w:firstLineChars="0"/>
              <w:jc w:val="left"/>
              <w:rPr>
                <w:color w:val="auto"/>
                <w:lang w:val="fr-CA"/>
              </w:rPr>
            </w:pPr>
            <w:r>
              <w:rPr>
                <w:rFonts w:hint="eastAsia" w:ascii="Calibri"/>
                <w:color w:val="auto"/>
                <w:lang w:val="fr-CA"/>
              </w:rPr>
              <w:t>Uh≥3</w:t>
            </w:r>
            <w:r>
              <w:rPr>
                <w:color w:val="auto"/>
                <w:lang w:val="fr-CA"/>
              </w:rPr>
              <w:t>％</w:t>
            </w:r>
            <w:r>
              <w:rPr>
                <w:rFonts w:hint="eastAsia" w:ascii="Calibri"/>
                <w:color w:val="auto"/>
                <w:lang w:val="fr-CA"/>
              </w:rPr>
              <w:t>UN</w:t>
            </w:r>
          </w:p>
          <w:p>
            <w:pPr>
              <w:spacing w:line="240" w:lineRule="auto"/>
              <w:ind w:firstLine="0" w:firstLineChars="0"/>
              <w:jc w:val="left"/>
              <w:rPr>
                <w:color w:val="auto"/>
                <w:lang w:val="fr-CA"/>
              </w:rPr>
            </w:pPr>
            <w:r>
              <w:rPr>
                <w:rFonts w:hint="eastAsia" w:ascii="Calibri"/>
                <w:color w:val="auto"/>
                <w:lang w:val="fr-CA"/>
              </w:rPr>
              <w:t>Uh＜3</w:t>
            </w:r>
            <w:r>
              <w:rPr>
                <w:color w:val="auto"/>
                <w:lang w:val="fr-CA"/>
              </w:rPr>
              <w:t>％U</w:t>
            </w:r>
            <w:r>
              <w:rPr>
                <w:rFonts w:hint="eastAsia" w:ascii="Calibri"/>
                <w:color w:val="auto"/>
                <w:lang w:val="fr-CA"/>
              </w:rPr>
              <w:t>N</w:t>
            </w:r>
          </w:p>
        </w:tc>
        <w:tc>
          <w:tcPr>
            <w:tcW w:w="2390" w:type="dxa"/>
            <w:noWrap w:val="0"/>
            <w:tcMar>
              <w:left w:w="0" w:type="dxa"/>
              <w:right w:w="0" w:type="dxa"/>
            </w:tcMar>
            <w:vAlign w:val="center"/>
          </w:tcPr>
          <w:p>
            <w:pPr>
              <w:spacing w:line="240" w:lineRule="auto"/>
              <w:ind w:firstLine="0" w:firstLineChars="0"/>
              <w:jc w:val="left"/>
              <w:rPr>
                <w:color w:val="auto"/>
                <w:lang w:val="fr-CA"/>
              </w:rPr>
            </w:pPr>
            <w:r>
              <w:rPr>
                <w:color w:val="auto"/>
                <w:lang w:val="fr-CA"/>
              </w:rPr>
              <w:t>5％</w:t>
            </w:r>
            <w:r>
              <w:rPr>
                <w:rFonts w:hint="eastAsia" w:ascii="Calibri"/>
                <w:color w:val="auto"/>
                <w:lang w:val="fr-CA"/>
              </w:rPr>
              <w:t>Uh</w:t>
            </w:r>
          </w:p>
          <w:p>
            <w:pPr>
              <w:spacing w:line="240" w:lineRule="auto"/>
              <w:ind w:firstLine="0" w:firstLineChars="0"/>
              <w:jc w:val="left"/>
              <w:rPr>
                <w:color w:val="auto"/>
                <w:lang w:val="fr-CA"/>
              </w:rPr>
            </w:pPr>
            <w:r>
              <w:rPr>
                <w:color w:val="auto"/>
                <w:lang w:val="fr-CA"/>
              </w:rPr>
              <w:t>0</w:t>
            </w:r>
            <w:r>
              <w:rPr>
                <w:rFonts w:hint="eastAsia" w:ascii="Calibri"/>
                <w:color w:val="auto"/>
                <w:lang w:val="fr-CA"/>
              </w:rPr>
              <w:t>.1</w:t>
            </w:r>
            <w:r>
              <w:rPr>
                <w:color w:val="auto"/>
                <w:lang w:val="fr-CA"/>
              </w:rPr>
              <w:t>5％U</w:t>
            </w:r>
            <w:r>
              <w:rPr>
                <w:rFonts w:hint="eastAsia" w:ascii="Calibri"/>
                <w:color w:val="auto"/>
                <w:lang w:val="fr-CA"/>
              </w:rPr>
              <w:t>N</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133" w:type="dxa"/>
            <w:vMerge w:val="continue"/>
            <w:noWrap w:val="0"/>
            <w:tcMar>
              <w:left w:w="0" w:type="dxa"/>
              <w:right w:w="0" w:type="dxa"/>
            </w:tcMar>
            <w:vAlign w:val="center"/>
          </w:tcPr>
          <w:p>
            <w:pPr>
              <w:widowControl w:val="0"/>
              <w:spacing w:line="240" w:lineRule="auto"/>
              <w:ind w:firstLine="0" w:firstLineChars="0"/>
              <w:jc w:val="left"/>
              <w:rPr>
                <w:rFonts w:hint="eastAsia" w:ascii="Calibri" w:hAnsi="Calibri" w:eastAsia="宋体" w:cs="Calibri"/>
                <w:color w:val="auto"/>
                <w:kern w:val="2"/>
                <w:sz w:val="21"/>
                <w:szCs w:val="21"/>
                <w:lang w:val="en-US" w:eastAsia="zh-CN" w:bidi="ar-SA"/>
              </w:rPr>
            </w:pPr>
          </w:p>
        </w:tc>
        <w:tc>
          <w:tcPr>
            <w:tcW w:w="2004" w:type="dxa"/>
            <w:noWrap w:val="0"/>
            <w:tcMar>
              <w:left w:w="0" w:type="dxa"/>
              <w:right w:w="0" w:type="dxa"/>
            </w:tcMar>
            <w:vAlign w:val="center"/>
          </w:tcPr>
          <w:p>
            <w:pPr>
              <w:widowControl w:val="0"/>
              <w:spacing w:line="240" w:lineRule="auto"/>
              <w:ind w:firstLine="0" w:firstLineChars="0"/>
              <w:jc w:val="left"/>
              <w:rPr>
                <w:rFonts w:ascii="Calibri" w:hAnsi="Calibri" w:eastAsia="宋体" w:cs="Calibri"/>
                <w:color w:val="auto"/>
                <w:kern w:val="2"/>
                <w:sz w:val="21"/>
                <w:szCs w:val="21"/>
                <w:lang w:val="en-US" w:eastAsia="zh-CN" w:bidi="ar-SA"/>
              </w:rPr>
            </w:pPr>
            <w:r>
              <w:rPr>
                <w:rFonts w:hint="eastAsia" w:ascii="Calibri" w:hAnsi="Calibri" w:eastAsia="宋体" w:cs="Calibri"/>
                <w:color w:val="auto"/>
                <w:kern w:val="2"/>
                <w:sz w:val="21"/>
                <w:szCs w:val="21"/>
                <w:lang w:val="en-US" w:eastAsia="zh-CN" w:bidi="ar-SA"/>
              </w:rPr>
              <w:t>电流</w:t>
            </w:r>
          </w:p>
        </w:tc>
        <w:tc>
          <w:tcPr>
            <w:tcW w:w="2249" w:type="dxa"/>
            <w:noWrap w:val="0"/>
            <w:tcMar>
              <w:left w:w="0" w:type="dxa"/>
              <w:right w:w="0" w:type="dxa"/>
            </w:tcMar>
            <w:vAlign w:val="center"/>
          </w:tcPr>
          <w:p>
            <w:pPr>
              <w:widowControl w:val="0"/>
              <w:spacing w:line="240" w:lineRule="auto"/>
              <w:ind w:firstLine="0" w:firstLineChars="0"/>
              <w:jc w:val="left"/>
              <w:rPr>
                <w:rFonts w:ascii="Calibri" w:hAnsi="Calibri" w:eastAsia="宋体" w:cs="Calibri"/>
                <w:color w:val="auto"/>
                <w:kern w:val="2"/>
                <w:sz w:val="21"/>
                <w:szCs w:val="21"/>
                <w:lang w:val="en-US" w:eastAsia="zh-CN" w:bidi="ar-SA"/>
              </w:rPr>
            </w:pPr>
            <w:r>
              <w:rPr>
                <w:rFonts w:ascii="Calibri" w:hAnsi="Calibri" w:eastAsia="宋体" w:cs="Calibri"/>
                <w:color w:val="auto"/>
                <w:kern w:val="2"/>
                <w:sz w:val="21"/>
                <w:szCs w:val="21"/>
                <w:lang w:val="en-US" w:eastAsia="zh-CN" w:bidi="ar-SA"/>
              </w:rPr>
              <w:t>I</w:t>
            </w:r>
            <w:r>
              <w:rPr>
                <w:rFonts w:hint="eastAsia" w:ascii="Calibri" w:hAnsi="Calibri" w:eastAsia="宋体" w:cs="Calibri"/>
                <w:color w:val="auto"/>
                <w:kern w:val="2"/>
                <w:sz w:val="21"/>
                <w:szCs w:val="21"/>
                <w:lang w:val="en-US" w:eastAsia="zh-CN" w:bidi="ar-SA"/>
              </w:rPr>
              <w:t>h≥</w:t>
            </w:r>
            <w:r>
              <w:rPr>
                <w:rFonts w:ascii="Calibri" w:hAnsi="Calibri" w:eastAsia="宋体" w:cs="Calibri"/>
                <w:color w:val="auto"/>
                <w:kern w:val="2"/>
                <w:sz w:val="21"/>
                <w:szCs w:val="21"/>
                <w:lang w:val="en-US" w:eastAsia="zh-CN" w:bidi="ar-SA"/>
              </w:rPr>
              <w:t>10％I</w:t>
            </w:r>
            <w:r>
              <w:rPr>
                <w:rFonts w:hint="eastAsia" w:ascii="Calibri" w:hAnsi="Calibri" w:eastAsia="宋体" w:cs="Calibri"/>
                <w:color w:val="auto"/>
                <w:kern w:val="2"/>
                <w:sz w:val="21"/>
                <w:szCs w:val="21"/>
                <w:lang w:val="en-US" w:eastAsia="zh-CN" w:bidi="ar-SA"/>
              </w:rPr>
              <w:t>N</w:t>
            </w:r>
          </w:p>
          <w:p>
            <w:pPr>
              <w:widowControl w:val="0"/>
              <w:spacing w:line="240" w:lineRule="auto"/>
              <w:ind w:firstLine="0" w:firstLineChars="0"/>
              <w:jc w:val="left"/>
              <w:rPr>
                <w:rFonts w:ascii="Calibri" w:hAnsi="Calibri" w:eastAsia="宋体" w:cs="Calibri"/>
                <w:color w:val="auto"/>
                <w:kern w:val="2"/>
                <w:sz w:val="21"/>
                <w:szCs w:val="21"/>
                <w:lang w:val="en-US" w:eastAsia="zh-CN" w:bidi="ar-SA"/>
              </w:rPr>
            </w:pPr>
            <w:r>
              <w:rPr>
                <w:rFonts w:ascii="Calibri" w:hAnsi="Calibri" w:eastAsia="宋体" w:cs="Calibri"/>
                <w:color w:val="auto"/>
                <w:kern w:val="2"/>
                <w:sz w:val="21"/>
                <w:szCs w:val="21"/>
                <w:lang w:val="en-US" w:eastAsia="zh-CN" w:bidi="ar-SA"/>
              </w:rPr>
              <w:t>I</w:t>
            </w:r>
            <w:r>
              <w:rPr>
                <w:rFonts w:hint="eastAsia" w:ascii="Calibri" w:hAnsi="Calibri" w:eastAsia="宋体" w:cs="Calibri"/>
                <w:color w:val="auto"/>
                <w:kern w:val="2"/>
                <w:sz w:val="21"/>
                <w:szCs w:val="21"/>
                <w:lang w:val="en-US" w:eastAsia="zh-CN" w:bidi="ar-SA"/>
              </w:rPr>
              <w:t>h＜</w:t>
            </w:r>
            <w:r>
              <w:rPr>
                <w:rFonts w:ascii="Calibri" w:hAnsi="Calibri" w:eastAsia="宋体" w:cs="Calibri"/>
                <w:color w:val="auto"/>
                <w:kern w:val="2"/>
                <w:sz w:val="21"/>
                <w:szCs w:val="21"/>
                <w:lang w:val="en-US" w:eastAsia="zh-CN" w:bidi="ar-SA"/>
              </w:rPr>
              <w:t>10％I</w:t>
            </w:r>
            <w:r>
              <w:rPr>
                <w:rFonts w:hint="eastAsia" w:ascii="Calibri" w:hAnsi="Calibri" w:eastAsia="宋体" w:cs="Calibri"/>
                <w:color w:val="auto"/>
                <w:kern w:val="2"/>
                <w:sz w:val="21"/>
                <w:szCs w:val="21"/>
                <w:lang w:val="en-US" w:eastAsia="zh-CN" w:bidi="ar-SA"/>
              </w:rPr>
              <w:t>N</w:t>
            </w:r>
          </w:p>
        </w:tc>
        <w:tc>
          <w:tcPr>
            <w:tcW w:w="2390" w:type="dxa"/>
            <w:noWrap w:val="0"/>
            <w:tcMar>
              <w:left w:w="0" w:type="dxa"/>
              <w:right w:w="0" w:type="dxa"/>
            </w:tcMar>
            <w:vAlign w:val="center"/>
          </w:tcPr>
          <w:p>
            <w:pPr>
              <w:widowControl w:val="0"/>
              <w:spacing w:line="240" w:lineRule="auto"/>
              <w:ind w:firstLine="0" w:firstLineChars="0"/>
              <w:jc w:val="left"/>
              <w:rPr>
                <w:rFonts w:ascii="Calibri" w:hAnsi="Calibri" w:eastAsia="宋体" w:cs="Calibri"/>
                <w:color w:val="auto"/>
                <w:kern w:val="2"/>
                <w:sz w:val="21"/>
                <w:szCs w:val="21"/>
                <w:lang w:val="en-US" w:eastAsia="zh-CN" w:bidi="ar-SA"/>
              </w:rPr>
            </w:pPr>
            <w:r>
              <w:rPr>
                <w:rFonts w:ascii="Calibri" w:hAnsi="Calibri" w:eastAsia="宋体" w:cs="Calibri"/>
                <w:color w:val="auto"/>
                <w:kern w:val="2"/>
                <w:sz w:val="21"/>
                <w:szCs w:val="21"/>
                <w:lang w:val="en-US" w:eastAsia="zh-CN" w:bidi="ar-SA"/>
              </w:rPr>
              <w:t>5％I</w:t>
            </w:r>
            <w:r>
              <w:rPr>
                <w:rFonts w:hint="eastAsia" w:ascii="Calibri" w:hAnsi="Calibri" w:eastAsia="宋体" w:cs="Calibri"/>
                <w:color w:val="auto"/>
                <w:kern w:val="2"/>
                <w:sz w:val="21"/>
                <w:szCs w:val="21"/>
                <w:lang w:val="en-US" w:eastAsia="zh-CN" w:bidi="ar-SA"/>
              </w:rPr>
              <w:t>h</w:t>
            </w:r>
          </w:p>
          <w:p>
            <w:pPr>
              <w:widowControl w:val="0"/>
              <w:spacing w:line="240" w:lineRule="auto"/>
              <w:ind w:firstLine="0" w:firstLineChars="0"/>
              <w:jc w:val="left"/>
              <w:rPr>
                <w:rFonts w:ascii="Calibri" w:hAnsi="Calibri" w:eastAsia="宋体" w:cs="Calibri"/>
                <w:color w:val="auto"/>
                <w:kern w:val="2"/>
                <w:sz w:val="21"/>
                <w:szCs w:val="21"/>
                <w:lang w:val="en-US" w:eastAsia="zh-CN" w:bidi="ar-SA"/>
              </w:rPr>
            </w:pPr>
            <w:r>
              <w:rPr>
                <w:rFonts w:ascii="Calibri" w:hAnsi="Calibri" w:eastAsia="宋体" w:cs="Calibri"/>
                <w:color w:val="auto"/>
                <w:kern w:val="2"/>
                <w:sz w:val="21"/>
                <w:szCs w:val="21"/>
                <w:lang w:val="en-US" w:eastAsia="zh-CN" w:bidi="ar-SA"/>
              </w:rPr>
              <w:t>0.5％I</w:t>
            </w:r>
            <w:r>
              <w:rPr>
                <w:rFonts w:hint="eastAsia" w:ascii="Calibri" w:hAnsi="Calibri" w:eastAsia="宋体" w:cs="Calibri"/>
                <w:color w:val="auto"/>
                <w:kern w:val="2"/>
                <w:sz w:val="21"/>
                <w:szCs w:val="21"/>
                <w:lang w:val="en-US" w:eastAsia="zh-CN" w:bidi="ar-SA"/>
              </w:rPr>
              <w:t>N</w:t>
            </w:r>
          </w:p>
        </w:tc>
      </w:tr>
    </w:tbl>
    <w:p>
      <w:pPr>
        <w:ind w:firstLine="0"/>
        <w:rPr>
          <w:rFonts w:hint="eastAsia"/>
          <w:color w:val="auto"/>
        </w:rPr>
      </w:pPr>
      <w:r>
        <w:rPr>
          <w:rFonts w:hint="eastAsia" w:ascii="Calibri"/>
          <w:color w:val="auto"/>
          <w:lang w:val="fr-CA"/>
        </w:rPr>
        <w:t xml:space="preserve">注  </w:t>
      </w:r>
      <w:r>
        <w:rPr>
          <w:rFonts w:hint="eastAsia" w:ascii="Calibri"/>
          <w:color w:val="auto"/>
          <w:lang w:val="en-GB"/>
        </w:rPr>
        <w:t>表中</w:t>
      </w:r>
      <w:r>
        <w:rPr>
          <w:color w:val="auto"/>
          <w:lang w:val="fr-CA"/>
        </w:rPr>
        <w:t>U</w:t>
      </w:r>
      <w:r>
        <w:rPr>
          <w:rFonts w:hint="eastAsia" w:ascii="Calibri"/>
          <w:color w:val="auto"/>
          <w:lang w:val="fr-CA"/>
        </w:rPr>
        <w:t>N为标称电压，</w:t>
      </w:r>
      <w:r>
        <w:rPr>
          <w:color w:val="auto"/>
          <w:lang w:val="fr-CA"/>
        </w:rPr>
        <w:t>I</w:t>
      </w:r>
      <w:r>
        <w:rPr>
          <w:rFonts w:hint="eastAsia" w:ascii="Calibri"/>
          <w:color w:val="auto"/>
          <w:lang w:val="fr-CA"/>
        </w:rPr>
        <w:t>N为额定电流，Uh为谐波电压，</w:t>
      </w:r>
      <w:r>
        <w:rPr>
          <w:color w:val="auto"/>
          <w:lang w:val="fr-CA"/>
        </w:rPr>
        <w:t>I</w:t>
      </w:r>
      <w:r>
        <w:rPr>
          <w:rFonts w:hint="eastAsia" w:ascii="Calibri"/>
          <w:color w:val="auto"/>
          <w:lang w:val="fr-CA"/>
        </w:rPr>
        <w:t>h为谐波电流。</w:t>
      </w:r>
    </w:p>
    <w:p>
      <w:pPr>
        <w:pStyle w:val="4"/>
        <w:bidi w:val="0"/>
        <w:spacing w:line="360" w:lineRule="auto"/>
        <w:rPr>
          <w:rFonts w:hint="eastAsia" w:ascii="宋体" w:hAnsi="宋体" w:eastAsia="宋体" w:cs="宋体"/>
          <w:b/>
          <w:bCs w:val="0"/>
          <w:color w:val="auto"/>
          <w:sz w:val="24"/>
          <w:szCs w:val="24"/>
          <w:lang w:val="en-US" w:eastAsia="zh-CN"/>
        </w:rPr>
      </w:pPr>
      <w:bookmarkStart w:id="257" w:name="_Toc20577"/>
      <w:bookmarkStart w:id="258" w:name="_Toc30228"/>
      <w:bookmarkStart w:id="259" w:name="_Toc31618"/>
      <w:r>
        <w:rPr>
          <w:rFonts w:hint="eastAsia"/>
          <w:color w:val="auto"/>
          <w:lang w:val="en-US" w:eastAsia="zh-CN"/>
        </w:rPr>
        <w:t>10.6</w:t>
      </w:r>
      <w:r>
        <w:rPr>
          <w:rFonts w:hint="eastAsia" w:ascii="宋体" w:hAnsi="宋体" w:eastAsia="宋体" w:cs="宋体"/>
          <w:b/>
          <w:bCs w:val="0"/>
          <w:color w:val="auto"/>
          <w:sz w:val="24"/>
          <w:szCs w:val="24"/>
          <w:lang w:val="en-US" w:eastAsia="zh-CN"/>
        </w:rPr>
        <w:t>防逆流方案</w:t>
      </w:r>
      <w:bookmarkEnd w:id="213"/>
      <w:bookmarkEnd w:id="257"/>
      <w:bookmarkEnd w:id="258"/>
      <w:bookmarkEnd w:id="259"/>
    </w:p>
    <w:p>
      <w:pPr>
        <w:spacing w:line="360" w:lineRule="auto"/>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储能系统需要配置防逆流装置‌，为了防止多余的电能回流到电网中，维护电网系统的稳定性，避免因回流电能过多而导致的电网崩溃现象‌</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设置防逆流装置，防止余电馈入电网。</w:t>
      </w:r>
    </w:p>
    <w:p>
      <w:pPr>
        <w:pStyle w:val="4"/>
        <w:rPr>
          <w:rFonts w:hint="eastAsia" w:ascii="宋体" w:hAnsi="宋体" w:eastAsia="宋体" w:cs="宋体"/>
          <w:b/>
          <w:bCs w:val="0"/>
          <w:color w:val="auto"/>
          <w:szCs w:val="24"/>
          <w:lang w:val="en-US" w:eastAsia="zh-CN"/>
        </w:rPr>
      </w:pPr>
      <w:bookmarkStart w:id="260" w:name="_Toc15696"/>
      <w:bookmarkStart w:id="261" w:name="_Toc8079"/>
      <w:bookmarkStart w:id="262" w:name="_Toc7940"/>
      <w:r>
        <w:rPr>
          <w:rFonts w:hint="eastAsia"/>
          <w:color w:val="auto"/>
          <w:lang w:val="en-US" w:eastAsia="zh-CN"/>
        </w:rPr>
        <w:t>10.7电能量计量系统</w:t>
      </w:r>
      <w:bookmarkEnd w:id="260"/>
      <w:bookmarkEnd w:id="261"/>
      <w:bookmarkEnd w:id="262"/>
    </w:p>
    <w:p>
      <w:pPr>
        <w:spacing w:line="360" w:lineRule="auto"/>
        <w:ind w:firstLine="480"/>
        <w:rPr>
          <w:rFonts w:hint="default" w:ascii="宋体" w:hAnsi="宋体" w:eastAsia="宋体" w:cs="宋体"/>
          <w:color w:val="auto"/>
          <w:sz w:val="24"/>
          <w:szCs w:val="24"/>
        </w:rPr>
      </w:pPr>
      <w:r>
        <w:rPr>
          <w:rFonts w:hint="default" w:ascii="宋体" w:hAnsi="宋体" w:eastAsia="宋体" w:cs="宋体"/>
          <w:color w:val="auto"/>
          <w:sz w:val="24"/>
          <w:szCs w:val="24"/>
        </w:rPr>
        <w:t>本工程电能量计费关口点设在</w:t>
      </w:r>
      <w:r>
        <w:rPr>
          <w:rFonts w:hint="default" w:ascii="宋体" w:hAnsi="宋体" w:cs="宋体"/>
          <w:color w:val="auto"/>
          <w:sz w:val="24"/>
          <w:szCs w:val="24"/>
          <w:lang w:val="en-US" w:eastAsia="zh-CN"/>
        </w:rPr>
        <w:t>储能</w:t>
      </w:r>
      <w:r>
        <w:rPr>
          <w:rFonts w:hint="default" w:ascii="宋体" w:hAnsi="宋体" w:eastAsia="宋体" w:cs="宋体"/>
          <w:color w:val="auto"/>
          <w:sz w:val="24"/>
          <w:szCs w:val="24"/>
        </w:rPr>
        <w:t>电站的并网点。</w:t>
      </w:r>
    </w:p>
    <w:p>
      <w:pPr>
        <w:spacing w:line="360" w:lineRule="auto"/>
        <w:ind w:firstLine="480"/>
        <w:rPr>
          <w:rFonts w:hint="default" w:ascii="宋体" w:hAnsi="宋体" w:eastAsia="宋体" w:cs="宋体"/>
          <w:color w:val="auto"/>
          <w:sz w:val="24"/>
          <w:szCs w:val="24"/>
        </w:rPr>
      </w:pPr>
      <w:r>
        <w:rPr>
          <w:rFonts w:hint="default" w:ascii="宋体" w:hAnsi="宋体" w:cs="宋体"/>
          <w:color w:val="auto"/>
          <w:sz w:val="24"/>
          <w:szCs w:val="24"/>
          <w:lang w:val="en-US" w:eastAsia="zh-CN"/>
        </w:rPr>
        <w:t>储能</w:t>
      </w:r>
      <w:r>
        <w:rPr>
          <w:rFonts w:hint="default" w:ascii="宋体" w:hAnsi="宋体" w:eastAsia="宋体" w:cs="宋体"/>
          <w:color w:val="auto"/>
          <w:sz w:val="24"/>
          <w:szCs w:val="24"/>
        </w:rPr>
        <w:t>电站接入系统计费关口点设置于</w:t>
      </w:r>
      <w:r>
        <w:rPr>
          <w:rFonts w:hint="default" w:ascii="宋体" w:hAnsi="宋体" w:cs="宋体"/>
          <w:color w:val="auto"/>
          <w:sz w:val="24"/>
          <w:szCs w:val="24"/>
          <w:lang w:val="en-US" w:eastAsia="zh-CN"/>
        </w:rPr>
        <w:t>储能</w:t>
      </w:r>
      <w:r>
        <w:rPr>
          <w:rFonts w:hint="default" w:ascii="宋体" w:hAnsi="宋体" w:eastAsia="宋体" w:cs="宋体"/>
          <w:color w:val="auto"/>
          <w:sz w:val="24"/>
          <w:szCs w:val="24"/>
        </w:rPr>
        <w:t>计量柜</w:t>
      </w:r>
      <w:r>
        <w:rPr>
          <w:rFonts w:hint="default" w:ascii="宋体" w:hAnsi="宋体" w:eastAsia="宋体" w:cs="宋体"/>
          <w:color w:val="auto"/>
          <w:sz w:val="24"/>
          <w:szCs w:val="24"/>
          <w:lang w:eastAsia="zh-CN"/>
        </w:rPr>
        <w:t>，</w:t>
      </w:r>
      <w:r>
        <w:rPr>
          <w:rFonts w:hint="default" w:ascii="宋体" w:hAnsi="宋体" w:eastAsia="宋体" w:cs="宋体"/>
          <w:color w:val="auto"/>
          <w:sz w:val="24"/>
          <w:szCs w:val="24"/>
        </w:rPr>
        <w:t>每个计量点配置1块0.2S级电度表。</w:t>
      </w:r>
    </w:p>
    <w:p>
      <w:pPr>
        <w:spacing w:line="360" w:lineRule="auto"/>
        <w:ind w:firstLine="480"/>
        <w:rPr>
          <w:rFonts w:hint="default" w:ascii="宋体" w:hAnsi="宋体" w:eastAsia="宋体" w:cs="宋体"/>
          <w:color w:val="auto"/>
          <w:sz w:val="24"/>
          <w:szCs w:val="24"/>
        </w:rPr>
      </w:pPr>
      <w:r>
        <w:rPr>
          <w:rFonts w:hint="default" w:ascii="宋体" w:hAnsi="宋体" w:eastAsia="宋体" w:cs="宋体"/>
          <w:color w:val="auto"/>
          <w:sz w:val="24"/>
          <w:szCs w:val="24"/>
        </w:rPr>
        <w:t>电能表采用静止式多功能电能表，至少应具备双向有功和四象限无功计量功能、事件记录功能，配有标准通信接口，具备本地通信和通过电能信息采集终端远程通信的功能。</w:t>
      </w:r>
    </w:p>
    <w:p>
      <w:pPr>
        <w:pStyle w:val="5"/>
        <w:rPr>
          <w:rFonts w:hint="eastAsia" w:ascii="宋体" w:hAnsi="宋体" w:eastAsia="宋体" w:cs="宋体"/>
          <w:b/>
          <w:bCs w:val="0"/>
          <w:color w:val="auto"/>
          <w:szCs w:val="24"/>
          <w:lang w:val="en-US" w:eastAsia="zh-CN"/>
        </w:rPr>
      </w:pPr>
      <w:r>
        <w:rPr>
          <w:rFonts w:hint="eastAsia"/>
          <w:color w:val="auto"/>
          <w:lang w:val="en-US" w:eastAsia="zh-CN"/>
        </w:rPr>
        <w:t>10.7.1系统组成</w:t>
      </w:r>
    </w:p>
    <w:p>
      <w:pPr>
        <w:ind w:firstLine="480"/>
        <w:rPr>
          <w:rFonts w:hint="eastAsia" w:ascii="宋体" w:hAnsi="宋体" w:cs="宋体"/>
          <w:color w:val="auto"/>
        </w:rPr>
      </w:pPr>
      <w:r>
        <w:rPr>
          <w:rFonts w:hint="eastAsia" w:ascii="宋体" w:hAnsi="宋体" w:cs="宋体"/>
          <w:color w:val="auto"/>
        </w:rPr>
        <w:t>电能计量装置：电流互感器、电压互感器、数字式电能表</w:t>
      </w:r>
    </w:p>
    <w:p>
      <w:pPr>
        <w:ind w:firstLine="480"/>
        <w:rPr>
          <w:rFonts w:hint="eastAsia" w:ascii="宋体" w:hAnsi="宋体" w:cs="宋体"/>
          <w:color w:val="auto"/>
        </w:rPr>
      </w:pPr>
      <w:r>
        <w:rPr>
          <w:rFonts w:hint="eastAsia" w:ascii="宋体" w:hAnsi="宋体" w:cs="宋体"/>
          <w:color w:val="auto"/>
        </w:rPr>
        <w:t>数据采集与传输系统：数据采集器、通信模块</w:t>
      </w:r>
    </w:p>
    <w:p>
      <w:pPr>
        <w:ind w:firstLine="480"/>
        <w:rPr>
          <w:rFonts w:hint="eastAsia" w:ascii="宋体" w:hAnsi="宋体" w:eastAsia="宋体" w:cs="宋体"/>
          <w:color w:val="auto"/>
          <w:kern w:val="2"/>
          <w:szCs w:val="24"/>
        </w:rPr>
      </w:pPr>
      <w:r>
        <w:rPr>
          <w:rFonts w:hint="eastAsia" w:ascii="宋体" w:hAnsi="宋体" w:cs="宋体"/>
          <w:color w:val="auto"/>
        </w:rPr>
        <w:t>远程监控中心：服务器、数据库、监控软件</w:t>
      </w:r>
    </w:p>
    <w:p>
      <w:pPr>
        <w:pStyle w:val="5"/>
        <w:rPr>
          <w:rFonts w:hint="eastAsia" w:ascii="宋体" w:hAnsi="宋体" w:eastAsia="宋体" w:cs="宋体"/>
          <w:b/>
          <w:bCs w:val="0"/>
          <w:color w:val="auto"/>
          <w:szCs w:val="24"/>
          <w:lang w:val="en-US" w:eastAsia="zh-CN"/>
        </w:rPr>
      </w:pPr>
      <w:r>
        <w:rPr>
          <w:rFonts w:hint="eastAsia"/>
          <w:color w:val="auto"/>
          <w:lang w:val="en-US" w:eastAsia="zh-CN"/>
        </w:rPr>
        <w:t>10.7.2装置的额定值</w:t>
      </w:r>
    </w:p>
    <w:p>
      <w:pPr>
        <w:ind w:firstLine="480"/>
        <w:rPr>
          <w:rFonts w:hint="eastAsia" w:ascii="宋体" w:hAnsi="宋体" w:eastAsia="宋体" w:cs="宋体"/>
          <w:color w:val="auto"/>
          <w:kern w:val="2"/>
          <w:sz w:val="24"/>
          <w:szCs w:val="24"/>
        </w:rPr>
      </w:pPr>
      <w:r>
        <w:rPr>
          <w:rFonts w:hint="eastAsia" w:ascii="宋体" w:hAnsi="宋体" w:cs="宋体"/>
          <w:color w:val="auto"/>
          <w:kern w:val="2"/>
          <w:sz w:val="24"/>
          <w:szCs w:val="24"/>
          <w:lang w:eastAsia="zh-CN"/>
        </w:rPr>
        <w:t>（</w:t>
      </w:r>
      <w:r>
        <w:rPr>
          <w:rFonts w:hint="eastAsia" w:ascii="宋体" w:hAnsi="宋体" w:cs="宋体"/>
          <w:color w:val="auto"/>
          <w:kern w:val="2"/>
          <w:sz w:val="24"/>
          <w:szCs w:val="24"/>
          <w:lang w:val="en-US" w:eastAsia="zh-CN"/>
        </w:rPr>
        <w:t>1</w:t>
      </w:r>
      <w:r>
        <w:rPr>
          <w:rFonts w:hint="eastAsia" w:ascii="宋体" w:hAnsi="宋体" w:cs="宋体"/>
          <w:color w:val="auto"/>
          <w:kern w:val="2"/>
          <w:sz w:val="24"/>
          <w:szCs w:val="24"/>
          <w:lang w:eastAsia="zh-CN"/>
        </w:rPr>
        <w:t>）</w:t>
      </w:r>
      <w:r>
        <w:rPr>
          <w:rFonts w:hint="eastAsia" w:ascii="宋体" w:hAnsi="宋体" w:eastAsia="宋体" w:cs="宋体"/>
          <w:color w:val="auto"/>
          <w:kern w:val="2"/>
          <w:sz w:val="24"/>
          <w:szCs w:val="24"/>
        </w:rPr>
        <w:t>额定交流电压：220V。</w:t>
      </w:r>
    </w:p>
    <w:p>
      <w:pPr>
        <w:ind w:firstLine="480"/>
        <w:rPr>
          <w:rFonts w:hint="eastAsia" w:ascii="宋体" w:hAnsi="宋体" w:eastAsia="宋体" w:cs="宋体"/>
          <w:color w:val="auto"/>
          <w:kern w:val="2"/>
          <w:sz w:val="24"/>
          <w:szCs w:val="24"/>
        </w:rPr>
      </w:pPr>
      <w:r>
        <w:rPr>
          <w:rFonts w:hint="eastAsia" w:ascii="宋体" w:hAnsi="宋体" w:cs="宋体"/>
          <w:color w:val="auto"/>
          <w:kern w:val="2"/>
          <w:sz w:val="24"/>
          <w:szCs w:val="24"/>
          <w:lang w:eastAsia="zh-CN"/>
        </w:rPr>
        <w:t>（</w:t>
      </w:r>
      <w:r>
        <w:rPr>
          <w:rFonts w:hint="eastAsia" w:ascii="宋体" w:hAnsi="宋体" w:cs="宋体"/>
          <w:color w:val="auto"/>
          <w:kern w:val="2"/>
          <w:sz w:val="24"/>
          <w:szCs w:val="24"/>
          <w:lang w:val="en-US" w:eastAsia="zh-CN"/>
        </w:rPr>
        <w:t>2</w:t>
      </w:r>
      <w:r>
        <w:rPr>
          <w:rFonts w:hint="eastAsia" w:ascii="宋体" w:hAnsi="宋体" w:cs="宋体"/>
          <w:color w:val="auto"/>
          <w:kern w:val="2"/>
          <w:sz w:val="24"/>
          <w:szCs w:val="24"/>
          <w:lang w:eastAsia="zh-CN"/>
        </w:rPr>
        <w:t>）</w:t>
      </w:r>
      <w:r>
        <w:rPr>
          <w:rFonts w:hint="eastAsia" w:ascii="宋体" w:hAnsi="宋体" w:eastAsia="宋体" w:cs="宋体"/>
          <w:color w:val="auto"/>
          <w:kern w:val="2"/>
          <w:sz w:val="24"/>
          <w:szCs w:val="24"/>
        </w:rPr>
        <w:t>额定直流电压：220V。</w:t>
      </w:r>
    </w:p>
    <w:p>
      <w:pPr>
        <w:ind w:firstLine="480"/>
        <w:rPr>
          <w:rFonts w:hint="eastAsia" w:ascii="宋体" w:hAnsi="宋体" w:eastAsia="宋体" w:cs="宋体"/>
          <w:color w:val="auto"/>
          <w:kern w:val="2"/>
          <w:sz w:val="24"/>
          <w:szCs w:val="24"/>
        </w:rPr>
      </w:pPr>
      <w:r>
        <w:rPr>
          <w:rFonts w:hint="eastAsia" w:ascii="宋体" w:hAnsi="宋体" w:cs="宋体"/>
          <w:color w:val="auto"/>
          <w:kern w:val="2"/>
          <w:sz w:val="24"/>
          <w:szCs w:val="24"/>
          <w:lang w:eastAsia="zh-CN"/>
        </w:rPr>
        <w:t>（</w:t>
      </w:r>
      <w:r>
        <w:rPr>
          <w:rFonts w:hint="eastAsia" w:ascii="宋体" w:hAnsi="宋体" w:cs="宋体"/>
          <w:color w:val="auto"/>
          <w:kern w:val="2"/>
          <w:sz w:val="24"/>
          <w:szCs w:val="24"/>
          <w:lang w:val="en-US" w:eastAsia="zh-CN"/>
        </w:rPr>
        <w:t>3</w:t>
      </w:r>
      <w:r>
        <w:rPr>
          <w:rFonts w:hint="eastAsia" w:ascii="宋体" w:hAnsi="宋体" w:cs="宋体"/>
          <w:color w:val="auto"/>
          <w:kern w:val="2"/>
          <w:sz w:val="24"/>
          <w:szCs w:val="24"/>
          <w:lang w:eastAsia="zh-CN"/>
        </w:rPr>
        <w:t>）</w:t>
      </w:r>
      <w:r>
        <w:rPr>
          <w:rFonts w:hint="eastAsia" w:ascii="宋体" w:hAnsi="宋体" w:eastAsia="宋体" w:cs="宋体"/>
          <w:color w:val="auto"/>
          <w:kern w:val="2"/>
          <w:sz w:val="24"/>
          <w:szCs w:val="24"/>
        </w:rPr>
        <w:t>额定频率：50Hz。</w:t>
      </w:r>
    </w:p>
    <w:p>
      <w:pPr>
        <w:ind w:firstLine="480"/>
        <w:rPr>
          <w:rFonts w:hint="eastAsia" w:ascii="宋体" w:hAnsi="宋体" w:eastAsia="宋体" w:cs="宋体"/>
          <w:color w:val="auto"/>
          <w:kern w:val="2"/>
          <w:sz w:val="24"/>
          <w:szCs w:val="24"/>
        </w:rPr>
      </w:pPr>
      <w:r>
        <w:rPr>
          <w:rFonts w:hint="eastAsia" w:ascii="宋体" w:hAnsi="宋体" w:cs="宋体"/>
          <w:color w:val="auto"/>
          <w:kern w:val="2"/>
          <w:sz w:val="24"/>
          <w:szCs w:val="24"/>
          <w:lang w:eastAsia="zh-CN"/>
        </w:rPr>
        <w:t>（</w:t>
      </w:r>
      <w:r>
        <w:rPr>
          <w:rFonts w:hint="eastAsia" w:ascii="宋体" w:hAnsi="宋体" w:cs="宋体"/>
          <w:color w:val="auto"/>
          <w:kern w:val="2"/>
          <w:sz w:val="24"/>
          <w:szCs w:val="24"/>
          <w:lang w:val="en-US" w:eastAsia="zh-CN"/>
        </w:rPr>
        <w:t>4</w:t>
      </w:r>
      <w:r>
        <w:rPr>
          <w:rFonts w:hint="eastAsia" w:ascii="宋体" w:hAnsi="宋体" w:cs="宋体"/>
          <w:color w:val="auto"/>
          <w:kern w:val="2"/>
          <w:sz w:val="24"/>
          <w:szCs w:val="24"/>
          <w:lang w:eastAsia="zh-CN"/>
        </w:rPr>
        <w:t>）</w:t>
      </w:r>
      <w:r>
        <w:rPr>
          <w:rFonts w:hint="eastAsia" w:ascii="宋体" w:hAnsi="宋体" w:eastAsia="宋体" w:cs="宋体"/>
          <w:color w:val="auto"/>
          <w:kern w:val="2"/>
          <w:sz w:val="24"/>
          <w:szCs w:val="24"/>
        </w:rPr>
        <w:t>TA二次额定电流：5A。</w:t>
      </w:r>
    </w:p>
    <w:p>
      <w:pPr>
        <w:ind w:firstLine="480"/>
        <w:rPr>
          <w:rFonts w:hint="eastAsia" w:ascii="宋体" w:hAnsi="宋体" w:eastAsia="宋体" w:cs="宋体"/>
          <w:color w:val="auto"/>
          <w:kern w:val="2"/>
          <w:sz w:val="24"/>
          <w:szCs w:val="24"/>
        </w:rPr>
      </w:pPr>
      <w:r>
        <w:rPr>
          <w:rFonts w:hint="eastAsia" w:ascii="宋体" w:hAnsi="宋体" w:cs="宋体"/>
          <w:color w:val="auto"/>
          <w:kern w:val="2"/>
          <w:sz w:val="24"/>
          <w:szCs w:val="24"/>
          <w:lang w:eastAsia="zh-CN"/>
        </w:rPr>
        <w:t>（</w:t>
      </w:r>
      <w:r>
        <w:rPr>
          <w:rFonts w:hint="eastAsia" w:ascii="宋体" w:hAnsi="宋体" w:cs="宋体"/>
          <w:color w:val="auto"/>
          <w:kern w:val="2"/>
          <w:sz w:val="24"/>
          <w:szCs w:val="24"/>
          <w:lang w:val="en-US" w:eastAsia="zh-CN"/>
        </w:rPr>
        <w:t>5</w:t>
      </w:r>
      <w:r>
        <w:rPr>
          <w:rFonts w:hint="eastAsia" w:ascii="宋体" w:hAnsi="宋体" w:cs="宋体"/>
          <w:color w:val="auto"/>
          <w:kern w:val="2"/>
          <w:sz w:val="24"/>
          <w:szCs w:val="24"/>
          <w:lang w:eastAsia="zh-CN"/>
        </w:rPr>
        <w:t>）</w:t>
      </w:r>
      <w:r>
        <w:rPr>
          <w:rFonts w:hint="eastAsia" w:ascii="宋体" w:hAnsi="宋体" w:eastAsia="宋体" w:cs="宋体"/>
          <w:color w:val="auto"/>
          <w:kern w:val="2"/>
          <w:sz w:val="24"/>
          <w:szCs w:val="24"/>
        </w:rPr>
        <w:t>TV二次额定电压：100V(线电压)，100／√3(相电压)。</w:t>
      </w:r>
    </w:p>
    <w:p>
      <w:pPr>
        <w:pStyle w:val="5"/>
        <w:rPr>
          <w:rFonts w:hint="eastAsia" w:ascii="宋体" w:hAnsi="宋体" w:eastAsia="宋体" w:cs="宋体"/>
          <w:b/>
          <w:bCs w:val="0"/>
          <w:color w:val="auto"/>
          <w:szCs w:val="24"/>
          <w:lang w:val="en-US" w:eastAsia="zh-CN"/>
        </w:rPr>
      </w:pPr>
      <w:r>
        <w:rPr>
          <w:rFonts w:hint="eastAsia"/>
          <w:color w:val="auto"/>
          <w:lang w:val="en-US" w:eastAsia="zh-CN"/>
        </w:rPr>
        <w:t>10.7.3装置的温度特性</w:t>
      </w:r>
    </w:p>
    <w:p>
      <w:pPr>
        <w:rPr>
          <w:rFonts w:hint="eastAsia"/>
          <w:color w:val="auto"/>
        </w:rPr>
      </w:pPr>
      <w:r>
        <w:rPr>
          <w:rFonts w:hint="eastAsia"/>
          <w:color w:val="auto"/>
        </w:rPr>
        <w:t>屏（柜）为室内布置，当室内温度在5～+40℃，装置应能满足规范书所规定的精度；室内温度在-5～+45℃时，装置应能正常工作，不拒动不误动。</w:t>
      </w:r>
    </w:p>
    <w:p>
      <w:pPr>
        <w:pStyle w:val="5"/>
        <w:rPr>
          <w:rFonts w:hint="eastAsia" w:ascii="宋体" w:hAnsi="宋体" w:eastAsia="宋体" w:cs="宋体"/>
          <w:b/>
          <w:bCs w:val="0"/>
          <w:color w:val="auto"/>
          <w:szCs w:val="24"/>
          <w:lang w:val="en-US" w:eastAsia="zh-CN"/>
        </w:rPr>
      </w:pPr>
      <w:r>
        <w:rPr>
          <w:rFonts w:hint="eastAsia"/>
          <w:color w:val="auto"/>
          <w:lang w:val="en-US" w:eastAsia="zh-CN"/>
        </w:rPr>
        <w:t>10.7.4耐受过电压的能力</w:t>
      </w:r>
    </w:p>
    <w:p>
      <w:pPr>
        <w:rPr>
          <w:rFonts w:hint="eastAsia"/>
          <w:color w:val="auto"/>
        </w:rPr>
      </w:pPr>
      <w:r>
        <w:rPr>
          <w:rFonts w:hint="eastAsia"/>
          <w:color w:val="auto"/>
        </w:rPr>
        <w:t>装置应具有根据IEC标准所确定的耐受过电压的能力。</w:t>
      </w:r>
    </w:p>
    <w:p>
      <w:pPr>
        <w:pStyle w:val="5"/>
        <w:rPr>
          <w:rFonts w:hint="eastAsia" w:ascii="宋体" w:hAnsi="宋体" w:eastAsia="宋体" w:cs="宋体"/>
          <w:b/>
          <w:bCs w:val="0"/>
          <w:color w:val="auto"/>
          <w:szCs w:val="24"/>
          <w:lang w:val="en-US" w:eastAsia="zh-CN"/>
        </w:rPr>
      </w:pPr>
      <w:r>
        <w:rPr>
          <w:rFonts w:hint="eastAsia"/>
          <w:color w:val="auto"/>
          <w:lang w:val="en-US" w:eastAsia="zh-CN"/>
        </w:rPr>
        <w:t>10.7.5元件的质量</w:t>
      </w:r>
    </w:p>
    <w:p>
      <w:pPr>
        <w:rPr>
          <w:rFonts w:hint="default" w:ascii="宋体" w:hAnsi="宋体" w:eastAsia="宋体" w:cs="Times New Roman"/>
          <w:bCs/>
          <w:color w:val="auto"/>
          <w:kern w:val="2"/>
          <w:sz w:val="24"/>
          <w:szCs w:val="21"/>
        </w:rPr>
      </w:pPr>
      <w:r>
        <w:rPr>
          <w:rFonts w:hint="default" w:ascii="宋体" w:hAnsi="宋体" w:eastAsia="宋体" w:cs="Times New Roman"/>
          <w:bCs/>
          <w:color w:val="auto"/>
          <w:kern w:val="2"/>
          <w:sz w:val="24"/>
          <w:szCs w:val="21"/>
        </w:rPr>
        <w:t>应保证装置的元件和部件的质量。在正常运行期间，装置中任一元件损坏时，装置不应发生误动，并发出装置异常信号。装置系统内部的任何元件故障，均不应影响装置的正常运行。</w:t>
      </w:r>
    </w:p>
    <w:p>
      <w:pPr>
        <w:pStyle w:val="5"/>
        <w:rPr>
          <w:rFonts w:hint="eastAsia" w:ascii="宋体" w:hAnsi="宋体" w:eastAsia="宋体" w:cs="宋体"/>
          <w:b/>
          <w:bCs w:val="0"/>
          <w:color w:val="auto"/>
          <w:szCs w:val="24"/>
          <w:lang w:val="en-US" w:eastAsia="zh-CN"/>
        </w:rPr>
      </w:pPr>
      <w:r>
        <w:rPr>
          <w:rFonts w:hint="eastAsia"/>
          <w:color w:val="auto"/>
          <w:lang w:val="en-US" w:eastAsia="zh-CN"/>
        </w:rPr>
        <w:t>10.7.6连续监视和自动检查功能</w:t>
      </w:r>
    </w:p>
    <w:p>
      <w:pPr>
        <w:rPr>
          <w:rFonts w:hint="eastAsia"/>
          <w:color w:val="auto"/>
        </w:rPr>
      </w:pPr>
      <w:r>
        <w:rPr>
          <w:rFonts w:hint="default" w:ascii="宋体" w:hAnsi="宋体" w:cs="Times New Roman"/>
          <w:bCs/>
          <w:color w:val="auto"/>
          <w:kern w:val="2"/>
          <w:sz w:val="24"/>
          <w:szCs w:val="21"/>
          <w:lang w:eastAsia="zh-CN"/>
        </w:rPr>
        <w:t>（</w:t>
      </w:r>
      <w:r>
        <w:rPr>
          <w:rFonts w:hint="default" w:ascii="宋体" w:hAnsi="宋体" w:cs="Times New Roman"/>
          <w:bCs/>
          <w:color w:val="auto"/>
          <w:kern w:val="2"/>
          <w:sz w:val="24"/>
          <w:szCs w:val="21"/>
          <w:lang w:val="en-US" w:eastAsia="zh-CN"/>
        </w:rPr>
        <w:t>1</w:t>
      </w:r>
      <w:r>
        <w:rPr>
          <w:rFonts w:hint="default" w:ascii="宋体" w:hAnsi="宋体" w:cs="Times New Roman"/>
          <w:bCs/>
          <w:color w:val="auto"/>
          <w:kern w:val="2"/>
          <w:sz w:val="24"/>
          <w:szCs w:val="21"/>
          <w:lang w:eastAsia="zh-CN"/>
        </w:rPr>
        <w:t>）</w:t>
      </w:r>
      <w:r>
        <w:rPr>
          <w:rFonts w:hint="eastAsia"/>
          <w:color w:val="auto"/>
        </w:rPr>
        <w:t>装置应具有对主要回路进行监视的功能，回路不正常时，应能发出不正常信号。</w:t>
      </w:r>
    </w:p>
    <w:p>
      <w:pPr>
        <w:rPr>
          <w:rFonts w:hint="eastAsia"/>
          <w:color w:val="auto"/>
        </w:rPr>
      </w:pPr>
      <w:r>
        <w:rPr>
          <w:rFonts w:hint="default" w:ascii="宋体" w:hAnsi="宋体" w:cs="Times New Roman"/>
          <w:bCs/>
          <w:color w:val="auto"/>
          <w:kern w:val="2"/>
          <w:sz w:val="24"/>
          <w:szCs w:val="21"/>
          <w:lang w:eastAsia="zh-CN"/>
        </w:rPr>
        <w:t>（</w:t>
      </w:r>
      <w:r>
        <w:rPr>
          <w:rFonts w:hint="default" w:ascii="宋体" w:hAnsi="宋体" w:cs="Times New Roman"/>
          <w:bCs/>
          <w:color w:val="auto"/>
          <w:kern w:val="2"/>
          <w:sz w:val="24"/>
          <w:szCs w:val="21"/>
          <w:lang w:val="en-US" w:eastAsia="zh-CN"/>
        </w:rPr>
        <w:t>2</w:t>
      </w:r>
      <w:r>
        <w:rPr>
          <w:rFonts w:hint="default" w:ascii="宋体" w:hAnsi="宋体" w:cs="Times New Roman"/>
          <w:bCs/>
          <w:color w:val="auto"/>
          <w:kern w:val="2"/>
          <w:sz w:val="24"/>
          <w:szCs w:val="21"/>
          <w:lang w:eastAsia="zh-CN"/>
        </w:rPr>
        <w:t>）</w:t>
      </w:r>
      <w:r>
        <w:rPr>
          <w:rFonts w:hint="eastAsia"/>
          <w:color w:val="auto"/>
        </w:rPr>
        <w:t>装置应具有在线自动检查功能，包括装置硬件损坏、功能失效和二次回路异常运行状态的自动检测。应提供试验按钮、试验投切开关或连接片，以便在试验期间不必拆除连接电缆。</w:t>
      </w:r>
    </w:p>
    <w:p>
      <w:pPr>
        <w:rPr>
          <w:rFonts w:hint="eastAsia"/>
          <w:color w:val="auto"/>
        </w:rPr>
      </w:pPr>
      <w:r>
        <w:rPr>
          <w:rFonts w:hint="default" w:ascii="宋体" w:hAnsi="宋体" w:cs="Times New Roman"/>
          <w:bCs/>
          <w:color w:val="auto"/>
          <w:kern w:val="2"/>
          <w:sz w:val="24"/>
          <w:szCs w:val="21"/>
          <w:lang w:eastAsia="zh-CN"/>
        </w:rPr>
        <w:t>（</w:t>
      </w:r>
      <w:r>
        <w:rPr>
          <w:rFonts w:hint="default" w:ascii="宋体" w:hAnsi="宋体" w:cs="Times New Roman"/>
          <w:bCs/>
          <w:color w:val="auto"/>
          <w:kern w:val="2"/>
          <w:sz w:val="24"/>
          <w:szCs w:val="21"/>
          <w:lang w:val="en-US" w:eastAsia="zh-CN"/>
        </w:rPr>
        <w:t>3</w:t>
      </w:r>
      <w:r>
        <w:rPr>
          <w:rFonts w:hint="default" w:ascii="宋体" w:hAnsi="宋体" w:cs="Times New Roman"/>
          <w:bCs/>
          <w:color w:val="auto"/>
          <w:kern w:val="2"/>
          <w:sz w:val="24"/>
          <w:szCs w:val="21"/>
          <w:lang w:eastAsia="zh-CN"/>
        </w:rPr>
        <w:t>）</w:t>
      </w:r>
      <w:r>
        <w:rPr>
          <w:rFonts w:hint="eastAsia"/>
          <w:color w:val="auto"/>
        </w:rPr>
        <w:t>装置应具有通道监视功能，对流经各通道的数据进行监视。</w:t>
      </w:r>
    </w:p>
    <w:p>
      <w:pPr>
        <w:pStyle w:val="5"/>
        <w:rPr>
          <w:rFonts w:hint="eastAsia" w:ascii="宋体" w:hAnsi="宋体" w:eastAsia="宋体" w:cs="宋体"/>
          <w:b/>
          <w:bCs w:val="0"/>
          <w:color w:val="auto"/>
          <w:szCs w:val="24"/>
          <w:lang w:val="en-US" w:eastAsia="zh-CN"/>
        </w:rPr>
      </w:pPr>
      <w:r>
        <w:rPr>
          <w:rFonts w:hint="eastAsia"/>
          <w:color w:val="auto"/>
          <w:lang w:val="en-US" w:eastAsia="zh-CN"/>
        </w:rPr>
        <w:t>10.7.7电量计量系统的功能</w:t>
      </w:r>
    </w:p>
    <w:p>
      <w:pPr>
        <w:rPr>
          <w:rFonts w:hint="eastAsia"/>
          <w:color w:val="auto"/>
        </w:rPr>
      </w:pPr>
      <w:r>
        <w:rPr>
          <w:rFonts w:hint="eastAsia" w:eastAsia="宋体"/>
          <w:color w:val="auto"/>
          <w:lang w:eastAsia="zh-CN"/>
        </w:rPr>
        <w:t>（</w:t>
      </w:r>
      <w:r>
        <w:rPr>
          <w:rFonts w:hint="eastAsia" w:ascii="Calibri" w:eastAsia="宋体"/>
          <w:color w:val="auto"/>
          <w:lang w:val="en-US" w:eastAsia="zh-CN"/>
        </w:rPr>
        <w:t>1</w:t>
      </w:r>
      <w:r>
        <w:rPr>
          <w:rFonts w:hint="eastAsia" w:eastAsia="宋体"/>
          <w:color w:val="auto"/>
          <w:lang w:eastAsia="zh-CN"/>
        </w:rPr>
        <w:t>）</w:t>
      </w:r>
      <w:r>
        <w:rPr>
          <w:rFonts w:hint="eastAsia"/>
          <w:color w:val="auto"/>
        </w:rPr>
        <w:t>能够完成电量的采集、传送、处理、存储、统计。</w:t>
      </w:r>
    </w:p>
    <w:p>
      <w:pPr>
        <w:rPr>
          <w:rFonts w:hint="eastAsia"/>
          <w:color w:val="auto"/>
        </w:rPr>
      </w:pPr>
      <w:r>
        <w:rPr>
          <w:rFonts w:hint="eastAsia" w:eastAsia="宋体"/>
          <w:color w:val="auto"/>
          <w:lang w:eastAsia="zh-CN"/>
        </w:rPr>
        <w:t>（</w:t>
      </w:r>
      <w:r>
        <w:rPr>
          <w:rFonts w:hint="eastAsia" w:ascii="Calibri" w:eastAsia="宋体"/>
          <w:color w:val="auto"/>
          <w:lang w:val="en-US" w:eastAsia="zh-CN"/>
        </w:rPr>
        <w:t>2</w:t>
      </w:r>
      <w:r>
        <w:rPr>
          <w:rFonts w:hint="eastAsia" w:eastAsia="宋体"/>
          <w:color w:val="auto"/>
          <w:lang w:eastAsia="zh-CN"/>
        </w:rPr>
        <w:t>）</w:t>
      </w:r>
      <w:r>
        <w:rPr>
          <w:rFonts w:hint="eastAsia"/>
          <w:color w:val="auto"/>
        </w:rPr>
        <w:t>能保证电量数据采集、存储的准确性、可靠性、完整性和唯一性，在任何情况下不丢失数据。</w:t>
      </w:r>
    </w:p>
    <w:p>
      <w:pPr>
        <w:rPr>
          <w:rFonts w:hint="eastAsia"/>
          <w:color w:val="auto"/>
        </w:rPr>
      </w:pPr>
      <w:r>
        <w:rPr>
          <w:rFonts w:hint="eastAsia" w:eastAsia="宋体"/>
          <w:color w:val="auto"/>
          <w:lang w:eastAsia="zh-CN"/>
        </w:rPr>
        <w:t>（</w:t>
      </w:r>
      <w:r>
        <w:rPr>
          <w:rFonts w:hint="eastAsia" w:ascii="Calibri" w:eastAsia="宋体"/>
          <w:color w:val="auto"/>
          <w:lang w:val="en-US" w:eastAsia="zh-CN"/>
        </w:rPr>
        <w:t>3</w:t>
      </w:r>
      <w:r>
        <w:rPr>
          <w:rFonts w:hint="eastAsia" w:eastAsia="宋体"/>
          <w:color w:val="auto"/>
          <w:lang w:eastAsia="zh-CN"/>
        </w:rPr>
        <w:t>）</w:t>
      </w:r>
      <w:r>
        <w:rPr>
          <w:rFonts w:hint="eastAsia"/>
          <w:color w:val="auto"/>
        </w:rPr>
        <w:t>具有良好的可编程性能及友好的中文化人机界面，用户可以对电能采集周期、数据召唤周期、存储周期、费率、计算结果等进行定义和编程。</w:t>
      </w:r>
    </w:p>
    <w:p>
      <w:pPr>
        <w:rPr>
          <w:rFonts w:hint="eastAsia"/>
          <w:color w:val="auto"/>
        </w:rPr>
      </w:pPr>
      <w:r>
        <w:rPr>
          <w:rFonts w:hint="eastAsia" w:eastAsia="宋体"/>
          <w:color w:val="auto"/>
          <w:lang w:eastAsia="zh-CN"/>
        </w:rPr>
        <w:t>（</w:t>
      </w:r>
      <w:r>
        <w:rPr>
          <w:rFonts w:hint="eastAsia" w:ascii="Calibri" w:eastAsia="宋体"/>
          <w:color w:val="auto"/>
          <w:lang w:val="en-US" w:eastAsia="zh-CN"/>
        </w:rPr>
        <w:t>4</w:t>
      </w:r>
      <w:r>
        <w:rPr>
          <w:rFonts w:hint="eastAsia" w:eastAsia="宋体"/>
          <w:color w:val="auto"/>
          <w:lang w:eastAsia="zh-CN"/>
        </w:rPr>
        <w:t>）</w:t>
      </w:r>
      <w:r>
        <w:rPr>
          <w:rFonts w:hint="eastAsia"/>
          <w:color w:val="auto"/>
        </w:rPr>
        <w:t>系统具备与上级调度中心计量系统对时功能。</w:t>
      </w:r>
    </w:p>
    <w:p>
      <w:pPr>
        <w:pStyle w:val="5"/>
        <w:rPr>
          <w:rFonts w:hint="eastAsia" w:ascii="宋体" w:hAnsi="宋体" w:eastAsia="宋体" w:cs="宋体"/>
          <w:b/>
          <w:bCs w:val="0"/>
          <w:color w:val="auto"/>
          <w:szCs w:val="24"/>
          <w:lang w:val="en-US" w:eastAsia="zh-CN"/>
        </w:rPr>
      </w:pPr>
      <w:r>
        <w:rPr>
          <w:rFonts w:hint="eastAsia"/>
          <w:color w:val="auto"/>
          <w:lang w:val="en-US" w:eastAsia="zh-CN"/>
        </w:rPr>
        <w:t>10.7.8电量计量系统的技术要求</w:t>
      </w:r>
    </w:p>
    <w:p>
      <w:pPr>
        <w:rPr>
          <w:rFonts w:hint="eastAsia" w:ascii="Times New Roman" w:hAnsi="Times New Roman" w:eastAsia="宋体" w:cs="Times New Roman"/>
          <w:color w:val="auto"/>
          <w:kern w:val="2"/>
          <w:sz w:val="24"/>
          <w:szCs w:val="24"/>
        </w:rPr>
      </w:pPr>
      <w:r>
        <w:rPr>
          <w:rFonts w:hint="eastAsia" w:ascii="Times New Roman" w:hAnsi="Times New Roman" w:cs="Times New Roman"/>
          <w:bCs w:val="0"/>
          <w:color w:val="auto"/>
          <w:kern w:val="2"/>
          <w:sz w:val="24"/>
          <w:szCs w:val="24"/>
          <w:lang w:eastAsia="zh-CN"/>
        </w:rPr>
        <w:t>（</w:t>
      </w:r>
      <w:r>
        <w:rPr>
          <w:rFonts w:hint="eastAsia" w:ascii="Times New Roman" w:hAnsi="Times New Roman" w:cs="Times New Roman"/>
          <w:bCs w:val="0"/>
          <w:color w:val="auto"/>
          <w:kern w:val="2"/>
          <w:sz w:val="24"/>
          <w:szCs w:val="24"/>
          <w:lang w:val="en-US" w:eastAsia="zh-CN"/>
        </w:rPr>
        <w:t>1</w:t>
      </w:r>
      <w:r>
        <w:rPr>
          <w:rFonts w:hint="eastAsia" w:ascii="Times New Roman" w:hAnsi="Times New Roman" w:cs="Times New Roman"/>
          <w:bCs w:val="0"/>
          <w:color w:val="auto"/>
          <w:kern w:val="2"/>
          <w:sz w:val="24"/>
          <w:szCs w:val="24"/>
          <w:lang w:eastAsia="zh-CN"/>
        </w:rPr>
        <w:t>）</w:t>
      </w:r>
      <w:r>
        <w:rPr>
          <w:rFonts w:hint="eastAsia" w:ascii="Times New Roman" w:hAnsi="Times New Roman" w:eastAsia="宋体" w:cs="Times New Roman"/>
          <w:color w:val="auto"/>
          <w:kern w:val="2"/>
          <w:sz w:val="24"/>
          <w:szCs w:val="24"/>
        </w:rPr>
        <w:t>有功电量计量符合IEC687标准。</w:t>
      </w:r>
    </w:p>
    <w:p>
      <w:pPr>
        <w:rPr>
          <w:rFonts w:hint="eastAsia" w:ascii="Times New Roman" w:hAnsi="Times New Roman" w:eastAsia="宋体" w:cs="Times New Roman"/>
          <w:color w:val="auto"/>
          <w:kern w:val="2"/>
          <w:sz w:val="24"/>
          <w:szCs w:val="24"/>
        </w:rPr>
      </w:pPr>
      <w:r>
        <w:rPr>
          <w:rFonts w:hint="eastAsia" w:ascii="Times New Roman" w:hAnsi="Times New Roman" w:cs="Times New Roman"/>
          <w:bCs w:val="0"/>
          <w:color w:val="auto"/>
          <w:kern w:val="2"/>
          <w:sz w:val="24"/>
          <w:szCs w:val="24"/>
          <w:lang w:eastAsia="zh-CN"/>
        </w:rPr>
        <w:t>（</w:t>
      </w:r>
      <w:r>
        <w:rPr>
          <w:rFonts w:hint="eastAsia" w:cs="Times New Roman"/>
          <w:bCs w:val="0"/>
          <w:color w:val="auto"/>
          <w:kern w:val="2"/>
          <w:sz w:val="24"/>
          <w:szCs w:val="24"/>
          <w:lang w:val="en-US" w:eastAsia="zh-CN"/>
        </w:rPr>
        <w:t>2</w:t>
      </w:r>
      <w:r>
        <w:rPr>
          <w:rFonts w:hint="eastAsia" w:ascii="Times New Roman" w:hAnsi="Times New Roman" w:cs="Times New Roman"/>
          <w:bCs w:val="0"/>
          <w:color w:val="auto"/>
          <w:kern w:val="2"/>
          <w:sz w:val="24"/>
          <w:szCs w:val="24"/>
          <w:lang w:eastAsia="zh-CN"/>
        </w:rPr>
        <w:t>）</w:t>
      </w:r>
      <w:r>
        <w:rPr>
          <w:rFonts w:hint="eastAsia" w:ascii="Times New Roman" w:hAnsi="Times New Roman" w:eastAsia="宋体" w:cs="Times New Roman"/>
          <w:color w:val="auto"/>
          <w:kern w:val="2"/>
          <w:sz w:val="24"/>
          <w:szCs w:val="24"/>
        </w:rPr>
        <w:t>系统电量冻结周期1-60分钟可调。</w:t>
      </w:r>
    </w:p>
    <w:p>
      <w:pPr>
        <w:rPr>
          <w:rFonts w:hint="eastAsia" w:ascii="Times New Roman" w:hAnsi="Times New Roman" w:eastAsia="宋体" w:cs="Times New Roman"/>
          <w:color w:val="auto"/>
          <w:kern w:val="2"/>
          <w:sz w:val="24"/>
          <w:szCs w:val="24"/>
        </w:rPr>
      </w:pPr>
      <w:r>
        <w:rPr>
          <w:rFonts w:hint="eastAsia" w:ascii="Times New Roman" w:hAnsi="Times New Roman" w:cs="Times New Roman"/>
          <w:bCs w:val="0"/>
          <w:color w:val="auto"/>
          <w:kern w:val="2"/>
          <w:sz w:val="24"/>
          <w:szCs w:val="24"/>
          <w:lang w:eastAsia="zh-CN"/>
        </w:rPr>
        <w:t>（</w:t>
      </w:r>
      <w:r>
        <w:rPr>
          <w:rFonts w:hint="eastAsia" w:cs="Times New Roman"/>
          <w:bCs w:val="0"/>
          <w:color w:val="auto"/>
          <w:kern w:val="2"/>
          <w:sz w:val="24"/>
          <w:szCs w:val="24"/>
          <w:lang w:val="en-US" w:eastAsia="zh-CN"/>
        </w:rPr>
        <w:t>3</w:t>
      </w:r>
      <w:r>
        <w:rPr>
          <w:rFonts w:hint="eastAsia" w:ascii="Times New Roman" w:hAnsi="Times New Roman" w:cs="Times New Roman"/>
          <w:bCs w:val="0"/>
          <w:color w:val="auto"/>
          <w:kern w:val="2"/>
          <w:sz w:val="24"/>
          <w:szCs w:val="24"/>
          <w:lang w:eastAsia="zh-CN"/>
        </w:rPr>
        <w:t>）</w:t>
      </w:r>
      <w:r>
        <w:rPr>
          <w:rFonts w:hint="eastAsia" w:ascii="Times New Roman" w:hAnsi="Times New Roman" w:eastAsia="宋体" w:cs="Times New Roman"/>
          <w:color w:val="auto"/>
          <w:kern w:val="2"/>
          <w:sz w:val="24"/>
          <w:szCs w:val="24"/>
        </w:rPr>
        <w:t>系统时间与标准时间的误差≤0.1秒。</w:t>
      </w:r>
    </w:p>
    <w:p>
      <w:pPr>
        <w:rPr>
          <w:rFonts w:hint="eastAsia" w:ascii="Times New Roman" w:hAnsi="Times New Roman" w:eastAsia="宋体" w:cs="Times New Roman"/>
          <w:color w:val="auto"/>
          <w:kern w:val="2"/>
          <w:sz w:val="24"/>
          <w:szCs w:val="24"/>
        </w:rPr>
      </w:pPr>
      <w:r>
        <w:rPr>
          <w:rFonts w:hint="eastAsia" w:ascii="Times New Roman" w:hAnsi="Times New Roman" w:cs="Times New Roman"/>
          <w:bCs w:val="0"/>
          <w:color w:val="auto"/>
          <w:kern w:val="2"/>
          <w:sz w:val="24"/>
          <w:szCs w:val="24"/>
          <w:lang w:eastAsia="zh-CN"/>
        </w:rPr>
        <w:t>（</w:t>
      </w:r>
      <w:r>
        <w:rPr>
          <w:rFonts w:hint="eastAsia" w:cs="Times New Roman"/>
          <w:bCs w:val="0"/>
          <w:color w:val="auto"/>
          <w:kern w:val="2"/>
          <w:sz w:val="24"/>
          <w:szCs w:val="24"/>
          <w:lang w:val="en-US" w:eastAsia="zh-CN"/>
        </w:rPr>
        <w:t>4</w:t>
      </w:r>
      <w:r>
        <w:rPr>
          <w:rFonts w:hint="eastAsia" w:ascii="Times New Roman" w:hAnsi="Times New Roman" w:cs="Times New Roman"/>
          <w:bCs w:val="0"/>
          <w:color w:val="auto"/>
          <w:kern w:val="2"/>
          <w:sz w:val="24"/>
          <w:szCs w:val="24"/>
          <w:lang w:eastAsia="zh-CN"/>
        </w:rPr>
        <w:t>）</w:t>
      </w:r>
      <w:r>
        <w:rPr>
          <w:rFonts w:hint="eastAsia" w:ascii="Times New Roman" w:hAnsi="Times New Roman" w:eastAsia="宋体" w:cs="Times New Roman"/>
          <w:color w:val="auto"/>
          <w:kern w:val="2"/>
          <w:sz w:val="24"/>
          <w:szCs w:val="24"/>
        </w:rPr>
        <w:t>工作环境：</w:t>
      </w:r>
    </w:p>
    <w:p>
      <w:pPr>
        <w:rPr>
          <w:rFonts w:hint="eastAsia" w:ascii="Times New Roman" w:hAnsi="Times New Roman" w:eastAsia="宋体" w:cs="Times New Roman"/>
          <w:color w:val="auto"/>
          <w:kern w:val="2"/>
          <w:sz w:val="24"/>
          <w:szCs w:val="24"/>
        </w:rPr>
      </w:pPr>
      <w:r>
        <w:rPr>
          <w:rFonts w:hint="eastAsia" w:ascii="Times New Roman" w:hAnsi="Times New Roman" w:eastAsia="宋体" w:cs="Times New Roman"/>
          <w:color w:val="auto"/>
          <w:kern w:val="2"/>
          <w:sz w:val="24"/>
          <w:szCs w:val="24"/>
        </w:rPr>
        <w:t>环境温度：-5-+40℃</w:t>
      </w:r>
    </w:p>
    <w:p>
      <w:pPr>
        <w:rPr>
          <w:rFonts w:hint="eastAsia" w:ascii="Times New Roman" w:hAnsi="Times New Roman" w:eastAsia="宋体" w:cs="Times New Roman"/>
          <w:color w:val="auto"/>
          <w:kern w:val="2"/>
          <w:sz w:val="24"/>
          <w:szCs w:val="24"/>
        </w:rPr>
      </w:pPr>
      <w:r>
        <w:rPr>
          <w:rFonts w:hint="eastAsia" w:ascii="Times New Roman" w:hAnsi="Times New Roman" w:eastAsia="宋体" w:cs="Times New Roman"/>
          <w:color w:val="auto"/>
          <w:kern w:val="2"/>
          <w:sz w:val="24"/>
          <w:szCs w:val="24"/>
        </w:rPr>
        <w:t>环境湿度：最大90%（无露水）</w:t>
      </w:r>
    </w:p>
    <w:p>
      <w:pPr>
        <w:rPr>
          <w:rFonts w:hint="eastAsia" w:ascii="Times New Roman" w:hAnsi="Times New Roman" w:eastAsia="宋体" w:cs="Times New Roman"/>
          <w:color w:val="auto"/>
          <w:kern w:val="2"/>
          <w:sz w:val="24"/>
          <w:szCs w:val="24"/>
        </w:rPr>
      </w:pPr>
      <w:r>
        <w:rPr>
          <w:rFonts w:hint="eastAsia" w:ascii="Times New Roman" w:hAnsi="Times New Roman" w:cs="Times New Roman"/>
          <w:bCs w:val="0"/>
          <w:color w:val="auto"/>
          <w:kern w:val="2"/>
          <w:sz w:val="24"/>
          <w:szCs w:val="24"/>
          <w:lang w:eastAsia="zh-CN"/>
        </w:rPr>
        <w:t>（</w:t>
      </w:r>
      <w:r>
        <w:rPr>
          <w:rFonts w:hint="eastAsia" w:cs="Times New Roman"/>
          <w:bCs w:val="0"/>
          <w:color w:val="auto"/>
          <w:kern w:val="2"/>
          <w:sz w:val="24"/>
          <w:szCs w:val="24"/>
          <w:lang w:val="en-US" w:eastAsia="zh-CN"/>
        </w:rPr>
        <w:t>5</w:t>
      </w:r>
      <w:r>
        <w:rPr>
          <w:rFonts w:hint="eastAsia" w:ascii="Times New Roman" w:hAnsi="Times New Roman" w:cs="Times New Roman"/>
          <w:bCs w:val="0"/>
          <w:color w:val="auto"/>
          <w:kern w:val="2"/>
          <w:sz w:val="24"/>
          <w:szCs w:val="24"/>
          <w:lang w:eastAsia="zh-CN"/>
        </w:rPr>
        <w:t>）</w:t>
      </w:r>
      <w:r>
        <w:rPr>
          <w:rFonts w:hint="eastAsia" w:ascii="Times New Roman" w:hAnsi="Times New Roman" w:eastAsia="宋体" w:cs="Times New Roman"/>
          <w:color w:val="auto"/>
          <w:kern w:val="2"/>
          <w:sz w:val="24"/>
          <w:szCs w:val="24"/>
        </w:rPr>
        <w:t>电量表技术要求</w:t>
      </w:r>
    </w:p>
    <w:p>
      <w:pPr>
        <w:rPr>
          <w:rFonts w:hint="eastAsia" w:ascii="Times New Roman" w:hAnsi="Times New Roman" w:eastAsia="宋体" w:cs="Times New Roman"/>
          <w:color w:val="auto"/>
          <w:kern w:val="2"/>
          <w:sz w:val="24"/>
          <w:szCs w:val="24"/>
          <w:lang w:eastAsia="zh-CN"/>
        </w:rPr>
      </w:pPr>
      <w:r>
        <w:rPr>
          <w:rFonts w:hint="eastAsia" w:ascii="Times New Roman" w:hAnsi="Times New Roman" w:eastAsia="宋体" w:cs="Times New Roman"/>
          <w:color w:val="auto"/>
          <w:kern w:val="2"/>
          <w:sz w:val="24"/>
          <w:szCs w:val="24"/>
        </w:rPr>
        <w:t>本</w:t>
      </w:r>
      <w:r>
        <w:rPr>
          <w:rFonts w:hint="eastAsia" w:cs="Times New Roman"/>
          <w:color w:val="auto"/>
          <w:kern w:val="2"/>
          <w:sz w:val="24"/>
          <w:szCs w:val="24"/>
          <w:lang w:val="en-US" w:eastAsia="zh-CN"/>
        </w:rPr>
        <w:t>储能</w:t>
      </w:r>
      <w:r>
        <w:rPr>
          <w:rFonts w:hint="eastAsia" w:ascii="Times New Roman" w:hAnsi="Times New Roman" w:eastAsia="宋体" w:cs="Times New Roman"/>
          <w:color w:val="auto"/>
          <w:kern w:val="2"/>
          <w:sz w:val="24"/>
          <w:szCs w:val="24"/>
        </w:rPr>
        <w:t>电站的发电计量点设置在专用发电计量柜里，发电计量按单表配置。具备双向有功和四象限无功计量功能，表记精度为有功0.5S 级，无功2.0 级，计量点处计量专用电流互感器绕组精度不低于0.2S级，计量专用电压互感器绕组的精度不低于0.2级。</w:t>
      </w:r>
    </w:p>
    <w:p>
      <w:pPr>
        <w:pStyle w:val="4"/>
        <w:bidi w:val="0"/>
        <w:spacing w:line="360" w:lineRule="auto"/>
        <w:rPr>
          <w:rFonts w:hint="eastAsia" w:ascii="宋体" w:eastAsia="宋体" w:cs="宋体"/>
          <w:b/>
          <w:bCs w:val="0"/>
          <w:color w:val="auto"/>
          <w:sz w:val="24"/>
          <w:szCs w:val="24"/>
          <w:lang w:val="en-US" w:eastAsia="zh-CN"/>
        </w:rPr>
      </w:pPr>
      <w:bookmarkStart w:id="263" w:name="_Toc9668"/>
      <w:bookmarkStart w:id="264" w:name="_Toc13944"/>
      <w:bookmarkStart w:id="265" w:name="_Toc31588"/>
      <w:r>
        <w:rPr>
          <w:rFonts w:hint="eastAsia" w:ascii="宋体" w:eastAsia="宋体" w:cs="宋体"/>
          <w:b/>
          <w:bCs w:val="0"/>
          <w:color w:val="auto"/>
          <w:sz w:val="24"/>
          <w:szCs w:val="24"/>
          <w:lang w:val="en-US" w:eastAsia="zh-CN"/>
        </w:rPr>
        <w:t>10</w:t>
      </w:r>
      <w:r>
        <w:rPr>
          <w:rFonts w:hint="eastAsia" w:ascii="宋体" w:hAnsi="宋体" w:eastAsia="宋体" w:cs="宋体"/>
          <w:b/>
          <w:bCs w:val="0"/>
          <w:color w:val="auto"/>
          <w:sz w:val="24"/>
          <w:szCs w:val="24"/>
          <w:lang w:val="en-US" w:eastAsia="zh-CN"/>
        </w:rPr>
        <w:t>.</w:t>
      </w:r>
      <w:r>
        <w:rPr>
          <w:rFonts w:hint="eastAsia" w:cs="宋体"/>
          <w:b/>
          <w:bCs w:val="0"/>
          <w:color w:val="auto"/>
          <w:sz w:val="24"/>
          <w:szCs w:val="24"/>
          <w:lang w:val="en-US" w:eastAsia="zh-CN"/>
        </w:rPr>
        <w:t>8交直流一体化电源</w:t>
      </w:r>
      <w:r>
        <w:rPr>
          <w:rFonts w:hint="eastAsia" w:ascii="宋体" w:hAnsi="宋体" w:eastAsia="宋体" w:cs="宋体"/>
          <w:b/>
          <w:bCs w:val="0"/>
          <w:color w:val="auto"/>
          <w:sz w:val="24"/>
          <w:szCs w:val="24"/>
          <w:lang w:val="en-US" w:eastAsia="zh-CN"/>
        </w:rPr>
        <w:t>系统</w:t>
      </w:r>
      <w:bookmarkEnd w:id="263"/>
      <w:bookmarkEnd w:id="264"/>
      <w:bookmarkEnd w:id="265"/>
    </w:p>
    <w:p>
      <w:pPr>
        <w:spacing w:line="360" w:lineRule="auto"/>
        <w:ind w:firstLine="0"/>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 xml:space="preserve">本期工程配置1套220V </w:t>
      </w:r>
      <w:r>
        <w:rPr>
          <w:rFonts w:hint="default" w:ascii="Times New Roman" w:hAnsi="Times New Roman" w:cs="Times New Roman"/>
          <w:color w:val="auto"/>
          <w:sz w:val="24"/>
          <w:szCs w:val="24"/>
          <w:lang w:val="en-US" w:eastAsia="zh-CN"/>
        </w:rPr>
        <w:t>65</w:t>
      </w:r>
      <w:r>
        <w:rPr>
          <w:rFonts w:hint="default" w:ascii="Times New Roman" w:hAnsi="Times New Roman" w:eastAsia="宋体" w:cs="Times New Roman"/>
          <w:color w:val="auto"/>
          <w:sz w:val="24"/>
          <w:szCs w:val="24"/>
          <w:lang w:val="en-US" w:eastAsia="zh-CN"/>
        </w:rPr>
        <w:t>Ah直流系统、1套</w:t>
      </w:r>
      <w:r>
        <w:rPr>
          <w:rFonts w:hint="default" w:ascii="Times New Roman" w:hAnsi="Times New Roman" w:cs="Times New Roman"/>
          <w:color w:val="auto"/>
          <w:sz w:val="24"/>
          <w:szCs w:val="24"/>
          <w:lang w:val="en-US" w:eastAsia="zh-CN"/>
        </w:rPr>
        <w:t>3</w:t>
      </w:r>
      <w:r>
        <w:rPr>
          <w:rFonts w:hint="default" w:ascii="Times New Roman" w:hAnsi="Times New Roman" w:eastAsia="宋体" w:cs="Times New Roman"/>
          <w:color w:val="auto"/>
          <w:sz w:val="24"/>
          <w:szCs w:val="24"/>
          <w:lang w:val="en-US" w:eastAsia="zh-CN"/>
        </w:rPr>
        <w:t>kVA的UPS装置，与交流电源系统组一面屏布置于</w:t>
      </w:r>
      <w:r>
        <w:rPr>
          <w:rFonts w:hint="default" w:ascii="Times New Roman" w:hAnsi="Times New Roman" w:cs="Times New Roman"/>
          <w:color w:val="auto"/>
          <w:sz w:val="24"/>
          <w:szCs w:val="24"/>
          <w:lang w:val="en-US" w:eastAsia="zh-CN"/>
        </w:rPr>
        <w:t>二次预制舱</w:t>
      </w:r>
      <w:r>
        <w:rPr>
          <w:rFonts w:hint="default" w:ascii="Times New Roman" w:hAnsi="Times New Roman" w:eastAsia="宋体" w:cs="Times New Roman"/>
          <w:color w:val="auto"/>
          <w:sz w:val="24"/>
          <w:szCs w:val="24"/>
          <w:lang w:val="en-US" w:eastAsia="zh-CN"/>
        </w:rPr>
        <w:t>内，火灾报警控制器等负荷供电。</w:t>
      </w:r>
    </w:p>
    <w:p>
      <w:pPr>
        <w:pStyle w:val="5"/>
        <w:rPr>
          <w:color w:val="auto"/>
          <w:highlight w:val="none"/>
          <w:lang w:eastAsia="zh-CN"/>
        </w:rPr>
      </w:pPr>
      <w:bookmarkStart w:id="266" w:name="_Toc256337239"/>
      <w:bookmarkStart w:id="267" w:name="_Toc252568471"/>
      <w:bookmarkStart w:id="268" w:name="_Toc21402"/>
      <w:bookmarkStart w:id="269" w:name="_Toc527738407"/>
      <w:r>
        <w:rPr>
          <w:rFonts w:hint="eastAsia"/>
          <w:color w:val="auto"/>
          <w:lang w:val="en-US" w:eastAsia="zh-CN"/>
        </w:rPr>
        <w:t>10.8.1</w:t>
      </w:r>
      <w:r>
        <w:rPr>
          <w:color w:val="auto"/>
          <w:lang w:eastAsia="zh-CN"/>
        </w:rPr>
        <w:t>直流系统</w:t>
      </w:r>
      <w:bookmarkEnd w:id="266"/>
      <w:bookmarkEnd w:id="267"/>
      <w:bookmarkEnd w:id="268"/>
      <w:bookmarkEnd w:id="269"/>
    </w:p>
    <w:p>
      <w:pPr>
        <w:ind w:firstLine="420"/>
        <w:rPr>
          <w:color w:val="auto"/>
          <w:highlight w:val="none"/>
        </w:rPr>
      </w:pPr>
      <w:bookmarkStart w:id="270" w:name="_Toc252568472"/>
      <w:bookmarkStart w:id="271" w:name="_Toc251611091"/>
      <w:r>
        <w:rPr>
          <w:rFonts w:hint="eastAsia" w:ascii="Calibri" w:eastAsia="宋体"/>
          <w:color w:val="auto"/>
          <w:highlight w:val="none"/>
          <w:lang w:val="en-US" w:eastAsia="zh-CN"/>
        </w:rPr>
        <w:t>1、</w:t>
      </w:r>
      <w:r>
        <w:rPr>
          <w:color w:val="auto"/>
          <w:highlight w:val="none"/>
        </w:rPr>
        <w:t>引用标准</w:t>
      </w:r>
      <w:bookmarkEnd w:id="270"/>
      <w:bookmarkEnd w:id="271"/>
    </w:p>
    <w:p>
      <w:pPr>
        <w:ind w:firstLine="420"/>
        <w:rPr>
          <w:color w:val="auto"/>
          <w:highlight w:val="none"/>
        </w:rPr>
      </w:pPr>
      <w:r>
        <w:rPr>
          <w:color w:val="auto"/>
          <w:highlight w:val="none"/>
        </w:rPr>
        <w:t>表1</w:t>
      </w:r>
      <w:r>
        <w:rPr>
          <w:rFonts w:hint="eastAsia"/>
          <w:color w:val="auto"/>
          <w:highlight w:val="none"/>
        </w:rPr>
        <w:t>中所</w:t>
      </w:r>
      <w:r>
        <w:rPr>
          <w:color w:val="auto"/>
          <w:highlight w:val="none"/>
        </w:rPr>
        <w:t>列标准所包含的条文，通过在本规范的引用而构成本规范的基本条文。在本规范出版时，所示版本均为有效。所有标准都会被修订，使用本规范的各方应</w:t>
      </w:r>
      <w:r>
        <w:rPr>
          <w:rFonts w:hint="eastAsia"/>
          <w:color w:val="auto"/>
          <w:highlight w:val="none"/>
        </w:rPr>
        <w:t>探讨</w:t>
      </w:r>
      <w:r>
        <w:rPr>
          <w:color w:val="auto"/>
          <w:highlight w:val="none"/>
        </w:rPr>
        <w:t>使用下列标准最新版本的可能性。</w:t>
      </w:r>
    </w:p>
    <w:p>
      <w:pPr>
        <w:ind w:firstLine="0" w:firstLineChars="0"/>
        <w:jc w:val="center"/>
        <w:rPr>
          <w:color w:val="auto"/>
          <w:highlight w:val="none"/>
        </w:rPr>
      </w:pPr>
      <w:r>
        <w:rPr>
          <w:color w:val="auto"/>
          <w:highlight w:val="none"/>
        </w:rPr>
        <w:t xml:space="preserve">表1  </w:t>
      </w:r>
      <w:r>
        <w:rPr>
          <w:color w:val="auto"/>
          <w:spacing w:val="40"/>
          <w:highlight w:val="none"/>
        </w:rPr>
        <w:t>技术规范引用标</w:t>
      </w:r>
      <w:r>
        <w:rPr>
          <w:color w:val="auto"/>
          <w:highlight w:val="none"/>
        </w:rPr>
        <w:t>准</w:t>
      </w:r>
    </w:p>
    <w:tbl>
      <w:tblPr>
        <w:tblStyle w:val="22"/>
        <w:tblW w:w="8084" w:type="dxa"/>
        <w:tblInd w:w="-1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2498"/>
        <w:gridCol w:w="5586"/>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498" w:type="dxa"/>
            <w:noWrap w:val="0"/>
            <w:tcMar>
              <w:left w:w="0" w:type="dxa"/>
              <w:right w:w="0" w:type="dxa"/>
            </w:tcMar>
            <w:vAlign w:val="center"/>
          </w:tcPr>
          <w:p>
            <w:pPr>
              <w:spacing w:line="240" w:lineRule="auto"/>
              <w:ind w:firstLine="0" w:firstLineChars="0"/>
              <w:jc w:val="center"/>
              <w:rPr>
                <w:color w:val="auto"/>
                <w:highlight w:val="none"/>
              </w:rPr>
            </w:pPr>
            <w:r>
              <w:rPr>
                <w:color w:val="auto"/>
                <w:highlight w:val="none"/>
              </w:rPr>
              <w:t>标准（文件）号</w:t>
            </w:r>
          </w:p>
        </w:tc>
        <w:tc>
          <w:tcPr>
            <w:tcW w:w="5586" w:type="dxa"/>
            <w:noWrap w:val="0"/>
            <w:tcMar>
              <w:left w:w="0" w:type="dxa"/>
              <w:right w:w="0" w:type="dxa"/>
            </w:tcMar>
            <w:vAlign w:val="center"/>
          </w:tcPr>
          <w:p>
            <w:pPr>
              <w:spacing w:line="240" w:lineRule="auto"/>
              <w:ind w:firstLine="0" w:firstLineChars="0"/>
              <w:rPr>
                <w:color w:val="auto"/>
                <w:highlight w:val="none"/>
              </w:rPr>
            </w:pPr>
            <w:r>
              <w:rPr>
                <w:color w:val="auto"/>
                <w:highlight w:val="none"/>
              </w:rPr>
              <w:t>标准（文件）名称</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498" w:type="dxa"/>
            <w:noWrap w:val="0"/>
            <w:tcMar>
              <w:left w:w="0" w:type="dxa"/>
              <w:right w:w="0" w:type="dxa"/>
            </w:tcMar>
            <w:vAlign w:val="center"/>
          </w:tcPr>
          <w:p>
            <w:pPr>
              <w:spacing w:line="240" w:lineRule="auto"/>
              <w:ind w:firstLine="0" w:firstLineChars="0"/>
              <w:jc w:val="center"/>
              <w:rPr>
                <w:color w:val="auto"/>
                <w:highlight w:val="none"/>
              </w:rPr>
            </w:pPr>
            <w:r>
              <w:rPr>
                <w:color w:val="auto"/>
                <w:highlight w:val="none"/>
              </w:rPr>
              <w:t>GB 4208</w:t>
            </w:r>
          </w:p>
        </w:tc>
        <w:tc>
          <w:tcPr>
            <w:tcW w:w="5586" w:type="dxa"/>
            <w:noWrap w:val="0"/>
            <w:tcMar>
              <w:left w:w="0" w:type="dxa"/>
              <w:right w:w="0" w:type="dxa"/>
            </w:tcMar>
            <w:vAlign w:val="center"/>
          </w:tcPr>
          <w:p>
            <w:pPr>
              <w:spacing w:line="240" w:lineRule="auto"/>
              <w:ind w:firstLine="0" w:firstLineChars="0"/>
              <w:rPr>
                <w:color w:val="auto"/>
                <w:highlight w:val="none"/>
              </w:rPr>
            </w:pPr>
            <w:r>
              <w:rPr>
                <w:color w:val="auto"/>
                <w:highlight w:val="none"/>
              </w:rPr>
              <w:t>外壳防护等级（IP代码）</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498" w:type="dxa"/>
            <w:noWrap w:val="0"/>
            <w:tcMar>
              <w:left w:w="0" w:type="dxa"/>
              <w:right w:w="0" w:type="dxa"/>
            </w:tcMar>
            <w:vAlign w:val="center"/>
          </w:tcPr>
          <w:p>
            <w:pPr>
              <w:spacing w:line="240" w:lineRule="auto"/>
              <w:ind w:firstLine="0" w:firstLineChars="0"/>
              <w:jc w:val="center"/>
              <w:rPr>
                <w:color w:val="auto"/>
                <w:highlight w:val="none"/>
              </w:rPr>
            </w:pPr>
            <w:r>
              <w:rPr>
                <w:color w:val="auto"/>
                <w:highlight w:val="none"/>
              </w:rPr>
              <w:t>GB 7251.1</w:t>
            </w:r>
          </w:p>
        </w:tc>
        <w:tc>
          <w:tcPr>
            <w:tcW w:w="5586" w:type="dxa"/>
            <w:noWrap w:val="0"/>
            <w:tcMar>
              <w:left w:w="0" w:type="dxa"/>
              <w:right w:w="0" w:type="dxa"/>
            </w:tcMar>
            <w:vAlign w:val="center"/>
          </w:tcPr>
          <w:p>
            <w:pPr>
              <w:spacing w:line="240" w:lineRule="auto"/>
              <w:ind w:firstLine="0" w:firstLineChars="0"/>
              <w:rPr>
                <w:color w:val="auto"/>
                <w:highlight w:val="none"/>
              </w:rPr>
            </w:pPr>
            <w:r>
              <w:rPr>
                <w:color w:val="auto"/>
                <w:highlight w:val="none"/>
              </w:rPr>
              <w:t>低压成套开关设备和控制设备 第1部分：型式试验和部分型式试验 成套设备</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498" w:type="dxa"/>
            <w:noWrap w:val="0"/>
            <w:tcMar>
              <w:left w:w="0" w:type="dxa"/>
              <w:right w:w="0" w:type="dxa"/>
            </w:tcMar>
            <w:vAlign w:val="center"/>
          </w:tcPr>
          <w:p>
            <w:pPr>
              <w:spacing w:line="240" w:lineRule="auto"/>
              <w:ind w:firstLine="0" w:firstLineChars="0"/>
              <w:jc w:val="center"/>
              <w:rPr>
                <w:color w:val="auto"/>
                <w:highlight w:val="none"/>
              </w:rPr>
            </w:pPr>
            <w:r>
              <w:rPr>
                <w:color w:val="auto"/>
                <w:highlight w:val="none"/>
              </w:rPr>
              <w:t>GB 50054</w:t>
            </w:r>
          </w:p>
        </w:tc>
        <w:tc>
          <w:tcPr>
            <w:tcW w:w="5586" w:type="dxa"/>
            <w:noWrap w:val="0"/>
            <w:tcMar>
              <w:left w:w="0" w:type="dxa"/>
              <w:right w:w="0" w:type="dxa"/>
            </w:tcMar>
            <w:vAlign w:val="center"/>
          </w:tcPr>
          <w:p>
            <w:pPr>
              <w:spacing w:line="240" w:lineRule="auto"/>
              <w:ind w:firstLine="0" w:firstLineChars="0"/>
              <w:rPr>
                <w:color w:val="auto"/>
                <w:highlight w:val="none"/>
              </w:rPr>
            </w:pPr>
            <w:r>
              <w:rPr>
                <w:color w:val="auto"/>
                <w:highlight w:val="none"/>
              </w:rPr>
              <w:t>低压配电设计规范</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498" w:type="dxa"/>
            <w:noWrap w:val="0"/>
            <w:tcMar>
              <w:left w:w="0" w:type="dxa"/>
              <w:right w:w="0" w:type="dxa"/>
            </w:tcMar>
            <w:vAlign w:val="center"/>
          </w:tcPr>
          <w:p>
            <w:pPr>
              <w:spacing w:line="240" w:lineRule="auto"/>
              <w:ind w:firstLine="0" w:firstLineChars="0"/>
              <w:jc w:val="center"/>
              <w:rPr>
                <w:color w:val="auto"/>
                <w:highlight w:val="none"/>
              </w:rPr>
            </w:pPr>
            <w:r>
              <w:rPr>
                <w:color w:val="auto"/>
                <w:highlight w:val="none"/>
              </w:rPr>
              <w:t>GB/T 3859.1</w:t>
            </w:r>
          </w:p>
        </w:tc>
        <w:tc>
          <w:tcPr>
            <w:tcW w:w="5586" w:type="dxa"/>
            <w:noWrap w:val="0"/>
            <w:tcMar>
              <w:left w:w="0" w:type="dxa"/>
              <w:right w:w="0" w:type="dxa"/>
            </w:tcMar>
            <w:vAlign w:val="center"/>
          </w:tcPr>
          <w:p>
            <w:pPr>
              <w:spacing w:line="240" w:lineRule="auto"/>
              <w:ind w:firstLine="0" w:firstLineChars="0"/>
              <w:rPr>
                <w:color w:val="auto"/>
                <w:highlight w:val="none"/>
              </w:rPr>
            </w:pPr>
            <w:r>
              <w:rPr>
                <w:color w:val="auto"/>
                <w:highlight w:val="none"/>
              </w:rPr>
              <w:t>半导体变流器  基本要求的规定</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498" w:type="dxa"/>
            <w:noWrap w:val="0"/>
            <w:tcMar>
              <w:left w:w="0" w:type="dxa"/>
              <w:right w:w="0" w:type="dxa"/>
            </w:tcMar>
            <w:vAlign w:val="center"/>
          </w:tcPr>
          <w:p>
            <w:pPr>
              <w:spacing w:line="240" w:lineRule="auto"/>
              <w:ind w:firstLine="0" w:firstLineChars="0"/>
              <w:jc w:val="center"/>
              <w:rPr>
                <w:color w:val="auto"/>
                <w:highlight w:val="none"/>
              </w:rPr>
            </w:pPr>
            <w:r>
              <w:rPr>
                <w:color w:val="auto"/>
                <w:highlight w:val="none"/>
              </w:rPr>
              <w:t>GB/T 7261</w:t>
            </w:r>
          </w:p>
        </w:tc>
        <w:tc>
          <w:tcPr>
            <w:tcW w:w="5586" w:type="dxa"/>
            <w:noWrap w:val="0"/>
            <w:tcMar>
              <w:left w:w="0" w:type="dxa"/>
              <w:right w:w="0" w:type="dxa"/>
            </w:tcMar>
            <w:vAlign w:val="center"/>
          </w:tcPr>
          <w:p>
            <w:pPr>
              <w:spacing w:line="240" w:lineRule="auto"/>
              <w:ind w:firstLine="0" w:firstLineChars="0"/>
              <w:rPr>
                <w:color w:val="auto"/>
                <w:highlight w:val="none"/>
              </w:rPr>
            </w:pPr>
            <w:r>
              <w:rPr>
                <w:color w:val="auto"/>
                <w:highlight w:val="none"/>
              </w:rPr>
              <w:t>继电器及继电器保护装置基本试验方法</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498" w:type="dxa"/>
            <w:noWrap w:val="0"/>
            <w:tcMar>
              <w:left w:w="0" w:type="dxa"/>
              <w:right w:w="0" w:type="dxa"/>
            </w:tcMar>
            <w:vAlign w:val="center"/>
          </w:tcPr>
          <w:p>
            <w:pPr>
              <w:spacing w:line="240" w:lineRule="auto"/>
              <w:ind w:firstLine="0" w:firstLineChars="0"/>
              <w:jc w:val="center"/>
              <w:rPr>
                <w:color w:val="auto"/>
                <w:highlight w:val="none"/>
              </w:rPr>
            </w:pPr>
            <w:r>
              <w:rPr>
                <w:color w:val="auto"/>
                <w:highlight w:val="none"/>
              </w:rPr>
              <w:t>GB/T 17478</w:t>
            </w:r>
          </w:p>
        </w:tc>
        <w:tc>
          <w:tcPr>
            <w:tcW w:w="5586" w:type="dxa"/>
            <w:noWrap w:val="0"/>
            <w:tcMar>
              <w:left w:w="0" w:type="dxa"/>
              <w:right w:w="0" w:type="dxa"/>
            </w:tcMar>
            <w:vAlign w:val="center"/>
          </w:tcPr>
          <w:p>
            <w:pPr>
              <w:spacing w:line="240" w:lineRule="auto"/>
              <w:ind w:firstLine="0" w:firstLineChars="0"/>
              <w:rPr>
                <w:color w:val="auto"/>
                <w:highlight w:val="none"/>
              </w:rPr>
            </w:pPr>
            <w:r>
              <w:rPr>
                <w:color w:val="auto"/>
                <w:highlight w:val="none"/>
              </w:rPr>
              <w:fldChar w:fldCharType="begin"/>
            </w:r>
            <w:r>
              <w:rPr>
                <w:color w:val="auto"/>
                <w:highlight w:val="none"/>
              </w:rPr>
              <w:instrText xml:space="preserve"> HYPERLINK "book://ssreader/e0?url=http://172.17.32.108/bzqw/0606\\GBT17478-2004\\0001.pdg&amp;requirereg=0&amp;canprint=1" \o "点击查看详细内容" </w:instrText>
            </w:r>
            <w:r>
              <w:rPr>
                <w:color w:val="auto"/>
                <w:highlight w:val="none"/>
              </w:rPr>
              <w:fldChar w:fldCharType="separate"/>
            </w:r>
            <w:r>
              <w:rPr>
                <w:color w:val="auto"/>
                <w:highlight w:val="none"/>
              </w:rPr>
              <w:t>低压直流电源设备的性能特性</w:t>
            </w:r>
            <w:r>
              <w:rPr>
                <w:color w:val="auto"/>
                <w:highlight w:val="none"/>
              </w:rPr>
              <w:fldChar w:fldCharType="end"/>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498" w:type="dxa"/>
            <w:noWrap w:val="0"/>
            <w:tcMar>
              <w:left w:w="0" w:type="dxa"/>
              <w:right w:w="0" w:type="dxa"/>
            </w:tcMar>
            <w:vAlign w:val="center"/>
          </w:tcPr>
          <w:p>
            <w:pPr>
              <w:spacing w:line="240" w:lineRule="auto"/>
              <w:ind w:firstLine="0" w:firstLineChars="0"/>
              <w:jc w:val="center"/>
              <w:rPr>
                <w:color w:val="auto"/>
                <w:highlight w:val="none"/>
              </w:rPr>
            </w:pPr>
            <w:r>
              <w:rPr>
                <w:color w:val="auto"/>
                <w:highlight w:val="none"/>
              </w:rPr>
              <w:t>GB/T 2900.11</w:t>
            </w:r>
          </w:p>
        </w:tc>
        <w:tc>
          <w:tcPr>
            <w:tcW w:w="5586" w:type="dxa"/>
            <w:noWrap w:val="0"/>
            <w:tcMar>
              <w:left w:w="0" w:type="dxa"/>
              <w:right w:w="0" w:type="dxa"/>
            </w:tcMar>
            <w:vAlign w:val="center"/>
          </w:tcPr>
          <w:p>
            <w:pPr>
              <w:spacing w:line="240" w:lineRule="auto"/>
              <w:ind w:firstLine="0" w:firstLineChars="0"/>
              <w:rPr>
                <w:color w:val="auto"/>
                <w:highlight w:val="none"/>
              </w:rPr>
            </w:pPr>
            <w:r>
              <w:rPr>
                <w:color w:val="auto"/>
                <w:highlight w:val="none"/>
              </w:rPr>
              <w:t>蓄电池名词术语</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498" w:type="dxa"/>
            <w:noWrap w:val="0"/>
            <w:tcMar>
              <w:left w:w="0" w:type="dxa"/>
              <w:right w:w="0" w:type="dxa"/>
            </w:tcMar>
            <w:vAlign w:val="center"/>
          </w:tcPr>
          <w:p>
            <w:pPr>
              <w:spacing w:line="240" w:lineRule="auto"/>
              <w:ind w:firstLine="0" w:firstLineChars="0"/>
              <w:jc w:val="center"/>
              <w:rPr>
                <w:color w:val="auto"/>
                <w:highlight w:val="none"/>
              </w:rPr>
            </w:pPr>
            <w:r>
              <w:rPr>
                <w:color w:val="auto"/>
                <w:highlight w:val="none"/>
              </w:rPr>
              <w:t>GB/T 17626.2</w:t>
            </w:r>
          </w:p>
        </w:tc>
        <w:tc>
          <w:tcPr>
            <w:tcW w:w="5586" w:type="dxa"/>
            <w:noWrap w:val="0"/>
            <w:tcMar>
              <w:left w:w="0" w:type="dxa"/>
              <w:right w:w="0" w:type="dxa"/>
            </w:tcMar>
            <w:vAlign w:val="center"/>
          </w:tcPr>
          <w:p>
            <w:pPr>
              <w:spacing w:line="240" w:lineRule="auto"/>
              <w:ind w:firstLine="0" w:firstLineChars="0"/>
              <w:rPr>
                <w:color w:val="auto"/>
                <w:highlight w:val="none"/>
              </w:rPr>
            </w:pPr>
            <w:r>
              <w:rPr>
                <w:color w:val="auto"/>
                <w:highlight w:val="none"/>
              </w:rPr>
              <w:t>电磁兼容试验和测量技术 静电放电抗扰度试验</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498" w:type="dxa"/>
            <w:noWrap w:val="0"/>
            <w:tcMar>
              <w:left w:w="0" w:type="dxa"/>
              <w:right w:w="0" w:type="dxa"/>
            </w:tcMar>
            <w:vAlign w:val="center"/>
          </w:tcPr>
          <w:p>
            <w:pPr>
              <w:spacing w:line="240" w:lineRule="auto"/>
              <w:ind w:firstLine="0" w:firstLineChars="0"/>
              <w:jc w:val="center"/>
              <w:rPr>
                <w:color w:val="auto"/>
                <w:highlight w:val="none"/>
              </w:rPr>
            </w:pPr>
            <w:r>
              <w:rPr>
                <w:color w:val="auto"/>
                <w:highlight w:val="none"/>
              </w:rPr>
              <w:t>GB/T 17626.12</w:t>
            </w:r>
          </w:p>
        </w:tc>
        <w:tc>
          <w:tcPr>
            <w:tcW w:w="5586" w:type="dxa"/>
            <w:noWrap w:val="0"/>
            <w:tcMar>
              <w:left w:w="0" w:type="dxa"/>
              <w:right w:w="0" w:type="dxa"/>
            </w:tcMar>
            <w:vAlign w:val="center"/>
          </w:tcPr>
          <w:p>
            <w:pPr>
              <w:spacing w:line="240" w:lineRule="auto"/>
              <w:ind w:firstLine="0" w:firstLineChars="0"/>
              <w:rPr>
                <w:color w:val="auto"/>
                <w:highlight w:val="none"/>
              </w:rPr>
            </w:pPr>
            <w:r>
              <w:rPr>
                <w:color w:val="auto"/>
                <w:highlight w:val="none"/>
              </w:rPr>
              <w:t>电磁兼容试验和测量技术 振荡波抗扰度试验</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498" w:type="dxa"/>
            <w:noWrap w:val="0"/>
            <w:tcMar>
              <w:left w:w="0" w:type="dxa"/>
              <w:right w:w="0" w:type="dxa"/>
            </w:tcMar>
            <w:vAlign w:val="center"/>
          </w:tcPr>
          <w:p>
            <w:pPr>
              <w:spacing w:line="240" w:lineRule="auto"/>
              <w:ind w:firstLine="0" w:firstLineChars="0"/>
              <w:jc w:val="center"/>
              <w:rPr>
                <w:color w:val="auto"/>
                <w:highlight w:val="none"/>
              </w:rPr>
            </w:pPr>
            <w:r>
              <w:rPr>
                <w:color w:val="auto"/>
                <w:highlight w:val="none"/>
              </w:rPr>
              <w:t>GB/T 19638.2</w:t>
            </w:r>
          </w:p>
        </w:tc>
        <w:tc>
          <w:tcPr>
            <w:tcW w:w="5586" w:type="dxa"/>
            <w:noWrap w:val="0"/>
            <w:tcMar>
              <w:left w:w="0" w:type="dxa"/>
              <w:right w:w="0" w:type="dxa"/>
            </w:tcMar>
            <w:vAlign w:val="center"/>
          </w:tcPr>
          <w:p>
            <w:pPr>
              <w:spacing w:line="240" w:lineRule="auto"/>
              <w:ind w:firstLine="0" w:firstLineChars="0"/>
              <w:rPr>
                <w:color w:val="auto"/>
                <w:highlight w:val="none"/>
              </w:rPr>
            </w:pPr>
            <w:r>
              <w:rPr>
                <w:color w:val="auto"/>
                <w:highlight w:val="none"/>
              </w:rPr>
              <w:t>固定型阀控密封式铅酸蓄电池</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498" w:type="dxa"/>
            <w:noWrap w:val="0"/>
            <w:tcMar>
              <w:left w:w="0" w:type="dxa"/>
              <w:right w:w="0" w:type="dxa"/>
            </w:tcMar>
            <w:vAlign w:val="center"/>
          </w:tcPr>
          <w:p>
            <w:pPr>
              <w:spacing w:line="240" w:lineRule="auto"/>
              <w:ind w:firstLine="0" w:firstLineChars="0"/>
              <w:jc w:val="center"/>
              <w:rPr>
                <w:color w:val="auto"/>
                <w:highlight w:val="none"/>
              </w:rPr>
            </w:pPr>
            <w:r>
              <w:rPr>
                <w:color w:val="auto"/>
                <w:highlight w:val="none"/>
              </w:rPr>
              <w:t>DL/T 637</w:t>
            </w:r>
          </w:p>
        </w:tc>
        <w:tc>
          <w:tcPr>
            <w:tcW w:w="5586" w:type="dxa"/>
            <w:noWrap w:val="0"/>
            <w:tcMar>
              <w:left w:w="0" w:type="dxa"/>
              <w:right w:w="0" w:type="dxa"/>
            </w:tcMar>
            <w:vAlign w:val="center"/>
          </w:tcPr>
          <w:p>
            <w:pPr>
              <w:spacing w:line="240" w:lineRule="auto"/>
              <w:ind w:firstLine="0" w:firstLineChars="0"/>
              <w:rPr>
                <w:color w:val="auto"/>
                <w:highlight w:val="none"/>
              </w:rPr>
            </w:pPr>
            <w:r>
              <w:rPr>
                <w:color w:val="auto"/>
                <w:highlight w:val="none"/>
              </w:rPr>
              <w:t>阀控式密封铅酸蓄电池订货技术条件</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498" w:type="dxa"/>
            <w:noWrap w:val="0"/>
            <w:tcMar>
              <w:left w:w="0" w:type="dxa"/>
              <w:right w:w="0" w:type="dxa"/>
            </w:tcMar>
            <w:vAlign w:val="center"/>
          </w:tcPr>
          <w:p>
            <w:pPr>
              <w:spacing w:line="240" w:lineRule="auto"/>
              <w:ind w:firstLine="0" w:firstLineChars="0"/>
              <w:jc w:val="center"/>
              <w:rPr>
                <w:color w:val="auto"/>
                <w:highlight w:val="none"/>
              </w:rPr>
            </w:pPr>
            <w:r>
              <w:rPr>
                <w:color w:val="auto"/>
                <w:highlight w:val="none"/>
              </w:rPr>
              <w:t>DL/T 459</w:t>
            </w:r>
          </w:p>
        </w:tc>
        <w:tc>
          <w:tcPr>
            <w:tcW w:w="5586" w:type="dxa"/>
            <w:noWrap w:val="0"/>
            <w:tcMar>
              <w:left w:w="0" w:type="dxa"/>
              <w:right w:w="0" w:type="dxa"/>
            </w:tcMar>
            <w:vAlign w:val="center"/>
          </w:tcPr>
          <w:p>
            <w:pPr>
              <w:spacing w:line="240" w:lineRule="auto"/>
              <w:ind w:firstLine="0" w:firstLineChars="0"/>
              <w:rPr>
                <w:color w:val="auto"/>
                <w:highlight w:val="none"/>
              </w:rPr>
            </w:pPr>
            <w:r>
              <w:rPr>
                <w:color w:val="auto"/>
                <w:highlight w:val="none"/>
              </w:rPr>
              <w:t>电力系统直流电源柜订货技术条件</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498" w:type="dxa"/>
            <w:noWrap w:val="0"/>
            <w:tcMar>
              <w:left w:w="0" w:type="dxa"/>
              <w:right w:w="0" w:type="dxa"/>
            </w:tcMar>
            <w:vAlign w:val="center"/>
          </w:tcPr>
          <w:p>
            <w:pPr>
              <w:spacing w:line="240" w:lineRule="auto"/>
              <w:ind w:firstLine="0" w:firstLineChars="0"/>
              <w:jc w:val="center"/>
              <w:rPr>
                <w:color w:val="auto"/>
                <w:highlight w:val="none"/>
              </w:rPr>
            </w:pPr>
            <w:r>
              <w:rPr>
                <w:color w:val="auto"/>
                <w:highlight w:val="none"/>
              </w:rPr>
              <w:t>DL/T 781</w:t>
            </w:r>
          </w:p>
        </w:tc>
        <w:tc>
          <w:tcPr>
            <w:tcW w:w="5586" w:type="dxa"/>
            <w:noWrap w:val="0"/>
            <w:tcMar>
              <w:left w:w="0" w:type="dxa"/>
              <w:right w:w="0" w:type="dxa"/>
            </w:tcMar>
            <w:vAlign w:val="center"/>
          </w:tcPr>
          <w:p>
            <w:pPr>
              <w:spacing w:line="240" w:lineRule="auto"/>
              <w:ind w:firstLine="0" w:firstLineChars="0"/>
              <w:rPr>
                <w:color w:val="auto"/>
                <w:highlight w:val="none"/>
              </w:rPr>
            </w:pPr>
            <w:r>
              <w:rPr>
                <w:color w:val="auto"/>
                <w:highlight w:val="none"/>
              </w:rPr>
              <w:t>电力用高频开关整流模块</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498" w:type="dxa"/>
            <w:noWrap w:val="0"/>
            <w:tcMar>
              <w:left w:w="0" w:type="dxa"/>
              <w:right w:w="0" w:type="dxa"/>
            </w:tcMar>
            <w:vAlign w:val="center"/>
          </w:tcPr>
          <w:p>
            <w:pPr>
              <w:spacing w:line="240" w:lineRule="auto"/>
              <w:ind w:firstLine="0" w:firstLineChars="0"/>
              <w:jc w:val="center"/>
              <w:rPr>
                <w:color w:val="auto"/>
                <w:highlight w:val="none"/>
              </w:rPr>
            </w:pPr>
            <w:r>
              <w:rPr>
                <w:color w:val="auto"/>
                <w:highlight w:val="none"/>
              </w:rPr>
              <w:t>DL/T 5044</w:t>
            </w:r>
          </w:p>
        </w:tc>
        <w:tc>
          <w:tcPr>
            <w:tcW w:w="5586" w:type="dxa"/>
            <w:noWrap w:val="0"/>
            <w:tcMar>
              <w:left w:w="0" w:type="dxa"/>
              <w:right w:w="0" w:type="dxa"/>
            </w:tcMar>
            <w:vAlign w:val="center"/>
          </w:tcPr>
          <w:p>
            <w:pPr>
              <w:spacing w:line="240" w:lineRule="auto"/>
              <w:ind w:firstLine="0" w:firstLineChars="0"/>
              <w:rPr>
                <w:color w:val="auto"/>
                <w:highlight w:val="none"/>
              </w:rPr>
            </w:pPr>
            <w:r>
              <w:rPr>
                <w:color w:val="auto"/>
                <w:highlight w:val="none"/>
              </w:rPr>
              <w:t>电力工程直流系统设计技术规程</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498" w:type="dxa"/>
            <w:noWrap w:val="0"/>
            <w:tcMar>
              <w:left w:w="0" w:type="dxa"/>
              <w:right w:w="0" w:type="dxa"/>
            </w:tcMar>
            <w:vAlign w:val="center"/>
          </w:tcPr>
          <w:p>
            <w:pPr>
              <w:spacing w:line="240" w:lineRule="auto"/>
              <w:ind w:firstLine="0" w:firstLineChars="0"/>
              <w:jc w:val="center"/>
              <w:rPr>
                <w:color w:val="auto"/>
                <w:highlight w:val="none"/>
              </w:rPr>
            </w:pPr>
            <w:r>
              <w:rPr>
                <w:color w:val="auto"/>
                <w:highlight w:val="none"/>
              </w:rPr>
              <w:t>DL/T 724</w:t>
            </w:r>
          </w:p>
        </w:tc>
        <w:tc>
          <w:tcPr>
            <w:tcW w:w="5586" w:type="dxa"/>
            <w:noWrap w:val="0"/>
            <w:tcMar>
              <w:left w:w="0" w:type="dxa"/>
              <w:right w:w="0" w:type="dxa"/>
            </w:tcMar>
            <w:vAlign w:val="center"/>
          </w:tcPr>
          <w:p>
            <w:pPr>
              <w:spacing w:line="240" w:lineRule="auto"/>
              <w:ind w:firstLine="0" w:firstLineChars="0"/>
              <w:rPr>
                <w:color w:val="auto"/>
                <w:highlight w:val="none"/>
              </w:rPr>
            </w:pPr>
            <w:r>
              <w:rPr>
                <w:color w:val="auto"/>
                <w:highlight w:val="none"/>
              </w:rPr>
              <w:t>电力系统用蓄电池直流电源装置运行与维护规程</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498" w:type="dxa"/>
            <w:noWrap w:val="0"/>
            <w:tcMar>
              <w:left w:w="0" w:type="dxa"/>
              <w:right w:w="0" w:type="dxa"/>
            </w:tcMar>
            <w:vAlign w:val="center"/>
          </w:tcPr>
          <w:p>
            <w:pPr>
              <w:spacing w:line="240" w:lineRule="auto"/>
              <w:ind w:firstLine="0" w:firstLineChars="0"/>
              <w:jc w:val="center"/>
              <w:rPr>
                <w:color w:val="auto"/>
                <w:highlight w:val="none"/>
              </w:rPr>
            </w:pPr>
            <w:r>
              <w:rPr>
                <w:color w:val="auto"/>
                <w:highlight w:val="none"/>
              </w:rPr>
              <w:t>DL/T 5136</w:t>
            </w:r>
          </w:p>
        </w:tc>
        <w:tc>
          <w:tcPr>
            <w:tcW w:w="5586" w:type="dxa"/>
            <w:noWrap w:val="0"/>
            <w:tcMar>
              <w:left w:w="0" w:type="dxa"/>
              <w:right w:w="0" w:type="dxa"/>
            </w:tcMar>
            <w:vAlign w:val="center"/>
          </w:tcPr>
          <w:p>
            <w:pPr>
              <w:spacing w:line="240" w:lineRule="auto"/>
              <w:ind w:firstLine="0" w:firstLineChars="0"/>
              <w:rPr>
                <w:color w:val="auto"/>
                <w:highlight w:val="none"/>
              </w:rPr>
            </w:pPr>
            <w:r>
              <w:rPr>
                <w:color w:val="auto"/>
                <w:highlight w:val="none"/>
              </w:rPr>
              <w:t>火力发电厂、变电所二次接线设计技术规程</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498" w:type="dxa"/>
            <w:noWrap w:val="0"/>
            <w:tcMar>
              <w:left w:w="0" w:type="dxa"/>
              <w:right w:w="0" w:type="dxa"/>
            </w:tcMar>
            <w:vAlign w:val="center"/>
          </w:tcPr>
          <w:p>
            <w:pPr>
              <w:spacing w:line="240" w:lineRule="auto"/>
              <w:ind w:firstLine="0" w:firstLineChars="0"/>
              <w:jc w:val="center"/>
              <w:rPr>
                <w:color w:val="auto"/>
                <w:highlight w:val="none"/>
              </w:rPr>
            </w:pPr>
            <w:r>
              <w:rPr>
                <w:color w:val="auto"/>
                <w:highlight w:val="none"/>
              </w:rPr>
              <w:t>DL/T 5137</w:t>
            </w:r>
          </w:p>
        </w:tc>
        <w:tc>
          <w:tcPr>
            <w:tcW w:w="5586" w:type="dxa"/>
            <w:noWrap w:val="0"/>
            <w:tcMar>
              <w:left w:w="0" w:type="dxa"/>
              <w:right w:w="0" w:type="dxa"/>
            </w:tcMar>
            <w:vAlign w:val="center"/>
          </w:tcPr>
          <w:p>
            <w:pPr>
              <w:spacing w:line="240" w:lineRule="auto"/>
              <w:ind w:firstLine="0" w:firstLineChars="0"/>
              <w:rPr>
                <w:color w:val="auto"/>
                <w:highlight w:val="none"/>
              </w:rPr>
            </w:pPr>
            <w:r>
              <w:rPr>
                <w:color w:val="auto"/>
                <w:highlight w:val="none"/>
              </w:rPr>
              <w:t>电测量及电能计量装置设计技术规程</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498" w:type="dxa"/>
            <w:noWrap w:val="0"/>
            <w:tcMar>
              <w:left w:w="0" w:type="dxa"/>
              <w:right w:w="0" w:type="dxa"/>
            </w:tcMar>
            <w:vAlign w:val="center"/>
          </w:tcPr>
          <w:p>
            <w:pPr>
              <w:spacing w:line="240" w:lineRule="auto"/>
              <w:ind w:firstLine="0" w:firstLineChars="0"/>
              <w:jc w:val="center"/>
              <w:rPr>
                <w:color w:val="auto"/>
                <w:highlight w:val="none"/>
              </w:rPr>
            </w:pPr>
            <w:r>
              <w:rPr>
                <w:color w:val="auto"/>
                <w:highlight w:val="none"/>
              </w:rPr>
              <w:t>DL/T 1074</w:t>
            </w:r>
          </w:p>
        </w:tc>
        <w:tc>
          <w:tcPr>
            <w:tcW w:w="5586" w:type="dxa"/>
            <w:noWrap w:val="0"/>
            <w:tcMar>
              <w:left w:w="0" w:type="dxa"/>
              <w:right w:w="0" w:type="dxa"/>
            </w:tcMar>
            <w:vAlign w:val="center"/>
          </w:tcPr>
          <w:p>
            <w:pPr>
              <w:spacing w:line="240" w:lineRule="auto"/>
              <w:ind w:firstLine="0" w:firstLineChars="0"/>
              <w:rPr>
                <w:color w:val="auto"/>
                <w:highlight w:val="none"/>
              </w:rPr>
            </w:pPr>
            <w:r>
              <w:rPr>
                <w:color w:val="auto"/>
                <w:highlight w:val="none"/>
              </w:rPr>
              <w:t>电力用直流和交流一体化不间断电源设备</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498" w:type="dxa"/>
            <w:noWrap w:val="0"/>
            <w:tcMar>
              <w:left w:w="0" w:type="dxa"/>
              <w:right w:w="0" w:type="dxa"/>
            </w:tcMar>
            <w:vAlign w:val="center"/>
          </w:tcPr>
          <w:p>
            <w:pPr>
              <w:spacing w:line="240" w:lineRule="auto"/>
              <w:ind w:firstLine="0" w:firstLineChars="0"/>
              <w:jc w:val="center"/>
              <w:rPr>
                <w:color w:val="auto"/>
                <w:highlight w:val="none"/>
              </w:rPr>
            </w:pPr>
            <w:r>
              <w:rPr>
                <w:color w:val="auto"/>
                <w:highlight w:val="none"/>
              </w:rPr>
              <w:t>DL/T 857</w:t>
            </w:r>
          </w:p>
        </w:tc>
        <w:tc>
          <w:tcPr>
            <w:tcW w:w="5586" w:type="dxa"/>
            <w:noWrap w:val="0"/>
            <w:tcMar>
              <w:left w:w="0" w:type="dxa"/>
              <w:right w:w="0" w:type="dxa"/>
            </w:tcMar>
            <w:vAlign w:val="center"/>
          </w:tcPr>
          <w:p>
            <w:pPr>
              <w:spacing w:line="240" w:lineRule="auto"/>
              <w:ind w:firstLine="0" w:firstLineChars="0"/>
              <w:rPr>
                <w:color w:val="auto"/>
                <w:highlight w:val="none"/>
              </w:rPr>
            </w:pPr>
            <w:r>
              <w:rPr>
                <w:color w:val="auto"/>
                <w:highlight w:val="none"/>
              </w:rPr>
              <w:t>发电厂、变电所蓄电池用整流逆变设备技术条件</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498" w:type="dxa"/>
            <w:noWrap w:val="0"/>
            <w:tcMar>
              <w:left w:w="0" w:type="dxa"/>
              <w:right w:w="0" w:type="dxa"/>
            </w:tcMar>
            <w:vAlign w:val="center"/>
          </w:tcPr>
          <w:p>
            <w:pPr>
              <w:spacing w:line="240" w:lineRule="auto"/>
              <w:ind w:firstLine="0" w:firstLineChars="0"/>
              <w:jc w:val="center"/>
              <w:rPr>
                <w:color w:val="auto"/>
                <w:highlight w:val="none"/>
              </w:rPr>
            </w:pPr>
            <w:r>
              <w:rPr>
                <w:color w:val="auto"/>
                <w:highlight w:val="none"/>
              </w:rPr>
              <w:t>YD/T 731</w:t>
            </w:r>
          </w:p>
        </w:tc>
        <w:tc>
          <w:tcPr>
            <w:tcW w:w="5586" w:type="dxa"/>
            <w:noWrap w:val="0"/>
            <w:tcMar>
              <w:left w:w="0" w:type="dxa"/>
              <w:right w:w="0" w:type="dxa"/>
            </w:tcMar>
            <w:vAlign w:val="center"/>
          </w:tcPr>
          <w:p>
            <w:pPr>
              <w:spacing w:line="240" w:lineRule="auto"/>
              <w:ind w:firstLine="0" w:firstLineChars="0"/>
              <w:rPr>
                <w:color w:val="auto"/>
                <w:highlight w:val="none"/>
              </w:rPr>
            </w:pPr>
            <w:r>
              <w:rPr>
                <w:color w:val="auto"/>
                <w:highlight w:val="none"/>
              </w:rPr>
              <w:t>通讯用高频开关整流器</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498" w:type="dxa"/>
            <w:noWrap w:val="0"/>
            <w:tcMar>
              <w:left w:w="0" w:type="dxa"/>
              <w:right w:w="0" w:type="dxa"/>
            </w:tcMar>
            <w:vAlign w:val="center"/>
          </w:tcPr>
          <w:p>
            <w:pPr>
              <w:spacing w:line="240" w:lineRule="auto"/>
              <w:ind w:firstLine="0" w:firstLineChars="0"/>
              <w:jc w:val="center"/>
              <w:rPr>
                <w:color w:val="auto"/>
                <w:highlight w:val="none"/>
              </w:rPr>
            </w:pPr>
            <w:r>
              <w:rPr>
                <w:color w:val="auto"/>
                <w:highlight w:val="none"/>
              </w:rPr>
              <w:t>JB/T 8456</w:t>
            </w:r>
          </w:p>
        </w:tc>
        <w:tc>
          <w:tcPr>
            <w:tcW w:w="5586" w:type="dxa"/>
            <w:noWrap w:val="0"/>
            <w:tcMar>
              <w:left w:w="0" w:type="dxa"/>
              <w:right w:w="0" w:type="dxa"/>
            </w:tcMar>
            <w:vAlign w:val="center"/>
          </w:tcPr>
          <w:p>
            <w:pPr>
              <w:spacing w:line="240" w:lineRule="auto"/>
              <w:ind w:firstLine="0" w:firstLineChars="0"/>
              <w:rPr>
                <w:color w:val="auto"/>
                <w:highlight w:val="none"/>
              </w:rPr>
            </w:pPr>
            <w:r>
              <w:rPr>
                <w:color w:val="auto"/>
                <w:highlight w:val="none"/>
              </w:rPr>
              <w:t>低压直流成套开关设备和控制设备</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498" w:type="dxa"/>
            <w:noWrap w:val="0"/>
            <w:tcMar>
              <w:left w:w="0" w:type="dxa"/>
              <w:right w:w="0" w:type="dxa"/>
            </w:tcMar>
            <w:vAlign w:val="center"/>
          </w:tcPr>
          <w:p>
            <w:pPr>
              <w:spacing w:line="240" w:lineRule="auto"/>
              <w:ind w:firstLine="0" w:firstLineChars="0"/>
              <w:jc w:val="center"/>
              <w:rPr>
                <w:color w:val="auto"/>
                <w:highlight w:val="none"/>
              </w:rPr>
            </w:pPr>
            <w:r>
              <w:rPr>
                <w:color w:val="auto"/>
                <w:highlight w:val="none"/>
              </w:rPr>
              <w:t>生产输电[2003]95号</w:t>
            </w:r>
          </w:p>
        </w:tc>
        <w:tc>
          <w:tcPr>
            <w:tcW w:w="5586" w:type="dxa"/>
            <w:noWrap w:val="0"/>
            <w:tcMar>
              <w:left w:w="0" w:type="dxa"/>
              <w:right w:w="0" w:type="dxa"/>
            </w:tcMar>
            <w:vAlign w:val="center"/>
          </w:tcPr>
          <w:p>
            <w:pPr>
              <w:spacing w:line="240" w:lineRule="auto"/>
              <w:ind w:firstLine="0" w:firstLineChars="0"/>
              <w:rPr>
                <w:color w:val="auto"/>
                <w:highlight w:val="none"/>
              </w:rPr>
            </w:pPr>
            <w:r>
              <w:rPr>
                <w:color w:val="auto"/>
                <w:highlight w:val="none"/>
              </w:rPr>
              <w:t>国家电网公司电力生产设备评估管理办法</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498" w:type="dxa"/>
            <w:noWrap w:val="0"/>
            <w:tcMar>
              <w:left w:w="0" w:type="dxa"/>
              <w:right w:w="0" w:type="dxa"/>
            </w:tcMar>
            <w:vAlign w:val="center"/>
          </w:tcPr>
          <w:p>
            <w:pPr>
              <w:spacing w:line="240" w:lineRule="auto"/>
              <w:ind w:firstLine="0" w:firstLineChars="0"/>
              <w:jc w:val="center"/>
              <w:rPr>
                <w:color w:val="auto"/>
                <w:highlight w:val="none"/>
              </w:rPr>
            </w:pPr>
            <w:r>
              <w:rPr>
                <w:color w:val="auto"/>
                <w:highlight w:val="none"/>
              </w:rPr>
              <w:t>生产输电[2003]29号</w:t>
            </w:r>
          </w:p>
        </w:tc>
        <w:tc>
          <w:tcPr>
            <w:tcW w:w="5586" w:type="dxa"/>
            <w:noWrap w:val="0"/>
            <w:tcMar>
              <w:left w:w="0" w:type="dxa"/>
              <w:right w:w="0" w:type="dxa"/>
            </w:tcMar>
            <w:vAlign w:val="center"/>
          </w:tcPr>
          <w:p>
            <w:pPr>
              <w:spacing w:line="240" w:lineRule="auto"/>
              <w:ind w:firstLine="0" w:firstLineChars="0"/>
              <w:rPr>
                <w:color w:val="auto"/>
                <w:highlight w:val="none"/>
              </w:rPr>
            </w:pPr>
            <w:r>
              <w:rPr>
                <w:color w:val="auto"/>
                <w:highlight w:val="none"/>
              </w:rPr>
              <w:t>国家电网公司关于加强电力生产技术监督工作意见</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498" w:type="dxa"/>
            <w:noWrap w:val="0"/>
            <w:tcMar>
              <w:left w:w="0" w:type="dxa"/>
              <w:right w:w="0" w:type="dxa"/>
            </w:tcMar>
            <w:vAlign w:val="center"/>
          </w:tcPr>
          <w:p>
            <w:pPr>
              <w:spacing w:line="240" w:lineRule="auto"/>
              <w:ind w:firstLine="0" w:firstLineChars="0"/>
              <w:jc w:val="center"/>
              <w:rPr>
                <w:color w:val="auto"/>
                <w:highlight w:val="none"/>
              </w:rPr>
            </w:pPr>
            <w:r>
              <w:rPr>
                <w:color w:val="auto"/>
                <w:highlight w:val="none"/>
              </w:rPr>
              <w:t>国家电网生[2004]641号</w:t>
            </w:r>
          </w:p>
        </w:tc>
        <w:tc>
          <w:tcPr>
            <w:tcW w:w="5586" w:type="dxa"/>
            <w:noWrap w:val="0"/>
            <w:tcMar>
              <w:left w:w="0" w:type="dxa"/>
              <w:right w:w="0" w:type="dxa"/>
            </w:tcMar>
            <w:vAlign w:val="center"/>
          </w:tcPr>
          <w:p>
            <w:pPr>
              <w:spacing w:line="240" w:lineRule="auto"/>
              <w:ind w:firstLine="0" w:firstLineChars="0"/>
              <w:rPr>
                <w:color w:val="auto"/>
                <w:highlight w:val="none"/>
              </w:rPr>
            </w:pPr>
            <w:r>
              <w:rPr>
                <w:color w:val="auto"/>
                <w:highlight w:val="none"/>
              </w:rPr>
              <w:t>国家电网公司预防直流电源系统事故措施</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498" w:type="dxa"/>
            <w:noWrap w:val="0"/>
            <w:tcMar>
              <w:left w:w="0" w:type="dxa"/>
              <w:right w:w="0" w:type="dxa"/>
            </w:tcMar>
            <w:vAlign w:val="center"/>
          </w:tcPr>
          <w:p>
            <w:pPr>
              <w:bidi w:val="0"/>
              <w:spacing w:line="240" w:lineRule="auto"/>
              <w:rPr>
                <w:color w:val="auto"/>
              </w:rPr>
            </w:pPr>
            <w:r>
              <w:rPr>
                <w:rFonts w:hint="eastAsia"/>
                <w:color w:val="auto"/>
              </w:rPr>
              <w:t>国家电网设备〔</w:t>
            </w:r>
            <w:r>
              <w:rPr>
                <w:color w:val="auto"/>
              </w:rPr>
              <w:t>2018〕979号　</w:t>
            </w:r>
          </w:p>
        </w:tc>
        <w:tc>
          <w:tcPr>
            <w:tcW w:w="5586" w:type="dxa"/>
            <w:noWrap w:val="0"/>
            <w:tcMar>
              <w:left w:w="0" w:type="dxa"/>
              <w:right w:w="0" w:type="dxa"/>
            </w:tcMar>
            <w:vAlign w:val="center"/>
          </w:tcPr>
          <w:p>
            <w:pPr>
              <w:bidi w:val="0"/>
              <w:spacing w:line="240" w:lineRule="auto"/>
              <w:rPr>
                <w:color w:val="auto"/>
              </w:rPr>
            </w:pPr>
            <w:r>
              <w:rPr>
                <w:color w:val="auto"/>
              </w:rPr>
              <w:t>国家电网有限公司关于印发十八项电网重大反事故措施（修订版）的通知)</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498" w:type="dxa"/>
            <w:noWrap w:val="0"/>
            <w:tcMar>
              <w:left w:w="0" w:type="dxa"/>
              <w:right w:w="0" w:type="dxa"/>
            </w:tcMar>
            <w:vAlign w:val="center"/>
          </w:tcPr>
          <w:p>
            <w:pPr>
              <w:bidi w:val="0"/>
              <w:spacing w:line="240" w:lineRule="auto"/>
              <w:rPr>
                <w:rFonts w:hint="eastAsia"/>
                <w:color w:val="auto"/>
                <w:lang w:val="en-US" w:eastAsia="zh-CN"/>
              </w:rPr>
            </w:pPr>
            <w:bookmarkStart w:id="272" w:name="_Toc252568473"/>
            <w:r>
              <w:rPr>
                <w:rFonts w:hint="eastAsia" w:ascii="Calibri" w:eastAsia="宋体"/>
                <w:color w:val="auto"/>
                <w:lang w:val="en-US" w:eastAsia="zh-CN"/>
              </w:rPr>
              <w:t>国家能源局</w:t>
            </w:r>
          </w:p>
        </w:tc>
        <w:tc>
          <w:tcPr>
            <w:tcW w:w="5586" w:type="dxa"/>
            <w:noWrap w:val="0"/>
            <w:tcMar>
              <w:left w:w="0" w:type="dxa"/>
              <w:right w:w="0" w:type="dxa"/>
            </w:tcMar>
            <w:vAlign w:val="center"/>
          </w:tcPr>
          <w:p>
            <w:pPr>
              <w:bidi w:val="0"/>
              <w:spacing w:line="240" w:lineRule="auto"/>
              <w:rPr>
                <w:color w:val="auto"/>
                <w:lang w:val="en-US" w:eastAsia="zh-CN"/>
              </w:rPr>
            </w:pPr>
            <w:r>
              <w:rPr>
                <w:rFonts w:hint="eastAsia" w:ascii="Calibri" w:eastAsia="宋体"/>
                <w:color w:val="auto"/>
                <w:lang w:val="en-US" w:eastAsia="zh-CN"/>
              </w:rPr>
              <w:t>《防止电力生产事故的二十五项重点要求（2023版）》</w:t>
            </w:r>
          </w:p>
        </w:tc>
      </w:tr>
    </w:tbl>
    <w:p>
      <w:pPr>
        <w:ind w:firstLine="420"/>
        <w:rPr>
          <w:color w:val="auto"/>
          <w:highlight w:val="none"/>
        </w:rPr>
      </w:pPr>
      <w:r>
        <w:rPr>
          <w:rFonts w:hint="eastAsia" w:ascii="Calibri" w:eastAsia="宋体"/>
          <w:color w:val="auto"/>
          <w:highlight w:val="none"/>
          <w:lang w:val="en-US" w:eastAsia="zh-CN"/>
        </w:rPr>
        <w:t>2、</w:t>
      </w:r>
      <w:r>
        <w:rPr>
          <w:color w:val="auto"/>
          <w:highlight w:val="none"/>
        </w:rPr>
        <w:t>通用要求</w:t>
      </w:r>
      <w:bookmarkEnd w:id="272"/>
    </w:p>
    <w:p>
      <w:pPr>
        <w:ind w:firstLine="420"/>
        <w:rPr>
          <w:color w:val="auto"/>
          <w:highlight w:val="none"/>
        </w:rPr>
      </w:pPr>
      <w:r>
        <w:rPr>
          <w:rFonts w:hint="eastAsia" w:eastAsia="宋体"/>
          <w:color w:val="auto"/>
          <w:highlight w:val="none"/>
          <w:lang w:eastAsia="zh-CN"/>
        </w:rPr>
        <w:t>（</w:t>
      </w:r>
      <w:r>
        <w:rPr>
          <w:rFonts w:hint="eastAsia" w:ascii="Calibri" w:eastAsia="宋体"/>
          <w:color w:val="auto"/>
          <w:highlight w:val="none"/>
          <w:lang w:val="en-US" w:eastAsia="zh-CN"/>
        </w:rPr>
        <w:t>1</w:t>
      </w:r>
      <w:r>
        <w:rPr>
          <w:rFonts w:hint="eastAsia" w:eastAsia="宋体"/>
          <w:color w:val="auto"/>
          <w:highlight w:val="none"/>
          <w:lang w:eastAsia="zh-CN"/>
        </w:rPr>
        <w:t>）</w:t>
      </w:r>
      <w:r>
        <w:rPr>
          <w:color w:val="auto"/>
          <w:highlight w:val="none"/>
        </w:rPr>
        <w:t>主要技术参数</w:t>
      </w:r>
    </w:p>
    <w:p>
      <w:pPr>
        <w:ind w:firstLine="420"/>
        <w:rPr>
          <w:color w:val="auto"/>
          <w:highlight w:val="none"/>
        </w:rPr>
      </w:pPr>
      <w:r>
        <w:rPr>
          <w:color w:val="auto"/>
          <w:highlight w:val="none"/>
        </w:rPr>
        <w:t>交流输入额定电压：三相四线380V。</w:t>
      </w:r>
    </w:p>
    <w:p>
      <w:pPr>
        <w:ind w:firstLine="420"/>
        <w:rPr>
          <w:color w:val="auto"/>
          <w:highlight w:val="none"/>
        </w:rPr>
      </w:pPr>
      <w:r>
        <w:rPr>
          <w:color w:val="auto"/>
          <w:highlight w:val="none"/>
        </w:rPr>
        <w:t>交流电源频率：50Hz。</w:t>
      </w:r>
    </w:p>
    <w:p>
      <w:pPr>
        <w:ind w:firstLine="420"/>
        <w:rPr>
          <w:color w:val="auto"/>
          <w:highlight w:val="none"/>
        </w:rPr>
      </w:pPr>
      <w:r>
        <w:rPr>
          <w:color w:val="auto"/>
          <w:highlight w:val="none"/>
        </w:rPr>
        <w:t>直流输出额定电压： 220V（220V直流电源系统）。</w:t>
      </w:r>
    </w:p>
    <w:p>
      <w:pPr>
        <w:ind w:firstLine="420"/>
        <w:rPr>
          <w:color w:val="auto"/>
          <w:highlight w:val="none"/>
        </w:rPr>
      </w:pPr>
      <w:r>
        <w:rPr>
          <w:color w:val="auto"/>
          <w:highlight w:val="none"/>
        </w:rPr>
        <w:t>稳流精度：</w:t>
      </w:r>
      <w:r>
        <w:rPr>
          <w:rFonts w:hint="eastAsia"/>
          <w:color w:val="auto"/>
          <w:highlight w:val="none"/>
        </w:rPr>
        <w:t>≤±</w:t>
      </w:r>
      <w:r>
        <w:rPr>
          <w:color w:val="auto"/>
          <w:highlight w:val="none"/>
        </w:rPr>
        <w:t>1%。</w:t>
      </w:r>
    </w:p>
    <w:p>
      <w:pPr>
        <w:ind w:firstLine="420"/>
        <w:rPr>
          <w:color w:val="auto"/>
          <w:highlight w:val="none"/>
        </w:rPr>
      </w:pPr>
      <w:r>
        <w:rPr>
          <w:color w:val="auto"/>
          <w:highlight w:val="none"/>
        </w:rPr>
        <w:t>稳压精度：</w:t>
      </w:r>
      <w:r>
        <w:rPr>
          <w:rFonts w:hint="eastAsia"/>
          <w:color w:val="auto"/>
          <w:highlight w:val="none"/>
        </w:rPr>
        <w:t>≤±</w:t>
      </w:r>
      <w:r>
        <w:rPr>
          <w:color w:val="auto"/>
          <w:highlight w:val="none"/>
        </w:rPr>
        <w:t>0.5%。</w:t>
      </w:r>
    </w:p>
    <w:p>
      <w:pPr>
        <w:ind w:firstLine="420"/>
        <w:rPr>
          <w:color w:val="auto"/>
          <w:highlight w:val="none"/>
        </w:rPr>
      </w:pPr>
      <w:r>
        <w:rPr>
          <w:color w:val="auto"/>
          <w:highlight w:val="none"/>
        </w:rPr>
        <w:t>纹波系数：</w:t>
      </w:r>
      <w:r>
        <w:rPr>
          <w:rFonts w:hint="eastAsia"/>
          <w:color w:val="auto"/>
          <w:highlight w:val="none"/>
        </w:rPr>
        <w:t>≤</w:t>
      </w:r>
      <w:r>
        <w:rPr>
          <w:color w:val="auto"/>
          <w:highlight w:val="none"/>
        </w:rPr>
        <w:t>0.5%。</w:t>
      </w:r>
    </w:p>
    <w:p>
      <w:pPr>
        <w:ind w:firstLine="420"/>
        <w:rPr>
          <w:color w:val="auto"/>
          <w:highlight w:val="none"/>
        </w:rPr>
      </w:pPr>
      <w:r>
        <w:rPr>
          <w:color w:val="auto"/>
          <w:highlight w:val="none"/>
        </w:rPr>
        <w:t>效率：</w:t>
      </w:r>
      <w:r>
        <w:rPr>
          <w:rFonts w:hint="eastAsia"/>
          <w:color w:val="auto"/>
          <w:highlight w:val="none"/>
        </w:rPr>
        <w:t>≥</w:t>
      </w:r>
      <w:r>
        <w:rPr>
          <w:color w:val="auto"/>
          <w:highlight w:val="none"/>
        </w:rPr>
        <w:t>90%。</w:t>
      </w:r>
    </w:p>
    <w:p>
      <w:pPr>
        <w:ind w:firstLine="420"/>
        <w:rPr>
          <w:color w:val="auto"/>
          <w:highlight w:val="none"/>
        </w:rPr>
      </w:pPr>
      <w:r>
        <w:rPr>
          <w:color w:val="auto"/>
          <w:highlight w:val="none"/>
        </w:rPr>
        <w:t>噪声：＜55dB（距离装置1m处）。</w:t>
      </w:r>
    </w:p>
    <w:p>
      <w:pPr>
        <w:ind w:firstLine="420"/>
        <w:rPr>
          <w:color w:val="auto"/>
          <w:highlight w:val="none"/>
        </w:rPr>
      </w:pPr>
      <w:r>
        <w:rPr>
          <w:rFonts w:hint="eastAsia" w:eastAsia="宋体"/>
          <w:color w:val="auto"/>
          <w:highlight w:val="none"/>
          <w:lang w:eastAsia="zh-CN"/>
        </w:rPr>
        <w:t>（</w:t>
      </w:r>
      <w:r>
        <w:rPr>
          <w:rFonts w:hint="eastAsia" w:ascii="Calibri" w:eastAsia="宋体"/>
          <w:color w:val="auto"/>
          <w:highlight w:val="none"/>
          <w:lang w:val="en-US" w:eastAsia="zh-CN"/>
        </w:rPr>
        <w:t>2</w:t>
      </w:r>
      <w:r>
        <w:rPr>
          <w:rFonts w:hint="eastAsia" w:eastAsia="宋体"/>
          <w:color w:val="auto"/>
          <w:highlight w:val="none"/>
          <w:lang w:eastAsia="zh-CN"/>
        </w:rPr>
        <w:t>）</w:t>
      </w:r>
      <w:r>
        <w:rPr>
          <w:color w:val="auto"/>
          <w:highlight w:val="none"/>
        </w:rPr>
        <w:t>主要技术性能</w:t>
      </w:r>
    </w:p>
    <w:p>
      <w:pPr>
        <w:ind w:firstLine="420"/>
        <w:rPr>
          <w:color w:val="auto"/>
          <w:highlight w:val="none"/>
        </w:rPr>
      </w:pPr>
      <w:r>
        <w:rPr>
          <w:color w:val="auto"/>
          <w:highlight w:val="none"/>
        </w:rPr>
        <w:t>直流电源系统接线：单母线接线。</w:t>
      </w:r>
    </w:p>
    <w:p>
      <w:pPr>
        <w:ind w:firstLine="420"/>
        <w:rPr>
          <w:color w:val="auto"/>
          <w:highlight w:val="none"/>
        </w:rPr>
      </w:pPr>
      <w:r>
        <w:rPr>
          <w:color w:val="auto"/>
          <w:highlight w:val="none"/>
        </w:rPr>
        <w:t>蓄电池组数：</w:t>
      </w:r>
      <w:r>
        <w:rPr>
          <w:rFonts w:hint="eastAsia" w:ascii="Calibri" w:eastAsia="宋体"/>
          <w:color w:val="auto"/>
          <w:highlight w:val="none"/>
          <w:lang w:val="en-US" w:eastAsia="zh-CN"/>
        </w:rPr>
        <w:t>1</w:t>
      </w:r>
      <w:r>
        <w:rPr>
          <w:color w:val="auto"/>
          <w:highlight w:val="none"/>
        </w:rPr>
        <w:t>组</w:t>
      </w:r>
      <w:r>
        <w:rPr>
          <w:rFonts w:hint="eastAsia" w:ascii="Calibri" w:eastAsia="宋体"/>
          <w:color w:val="auto"/>
          <w:highlight w:val="none"/>
          <w:lang w:val="en-US" w:eastAsia="zh-CN"/>
        </w:rPr>
        <w:t>(组屏式安装)</w:t>
      </w:r>
      <w:r>
        <w:rPr>
          <w:color w:val="auto"/>
          <w:highlight w:val="none"/>
        </w:rPr>
        <w:t>。</w:t>
      </w:r>
    </w:p>
    <w:p>
      <w:pPr>
        <w:ind w:firstLine="420"/>
        <w:rPr>
          <w:color w:val="auto"/>
          <w:highlight w:val="none"/>
        </w:rPr>
      </w:pPr>
      <w:r>
        <w:rPr>
          <w:color w:val="auto"/>
          <w:highlight w:val="none"/>
        </w:rPr>
        <w:t>蓄电池型式：阀控式密封铅酸蓄电池。</w:t>
      </w:r>
    </w:p>
    <w:p>
      <w:pPr>
        <w:ind w:firstLine="420"/>
        <w:rPr>
          <w:color w:val="auto"/>
          <w:highlight w:val="none"/>
        </w:rPr>
      </w:pPr>
      <w:r>
        <w:rPr>
          <w:color w:val="auto"/>
          <w:highlight w:val="none"/>
        </w:rPr>
        <w:t>蓄电池组容量：</w:t>
      </w:r>
      <w:bookmarkStart w:id="273" w:name="OLE_LINK7"/>
      <w:r>
        <w:rPr>
          <w:rFonts w:hint="eastAsia" w:ascii="Calibri" w:eastAsia="宋体"/>
          <w:color w:val="auto"/>
          <w:highlight w:val="none"/>
          <w:lang w:val="en-US" w:eastAsia="zh-CN"/>
        </w:rPr>
        <w:t>65</w:t>
      </w:r>
      <w:r>
        <w:rPr>
          <w:color w:val="auto"/>
          <w:highlight w:val="none"/>
        </w:rPr>
        <w:t>Ah</w:t>
      </w:r>
      <w:bookmarkEnd w:id="273"/>
      <w:r>
        <w:rPr>
          <w:color w:val="auto"/>
          <w:highlight w:val="none"/>
        </w:rPr>
        <w:t>。</w:t>
      </w:r>
    </w:p>
    <w:p>
      <w:pPr>
        <w:ind w:firstLine="420"/>
        <w:rPr>
          <w:color w:val="auto"/>
          <w:highlight w:val="none"/>
        </w:rPr>
      </w:pPr>
      <w:r>
        <w:rPr>
          <w:color w:val="auto"/>
          <w:highlight w:val="none"/>
        </w:rPr>
        <w:t>蓄电池个数：220V系统</w:t>
      </w:r>
      <w:r>
        <w:rPr>
          <w:rFonts w:hint="eastAsia" w:ascii="Calibri" w:eastAsia="宋体"/>
          <w:color w:val="auto"/>
          <w:highlight w:val="none"/>
          <w:lang w:val="en-US" w:eastAsia="zh-CN"/>
        </w:rPr>
        <w:t>18</w:t>
      </w:r>
      <w:r>
        <w:rPr>
          <w:color w:val="auto"/>
          <w:highlight w:val="none"/>
        </w:rPr>
        <w:t>只。</w:t>
      </w:r>
    </w:p>
    <w:p>
      <w:pPr>
        <w:ind w:firstLine="420"/>
        <w:rPr>
          <w:color w:val="auto"/>
          <w:highlight w:val="none"/>
        </w:rPr>
      </w:pPr>
      <w:r>
        <w:rPr>
          <w:color w:val="auto"/>
          <w:highlight w:val="none"/>
        </w:rPr>
        <w:t>高频充电装置数量：见专用条款。</w:t>
      </w:r>
    </w:p>
    <w:p>
      <w:pPr>
        <w:ind w:firstLine="420"/>
        <w:rPr>
          <w:rFonts w:hint="eastAsia"/>
          <w:color w:val="auto"/>
          <w:highlight w:val="none"/>
        </w:rPr>
      </w:pPr>
      <w:r>
        <w:rPr>
          <w:rFonts w:hint="eastAsia"/>
          <w:color w:val="auto"/>
          <w:highlight w:val="none"/>
        </w:rPr>
        <w:t>直流系统构成</w:t>
      </w:r>
    </w:p>
    <w:p>
      <w:pPr>
        <w:ind w:firstLine="420"/>
        <w:rPr>
          <w:color w:val="auto"/>
          <w:highlight w:val="none"/>
        </w:rPr>
      </w:pPr>
      <w:r>
        <w:rPr>
          <w:rFonts w:hint="eastAsia"/>
          <w:color w:val="auto"/>
          <w:highlight w:val="none"/>
        </w:rPr>
        <w:t>直流系统包括交流配电单元、高频开关充电模块、集中监控器、直流馈线单元、蓄电池组及蓄电池监测、直流绝缘监测、蓄电池放电装置等单元组成。</w:t>
      </w:r>
    </w:p>
    <w:p>
      <w:pPr>
        <w:ind w:firstLine="420"/>
        <w:rPr>
          <w:color w:val="auto"/>
          <w:highlight w:val="none"/>
        </w:rPr>
      </w:pPr>
      <w:r>
        <w:rPr>
          <w:color w:val="auto"/>
          <w:highlight w:val="none"/>
        </w:rPr>
        <w:t>具备C级防雷保护功能并带有遥信报警信号。</w:t>
      </w:r>
    </w:p>
    <w:p>
      <w:pPr>
        <w:ind w:firstLine="420"/>
        <w:rPr>
          <w:color w:val="auto"/>
          <w:highlight w:val="none"/>
        </w:rPr>
      </w:pPr>
      <w:r>
        <w:rPr>
          <w:color w:val="auto"/>
          <w:highlight w:val="none"/>
        </w:rPr>
        <w:t>直流电源系统开关应选用优质高分断直流断路器，上下级断路器应满足选择性配合要求，各断路器应配备跳闸报警触点，一个站的直流断路器原则上应选用同一制造厂系列产品。</w:t>
      </w:r>
    </w:p>
    <w:p>
      <w:pPr>
        <w:ind w:firstLine="420"/>
        <w:rPr>
          <w:color w:val="auto"/>
          <w:highlight w:val="none"/>
        </w:rPr>
      </w:pPr>
      <w:r>
        <w:rPr>
          <w:color w:val="auto"/>
          <w:highlight w:val="none"/>
        </w:rPr>
        <w:t>蓄电池组等重要位置的熔断器、开关应装有辅助触点，并引至端子排。</w:t>
      </w:r>
    </w:p>
    <w:p>
      <w:pPr>
        <w:ind w:firstLine="420"/>
        <w:rPr>
          <w:color w:val="auto"/>
          <w:highlight w:val="none"/>
        </w:rPr>
      </w:pPr>
      <w:r>
        <w:rPr>
          <w:color w:val="auto"/>
          <w:highlight w:val="none"/>
        </w:rPr>
        <w:t>馈线开关带报警及辅助信号触点，有信号指示通断状态并配采集模块采集位置及跳闸信号，采集模块通过通信发信号到总监控单元。</w:t>
      </w:r>
    </w:p>
    <w:p>
      <w:pPr>
        <w:ind w:firstLine="420"/>
        <w:rPr>
          <w:color w:val="auto"/>
          <w:highlight w:val="none"/>
        </w:rPr>
      </w:pPr>
      <w:r>
        <w:rPr>
          <w:color w:val="auto"/>
          <w:highlight w:val="none"/>
        </w:rPr>
        <w:t>直流主母线及接头，应能满足相关规范要求的通流能力，母线应有阻燃绝缘套管。</w:t>
      </w:r>
    </w:p>
    <w:p>
      <w:pPr>
        <w:ind w:firstLine="420"/>
        <w:rPr>
          <w:color w:val="auto"/>
          <w:highlight w:val="none"/>
        </w:rPr>
      </w:pPr>
      <w:r>
        <w:rPr>
          <w:color w:val="auto"/>
          <w:highlight w:val="none"/>
        </w:rPr>
        <w:t>直流采用放射状结构供电，严禁环路。</w:t>
      </w:r>
    </w:p>
    <w:p>
      <w:pPr>
        <w:ind w:firstLine="420"/>
        <w:rPr>
          <w:color w:val="auto"/>
          <w:highlight w:val="none"/>
        </w:rPr>
      </w:pPr>
      <w:r>
        <w:rPr>
          <w:color w:val="auto"/>
          <w:highlight w:val="none"/>
        </w:rPr>
        <w:t>设备应满足GB/T 17626关于电磁兼容、抗干扰的要求</w:t>
      </w:r>
      <w:r>
        <w:rPr>
          <w:rFonts w:hint="eastAsia"/>
          <w:color w:val="auto"/>
          <w:highlight w:val="none"/>
        </w:rPr>
        <w:t>［</w:t>
      </w:r>
      <w:r>
        <w:rPr>
          <w:color w:val="auto"/>
          <w:highlight w:val="none"/>
        </w:rPr>
        <w:t>具体项目为静电放电抗扰度试验、电快速瞬变脉冲群抗扰度试验、浪涌（冲击）抗扰度试验、振荡波抗扰度试验等</w:t>
      </w:r>
      <w:r>
        <w:rPr>
          <w:rFonts w:hint="eastAsia"/>
          <w:color w:val="auto"/>
          <w:highlight w:val="none"/>
        </w:rPr>
        <w:t>］</w:t>
      </w:r>
      <w:r>
        <w:rPr>
          <w:color w:val="auto"/>
          <w:highlight w:val="none"/>
        </w:rPr>
        <w:t>。</w:t>
      </w:r>
    </w:p>
    <w:p>
      <w:pPr>
        <w:ind w:firstLine="420"/>
        <w:rPr>
          <w:color w:val="auto"/>
          <w:highlight w:val="none"/>
        </w:rPr>
      </w:pPr>
      <w:r>
        <w:rPr>
          <w:color w:val="auto"/>
          <w:highlight w:val="none"/>
        </w:rPr>
        <w:t>直流电屏为双电源进线，分别来自两段母线</w:t>
      </w:r>
      <w:r>
        <w:rPr>
          <w:rFonts w:hint="eastAsia"/>
          <w:color w:val="auto"/>
          <w:highlight w:val="none"/>
        </w:rPr>
        <w:t>。</w:t>
      </w:r>
    </w:p>
    <w:p>
      <w:pPr>
        <w:ind w:firstLine="420"/>
        <w:rPr>
          <w:color w:val="auto"/>
          <w:highlight w:val="none"/>
        </w:rPr>
      </w:pPr>
      <w:r>
        <w:rPr>
          <w:color w:val="auto"/>
          <w:highlight w:val="none"/>
        </w:rPr>
        <w:t>直流馈电屏及直流分电屏上应装设绝缘检测装置。</w:t>
      </w:r>
    </w:p>
    <w:p>
      <w:pPr>
        <w:ind w:firstLine="420"/>
        <w:rPr>
          <w:color w:val="auto"/>
          <w:highlight w:val="none"/>
        </w:rPr>
      </w:pPr>
      <w:r>
        <w:rPr>
          <w:color w:val="auto"/>
          <w:highlight w:val="none"/>
        </w:rPr>
        <w:t>充电柜（或主馈线柜）应装设专用的蓄电池放电试验回路。</w:t>
      </w:r>
    </w:p>
    <w:p>
      <w:pPr>
        <w:ind w:firstLine="420"/>
        <w:rPr>
          <w:color w:val="auto"/>
          <w:highlight w:val="none"/>
        </w:rPr>
      </w:pPr>
      <w:r>
        <w:rPr>
          <w:color w:val="auto"/>
          <w:highlight w:val="none"/>
        </w:rPr>
        <w:t>直流电柜每面柜内最少安装</w:t>
      </w:r>
      <w:r>
        <w:rPr>
          <w:rFonts w:hint="eastAsia" w:ascii="Calibri" w:eastAsia="宋体"/>
          <w:color w:val="auto"/>
          <w:highlight w:val="none"/>
          <w:lang w:val="en-US" w:eastAsia="zh-CN"/>
        </w:rPr>
        <w:t>12</w:t>
      </w:r>
      <w:r>
        <w:rPr>
          <w:color w:val="auto"/>
          <w:highlight w:val="none"/>
        </w:rPr>
        <w:t>路的直流馈出开关，具体路数见专用条款，馈出端子正负之间应加不少于1只隔离端子。</w:t>
      </w:r>
    </w:p>
    <w:p>
      <w:pPr>
        <w:ind w:firstLine="420"/>
        <w:rPr>
          <w:color w:val="auto"/>
          <w:highlight w:val="none"/>
        </w:rPr>
      </w:pPr>
      <w:r>
        <w:rPr>
          <w:color w:val="auto"/>
          <w:highlight w:val="none"/>
        </w:rPr>
        <w:t>汇流排和主电路导线相序和颜色应符合GBJ 149标准。</w:t>
      </w:r>
    </w:p>
    <w:p>
      <w:pPr>
        <w:ind w:firstLine="420"/>
        <w:rPr>
          <w:color w:val="auto"/>
          <w:highlight w:val="none"/>
        </w:rPr>
      </w:pPr>
      <w:r>
        <w:rPr>
          <w:color w:val="auto"/>
          <w:highlight w:val="none"/>
        </w:rPr>
        <w:t>柜内元件的布置应便于安装和维护。</w:t>
      </w:r>
    </w:p>
    <w:p>
      <w:pPr>
        <w:ind w:firstLine="420"/>
        <w:rPr>
          <w:color w:val="auto"/>
          <w:highlight w:val="none"/>
        </w:rPr>
      </w:pPr>
      <w:bookmarkStart w:id="274" w:name="_Toc252568474"/>
      <w:r>
        <w:rPr>
          <w:rFonts w:hint="eastAsia" w:eastAsia="宋体"/>
          <w:color w:val="auto"/>
          <w:highlight w:val="none"/>
          <w:lang w:eastAsia="zh-CN"/>
        </w:rPr>
        <w:t>（</w:t>
      </w:r>
      <w:r>
        <w:rPr>
          <w:rFonts w:hint="eastAsia" w:ascii="Calibri" w:eastAsia="宋体"/>
          <w:color w:val="auto"/>
          <w:highlight w:val="none"/>
          <w:lang w:val="en-US" w:eastAsia="zh-CN"/>
        </w:rPr>
        <w:t>3</w:t>
      </w:r>
      <w:r>
        <w:rPr>
          <w:rFonts w:hint="eastAsia" w:eastAsia="宋体"/>
          <w:color w:val="auto"/>
          <w:highlight w:val="none"/>
          <w:lang w:eastAsia="zh-CN"/>
        </w:rPr>
        <w:t>）</w:t>
      </w:r>
      <w:r>
        <w:rPr>
          <w:color w:val="auto"/>
          <w:highlight w:val="none"/>
        </w:rPr>
        <w:t>220V高频开关电源模块</w:t>
      </w:r>
      <w:bookmarkEnd w:id="274"/>
    </w:p>
    <w:p>
      <w:pPr>
        <w:ind w:firstLine="420"/>
        <w:rPr>
          <w:color w:val="auto"/>
          <w:highlight w:val="none"/>
        </w:rPr>
      </w:pPr>
      <w:r>
        <w:rPr>
          <w:rFonts w:hint="eastAsia" w:ascii="Calibri" w:eastAsia="宋体"/>
          <w:color w:val="auto"/>
          <w:highlight w:val="none"/>
          <w:lang w:val="en-US" w:eastAsia="zh-CN"/>
        </w:rPr>
        <w:t>1）</w:t>
      </w:r>
      <w:r>
        <w:rPr>
          <w:color w:val="auto"/>
          <w:highlight w:val="none"/>
        </w:rPr>
        <w:t>主要技术参数</w:t>
      </w:r>
    </w:p>
    <w:p>
      <w:pPr>
        <w:ind w:firstLine="420"/>
        <w:rPr>
          <w:color w:val="auto"/>
          <w:highlight w:val="none"/>
        </w:rPr>
      </w:pPr>
      <w:r>
        <w:rPr>
          <w:color w:val="auto"/>
          <w:highlight w:val="none"/>
        </w:rPr>
        <w:t>交流输入额定电压：三相380V。</w:t>
      </w:r>
    </w:p>
    <w:p>
      <w:pPr>
        <w:ind w:firstLine="420"/>
        <w:rPr>
          <w:color w:val="auto"/>
          <w:highlight w:val="none"/>
        </w:rPr>
      </w:pPr>
      <w:r>
        <w:rPr>
          <w:color w:val="auto"/>
          <w:highlight w:val="none"/>
        </w:rPr>
        <w:t>交流输入额定频率：50Hz。</w:t>
      </w:r>
    </w:p>
    <w:p>
      <w:pPr>
        <w:ind w:firstLine="420"/>
        <w:rPr>
          <w:color w:val="auto"/>
          <w:highlight w:val="none"/>
        </w:rPr>
      </w:pPr>
      <w:r>
        <w:rPr>
          <w:color w:val="auto"/>
          <w:highlight w:val="none"/>
        </w:rPr>
        <w:t>直流额定输出电压：110V/220V。</w:t>
      </w:r>
    </w:p>
    <w:p>
      <w:pPr>
        <w:ind w:firstLine="420"/>
        <w:rPr>
          <w:color w:val="auto"/>
          <w:highlight w:val="none"/>
        </w:rPr>
      </w:pPr>
      <w:r>
        <w:rPr>
          <w:color w:val="auto"/>
          <w:highlight w:val="none"/>
        </w:rPr>
        <w:t>额定输出电流：</w:t>
      </w:r>
      <w:r>
        <w:rPr>
          <w:rFonts w:hint="eastAsia" w:ascii="Calibri" w:eastAsia="宋体"/>
          <w:color w:val="auto"/>
          <w:highlight w:val="none"/>
          <w:lang w:val="en-US" w:eastAsia="zh-CN"/>
        </w:rPr>
        <w:t>3</w:t>
      </w:r>
      <w:r>
        <w:rPr>
          <w:color w:val="auto"/>
          <w:highlight w:val="none"/>
        </w:rPr>
        <w:t>0A（220V直流电源系统）。</w:t>
      </w:r>
    </w:p>
    <w:p>
      <w:pPr>
        <w:ind w:firstLine="420"/>
        <w:rPr>
          <w:color w:val="auto"/>
          <w:highlight w:val="none"/>
        </w:rPr>
      </w:pPr>
      <w:r>
        <w:rPr>
          <w:color w:val="auto"/>
          <w:highlight w:val="none"/>
        </w:rPr>
        <w:t>功率因数：</w:t>
      </w:r>
      <w:r>
        <w:rPr>
          <w:rFonts w:hint="eastAsia"/>
          <w:color w:val="auto"/>
          <w:highlight w:val="none"/>
        </w:rPr>
        <w:t>≥</w:t>
      </w:r>
      <w:r>
        <w:rPr>
          <w:color w:val="auto"/>
          <w:highlight w:val="none"/>
        </w:rPr>
        <w:t>0.90。</w:t>
      </w:r>
    </w:p>
    <w:p>
      <w:pPr>
        <w:ind w:firstLine="420"/>
        <w:rPr>
          <w:color w:val="auto"/>
          <w:highlight w:val="none"/>
        </w:rPr>
      </w:pPr>
      <w:r>
        <w:rPr>
          <w:color w:val="auto"/>
          <w:highlight w:val="none"/>
        </w:rPr>
        <w:t>稳流精度：</w:t>
      </w:r>
      <w:r>
        <w:rPr>
          <w:rFonts w:hint="eastAsia"/>
          <w:color w:val="auto"/>
          <w:highlight w:val="none"/>
        </w:rPr>
        <w:t>≤±</w:t>
      </w:r>
      <w:r>
        <w:rPr>
          <w:color w:val="auto"/>
          <w:highlight w:val="none"/>
        </w:rPr>
        <w:t>1%。</w:t>
      </w:r>
    </w:p>
    <w:p>
      <w:pPr>
        <w:ind w:firstLine="420"/>
        <w:rPr>
          <w:color w:val="auto"/>
          <w:highlight w:val="none"/>
        </w:rPr>
      </w:pPr>
      <w:r>
        <w:rPr>
          <w:color w:val="auto"/>
          <w:highlight w:val="none"/>
        </w:rPr>
        <w:t>稳压精度：</w:t>
      </w:r>
      <w:r>
        <w:rPr>
          <w:rFonts w:hint="eastAsia"/>
          <w:color w:val="auto"/>
          <w:highlight w:val="none"/>
        </w:rPr>
        <w:t>≤±</w:t>
      </w:r>
      <w:r>
        <w:rPr>
          <w:color w:val="auto"/>
          <w:highlight w:val="none"/>
        </w:rPr>
        <w:t>0.5%。</w:t>
      </w:r>
    </w:p>
    <w:p>
      <w:pPr>
        <w:ind w:firstLine="420"/>
        <w:rPr>
          <w:color w:val="auto"/>
          <w:highlight w:val="none"/>
        </w:rPr>
      </w:pPr>
      <w:r>
        <w:rPr>
          <w:color w:val="auto"/>
          <w:highlight w:val="none"/>
        </w:rPr>
        <w:t>纹波系数：</w:t>
      </w:r>
      <w:r>
        <w:rPr>
          <w:rFonts w:hint="eastAsia"/>
          <w:color w:val="auto"/>
          <w:highlight w:val="none"/>
        </w:rPr>
        <w:t>≤</w:t>
      </w:r>
      <w:r>
        <w:rPr>
          <w:color w:val="auto"/>
          <w:highlight w:val="none"/>
        </w:rPr>
        <w:t>0.5%（采用峰—峰值计算）。</w:t>
      </w:r>
    </w:p>
    <w:p>
      <w:pPr>
        <w:ind w:firstLine="420"/>
        <w:rPr>
          <w:color w:val="auto"/>
          <w:highlight w:val="none"/>
        </w:rPr>
      </w:pPr>
      <w:r>
        <w:rPr>
          <w:color w:val="auto"/>
          <w:highlight w:val="none"/>
        </w:rPr>
        <w:t>效率：</w:t>
      </w:r>
      <w:r>
        <w:rPr>
          <w:rFonts w:hint="eastAsia"/>
          <w:color w:val="auto"/>
          <w:highlight w:val="none"/>
        </w:rPr>
        <w:t>≥</w:t>
      </w:r>
      <w:r>
        <w:rPr>
          <w:color w:val="auto"/>
          <w:highlight w:val="none"/>
        </w:rPr>
        <w:t>90%。</w:t>
      </w:r>
    </w:p>
    <w:p>
      <w:pPr>
        <w:ind w:firstLine="420"/>
        <w:rPr>
          <w:color w:val="auto"/>
          <w:highlight w:val="none"/>
        </w:rPr>
      </w:pPr>
      <w:r>
        <w:rPr>
          <w:color w:val="auto"/>
          <w:highlight w:val="none"/>
        </w:rPr>
        <w:t>软启动时间：2s～10s。</w:t>
      </w:r>
    </w:p>
    <w:p>
      <w:pPr>
        <w:ind w:firstLine="420"/>
        <w:rPr>
          <w:color w:val="auto"/>
          <w:highlight w:val="none"/>
        </w:rPr>
      </w:pPr>
      <w:r>
        <w:rPr>
          <w:color w:val="auto"/>
          <w:highlight w:val="none"/>
        </w:rPr>
        <w:t>高频模块并联工作时输出电流不均衡度：＜</w:t>
      </w:r>
      <w:r>
        <w:rPr>
          <w:rFonts w:hint="eastAsia"/>
          <w:color w:val="auto"/>
          <w:highlight w:val="none"/>
        </w:rPr>
        <w:t>±</w:t>
      </w:r>
      <w:r>
        <w:rPr>
          <w:color w:val="auto"/>
          <w:highlight w:val="none"/>
        </w:rPr>
        <w:t>5%。</w:t>
      </w:r>
    </w:p>
    <w:p>
      <w:pPr>
        <w:ind w:firstLine="420"/>
        <w:rPr>
          <w:color w:val="auto"/>
          <w:highlight w:val="none"/>
        </w:rPr>
      </w:pPr>
      <w:r>
        <w:rPr>
          <w:rFonts w:hint="eastAsia" w:ascii="Calibri" w:eastAsia="宋体"/>
          <w:color w:val="auto"/>
          <w:highlight w:val="none"/>
          <w:lang w:val="en-US" w:eastAsia="zh-CN"/>
        </w:rPr>
        <w:t>2）</w:t>
      </w:r>
      <w:r>
        <w:rPr>
          <w:color w:val="auto"/>
          <w:highlight w:val="none"/>
        </w:rPr>
        <w:t>主要性能要求</w:t>
      </w:r>
    </w:p>
    <w:p>
      <w:pPr>
        <w:ind w:firstLine="420"/>
        <w:rPr>
          <w:color w:val="auto"/>
          <w:highlight w:val="none"/>
        </w:rPr>
      </w:pPr>
      <w:r>
        <w:rPr>
          <w:color w:val="auto"/>
          <w:highlight w:val="none"/>
        </w:rPr>
        <w:t>应具有监控功能，且不依赖总监控单元独立工作，应具备人机对话功能。应支持与总监控单元通信，接收并执行监控装置的指令。</w:t>
      </w:r>
    </w:p>
    <w:p>
      <w:pPr>
        <w:ind w:firstLine="420"/>
        <w:rPr>
          <w:color w:val="auto"/>
          <w:highlight w:val="none"/>
        </w:rPr>
      </w:pPr>
      <w:r>
        <w:rPr>
          <w:color w:val="auto"/>
          <w:highlight w:val="none"/>
        </w:rPr>
        <w:t>应具有短路保护功能，短路排除后自动恢复输出。</w:t>
      </w:r>
    </w:p>
    <w:p>
      <w:pPr>
        <w:ind w:firstLine="420"/>
        <w:rPr>
          <w:color w:val="auto"/>
          <w:highlight w:val="none"/>
        </w:rPr>
      </w:pPr>
      <w:r>
        <w:rPr>
          <w:color w:val="auto"/>
          <w:highlight w:val="none"/>
        </w:rPr>
        <w:t>应具有以下保护报警功能：过温保护、过电压保护、过电流保护、欠电压报警、过电压报警、交流欠电压、交流过电压、缺相报警等。</w:t>
      </w:r>
    </w:p>
    <w:p>
      <w:pPr>
        <w:ind w:firstLine="420"/>
        <w:rPr>
          <w:color w:val="auto"/>
          <w:highlight w:val="none"/>
        </w:rPr>
      </w:pPr>
      <w:r>
        <w:rPr>
          <w:color w:val="auto"/>
          <w:highlight w:val="none"/>
        </w:rPr>
        <w:t>整流模块支持带电热插拔。</w:t>
      </w:r>
    </w:p>
    <w:p>
      <w:pPr>
        <w:ind w:firstLine="420"/>
        <w:rPr>
          <w:color w:val="auto"/>
          <w:highlight w:val="none"/>
        </w:rPr>
      </w:pPr>
      <w:r>
        <w:rPr>
          <w:color w:val="auto"/>
          <w:highlight w:val="none"/>
        </w:rPr>
        <w:t>冷却方式为自冷或智能风冷。</w:t>
      </w:r>
    </w:p>
    <w:p>
      <w:pPr>
        <w:ind w:firstLine="420"/>
        <w:rPr>
          <w:color w:val="auto"/>
          <w:highlight w:val="none"/>
        </w:rPr>
      </w:pPr>
      <w:bookmarkStart w:id="275" w:name="_Toc256337240"/>
      <w:bookmarkStart w:id="276" w:name="_Toc252568475"/>
      <w:r>
        <w:rPr>
          <w:rFonts w:hint="eastAsia" w:eastAsia="宋体"/>
          <w:color w:val="auto"/>
          <w:highlight w:val="none"/>
          <w:lang w:eastAsia="zh-CN"/>
        </w:rPr>
        <w:t>（</w:t>
      </w:r>
      <w:r>
        <w:rPr>
          <w:rFonts w:hint="eastAsia" w:ascii="Calibri" w:eastAsia="宋体"/>
          <w:color w:val="auto"/>
          <w:highlight w:val="none"/>
          <w:lang w:val="en-US" w:eastAsia="zh-CN"/>
        </w:rPr>
        <w:t>4</w:t>
      </w:r>
      <w:r>
        <w:rPr>
          <w:rFonts w:hint="eastAsia" w:eastAsia="宋体"/>
          <w:color w:val="auto"/>
          <w:highlight w:val="none"/>
          <w:lang w:eastAsia="zh-CN"/>
        </w:rPr>
        <w:t>）</w:t>
      </w:r>
      <w:r>
        <w:rPr>
          <w:color w:val="auto"/>
          <w:highlight w:val="none"/>
        </w:rPr>
        <w:t>蓄电池</w:t>
      </w:r>
      <w:bookmarkEnd w:id="275"/>
      <w:bookmarkEnd w:id="276"/>
    </w:p>
    <w:p>
      <w:pPr>
        <w:ind w:firstLine="420"/>
        <w:rPr>
          <w:color w:val="auto"/>
          <w:highlight w:val="none"/>
        </w:rPr>
      </w:pPr>
      <w:r>
        <w:rPr>
          <w:rFonts w:hint="eastAsia" w:ascii="Calibri" w:eastAsia="宋体"/>
          <w:color w:val="auto"/>
          <w:highlight w:val="none"/>
          <w:lang w:val="en-US" w:eastAsia="zh-CN"/>
        </w:rPr>
        <w:t>1）</w:t>
      </w:r>
      <w:r>
        <w:rPr>
          <w:color w:val="auto"/>
          <w:highlight w:val="none"/>
        </w:rPr>
        <w:t>主要技术参数</w:t>
      </w:r>
    </w:p>
    <w:p>
      <w:pPr>
        <w:ind w:firstLine="420"/>
        <w:rPr>
          <w:color w:val="auto"/>
          <w:highlight w:val="none"/>
        </w:rPr>
      </w:pPr>
      <w:r>
        <w:rPr>
          <w:color w:val="auto"/>
          <w:highlight w:val="none"/>
        </w:rPr>
        <w:t>单体电池额定电压：</w:t>
      </w:r>
      <w:r>
        <w:rPr>
          <w:rFonts w:hint="eastAsia" w:ascii="Calibri" w:eastAsia="宋体"/>
          <w:color w:val="auto"/>
          <w:highlight w:val="none"/>
          <w:lang w:val="en-US" w:eastAsia="zh-CN"/>
        </w:rPr>
        <w:t>1</w:t>
      </w:r>
      <w:r>
        <w:rPr>
          <w:color w:val="auto"/>
          <w:highlight w:val="none"/>
        </w:rPr>
        <w:t>2V。</w:t>
      </w:r>
    </w:p>
    <w:p>
      <w:pPr>
        <w:ind w:firstLine="420"/>
        <w:rPr>
          <w:color w:val="auto"/>
          <w:highlight w:val="none"/>
        </w:rPr>
      </w:pPr>
      <w:r>
        <w:rPr>
          <w:color w:val="auto"/>
          <w:highlight w:val="none"/>
        </w:rPr>
        <w:t>单体电池浮充电电压：2.23V～2.27V。</w:t>
      </w:r>
    </w:p>
    <w:p>
      <w:pPr>
        <w:ind w:firstLine="420"/>
        <w:rPr>
          <w:color w:val="auto"/>
          <w:highlight w:val="none"/>
        </w:rPr>
      </w:pPr>
      <w:r>
        <w:rPr>
          <w:color w:val="auto"/>
          <w:highlight w:val="none"/>
        </w:rPr>
        <w:t>单体电池均衡充电电压：2.30V～2.</w:t>
      </w:r>
      <w:r>
        <w:rPr>
          <w:rFonts w:hint="eastAsia" w:ascii="Calibri" w:eastAsia="宋体"/>
          <w:color w:val="auto"/>
          <w:highlight w:val="none"/>
          <w:lang w:val="en-US" w:eastAsia="zh-CN"/>
        </w:rPr>
        <w:t>35</w:t>
      </w:r>
      <w:r>
        <w:rPr>
          <w:color w:val="auto"/>
          <w:highlight w:val="none"/>
        </w:rPr>
        <w:t>V。</w:t>
      </w:r>
    </w:p>
    <w:p>
      <w:pPr>
        <w:ind w:firstLine="420"/>
        <w:rPr>
          <w:color w:val="auto"/>
          <w:highlight w:val="none"/>
        </w:rPr>
      </w:pPr>
      <w:r>
        <w:rPr>
          <w:color w:val="auto"/>
          <w:highlight w:val="none"/>
        </w:rPr>
        <w:t>单体电池放电终止电压：</w:t>
      </w:r>
      <w:r>
        <w:rPr>
          <w:rFonts w:hint="eastAsia"/>
          <w:color w:val="auto"/>
          <w:highlight w:val="none"/>
        </w:rPr>
        <w:t>≥</w:t>
      </w:r>
      <w:r>
        <w:rPr>
          <w:color w:val="auto"/>
          <w:highlight w:val="none"/>
        </w:rPr>
        <w:t>1.8</w:t>
      </w:r>
      <w:r>
        <w:rPr>
          <w:rFonts w:hint="eastAsia" w:ascii="Calibri" w:eastAsia="宋体"/>
          <w:color w:val="auto"/>
          <w:highlight w:val="none"/>
          <w:lang w:val="en-US" w:eastAsia="zh-CN"/>
        </w:rPr>
        <w:t>5</w:t>
      </w:r>
      <w:r>
        <w:rPr>
          <w:color w:val="auto"/>
          <w:highlight w:val="none"/>
        </w:rPr>
        <w:t>V。</w:t>
      </w:r>
    </w:p>
    <w:p>
      <w:pPr>
        <w:ind w:firstLine="420"/>
        <w:rPr>
          <w:color w:val="auto"/>
          <w:highlight w:val="none"/>
        </w:rPr>
      </w:pPr>
      <w:r>
        <w:rPr>
          <w:rFonts w:hint="eastAsia" w:ascii="Calibri" w:eastAsia="宋体"/>
          <w:color w:val="auto"/>
          <w:highlight w:val="none"/>
          <w:lang w:val="en-US" w:eastAsia="zh-CN"/>
        </w:rPr>
        <w:t>2）</w:t>
      </w:r>
      <w:r>
        <w:rPr>
          <w:color w:val="auto"/>
          <w:highlight w:val="none"/>
        </w:rPr>
        <w:t>主要性能要求</w:t>
      </w:r>
    </w:p>
    <w:p>
      <w:pPr>
        <w:ind w:firstLine="420"/>
        <w:rPr>
          <w:color w:val="auto"/>
          <w:highlight w:val="none"/>
        </w:rPr>
      </w:pPr>
      <w:r>
        <w:rPr>
          <w:color w:val="auto"/>
          <w:highlight w:val="none"/>
        </w:rPr>
        <w:t>环境温度在10℃～＋45℃条件下，蓄电池性能指标应满足正常使用要求。</w:t>
      </w:r>
    </w:p>
    <w:p>
      <w:pPr>
        <w:ind w:firstLine="420"/>
        <w:rPr>
          <w:color w:val="auto"/>
          <w:highlight w:val="none"/>
        </w:rPr>
      </w:pPr>
      <w:r>
        <w:rPr>
          <w:color w:val="auto"/>
          <w:highlight w:val="none"/>
        </w:rPr>
        <w:t>蓄电池在环境温度20℃～25℃条件下，浮充运行寿命应不低于10年。</w:t>
      </w:r>
    </w:p>
    <w:p>
      <w:pPr>
        <w:ind w:firstLine="420"/>
        <w:rPr>
          <w:color w:val="auto"/>
          <w:highlight w:val="none"/>
        </w:rPr>
      </w:pPr>
      <w:r>
        <w:rPr>
          <w:color w:val="auto"/>
          <w:highlight w:val="none"/>
        </w:rPr>
        <w:t xml:space="preserve">蓄电池组按规定的试验方法，10h率容量应在第一次充放电循环时不低于0.95C10，五次循环应达到C10。 </w:t>
      </w:r>
    </w:p>
    <w:p>
      <w:pPr>
        <w:ind w:firstLine="420"/>
        <w:rPr>
          <w:color w:val="auto"/>
          <w:highlight w:val="none"/>
        </w:rPr>
      </w:pPr>
      <w:r>
        <w:rPr>
          <w:color w:val="auto"/>
          <w:highlight w:val="none"/>
        </w:rPr>
        <w:t>供方应提供蓄电池接线板及抗振型安装支架。</w:t>
      </w:r>
    </w:p>
    <w:p>
      <w:pPr>
        <w:ind w:firstLine="420"/>
        <w:rPr>
          <w:color w:val="auto"/>
          <w:highlight w:val="none"/>
        </w:rPr>
      </w:pPr>
      <w:r>
        <w:rPr>
          <w:color w:val="auto"/>
          <w:highlight w:val="none"/>
        </w:rPr>
        <w:t>蓄电池间接线板、终端接头应选择导电性能优良的材料，并具有防腐蚀措施。蓄电池槽、盖、安全阀、极柱封口剂等材料应具有阻燃性。</w:t>
      </w:r>
    </w:p>
    <w:p>
      <w:pPr>
        <w:ind w:firstLine="420"/>
        <w:rPr>
          <w:color w:val="auto"/>
          <w:highlight w:val="none"/>
        </w:rPr>
      </w:pPr>
      <w:r>
        <w:rPr>
          <w:color w:val="auto"/>
          <w:highlight w:val="none"/>
        </w:rPr>
        <w:t>蓄电池必须采用全密封防泄漏结构，外壳无异常变形、裂纹及污迹，上盖及端子无损伤，正常工作时无酸雾溢出。</w:t>
      </w:r>
    </w:p>
    <w:p>
      <w:pPr>
        <w:ind w:firstLine="420"/>
        <w:rPr>
          <w:color w:val="auto"/>
          <w:highlight w:val="none"/>
        </w:rPr>
      </w:pPr>
      <w:r>
        <w:rPr>
          <w:color w:val="auto"/>
          <w:highlight w:val="none"/>
        </w:rPr>
        <w:t>蓄电池极性正确，正负极性及端子应有明显标志。极板厚度应与使用寿命相适应。</w:t>
      </w:r>
    </w:p>
    <w:p>
      <w:pPr>
        <w:ind w:firstLine="420"/>
        <w:rPr>
          <w:color w:val="auto"/>
          <w:highlight w:val="none"/>
        </w:rPr>
      </w:pPr>
      <w:r>
        <w:rPr>
          <w:color w:val="auto"/>
          <w:highlight w:val="none"/>
        </w:rPr>
        <w:t>同一组蓄电池中任意两个电池的开路电压差。</w:t>
      </w:r>
    </w:p>
    <w:p>
      <w:pPr>
        <w:ind w:firstLine="420"/>
        <w:rPr>
          <w:color w:val="auto"/>
          <w:highlight w:val="none"/>
        </w:rPr>
      </w:pPr>
      <w:r>
        <w:rPr>
          <w:color w:val="auto"/>
          <w:highlight w:val="none"/>
        </w:rPr>
        <w:t>蓄电池使用期间安全阀应能自动开启闭合，闭阀压力应在1kPa～10kPa范围内，开阀压力应在10kPa～49kPa范围内。</w:t>
      </w:r>
    </w:p>
    <w:p>
      <w:pPr>
        <w:ind w:firstLine="420"/>
        <w:rPr>
          <w:color w:val="auto"/>
          <w:highlight w:val="none"/>
        </w:rPr>
      </w:pPr>
      <w:r>
        <w:rPr>
          <w:color w:val="auto"/>
          <w:highlight w:val="none"/>
        </w:rPr>
        <w:t>两个蓄电池之间连接条的压降，3I10时不超过8mV。</w:t>
      </w:r>
    </w:p>
    <w:p>
      <w:pPr>
        <w:ind w:firstLine="420"/>
        <w:rPr>
          <w:color w:val="auto"/>
          <w:highlight w:val="none"/>
        </w:rPr>
      </w:pPr>
      <w:r>
        <w:rPr>
          <w:color w:val="auto"/>
          <w:highlight w:val="none"/>
        </w:rPr>
        <w:t>电池组间互连接线应绝缘，终端电池应提供外接铜芯电缆至直流柜的接线板。</w:t>
      </w:r>
    </w:p>
    <w:p>
      <w:pPr>
        <w:ind w:firstLine="420"/>
        <w:rPr>
          <w:color w:val="auto"/>
          <w:highlight w:val="none"/>
        </w:rPr>
      </w:pPr>
      <w:r>
        <w:rPr>
          <w:color w:val="auto"/>
          <w:highlight w:val="none"/>
        </w:rPr>
        <w:t>蓄电池以30I10的电流放电1min，极柱不应熔断，其外观不得出现异常。</w:t>
      </w:r>
    </w:p>
    <w:p>
      <w:pPr>
        <w:ind w:firstLine="420"/>
        <w:rPr>
          <w:color w:val="auto"/>
          <w:highlight w:val="none"/>
        </w:rPr>
      </w:pPr>
      <w:r>
        <w:rPr>
          <w:color w:val="auto"/>
          <w:highlight w:val="none"/>
        </w:rPr>
        <w:t>蓄电池封置90天后，其荷电保持能力不低于85%。</w:t>
      </w:r>
    </w:p>
    <w:p>
      <w:pPr>
        <w:ind w:firstLine="420"/>
        <w:rPr>
          <w:color w:val="auto"/>
          <w:highlight w:val="none"/>
        </w:rPr>
      </w:pPr>
      <w:r>
        <w:rPr>
          <w:color w:val="auto"/>
          <w:highlight w:val="none"/>
        </w:rPr>
        <w:t>蓄电池的密封反应效率不低于95%。</w:t>
      </w:r>
    </w:p>
    <w:p>
      <w:pPr>
        <w:ind w:firstLine="420"/>
        <w:rPr>
          <w:color w:val="auto"/>
          <w:highlight w:val="none"/>
        </w:rPr>
      </w:pPr>
      <w:r>
        <w:rPr>
          <w:color w:val="auto"/>
          <w:highlight w:val="none"/>
        </w:rPr>
        <w:t>蓄电池需具有较强的耐过充能力。以0.3I10电流连续充电16h后，外观应无明显变形及渗液。蓄电池自放电率每月不大于4%。</w:t>
      </w:r>
    </w:p>
    <w:p>
      <w:pPr>
        <w:ind w:firstLine="420"/>
        <w:rPr>
          <w:color w:val="auto"/>
          <w:highlight w:val="none"/>
        </w:rPr>
      </w:pPr>
      <w:r>
        <w:rPr>
          <w:color w:val="auto"/>
          <w:highlight w:val="none"/>
        </w:rPr>
        <w:t>蓄电池在30℃和65℃时封口剂应无裂纹和溢流。</w:t>
      </w:r>
    </w:p>
    <w:p>
      <w:pPr>
        <w:ind w:firstLine="420"/>
        <w:rPr>
          <w:color w:val="auto"/>
          <w:highlight w:val="none"/>
        </w:rPr>
      </w:pPr>
      <w:r>
        <w:rPr>
          <w:color w:val="auto"/>
          <w:highlight w:val="none"/>
        </w:rPr>
        <w:t>制造厂提供的蓄电池内阻值，应与实际测试的蓄电池内阻值一致。</w:t>
      </w:r>
    </w:p>
    <w:p>
      <w:pPr>
        <w:ind w:firstLine="420"/>
        <w:rPr>
          <w:color w:val="auto"/>
          <w:highlight w:val="none"/>
        </w:rPr>
      </w:pPr>
      <w:r>
        <w:rPr>
          <w:color w:val="auto"/>
          <w:highlight w:val="none"/>
        </w:rPr>
        <w:t>蓄电池组应考虑装设蓄电池管理单元的位置。</w:t>
      </w:r>
    </w:p>
    <w:p>
      <w:pPr>
        <w:ind w:firstLine="420"/>
        <w:rPr>
          <w:color w:val="auto"/>
          <w:highlight w:val="none"/>
        </w:rPr>
      </w:pPr>
      <w:r>
        <w:rPr>
          <w:color w:val="auto"/>
          <w:highlight w:val="none"/>
        </w:rPr>
        <w:t>每节蓄电池应有编号。</w:t>
      </w:r>
    </w:p>
    <w:p>
      <w:pPr>
        <w:ind w:firstLine="420"/>
        <w:rPr>
          <w:color w:val="auto"/>
          <w:highlight w:val="none"/>
        </w:rPr>
      </w:pPr>
      <w:bookmarkStart w:id="277" w:name="_Toc252568477"/>
      <w:r>
        <w:rPr>
          <w:rFonts w:hint="eastAsia" w:eastAsia="宋体"/>
          <w:color w:val="auto"/>
          <w:highlight w:val="none"/>
          <w:lang w:eastAsia="zh-CN"/>
        </w:rPr>
        <w:t>（</w:t>
      </w:r>
      <w:r>
        <w:rPr>
          <w:rFonts w:hint="eastAsia" w:ascii="Calibri" w:eastAsia="宋体"/>
          <w:color w:val="auto"/>
          <w:highlight w:val="none"/>
          <w:lang w:val="en-US" w:eastAsia="zh-CN"/>
        </w:rPr>
        <w:t>6</w:t>
      </w:r>
      <w:r>
        <w:rPr>
          <w:rFonts w:hint="eastAsia" w:eastAsia="宋体"/>
          <w:color w:val="auto"/>
          <w:highlight w:val="none"/>
          <w:lang w:eastAsia="zh-CN"/>
        </w:rPr>
        <w:t>）</w:t>
      </w:r>
      <w:r>
        <w:rPr>
          <w:color w:val="auto"/>
          <w:highlight w:val="none"/>
        </w:rPr>
        <w:t>总监控单元</w:t>
      </w:r>
      <w:bookmarkEnd w:id="277"/>
    </w:p>
    <w:p>
      <w:pPr>
        <w:ind w:firstLine="420"/>
        <w:rPr>
          <w:color w:val="auto"/>
          <w:highlight w:val="none"/>
        </w:rPr>
      </w:pPr>
      <w:r>
        <w:rPr>
          <w:color w:val="auto"/>
          <w:highlight w:val="none"/>
        </w:rPr>
        <w:t>总监控单元是高频开关电源及其成套装置的监控、测量、信号和管理系统的核心部分。该单元能综合分析各种数据和信息，对整个系统实施控制和管理。每套充电装置必须配备一套总监控单元。</w:t>
      </w:r>
    </w:p>
    <w:p>
      <w:pPr>
        <w:ind w:firstLine="420"/>
        <w:rPr>
          <w:color w:val="auto"/>
          <w:highlight w:val="none"/>
        </w:rPr>
      </w:pPr>
      <w:r>
        <w:rPr>
          <w:color w:val="auto"/>
          <w:highlight w:val="none"/>
        </w:rPr>
        <w:t>该单元应能适应直流电源系统各种运行方式，具备液晶汉显人机对话界面，应能与成套装置中各子系统通信，并可与站内监控系统通信，通信接口为RS485、RS232或以太网。</w:t>
      </w:r>
    </w:p>
    <w:p>
      <w:pPr>
        <w:ind w:firstLine="420"/>
        <w:rPr>
          <w:color w:val="auto"/>
          <w:highlight w:val="none"/>
        </w:rPr>
      </w:pPr>
      <w:r>
        <w:rPr>
          <w:color w:val="auto"/>
          <w:highlight w:val="none"/>
        </w:rPr>
        <w:t>该单元应能显示充电装置输出电压、充电装置输出电流、母线电压、电池电压、电池电流、两路三相交流输入电压、各模块输出电压电流、各种报警信号、各种历史故障信息、单体电池电压、电池组温度等信息。</w:t>
      </w:r>
    </w:p>
    <w:p>
      <w:pPr>
        <w:ind w:firstLine="420"/>
        <w:rPr>
          <w:color w:val="auto"/>
          <w:highlight w:val="none"/>
        </w:rPr>
      </w:pPr>
      <w:r>
        <w:rPr>
          <w:color w:val="auto"/>
          <w:highlight w:val="none"/>
        </w:rPr>
        <w:t>该单元应能对以下故障进行报警：交流输入过电压、欠电压、缺相，直流母线过电压、欠电压，电池电压欠电压，模块故障，电池单体过电压、欠电压等。该单元应有自身故障硬触点输出。</w:t>
      </w:r>
    </w:p>
    <w:p>
      <w:pPr>
        <w:ind w:firstLine="420"/>
        <w:rPr>
          <w:color w:val="auto"/>
          <w:highlight w:val="none"/>
        </w:rPr>
      </w:pPr>
      <w:r>
        <w:rPr>
          <w:color w:val="auto"/>
          <w:highlight w:val="none"/>
        </w:rPr>
        <w:t>当系统在断电之后重新启动时，应按电池的放电容量或放电时间确定进行均充或浮充，均充结束后自动转入浮充状态，充电过程自动控制。</w:t>
      </w:r>
    </w:p>
    <w:p>
      <w:pPr>
        <w:ind w:firstLine="420"/>
        <w:rPr>
          <w:color w:val="auto"/>
          <w:highlight w:val="none"/>
        </w:rPr>
      </w:pPr>
      <w:r>
        <w:rPr>
          <w:color w:val="auto"/>
          <w:highlight w:val="none"/>
        </w:rPr>
        <w:t>应有根据电池组温度对充电电压进行补偿的功能，补偿系数</w:t>
      </w:r>
      <w:r>
        <w:rPr>
          <w:rFonts w:hint="eastAsia"/>
          <w:color w:val="auto"/>
          <w:highlight w:val="none"/>
        </w:rPr>
        <w:t>（</w:t>
      </w:r>
      <w:r>
        <w:rPr>
          <w:color w:val="auto"/>
          <w:highlight w:val="none"/>
        </w:rPr>
        <w:t></w:t>
      </w:r>
      <w:r>
        <w:rPr>
          <w:rFonts w:hint="eastAsia"/>
          <w:color w:val="auto"/>
          <w:highlight w:val="none"/>
        </w:rPr>
        <w:t>5</w:t>
      </w:r>
      <w:r>
        <w:rPr>
          <w:color w:val="auto"/>
          <w:highlight w:val="none"/>
        </w:rPr>
        <w:t>mV～</w:t>
      </w:r>
      <w:r>
        <w:rPr>
          <w:rFonts w:hint="eastAsia"/>
          <w:color w:val="auto"/>
          <w:highlight w:val="none"/>
        </w:rPr>
        <w:t>3</w:t>
      </w:r>
      <w:r>
        <w:rPr>
          <w:color w:val="auto"/>
          <w:highlight w:val="none"/>
        </w:rPr>
        <w:t>mV</w:t>
      </w:r>
      <w:r>
        <w:rPr>
          <w:rFonts w:hint="eastAsia"/>
          <w:color w:val="auto"/>
          <w:highlight w:val="none"/>
        </w:rPr>
        <w:t>）</w:t>
      </w:r>
      <w:r>
        <w:rPr>
          <w:color w:val="auto"/>
          <w:highlight w:val="none"/>
        </w:rPr>
        <w:t>/℃/只，基准补偿温度为25℃。</w:t>
      </w:r>
    </w:p>
    <w:p>
      <w:pPr>
        <w:ind w:firstLine="420"/>
        <w:rPr>
          <w:color w:val="auto"/>
          <w:highlight w:val="none"/>
        </w:rPr>
      </w:pPr>
      <w:bookmarkStart w:id="278" w:name="_Toc252568478"/>
      <w:r>
        <w:rPr>
          <w:rFonts w:hint="eastAsia" w:eastAsia="宋体"/>
          <w:color w:val="auto"/>
          <w:highlight w:val="none"/>
          <w:lang w:eastAsia="zh-CN"/>
        </w:rPr>
        <w:t>（</w:t>
      </w:r>
      <w:r>
        <w:rPr>
          <w:rFonts w:hint="eastAsia" w:ascii="Calibri" w:eastAsia="宋体"/>
          <w:color w:val="auto"/>
          <w:highlight w:val="none"/>
          <w:lang w:val="en-US" w:eastAsia="zh-CN"/>
        </w:rPr>
        <w:t>7</w:t>
      </w:r>
      <w:r>
        <w:rPr>
          <w:rFonts w:hint="eastAsia" w:eastAsia="宋体"/>
          <w:color w:val="auto"/>
          <w:highlight w:val="none"/>
          <w:lang w:eastAsia="zh-CN"/>
        </w:rPr>
        <w:t>）</w:t>
      </w:r>
      <w:r>
        <w:rPr>
          <w:color w:val="auto"/>
          <w:highlight w:val="none"/>
        </w:rPr>
        <w:t xml:space="preserve"> 蓄电池管理单元</w:t>
      </w:r>
      <w:bookmarkEnd w:id="278"/>
    </w:p>
    <w:p>
      <w:pPr>
        <w:ind w:firstLine="420"/>
        <w:rPr>
          <w:color w:val="auto"/>
          <w:highlight w:val="none"/>
        </w:rPr>
      </w:pPr>
      <w:r>
        <w:rPr>
          <w:color w:val="auto"/>
          <w:highlight w:val="none"/>
        </w:rPr>
        <w:t>蓄电池管理单元应具备的主要功能：监测蓄电池单体电压，对蓄电池充、放电进行动态监测，并应具备对蓄电池组温度进行实时测量功能。本单元可独立设置，也可分别由总监控单元和检测模块来完成。蓄电池采样线要经过带熔丝端子连接到蓄电池管理单元。蓄电池电压采样精度应能精确到3位小数。</w:t>
      </w:r>
    </w:p>
    <w:p>
      <w:pPr>
        <w:ind w:firstLine="420"/>
        <w:rPr>
          <w:color w:val="auto"/>
          <w:highlight w:val="none"/>
        </w:rPr>
      </w:pPr>
      <w:bookmarkStart w:id="279" w:name="_Toc252568479"/>
      <w:r>
        <w:rPr>
          <w:rFonts w:hint="eastAsia" w:eastAsia="宋体"/>
          <w:color w:val="auto"/>
          <w:highlight w:val="none"/>
          <w:lang w:eastAsia="zh-CN"/>
        </w:rPr>
        <w:t>（</w:t>
      </w:r>
      <w:r>
        <w:rPr>
          <w:rFonts w:hint="eastAsia" w:ascii="Calibri" w:eastAsia="宋体"/>
          <w:color w:val="auto"/>
          <w:highlight w:val="none"/>
          <w:lang w:val="en-US" w:eastAsia="zh-CN"/>
        </w:rPr>
        <w:t>8</w:t>
      </w:r>
      <w:r>
        <w:rPr>
          <w:rFonts w:hint="eastAsia" w:eastAsia="宋体"/>
          <w:color w:val="auto"/>
          <w:highlight w:val="none"/>
          <w:lang w:eastAsia="zh-CN"/>
        </w:rPr>
        <w:t>）</w:t>
      </w:r>
      <w:r>
        <w:rPr>
          <w:color w:val="auto"/>
          <w:highlight w:val="none"/>
        </w:rPr>
        <w:t>直流电源系统绝缘检测装置</w:t>
      </w:r>
      <w:bookmarkEnd w:id="279"/>
    </w:p>
    <w:p>
      <w:pPr>
        <w:ind w:firstLine="420"/>
        <w:rPr>
          <w:color w:val="auto"/>
          <w:highlight w:val="none"/>
        </w:rPr>
      </w:pPr>
      <w:r>
        <w:rPr>
          <w:color w:val="auto"/>
          <w:highlight w:val="none"/>
        </w:rPr>
        <w:t>直流电源系统绝缘检测装置应具备的主要功能：在线监测直流电源系统对地绝缘状况（包括直流母线和各个馈线回路绝缘状况），并自动检出故障回路，能监测母线正对地、母线负对地电压，能检测出每个支路的正对地电阻和负对地电阻。</w:t>
      </w:r>
    </w:p>
    <w:p>
      <w:pPr>
        <w:ind w:firstLine="420"/>
        <w:rPr>
          <w:color w:val="auto"/>
          <w:highlight w:val="none"/>
        </w:rPr>
      </w:pPr>
      <w:r>
        <w:rPr>
          <w:color w:val="auto"/>
          <w:highlight w:val="none"/>
        </w:rPr>
        <w:t>绝缘检测装置不宜对直流电源系统注入交流信号。</w:t>
      </w:r>
    </w:p>
    <w:p>
      <w:pPr>
        <w:ind w:firstLine="420"/>
        <w:rPr>
          <w:color w:val="auto"/>
          <w:highlight w:val="none"/>
        </w:rPr>
      </w:pPr>
      <w:r>
        <w:rPr>
          <w:color w:val="auto"/>
          <w:highlight w:val="none"/>
        </w:rPr>
        <w:t>绝缘检测装置应与成套装置中的总监控单元或变电站监控系统通信。</w:t>
      </w:r>
    </w:p>
    <w:p>
      <w:pPr>
        <w:ind w:firstLine="420"/>
        <w:rPr>
          <w:color w:val="auto"/>
          <w:highlight w:val="none"/>
        </w:rPr>
      </w:pPr>
      <w:r>
        <w:rPr>
          <w:color w:val="auto"/>
          <w:highlight w:val="none"/>
        </w:rPr>
        <w:t>被测母线及支路正极、负极对地绝缘电阻报警值可由检测装置设置，报警值宜设置为7k</w:t>
      </w:r>
      <w:r>
        <w:rPr>
          <w:color w:val="auto"/>
          <w:highlight w:val="none"/>
        </w:rPr>
        <w:sym w:font="Symbol" w:char="F057"/>
      </w:r>
      <w:r>
        <w:rPr>
          <w:color w:val="auto"/>
          <w:highlight w:val="none"/>
        </w:rPr>
        <w:t>（110V系统）、25k</w:t>
      </w:r>
      <w:r>
        <w:rPr>
          <w:color w:val="auto"/>
          <w:highlight w:val="none"/>
        </w:rPr>
        <w:sym w:font="Symbol" w:char="F057"/>
      </w:r>
      <w:r>
        <w:rPr>
          <w:color w:val="auto"/>
          <w:highlight w:val="none"/>
        </w:rPr>
        <w:t>（220V系统），母线对地电压检测误差不大于</w:t>
      </w:r>
      <w:r>
        <w:rPr>
          <w:rFonts w:hint="eastAsia"/>
          <w:color w:val="auto"/>
          <w:highlight w:val="none"/>
        </w:rPr>
        <w:t>±</w:t>
      </w:r>
      <w:r>
        <w:rPr>
          <w:color w:val="auto"/>
          <w:highlight w:val="none"/>
        </w:rPr>
        <w:t>2％，支路电阻检测误差不大于</w:t>
      </w:r>
      <w:r>
        <w:rPr>
          <w:rFonts w:hint="eastAsia"/>
          <w:color w:val="auto"/>
          <w:highlight w:val="none"/>
        </w:rPr>
        <w:t>±</w:t>
      </w:r>
      <w:r>
        <w:rPr>
          <w:color w:val="auto"/>
          <w:highlight w:val="none"/>
        </w:rPr>
        <w:t>10%。</w:t>
      </w:r>
    </w:p>
    <w:p>
      <w:pPr>
        <w:ind w:firstLine="420"/>
        <w:rPr>
          <w:color w:val="auto"/>
          <w:highlight w:val="none"/>
        </w:rPr>
      </w:pPr>
      <w:bookmarkStart w:id="280" w:name="_Toc252568480"/>
      <w:r>
        <w:rPr>
          <w:rFonts w:hint="eastAsia" w:eastAsia="宋体"/>
          <w:color w:val="auto"/>
          <w:highlight w:val="none"/>
          <w:lang w:eastAsia="zh-CN"/>
        </w:rPr>
        <w:t>（</w:t>
      </w:r>
      <w:r>
        <w:rPr>
          <w:rFonts w:hint="eastAsia" w:ascii="Calibri" w:eastAsia="宋体"/>
          <w:color w:val="auto"/>
          <w:highlight w:val="none"/>
          <w:lang w:val="en-US" w:eastAsia="zh-CN"/>
        </w:rPr>
        <w:t>9</w:t>
      </w:r>
      <w:r>
        <w:rPr>
          <w:rFonts w:hint="eastAsia" w:eastAsia="宋体"/>
          <w:color w:val="auto"/>
          <w:highlight w:val="none"/>
          <w:lang w:eastAsia="zh-CN"/>
        </w:rPr>
        <w:t>）</w:t>
      </w:r>
      <w:r>
        <w:rPr>
          <w:color w:val="auto"/>
          <w:highlight w:val="none"/>
        </w:rPr>
        <w:t xml:space="preserve"> 仪表</w:t>
      </w:r>
      <w:bookmarkEnd w:id="280"/>
    </w:p>
    <w:p>
      <w:pPr>
        <w:ind w:firstLine="420"/>
        <w:rPr>
          <w:color w:val="auto"/>
          <w:highlight w:val="none"/>
        </w:rPr>
      </w:pPr>
      <w:r>
        <w:rPr>
          <w:color w:val="auto"/>
          <w:highlight w:val="none"/>
        </w:rPr>
        <w:t>直流电源系统应配置数字式母线电压、蓄电池电压、充电装置电流、蓄电池电流等表计，电压表精度0.2级，电流表精度0.5级。分电柜应配置直流电压表。</w:t>
      </w:r>
    </w:p>
    <w:p>
      <w:pPr>
        <w:pStyle w:val="5"/>
        <w:rPr>
          <w:color w:val="auto"/>
          <w:highlight w:val="none"/>
          <w:lang w:eastAsia="zh-CN"/>
        </w:rPr>
      </w:pPr>
      <w:bookmarkStart w:id="281" w:name="_Toc29788"/>
      <w:bookmarkStart w:id="282" w:name="_Toc256337242"/>
      <w:bookmarkStart w:id="283" w:name="_Toc252568489"/>
      <w:bookmarkStart w:id="284" w:name="_Toc527738409"/>
      <w:r>
        <w:rPr>
          <w:rFonts w:hint="eastAsia"/>
          <w:color w:val="auto"/>
          <w:lang w:val="en-US" w:eastAsia="zh-CN"/>
        </w:rPr>
        <w:t xml:space="preserve">10.8.2 </w:t>
      </w:r>
      <w:r>
        <w:rPr>
          <w:color w:val="auto"/>
          <w:lang w:eastAsia="zh-CN"/>
        </w:rPr>
        <w:t>UPS系统</w:t>
      </w:r>
      <w:bookmarkEnd w:id="281"/>
      <w:bookmarkEnd w:id="282"/>
      <w:bookmarkEnd w:id="283"/>
      <w:bookmarkEnd w:id="284"/>
    </w:p>
    <w:p>
      <w:pPr>
        <w:ind w:firstLine="420"/>
        <w:rPr>
          <w:color w:val="auto"/>
          <w:highlight w:val="none"/>
        </w:rPr>
      </w:pPr>
      <w:bookmarkStart w:id="285" w:name="_Toc252568490"/>
      <w:r>
        <w:rPr>
          <w:rFonts w:hint="eastAsia" w:ascii="Calibri" w:eastAsia="宋体"/>
          <w:color w:val="auto"/>
          <w:highlight w:val="none"/>
          <w:lang w:val="en-US" w:eastAsia="zh-CN"/>
        </w:rPr>
        <w:t>1、</w:t>
      </w:r>
      <w:r>
        <w:rPr>
          <w:color w:val="auto"/>
          <w:highlight w:val="none"/>
        </w:rPr>
        <w:t>引用标准</w:t>
      </w:r>
      <w:bookmarkEnd w:id="285"/>
    </w:p>
    <w:p>
      <w:pPr>
        <w:ind w:firstLine="420"/>
        <w:rPr>
          <w:rFonts w:hint="eastAsia"/>
          <w:color w:val="auto"/>
          <w:highlight w:val="none"/>
        </w:rPr>
      </w:pPr>
      <w:r>
        <w:rPr>
          <w:color w:val="auto"/>
          <w:highlight w:val="none"/>
        </w:rPr>
        <w:t>表</w:t>
      </w:r>
      <w:r>
        <w:rPr>
          <w:rFonts w:hint="eastAsia"/>
          <w:color w:val="auto"/>
          <w:highlight w:val="none"/>
        </w:rPr>
        <w:t>7</w:t>
      </w:r>
      <w:r>
        <w:rPr>
          <w:color w:val="auto"/>
          <w:highlight w:val="none"/>
        </w:rPr>
        <w:t>所列标准所包含的条文，通过在本规范的引用而构成本规范的基本条文。在本规范出版时，所示版本均为有效。所有标准都会被修订，使用本规范的各方应探讨使用下列标准最新版本的可能性。</w:t>
      </w:r>
    </w:p>
    <w:p>
      <w:pPr>
        <w:ind w:firstLine="0" w:firstLineChars="0"/>
        <w:jc w:val="center"/>
        <w:rPr>
          <w:color w:val="auto"/>
          <w:highlight w:val="none"/>
        </w:rPr>
      </w:pPr>
      <w:r>
        <w:rPr>
          <w:color w:val="auto"/>
          <w:highlight w:val="none"/>
        </w:rPr>
        <w:t>表</w:t>
      </w:r>
      <w:r>
        <w:rPr>
          <w:rFonts w:hint="eastAsia"/>
          <w:color w:val="auto"/>
          <w:highlight w:val="none"/>
        </w:rPr>
        <w:t>7</w:t>
      </w:r>
      <w:r>
        <w:rPr>
          <w:color w:val="auto"/>
          <w:highlight w:val="none"/>
        </w:rPr>
        <w:t xml:space="preserve">  </w:t>
      </w:r>
      <w:r>
        <w:rPr>
          <w:color w:val="auto"/>
          <w:spacing w:val="40"/>
          <w:highlight w:val="none"/>
        </w:rPr>
        <w:t>技术规范引用标</w:t>
      </w:r>
      <w:r>
        <w:rPr>
          <w:color w:val="auto"/>
          <w:highlight w:val="none"/>
        </w:rPr>
        <w:t>准</w:t>
      </w:r>
    </w:p>
    <w:tbl>
      <w:tblPr>
        <w:tblStyle w:val="22"/>
        <w:tblW w:w="0" w:type="auto"/>
        <w:tblInd w:w="-1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2578"/>
        <w:gridCol w:w="6344"/>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578" w:type="dxa"/>
            <w:noWrap w:val="0"/>
            <w:tcMar>
              <w:left w:w="0" w:type="dxa"/>
              <w:right w:w="0" w:type="dxa"/>
            </w:tcMar>
            <w:vAlign w:val="center"/>
          </w:tcPr>
          <w:p>
            <w:pPr>
              <w:spacing w:line="240" w:lineRule="auto"/>
              <w:ind w:firstLine="0" w:firstLineChars="0"/>
              <w:jc w:val="center"/>
              <w:rPr>
                <w:color w:val="auto"/>
                <w:highlight w:val="none"/>
              </w:rPr>
            </w:pPr>
            <w:r>
              <w:rPr>
                <w:color w:val="auto"/>
                <w:highlight w:val="none"/>
              </w:rPr>
              <w:t>标</w:t>
            </w:r>
            <w:r>
              <w:rPr>
                <w:rFonts w:hint="eastAsia"/>
                <w:color w:val="auto"/>
                <w:highlight w:val="none"/>
              </w:rPr>
              <w:t xml:space="preserve">   </w:t>
            </w:r>
            <w:r>
              <w:rPr>
                <w:color w:val="auto"/>
                <w:highlight w:val="none"/>
              </w:rPr>
              <w:t>准</w:t>
            </w:r>
            <w:r>
              <w:rPr>
                <w:rFonts w:hint="eastAsia"/>
                <w:color w:val="auto"/>
                <w:highlight w:val="none"/>
              </w:rPr>
              <w:t xml:space="preserve">   </w:t>
            </w:r>
            <w:r>
              <w:rPr>
                <w:color w:val="auto"/>
                <w:highlight w:val="none"/>
              </w:rPr>
              <w:t>号</w:t>
            </w:r>
          </w:p>
        </w:tc>
        <w:tc>
          <w:tcPr>
            <w:tcW w:w="6344" w:type="dxa"/>
            <w:noWrap w:val="0"/>
            <w:tcMar>
              <w:left w:w="0" w:type="dxa"/>
              <w:right w:w="0" w:type="dxa"/>
            </w:tcMar>
            <w:vAlign w:val="center"/>
          </w:tcPr>
          <w:p>
            <w:pPr>
              <w:spacing w:line="240" w:lineRule="auto"/>
              <w:ind w:firstLine="0" w:firstLineChars="0"/>
              <w:rPr>
                <w:color w:val="auto"/>
                <w:highlight w:val="none"/>
              </w:rPr>
            </w:pPr>
            <w:r>
              <w:rPr>
                <w:color w:val="auto"/>
                <w:highlight w:val="none"/>
              </w:rPr>
              <w:t>标</w:t>
            </w:r>
            <w:r>
              <w:rPr>
                <w:rFonts w:hint="eastAsia"/>
                <w:color w:val="auto"/>
                <w:highlight w:val="none"/>
              </w:rPr>
              <w:t xml:space="preserve">  </w:t>
            </w:r>
            <w:r>
              <w:rPr>
                <w:color w:val="auto"/>
                <w:highlight w:val="none"/>
              </w:rPr>
              <w:t>准</w:t>
            </w:r>
            <w:r>
              <w:rPr>
                <w:rFonts w:hint="eastAsia"/>
                <w:color w:val="auto"/>
                <w:highlight w:val="none"/>
              </w:rPr>
              <w:t xml:space="preserve">  </w:t>
            </w:r>
            <w:r>
              <w:rPr>
                <w:color w:val="auto"/>
                <w:highlight w:val="none"/>
              </w:rPr>
              <w:t>名</w:t>
            </w:r>
            <w:r>
              <w:rPr>
                <w:rFonts w:hint="eastAsia"/>
                <w:color w:val="auto"/>
                <w:highlight w:val="none"/>
              </w:rPr>
              <w:t xml:space="preserve">  </w:t>
            </w:r>
            <w:r>
              <w:rPr>
                <w:color w:val="auto"/>
                <w:highlight w:val="none"/>
              </w:rPr>
              <w:t>称</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578" w:type="dxa"/>
            <w:noWrap w:val="0"/>
            <w:tcMar>
              <w:left w:w="0" w:type="dxa"/>
              <w:right w:w="0" w:type="dxa"/>
            </w:tcMar>
            <w:vAlign w:val="center"/>
          </w:tcPr>
          <w:p>
            <w:pPr>
              <w:spacing w:line="240" w:lineRule="auto"/>
              <w:ind w:firstLine="0" w:firstLineChars="0"/>
              <w:jc w:val="center"/>
              <w:rPr>
                <w:color w:val="auto"/>
                <w:highlight w:val="none"/>
              </w:rPr>
            </w:pPr>
            <w:r>
              <w:rPr>
                <w:color w:val="auto"/>
                <w:highlight w:val="none"/>
              </w:rPr>
              <w:t>GB 50065</w:t>
            </w:r>
          </w:p>
        </w:tc>
        <w:tc>
          <w:tcPr>
            <w:tcW w:w="6344" w:type="dxa"/>
            <w:noWrap w:val="0"/>
            <w:tcMar>
              <w:left w:w="0" w:type="dxa"/>
              <w:right w:w="0" w:type="dxa"/>
            </w:tcMar>
            <w:vAlign w:val="center"/>
          </w:tcPr>
          <w:p>
            <w:pPr>
              <w:spacing w:line="240" w:lineRule="auto"/>
              <w:ind w:firstLine="0" w:firstLineChars="0"/>
              <w:rPr>
                <w:color w:val="auto"/>
                <w:highlight w:val="none"/>
              </w:rPr>
            </w:pPr>
            <w:r>
              <w:rPr>
                <w:color w:val="auto"/>
                <w:highlight w:val="none"/>
              </w:rPr>
              <w:t>交流电气装置的接地设计规范</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578" w:type="dxa"/>
            <w:noWrap w:val="0"/>
            <w:tcMar>
              <w:left w:w="0" w:type="dxa"/>
              <w:right w:w="0" w:type="dxa"/>
            </w:tcMar>
            <w:vAlign w:val="center"/>
          </w:tcPr>
          <w:p>
            <w:pPr>
              <w:spacing w:line="240" w:lineRule="auto"/>
              <w:ind w:firstLine="0" w:firstLineChars="0"/>
              <w:jc w:val="center"/>
              <w:rPr>
                <w:color w:val="auto"/>
                <w:highlight w:val="none"/>
              </w:rPr>
            </w:pPr>
            <w:r>
              <w:rPr>
                <w:color w:val="auto"/>
                <w:highlight w:val="none"/>
              </w:rPr>
              <w:t>GB 50171</w:t>
            </w:r>
          </w:p>
        </w:tc>
        <w:tc>
          <w:tcPr>
            <w:tcW w:w="6344" w:type="dxa"/>
            <w:noWrap w:val="0"/>
            <w:tcMar>
              <w:left w:w="0" w:type="dxa"/>
              <w:right w:w="0" w:type="dxa"/>
            </w:tcMar>
            <w:vAlign w:val="center"/>
          </w:tcPr>
          <w:p>
            <w:pPr>
              <w:spacing w:line="240" w:lineRule="auto"/>
              <w:ind w:firstLine="0" w:firstLineChars="0"/>
              <w:rPr>
                <w:color w:val="auto"/>
                <w:highlight w:val="none"/>
              </w:rPr>
            </w:pPr>
            <w:r>
              <w:rPr>
                <w:color w:val="auto"/>
                <w:highlight w:val="none"/>
              </w:rPr>
              <w:t>电气装置安装工程盘、柜及二次回路</w:t>
            </w:r>
            <w:r>
              <w:rPr>
                <w:rFonts w:hint="eastAsia"/>
                <w:color w:val="auto"/>
                <w:highlight w:val="none"/>
              </w:rPr>
              <w:t>接</w:t>
            </w:r>
            <w:r>
              <w:rPr>
                <w:color w:val="auto"/>
                <w:highlight w:val="none"/>
              </w:rPr>
              <w:t>线施工及验收规范</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578" w:type="dxa"/>
            <w:noWrap w:val="0"/>
            <w:tcMar>
              <w:left w:w="0" w:type="dxa"/>
              <w:right w:w="0" w:type="dxa"/>
            </w:tcMar>
            <w:vAlign w:val="center"/>
          </w:tcPr>
          <w:p>
            <w:pPr>
              <w:spacing w:line="240" w:lineRule="auto"/>
              <w:ind w:firstLine="0" w:firstLineChars="0"/>
              <w:jc w:val="center"/>
              <w:rPr>
                <w:color w:val="auto"/>
                <w:highlight w:val="none"/>
              </w:rPr>
            </w:pPr>
            <w:r>
              <w:rPr>
                <w:color w:val="auto"/>
                <w:highlight w:val="none"/>
              </w:rPr>
              <w:t>GB/T 191</w:t>
            </w:r>
          </w:p>
        </w:tc>
        <w:tc>
          <w:tcPr>
            <w:tcW w:w="6344" w:type="dxa"/>
            <w:noWrap w:val="0"/>
            <w:tcMar>
              <w:left w:w="0" w:type="dxa"/>
              <w:right w:w="0" w:type="dxa"/>
            </w:tcMar>
            <w:vAlign w:val="center"/>
          </w:tcPr>
          <w:p>
            <w:pPr>
              <w:spacing w:line="240" w:lineRule="auto"/>
              <w:ind w:firstLine="0" w:firstLineChars="0"/>
              <w:rPr>
                <w:color w:val="auto"/>
                <w:highlight w:val="none"/>
              </w:rPr>
            </w:pPr>
            <w:r>
              <w:rPr>
                <w:color w:val="auto"/>
                <w:highlight w:val="none"/>
              </w:rPr>
              <w:t>包装储运图示标志</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578" w:type="dxa"/>
            <w:noWrap w:val="0"/>
            <w:tcMar>
              <w:left w:w="0" w:type="dxa"/>
              <w:right w:w="0" w:type="dxa"/>
            </w:tcMar>
            <w:vAlign w:val="center"/>
          </w:tcPr>
          <w:p>
            <w:pPr>
              <w:spacing w:line="240" w:lineRule="auto"/>
              <w:ind w:firstLine="0" w:firstLineChars="0"/>
              <w:jc w:val="center"/>
              <w:rPr>
                <w:color w:val="auto"/>
                <w:highlight w:val="none"/>
              </w:rPr>
            </w:pPr>
            <w:r>
              <w:rPr>
                <w:color w:val="auto"/>
                <w:highlight w:val="none"/>
              </w:rPr>
              <w:t>GB/T 2423</w:t>
            </w:r>
          </w:p>
        </w:tc>
        <w:tc>
          <w:tcPr>
            <w:tcW w:w="6344" w:type="dxa"/>
            <w:noWrap w:val="0"/>
            <w:tcMar>
              <w:left w:w="0" w:type="dxa"/>
              <w:right w:w="0" w:type="dxa"/>
            </w:tcMar>
            <w:vAlign w:val="center"/>
          </w:tcPr>
          <w:p>
            <w:pPr>
              <w:spacing w:line="240" w:lineRule="auto"/>
              <w:ind w:firstLine="0" w:firstLineChars="0"/>
              <w:rPr>
                <w:color w:val="auto"/>
                <w:highlight w:val="none"/>
              </w:rPr>
            </w:pPr>
            <w:r>
              <w:rPr>
                <w:color w:val="auto"/>
                <w:highlight w:val="none"/>
              </w:rPr>
              <w:t>电工电子产品环境试验</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578" w:type="dxa"/>
            <w:noWrap w:val="0"/>
            <w:tcMar>
              <w:left w:w="0" w:type="dxa"/>
              <w:right w:w="0" w:type="dxa"/>
            </w:tcMar>
            <w:vAlign w:val="center"/>
          </w:tcPr>
          <w:p>
            <w:pPr>
              <w:spacing w:line="240" w:lineRule="auto"/>
              <w:ind w:firstLine="0" w:firstLineChars="0"/>
              <w:jc w:val="center"/>
              <w:rPr>
                <w:color w:val="auto"/>
                <w:highlight w:val="none"/>
              </w:rPr>
            </w:pPr>
            <w:r>
              <w:rPr>
                <w:color w:val="auto"/>
                <w:highlight w:val="none"/>
              </w:rPr>
              <w:t>GB/T 7260</w:t>
            </w:r>
          </w:p>
        </w:tc>
        <w:tc>
          <w:tcPr>
            <w:tcW w:w="6344" w:type="dxa"/>
            <w:noWrap w:val="0"/>
            <w:tcMar>
              <w:left w:w="0" w:type="dxa"/>
              <w:right w:w="0" w:type="dxa"/>
            </w:tcMar>
            <w:vAlign w:val="center"/>
          </w:tcPr>
          <w:p>
            <w:pPr>
              <w:spacing w:line="240" w:lineRule="auto"/>
              <w:ind w:firstLine="0" w:firstLineChars="0"/>
              <w:rPr>
                <w:color w:val="auto"/>
                <w:highlight w:val="none"/>
              </w:rPr>
            </w:pPr>
            <w:r>
              <w:rPr>
                <w:color w:val="auto"/>
                <w:highlight w:val="none"/>
              </w:rPr>
              <w:t>不间断电源设备</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578" w:type="dxa"/>
            <w:noWrap w:val="0"/>
            <w:tcMar>
              <w:left w:w="0" w:type="dxa"/>
              <w:right w:w="0" w:type="dxa"/>
            </w:tcMar>
            <w:vAlign w:val="center"/>
          </w:tcPr>
          <w:p>
            <w:pPr>
              <w:spacing w:line="240" w:lineRule="auto"/>
              <w:ind w:firstLine="0" w:firstLineChars="0"/>
              <w:jc w:val="center"/>
              <w:rPr>
                <w:color w:val="auto"/>
                <w:highlight w:val="none"/>
              </w:rPr>
            </w:pPr>
            <w:r>
              <w:rPr>
                <w:color w:val="auto"/>
                <w:highlight w:val="none"/>
              </w:rPr>
              <w:t>GB/T 3859.1</w:t>
            </w:r>
          </w:p>
        </w:tc>
        <w:tc>
          <w:tcPr>
            <w:tcW w:w="6344" w:type="dxa"/>
            <w:noWrap w:val="0"/>
            <w:tcMar>
              <w:left w:w="0" w:type="dxa"/>
              <w:right w:w="0" w:type="dxa"/>
            </w:tcMar>
            <w:vAlign w:val="center"/>
          </w:tcPr>
          <w:p>
            <w:pPr>
              <w:spacing w:line="240" w:lineRule="auto"/>
              <w:ind w:firstLine="0" w:firstLineChars="0"/>
              <w:rPr>
                <w:color w:val="auto"/>
                <w:highlight w:val="none"/>
              </w:rPr>
            </w:pPr>
            <w:r>
              <w:rPr>
                <w:color w:val="auto"/>
                <w:highlight w:val="none"/>
              </w:rPr>
              <w:t>半导体整流器基本要求的规定</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578" w:type="dxa"/>
            <w:noWrap w:val="0"/>
            <w:tcMar>
              <w:left w:w="0" w:type="dxa"/>
              <w:right w:w="0" w:type="dxa"/>
            </w:tcMar>
            <w:vAlign w:val="center"/>
          </w:tcPr>
          <w:p>
            <w:pPr>
              <w:spacing w:line="240" w:lineRule="auto"/>
              <w:ind w:firstLine="0" w:firstLineChars="0"/>
              <w:jc w:val="center"/>
              <w:rPr>
                <w:color w:val="auto"/>
                <w:highlight w:val="none"/>
              </w:rPr>
            </w:pPr>
            <w:r>
              <w:rPr>
                <w:color w:val="auto"/>
                <w:highlight w:val="none"/>
              </w:rPr>
              <w:t>GB/T 14715</w:t>
            </w:r>
          </w:p>
        </w:tc>
        <w:tc>
          <w:tcPr>
            <w:tcW w:w="6344" w:type="dxa"/>
            <w:noWrap w:val="0"/>
            <w:tcMar>
              <w:left w:w="0" w:type="dxa"/>
              <w:right w:w="0" w:type="dxa"/>
            </w:tcMar>
            <w:vAlign w:val="center"/>
          </w:tcPr>
          <w:p>
            <w:pPr>
              <w:spacing w:line="240" w:lineRule="auto"/>
              <w:ind w:firstLine="0" w:firstLineChars="0"/>
              <w:rPr>
                <w:color w:val="auto"/>
                <w:highlight w:val="none"/>
              </w:rPr>
            </w:pPr>
            <w:r>
              <w:rPr>
                <w:color w:val="auto"/>
                <w:highlight w:val="none"/>
              </w:rPr>
              <w:t>信息技术设备用不间断电源通用技术条件</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578" w:type="dxa"/>
            <w:noWrap w:val="0"/>
            <w:tcMar>
              <w:left w:w="0" w:type="dxa"/>
              <w:right w:w="0" w:type="dxa"/>
            </w:tcMar>
            <w:vAlign w:val="center"/>
          </w:tcPr>
          <w:p>
            <w:pPr>
              <w:spacing w:line="240" w:lineRule="auto"/>
              <w:ind w:firstLine="0" w:firstLineChars="0"/>
              <w:jc w:val="center"/>
              <w:rPr>
                <w:color w:val="auto"/>
                <w:highlight w:val="none"/>
              </w:rPr>
            </w:pPr>
            <w:r>
              <w:rPr>
                <w:color w:val="auto"/>
                <w:highlight w:val="none"/>
              </w:rPr>
              <w:t>DL/T 5103</w:t>
            </w:r>
          </w:p>
        </w:tc>
        <w:tc>
          <w:tcPr>
            <w:tcW w:w="6344" w:type="dxa"/>
            <w:noWrap w:val="0"/>
            <w:tcMar>
              <w:left w:w="0" w:type="dxa"/>
              <w:right w:w="0" w:type="dxa"/>
            </w:tcMar>
            <w:vAlign w:val="center"/>
          </w:tcPr>
          <w:p>
            <w:pPr>
              <w:spacing w:line="240" w:lineRule="auto"/>
              <w:ind w:firstLine="0" w:firstLineChars="0"/>
              <w:rPr>
                <w:color w:val="auto"/>
                <w:highlight w:val="none"/>
              </w:rPr>
            </w:pPr>
            <w:r>
              <w:rPr>
                <w:color w:val="auto"/>
                <w:highlight w:val="none"/>
              </w:rPr>
              <w:t>35kV～110kV无人值班变电站设计规程</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578" w:type="dxa"/>
            <w:noWrap w:val="0"/>
            <w:tcMar>
              <w:left w:w="0" w:type="dxa"/>
              <w:right w:w="0" w:type="dxa"/>
            </w:tcMar>
            <w:vAlign w:val="center"/>
          </w:tcPr>
          <w:p>
            <w:pPr>
              <w:spacing w:line="240" w:lineRule="auto"/>
              <w:ind w:firstLine="0" w:firstLineChars="0"/>
              <w:jc w:val="center"/>
              <w:rPr>
                <w:color w:val="auto"/>
                <w:highlight w:val="none"/>
              </w:rPr>
            </w:pPr>
            <w:r>
              <w:rPr>
                <w:color w:val="auto"/>
                <w:highlight w:val="none"/>
              </w:rPr>
              <w:t>DL/T 1074</w:t>
            </w:r>
          </w:p>
        </w:tc>
        <w:tc>
          <w:tcPr>
            <w:tcW w:w="6344" w:type="dxa"/>
            <w:noWrap w:val="0"/>
            <w:tcMar>
              <w:left w:w="0" w:type="dxa"/>
              <w:right w:w="0" w:type="dxa"/>
            </w:tcMar>
            <w:vAlign w:val="center"/>
          </w:tcPr>
          <w:p>
            <w:pPr>
              <w:spacing w:line="240" w:lineRule="auto"/>
              <w:ind w:firstLine="0" w:firstLineChars="0"/>
              <w:rPr>
                <w:color w:val="auto"/>
                <w:highlight w:val="none"/>
              </w:rPr>
            </w:pPr>
            <w:r>
              <w:rPr>
                <w:color w:val="auto"/>
                <w:highlight w:val="none"/>
              </w:rPr>
              <w:t>电力用直流和交流一体化不间断电源设备</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578" w:type="dxa"/>
            <w:noWrap w:val="0"/>
            <w:tcMar>
              <w:left w:w="0" w:type="dxa"/>
              <w:right w:w="0" w:type="dxa"/>
            </w:tcMar>
            <w:vAlign w:val="center"/>
          </w:tcPr>
          <w:p>
            <w:pPr>
              <w:spacing w:line="240" w:lineRule="auto"/>
              <w:ind w:firstLine="0" w:firstLineChars="0"/>
              <w:jc w:val="center"/>
              <w:rPr>
                <w:color w:val="auto"/>
                <w:highlight w:val="none"/>
              </w:rPr>
            </w:pPr>
            <w:r>
              <w:rPr>
                <w:color w:val="auto"/>
                <w:highlight w:val="none"/>
              </w:rPr>
              <w:t>国调[2005]222 号</w:t>
            </w:r>
          </w:p>
        </w:tc>
        <w:tc>
          <w:tcPr>
            <w:tcW w:w="6344" w:type="dxa"/>
            <w:noWrap w:val="0"/>
            <w:tcMar>
              <w:left w:w="0" w:type="dxa"/>
              <w:right w:w="0" w:type="dxa"/>
            </w:tcMar>
            <w:vAlign w:val="center"/>
          </w:tcPr>
          <w:p>
            <w:pPr>
              <w:spacing w:line="240" w:lineRule="auto"/>
              <w:ind w:firstLine="0" w:firstLineChars="0"/>
              <w:rPr>
                <w:color w:val="auto"/>
                <w:highlight w:val="none"/>
              </w:rPr>
            </w:pPr>
            <w:r>
              <w:rPr>
                <w:color w:val="auto"/>
                <w:highlight w:val="none"/>
              </w:rPr>
              <w:t>国家电网公司十八项电网重大反事故措施（试行）</w:t>
            </w:r>
          </w:p>
        </w:tc>
      </w:tr>
    </w:tbl>
    <w:p>
      <w:pPr>
        <w:ind w:firstLine="420"/>
        <w:rPr>
          <w:rFonts w:hint="eastAsia"/>
          <w:color w:val="auto"/>
          <w:highlight w:val="none"/>
        </w:rPr>
      </w:pPr>
      <w:bookmarkStart w:id="286" w:name="_Toc247776336"/>
      <w:bookmarkStart w:id="287" w:name="_Toc252568491"/>
      <w:r>
        <w:rPr>
          <w:rFonts w:hint="eastAsia" w:ascii="Calibri" w:eastAsia="宋体"/>
          <w:color w:val="auto"/>
          <w:highlight w:val="none"/>
          <w:lang w:val="en-US" w:eastAsia="zh-CN"/>
        </w:rPr>
        <w:t>2、</w:t>
      </w:r>
      <w:r>
        <w:rPr>
          <w:rFonts w:hint="eastAsia"/>
          <w:color w:val="auto"/>
          <w:highlight w:val="none"/>
        </w:rPr>
        <w:t>通用要求</w:t>
      </w:r>
      <w:bookmarkEnd w:id="286"/>
      <w:bookmarkEnd w:id="287"/>
    </w:p>
    <w:p>
      <w:pPr>
        <w:ind w:firstLine="420"/>
        <w:rPr>
          <w:rFonts w:hint="eastAsia"/>
          <w:color w:val="auto"/>
          <w:highlight w:val="none"/>
        </w:rPr>
      </w:pPr>
      <w:r>
        <w:rPr>
          <w:rFonts w:hint="eastAsia" w:ascii="Calibri" w:eastAsia="宋体"/>
          <w:color w:val="auto"/>
          <w:highlight w:val="none"/>
          <w:lang w:val="en-US" w:eastAsia="zh-CN"/>
        </w:rPr>
        <w:t>1）</w:t>
      </w:r>
      <w:r>
        <w:rPr>
          <w:rFonts w:hint="eastAsia"/>
          <w:color w:val="auto"/>
          <w:highlight w:val="none"/>
        </w:rPr>
        <w:t>UPS装置输入额定电压：</w:t>
      </w:r>
    </w:p>
    <w:p>
      <w:pPr>
        <w:ind w:firstLine="420"/>
        <w:rPr>
          <w:rFonts w:hint="eastAsia"/>
          <w:color w:val="auto"/>
          <w:highlight w:val="none"/>
        </w:rPr>
      </w:pPr>
      <w:r>
        <w:rPr>
          <w:rFonts w:hint="eastAsia"/>
          <w:color w:val="auto"/>
          <w:highlight w:val="none"/>
        </w:rPr>
        <w:t>交流电压：单相220V/50Hz或三相380V/50Hz。</w:t>
      </w:r>
    </w:p>
    <w:p>
      <w:pPr>
        <w:ind w:firstLine="420"/>
        <w:rPr>
          <w:rFonts w:hint="eastAsia"/>
          <w:color w:val="auto"/>
          <w:highlight w:val="none"/>
        </w:rPr>
      </w:pPr>
      <w:r>
        <w:rPr>
          <w:rFonts w:hint="eastAsia"/>
          <w:color w:val="auto"/>
          <w:highlight w:val="none"/>
        </w:rPr>
        <w:t>直流电压：220V（220V直流系统）。</w:t>
      </w:r>
    </w:p>
    <w:p>
      <w:pPr>
        <w:ind w:firstLine="420"/>
        <w:rPr>
          <w:rFonts w:hint="eastAsia"/>
          <w:color w:val="auto"/>
          <w:highlight w:val="none"/>
        </w:rPr>
      </w:pPr>
      <w:r>
        <w:rPr>
          <w:rFonts w:hint="eastAsia" w:ascii="Calibri" w:eastAsia="宋体"/>
          <w:color w:val="auto"/>
          <w:highlight w:val="none"/>
          <w:lang w:val="en-US" w:eastAsia="zh-CN"/>
        </w:rPr>
        <w:t>2）</w:t>
      </w:r>
      <w:r>
        <w:rPr>
          <w:rFonts w:hint="eastAsia"/>
          <w:color w:val="auto"/>
          <w:highlight w:val="none"/>
        </w:rPr>
        <w:t>UPS装置额定输出电压及频率：单相220V/50Hz。</w:t>
      </w:r>
    </w:p>
    <w:p>
      <w:pPr>
        <w:ind w:firstLine="420"/>
        <w:rPr>
          <w:rFonts w:hint="eastAsia"/>
          <w:color w:val="auto"/>
          <w:highlight w:val="none"/>
        </w:rPr>
      </w:pPr>
      <w:r>
        <w:rPr>
          <w:rFonts w:hint="eastAsia" w:ascii="Calibri" w:eastAsia="宋体"/>
          <w:color w:val="auto"/>
          <w:highlight w:val="none"/>
          <w:lang w:val="en-US" w:eastAsia="zh-CN"/>
        </w:rPr>
        <w:t>3）</w:t>
      </w:r>
      <w:r>
        <w:rPr>
          <w:rFonts w:hint="eastAsia"/>
          <w:color w:val="auto"/>
          <w:highlight w:val="none"/>
        </w:rPr>
        <w:t>UPS装置供电范围：计算机监控系统站控层设备、图像监视等。</w:t>
      </w:r>
    </w:p>
    <w:p>
      <w:pPr>
        <w:ind w:firstLine="420"/>
        <w:rPr>
          <w:rFonts w:hint="eastAsia"/>
          <w:color w:val="auto"/>
          <w:highlight w:val="none"/>
        </w:rPr>
      </w:pPr>
      <w:r>
        <w:rPr>
          <w:rFonts w:hint="eastAsia" w:ascii="Calibri" w:eastAsia="宋体"/>
          <w:color w:val="auto"/>
          <w:highlight w:val="none"/>
          <w:lang w:val="en-US" w:eastAsia="zh-CN"/>
        </w:rPr>
        <w:t>4）</w:t>
      </w:r>
      <w:r>
        <w:rPr>
          <w:rFonts w:hint="eastAsia"/>
          <w:color w:val="auto"/>
          <w:highlight w:val="none"/>
        </w:rPr>
        <w:t>UPS装置采用</w:t>
      </w:r>
      <w:r>
        <w:rPr>
          <w:rFonts w:hint="eastAsia" w:ascii="Calibri" w:eastAsia="宋体"/>
          <w:color w:val="auto"/>
          <w:highlight w:val="none"/>
          <w:lang w:val="en-US" w:eastAsia="zh-CN"/>
        </w:rPr>
        <w:t>一</w:t>
      </w:r>
      <w:r>
        <w:rPr>
          <w:rFonts w:hint="eastAsia"/>
          <w:color w:val="auto"/>
          <w:highlight w:val="none"/>
        </w:rPr>
        <w:t>路站用交流输入、一路直流输入</w:t>
      </w:r>
      <w:r>
        <w:rPr>
          <w:rFonts w:hint="eastAsia" w:eastAsia="宋体"/>
          <w:color w:val="auto"/>
          <w:highlight w:val="none"/>
          <w:lang w:eastAsia="zh-CN"/>
        </w:rPr>
        <w:t>，</w:t>
      </w:r>
      <w:r>
        <w:rPr>
          <w:rFonts w:hint="eastAsia"/>
          <w:color w:val="auto"/>
          <w:highlight w:val="none"/>
        </w:rPr>
        <w:t>不自带蓄电池，直流输入采用站内直流电源系统。</w:t>
      </w:r>
    </w:p>
    <w:p>
      <w:pPr>
        <w:ind w:firstLine="420"/>
        <w:rPr>
          <w:rFonts w:hint="eastAsia"/>
          <w:color w:val="auto"/>
          <w:highlight w:val="none"/>
        </w:rPr>
      </w:pPr>
      <w:r>
        <w:rPr>
          <w:rFonts w:hint="eastAsia" w:ascii="Calibri" w:eastAsia="宋体"/>
          <w:color w:val="auto"/>
          <w:highlight w:val="none"/>
          <w:lang w:val="en-US" w:eastAsia="zh-CN"/>
        </w:rPr>
        <w:t>5）</w:t>
      </w:r>
      <w:r>
        <w:rPr>
          <w:rFonts w:hint="eastAsia"/>
          <w:color w:val="auto"/>
          <w:highlight w:val="none"/>
        </w:rPr>
        <w:t>UPS系统组成</w:t>
      </w:r>
    </w:p>
    <w:p>
      <w:pPr>
        <w:ind w:firstLine="420"/>
        <w:rPr>
          <w:rFonts w:hint="eastAsia"/>
          <w:color w:val="auto"/>
          <w:highlight w:val="none"/>
        </w:rPr>
      </w:pPr>
      <w:r>
        <w:rPr>
          <w:rFonts w:hint="eastAsia"/>
          <w:color w:val="auto"/>
          <w:highlight w:val="none"/>
        </w:rPr>
        <w:t>UPS系统应由整流器，逆变器，静态</w:t>
      </w:r>
      <w:r>
        <w:rPr>
          <w:rFonts w:hint="eastAsia" w:ascii="Calibri" w:eastAsia="宋体"/>
          <w:color w:val="auto"/>
          <w:highlight w:val="none"/>
          <w:lang w:val="en-US" w:eastAsia="zh-CN"/>
        </w:rPr>
        <w:t>旁路</w:t>
      </w:r>
      <w:r>
        <w:rPr>
          <w:rFonts w:hint="eastAsia"/>
          <w:color w:val="auto"/>
          <w:highlight w:val="none"/>
        </w:rPr>
        <w:t>开关，手动维修旁路开关，馈线开关以及本系统所有设备间连接电缆等组成。</w:t>
      </w:r>
    </w:p>
    <w:p>
      <w:pPr>
        <w:ind w:firstLine="420"/>
        <w:rPr>
          <w:rFonts w:hint="eastAsia"/>
          <w:color w:val="auto"/>
          <w:highlight w:val="none"/>
        </w:rPr>
      </w:pPr>
      <w:r>
        <w:rPr>
          <w:rFonts w:hint="eastAsia"/>
          <w:color w:val="auto"/>
          <w:highlight w:val="none"/>
        </w:rPr>
        <w:t>UPS装置应包括本机液晶监视器、本机诊断系统以及与变电所计算机监控系统的通信接口，调试、监视和维修专用通信口等。UPS柜应有交、直流输入空气开关，交流回路，直流回路，UPS馈线输出回路应配置空气开关，并配置标识牌。</w:t>
      </w:r>
    </w:p>
    <w:p>
      <w:pPr>
        <w:ind w:firstLine="420"/>
        <w:rPr>
          <w:rFonts w:hint="eastAsia"/>
          <w:color w:val="auto"/>
          <w:highlight w:val="none"/>
        </w:rPr>
      </w:pPr>
      <w:r>
        <w:rPr>
          <w:rFonts w:hint="eastAsia"/>
          <w:color w:val="auto"/>
          <w:highlight w:val="none"/>
        </w:rPr>
        <w:t>单机采用工频UPS装置，输入及输出应有工频隔离变压器。UPS装置的所有部件的功率均应满足长期额定输出的要求。</w:t>
      </w:r>
    </w:p>
    <w:p>
      <w:pPr>
        <w:ind w:firstLine="420"/>
        <w:rPr>
          <w:rFonts w:hint="eastAsia"/>
          <w:color w:val="auto"/>
          <w:highlight w:val="none"/>
        </w:rPr>
      </w:pPr>
      <w:r>
        <w:rPr>
          <w:rFonts w:hint="eastAsia" w:ascii="Calibri" w:eastAsia="宋体"/>
          <w:color w:val="auto"/>
          <w:highlight w:val="none"/>
          <w:lang w:val="en-US" w:eastAsia="zh-CN"/>
        </w:rPr>
        <w:t>6）</w:t>
      </w:r>
      <w:r>
        <w:rPr>
          <w:rFonts w:hint="eastAsia"/>
          <w:color w:val="auto"/>
          <w:highlight w:val="none"/>
        </w:rPr>
        <w:t>UPS系统工作方式</w:t>
      </w:r>
    </w:p>
    <w:p>
      <w:pPr>
        <w:ind w:firstLine="420"/>
        <w:rPr>
          <w:rFonts w:hint="eastAsia"/>
          <w:color w:val="auto"/>
          <w:highlight w:val="none"/>
        </w:rPr>
      </w:pPr>
      <w:r>
        <w:rPr>
          <w:rFonts w:hint="eastAsia"/>
          <w:color w:val="auto"/>
          <w:highlight w:val="none"/>
        </w:rPr>
        <w:t>变电站UPS系统正常工作方式：UPS系统由220V/380V交流电源经整流器、逆变器向负荷供电，当220V/380V交流电源失电或UPS整流器故障时，则由站用直流电源回路经逆变器向负荷供电。当逆变器故障或过负荷或无输出时，由静态开关（自动）切换到旁路供电。</w:t>
      </w:r>
    </w:p>
    <w:p>
      <w:pPr>
        <w:ind w:firstLine="420"/>
        <w:rPr>
          <w:rFonts w:hint="eastAsia"/>
          <w:color w:val="auto"/>
          <w:highlight w:val="none"/>
        </w:rPr>
      </w:pPr>
      <w:r>
        <w:rPr>
          <w:rFonts w:hint="eastAsia" w:ascii="Calibri" w:eastAsia="宋体"/>
          <w:color w:val="auto"/>
          <w:highlight w:val="none"/>
          <w:lang w:val="en-US" w:eastAsia="zh-CN"/>
        </w:rPr>
        <w:t>7）</w:t>
      </w:r>
      <w:r>
        <w:rPr>
          <w:rFonts w:hint="eastAsia"/>
          <w:color w:val="auto"/>
          <w:highlight w:val="none"/>
        </w:rPr>
        <w:t>与站内计算机监控系统的通信</w:t>
      </w:r>
    </w:p>
    <w:p>
      <w:pPr>
        <w:ind w:firstLine="420"/>
        <w:rPr>
          <w:rFonts w:hint="eastAsia"/>
          <w:color w:val="auto"/>
          <w:highlight w:val="none"/>
        </w:rPr>
      </w:pPr>
      <w:r>
        <w:rPr>
          <w:rFonts w:hint="eastAsia"/>
          <w:color w:val="auto"/>
          <w:highlight w:val="none"/>
        </w:rPr>
        <w:t>UPS装置应具有与变电站监控系统通信接口，接口采用RS485串口或以太网口。卖方应免费提供详细的规约文本、规约的信息说明及数据类型，并配合监控厂家完成规约转换的工作。</w:t>
      </w:r>
    </w:p>
    <w:p>
      <w:pPr>
        <w:ind w:firstLine="420"/>
        <w:rPr>
          <w:rFonts w:hint="eastAsia"/>
          <w:color w:val="auto"/>
          <w:highlight w:val="none"/>
        </w:rPr>
      </w:pPr>
      <w:bookmarkStart w:id="288" w:name="_Toc247776337"/>
      <w:bookmarkStart w:id="289" w:name="_Toc252568492"/>
      <w:r>
        <w:rPr>
          <w:rFonts w:hint="eastAsia" w:ascii="Calibri" w:eastAsia="宋体"/>
          <w:color w:val="auto"/>
          <w:highlight w:val="none"/>
          <w:lang w:val="en-US" w:eastAsia="zh-CN"/>
        </w:rPr>
        <w:t>3、</w:t>
      </w:r>
      <w:r>
        <w:rPr>
          <w:rFonts w:hint="eastAsia"/>
          <w:color w:val="auto"/>
          <w:highlight w:val="none"/>
        </w:rPr>
        <w:t>技术性能和功能要求</w:t>
      </w:r>
      <w:bookmarkEnd w:id="288"/>
      <w:bookmarkEnd w:id="289"/>
    </w:p>
    <w:p>
      <w:pPr>
        <w:ind w:firstLine="420"/>
        <w:rPr>
          <w:rFonts w:hint="eastAsia"/>
          <w:color w:val="auto"/>
          <w:highlight w:val="none"/>
        </w:rPr>
      </w:pPr>
      <w:bookmarkStart w:id="290" w:name="_Toc199562600"/>
      <w:r>
        <w:rPr>
          <w:rFonts w:hint="eastAsia" w:ascii="Calibri" w:eastAsia="宋体"/>
          <w:color w:val="auto"/>
          <w:highlight w:val="none"/>
          <w:lang w:val="en-US" w:eastAsia="zh-CN"/>
        </w:rPr>
        <w:t>1）</w:t>
      </w:r>
      <w:r>
        <w:rPr>
          <w:rFonts w:hint="eastAsia"/>
          <w:color w:val="auto"/>
          <w:highlight w:val="none"/>
        </w:rPr>
        <w:t>技术性能要求</w:t>
      </w:r>
    </w:p>
    <w:p>
      <w:pPr>
        <w:ind w:firstLine="420"/>
        <w:rPr>
          <w:rFonts w:hint="eastAsia" w:eastAsia="宋体"/>
          <w:color w:val="auto"/>
          <w:highlight w:val="none"/>
          <w:lang w:eastAsia="zh-CN"/>
        </w:rPr>
      </w:pPr>
      <w:r>
        <w:rPr>
          <w:rFonts w:hint="eastAsia"/>
          <w:color w:val="auto"/>
          <w:highlight w:val="none"/>
        </w:rPr>
        <w:t>UPS装置电源输入</w:t>
      </w:r>
      <w:r>
        <w:rPr>
          <w:rFonts w:hint="eastAsia" w:eastAsia="宋体"/>
          <w:color w:val="auto"/>
          <w:highlight w:val="none"/>
          <w:lang w:eastAsia="zh-CN"/>
        </w:rPr>
        <w:t>：</w:t>
      </w:r>
    </w:p>
    <w:p>
      <w:pPr>
        <w:ind w:firstLine="420"/>
        <w:rPr>
          <w:rFonts w:hint="eastAsia"/>
          <w:color w:val="auto"/>
          <w:highlight w:val="none"/>
        </w:rPr>
      </w:pPr>
      <w:r>
        <w:rPr>
          <w:rFonts w:hint="eastAsia"/>
          <w:color w:val="auto"/>
          <w:highlight w:val="none"/>
        </w:rPr>
        <w:t>交流输入电压：单相AC 220（1±10%）V或 三相AC 380（1±10%）V。</w:t>
      </w:r>
    </w:p>
    <w:p>
      <w:pPr>
        <w:ind w:firstLine="420"/>
        <w:rPr>
          <w:rFonts w:hint="eastAsia"/>
          <w:color w:val="auto"/>
          <w:highlight w:val="none"/>
        </w:rPr>
      </w:pPr>
      <w:r>
        <w:rPr>
          <w:rFonts w:hint="eastAsia"/>
          <w:color w:val="auto"/>
          <w:highlight w:val="none"/>
        </w:rPr>
        <w:t>交流输入频率：50（1±5%）Hz。</w:t>
      </w:r>
    </w:p>
    <w:p>
      <w:pPr>
        <w:ind w:firstLine="420"/>
        <w:rPr>
          <w:rFonts w:hint="eastAsia"/>
          <w:color w:val="auto"/>
          <w:highlight w:val="none"/>
        </w:rPr>
      </w:pPr>
      <w:r>
        <w:rPr>
          <w:rFonts w:hint="eastAsia"/>
          <w:color w:val="auto"/>
          <w:highlight w:val="none"/>
        </w:rPr>
        <w:t>直流输入（110V直流电源系统）：99V～143V。</w:t>
      </w:r>
    </w:p>
    <w:p>
      <w:pPr>
        <w:ind w:firstLine="420"/>
        <w:rPr>
          <w:rFonts w:hint="eastAsia"/>
          <w:color w:val="auto"/>
          <w:highlight w:val="none"/>
        </w:rPr>
      </w:pPr>
      <w:r>
        <w:rPr>
          <w:rFonts w:hint="eastAsia"/>
          <w:color w:val="auto"/>
          <w:highlight w:val="none"/>
        </w:rPr>
        <w:t>直流输入（220V直流电源系统）：198V～286V。</w:t>
      </w:r>
    </w:p>
    <w:p>
      <w:pPr>
        <w:ind w:firstLine="420"/>
        <w:rPr>
          <w:rFonts w:hint="eastAsia"/>
          <w:color w:val="auto"/>
          <w:highlight w:val="none"/>
        </w:rPr>
      </w:pPr>
      <w:r>
        <w:rPr>
          <w:rFonts w:hint="eastAsia"/>
          <w:color w:val="auto"/>
          <w:highlight w:val="none"/>
        </w:rPr>
        <w:t>直流母线反灌纹波电压系数：≤0.5%。</w:t>
      </w:r>
    </w:p>
    <w:p>
      <w:pPr>
        <w:ind w:firstLine="420"/>
        <w:rPr>
          <w:rFonts w:hint="eastAsia" w:eastAsia="宋体"/>
          <w:color w:val="auto"/>
          <w:highlight w:val="none"/>
          <w:lang w:eastAsia="zh-CN"/>
        </w:rPr>
      </w:pPr>
      <w:r>
        <w:rPr>
          <w:rFonts w:hint="eastAsia"/>
          <w:color w:val="auto"/>
          <w:highlight w:val="none"/>
        </w:rPr>
        <w:t>UPS系统输出</w:t>
      </w:r>
      <w:r>
        <w:rPr>
          <w:rFonts w:hint="eastAsia" w:eastAsia="宋体"/>
          <w:color w:val="auto"/>
          <w:highlight w:val="none"/>
          <w:lang w:eastAsia="zh-CN"/>
        </w:rPr>
        <w:t>：</w:t>
      </w:r>
    </w:p>
    <w:p>
      <w:pPr>
        <w:spacing w:line="400" w:lineRule="exact"/>
        <w:ind w:firstLine="420" w:firstLineChars="200"/>
        <w:rPr>
          <w:rFonts w:hint="eastAsia"/>
          <w:color w:val="auto"/>
          <w:highlight w:val="none"/>
        </w:rPr>
      </w:pPr>
      <w:r>
        <w:rPr>
          <w:rFonts w:hint="eastAsia" w:ascii="宋体" w:hAnsi="宋体"/>
          <w:color w:val="auto"/>
        </w:rPr>
        <w:t>UPS容量：</w:t>
      </w:r>
      <w:r>
        <w:rPr>
          <w:rFonts w:hint="eastAsia" w:ascii="宋体" w:hAnsi="宋体"/>
          <w:color w:val="auto"/>
          <w:lang w:val="en-US" w:eastAsia="zh-CN"/>
        </w:rPr>
        <w:t>3</w:t>
      </w:r>
      <w:r>
        <w:rPr>
          <w:rFonts w:ascii="宋体" w:hAnsi="宋体"/>
          <w:color w:val="auto"/>
        </w:rPr>
        <w:t>kVA</w:t>
      </w:r>
    </w:p>
    <w:p>
      <w:pPr>
        <w:ind w:firstLine="420"/>
        <w:rPr>
          <w:rFonts w:hint="eastAsia"/>
          <w:color w:val="auto"/>
          <w:highlight w:val="none"/>
        </w:rPr>
      </w:pPr>
      <w:r>
        <w:rPr>
          <w:rFonts w:hint="eastAsia"/>
          <w:color w:val="auto"/>
          <w:highlight w:val="none"/>
        </w:rPr>
        <w:t>稳压精度：稳态，不大于±3%；动态过程中，负荷以0～100%变化，其偏差值小于±5%，恢复时间小于20ms。</w:t>
      </w:r>
    </w:p>
    <w:p>
      <w:pPr>
        <w:ind w:firstLine="420"/>
        <w:rPr>
          <w:rFonts w:hint="eastAsia"/>
          <w:color w:val="auto"/>
          <w:highlight w:val="none"/>
        </w:rPr>
      </w:pPr>
      <w:r>
        <w:rPr>
          <w:rFonts w:hint="eastAsia"/>
          <w:color w:val="auto"/>
          <w:highlight w:val="none"/>
        </w:rPr>
        <w:t>输出电压调节范围：±3%。</w:t>
      </w:r>
    </w:p>
    <w:p>
      <w:pPr>
        <w:ind w:firstLine="420"/>
        <w:rPr>
          <w:rFonts w:hint="eastAsia"/>
          <w:color w:val="auto"/>
          <w:highlight w:val="none"/>
        </w:rPr>
      </w:pPr>
      <w:r>
        <w:rPr>
          <w:rFonts w:hint="eastAsia"/>
          <w:color w:val="auto"/>
          <w:highlight w:val="none"/>
        </w:rPr>
        <w:t>效率：≥80％（交流输入逆变输出），≥85％（直流输入逆变输出）。</w:t>
      </w:r>
    </w:p>
    <w:p>
      <w:pPr>
        <w:ind w:firstLine="420"/>
        <w:rPr>
          <w:rFonts w:hint="eastAsia"/>
          <w:color w:val="auto"/>
          <w:highlight w:val="none"/>
        </w:rPr>
      </w:pPr>
      <w:r>
        <w:rPr>
          <w:rFonts w:hint="eastAsia"/>
          <w:color w:val="auto"/>
          <w:highlight w:val="none"/>
        </w:rPr>
        <w:t>输出波形：正弦波。</w:t>
      </w:r>
    </w:p>
    <w:p>
      <w:pPr>
        <w:ind w:firstLine="420"/>
        <w:rPr>
          <w:rFonts w:hint="eastAsia"/>
          <w:color w:val="auto"/>
          <w:highlight w:val="none"/>
        </w:rPr>
      </w:pPr>
      <w:r>
        <w:rPr>
          <w:rFonts w:hint="eastAsia"/>
          <w:color w:val="auto"/>
          <w:highlight w:val="none"/>
        </w:rPr>
        <w:t>输出频率精度：50（1±0.5%）Hz。</w:t>
      </w:r>
    </w:p>
    <w:p>
      <w:pPr>
        <w:ind w:firstLine="420"/>
        <w:rPr>
          <w:rFonts w:hint="eastAsia"/>
          <w:color w:val="auto"/>
          <w:highlight w:val="none"/>
        </w:rPr>
      </w:pPr>
      <w:r>
        <w:rPr>
          <w:rFonts w:hint="eastAsia"/>
          <w:color w:val="auto"/>
          <w:highlight w:val="none"/>
        </w:rPr>
        <w:t>同步范围：50（1±2%）Hz。</w:t>
      </w:r>
    </w:p>
    <w:p>
      <w:pPr>
        <w:ind w:firstLine="420"/>
        <w:rPr>
          <w:rFonts w:hint="eastAsia"/>
          <w:color w:val="auto"/>
          <w:highlight w:val="none"/>
        </w:rPr>
      </w:pPr>
      <w:r>
        <w:rPr>
          <w:rFonts w:hint="eastAsia"/>
          <w:color w:val="auto"/>
          <w:highlight w:val="none"/>
        </w:rPr>
        <w:t>同步速度：≤1Hz/s。</w:t>
      </w:r>
    </w:p>
    <w:p>
      <w:pPr>
        <w:ind w:firstLine="420"/>
        <w:rPr>
          <w:rFonts w:hint="eastAsia"/>
          <w:color w:val="auto"/>
          <w:highlight w:val="none"/>
        </w:rPr>
      </w:pPr>
      <w:r>
        <w:rPr>
          <w:rFonts w:hint="eastAsia"/>
          <w:color w:val="auto"/>
          <w:highlight w:val="none"/>
        </w:rPr>
        <w:t>总谐波含量：≤3％。</w:t>
      </w:r>
    </w:p>
    <w:p>
      <w:pPr>
        <w:ind w:firstLine="420"/>
        <w:rPr>
          <w:rFonts w:hint="eastAsia"/>
          <w:color w:val="auto"/>
          <w:highlight w:val="none"/>
        </w:rPr>
      </w:pPr>
      <w:r>
        <w:rPr>
          <w:rFonts w:hint="eastAsia"/>
          <w:color w:val="auto"/>
          <w:highlight w:val="none"/>
        </w:rPr>
        <w:t>负载功率因数范围：0.9（超前），0.7（滞后）。</w:t>
      </w:r>
    </w:p>
    <w:p>
      <w:pPr>
        <w:ind w:firstLine="420"/>
        <w:rPr>
          <w:rFonts w:hint="eastAsia"/>
          <w:color w:val="auto"/>
          <w:highlight w:val="none"/>
        </w:rPr>
      </w:pPr>
      <w:r>
        <w:rPr>
          <w:rFonts w:hint="eastAsia"/>
          <w:color w:val="auto"/>
          <w:highlight w:val="none"/>
        </w:rPr>
        <w:t>单机无故障时间（MTBF）：＞50 000h。</w:t>
      </w:r>
    </w:p>
    <w:p>
      <w:pPr>
        <w:ind w:firstLine="420"/>
        <w:rPr>
          <w:rFonts w:hint="eastAsia"/>
          <w:color w:val="auto"/>
          <w:highlight w:val="none"/>
        </w:rPr>
      </w:pPr>
      <w:r>
        <w:rPr>
          <w:rFonts w:hint="eastAsia"/>
          <w:color w:val="auto"/>
          <w:highlight w:val="none"/>
        </w:rPr>
        <w:t>交流供电与直流供电之间的切换时间：0ms。</w:t>
      </w:r>
    </w:p>
    <w:p>
      <w:pPr>
        <w:ind w:firstLine="420"/>
        <w:rPr>
          <w:rFonts w:hint="eastAsia" w:eastAsia="宋体"/>
          <w:color w:val="auto"/>
          <w:highlight w:val="none"/>
          <w:lang w:eastAsia="zh-CN"/>
        </w:rPr>
      </w:pPr>
      <w:r>
        <w:rPr>
          <w:rFonts w:hint="eastAsia"/>
          <w:color w:val="auto"/>
          <w:highlight w:val="none"/>
        </w:rPr>
        <w:t>过载能力：125％额定值时可维持10min，150％额定值时可维持1min。</w:t>
      </w:r>
    </w:p>
    <w:p>
      <w:pPr>
        <w:ind w:firstLine="420"/>
        <w:rPr>
          <w:rFonts w:hint="eastAsia" w:eastAsia="宋体"/>
          <w:color w:val="auto"/>
          <w:highlight w:val="none"/>
          <w:lang w:eastAsia="zh-CN"/>
        </w:rPr>
      </w:pPr>
      <w:r>
        <w:rPr>
          <w:rFonts w:hint="eastAsia"/>
          <w:color w:val="auto"/>
          <w:highlight w:val="none"/>
        </w:rPr>
        <w:t>功能要求</w:t>
      </w:r>
      <w:r>
        <w:rPr>
          <w:rFonts w:hint="eastAsia" w:eastAsia="宋体"/>
          <w:color w:val="auto"/>
          <w:highlight w:val="none"/>
          <w:lang w:eastAsia="zh-CN"/>
        </w:rPr>
        <w:t>：</w:t>
      </w:r>
    </w:p>
    <w:p>
      <w:pPr>
        <w:ind w:firstLine="420"/>
        <w:rPr>
          <w:rFonts w:hint="eastAsia"/>
          <w:color w:val="auto"/>
          <w:highlight w:val="none"/>
        </w:rPr>
      </w:pPr>
      <w:r>
        <w:rPr>
          <w:rFonts w:hint="eastAsia"/>
          <w:color w:val="auto"/>
          <w:highlight w:val="none"/>
        </w:rPr>
        <w:t>UPS装置应具备防止过负荷及外部短路的保护。</w:t>
      </w:r>
    </w:p>
    <w:p>
      <w:pPr>
        <w:ind w:firstLine="420"/>
        <w:rPr>
          <w:rFonts w:hint="eastAsia"/>
          <w:color w:val="auto"/>
          <w:highlight w:val="none"/>
        </w:rPr>
      </w:pPr>
      <w:r>
        <w:rPr>
          <w:rFonts w:hint="eastAsia"/>
          <w:color w:val="auto"/>
          <w:highlight w:val="none"/>
        </w:rPr>
        <w:t>UPS装置交流电源输入回路中应有涌流抑制措施。</w:t>
      </w:r>
    </w:p>
    <w:p>
      <w:pPr>
        <w:ind w:firstLine="420"/>
        <w:rPr>
          <w:rFonts w:hint="eastAsia"/>
          <w:color w:val="auto"/>
          <w:highlight w:val="none"/>
        </w:rPr>
      </w:pPr>
      <w:r>
        <w:rPr>
          <w:rFonts w:hint="eastAsia"/>
          <w:color w:val="auto"/>
          <w:highlight w:val="none"/>
        </w:rPr>
        <w:t>UPS装置的所有部件的功率均应满足长期额定输出的要求。</w:t>
      </w:r>
    </w:p>
    <w:p>
      <w:pPr>
        <w:ind w:firstLine="420"/>
        <w:rPr>
          <w:rFonts w:hint="eastAsia"/>
          <w:color w:val="auto"/>
          <w:highlight w:val="none"/>
        </w:rPr>
      </w:pPr>
      <w:r>
        <w:rPr>
          <w:rFonts w:hint="eastAsia"/>
          <w:color w:val="auto"/>
          <w:highlight w:val="none"/>
        </w:rPr>
        <w:t>UPS装置旁路电源需经隔离变压器进行隔离。</w:t>
      </w:r>
    </w:p>
    <w:p>
      <w:pPr>
        <w:ind w:firstLine="420"/>
        <w:rPr>
          <w:rFonts w:hint="eastAsia"/>
          <w:color w:val="auto"/>
          <w:highlight w:val="none"/>
        </w:rPr>
      </w:pPr>
      <w:r>
        <w:rPr>
          <w:rFonts w:hint="eastAsia"/>
          <w:color w:val="auto"/>
          <w:highlight w:val="none"/>
        </w:rPr>
        <w:t>UPS装置面板上应设有各种运行和故障显示。内容至少包括：</w:t>
      </w:r>
    </w:p>
    <w:p>
      <w:pPr>
        <w:ind w:firstLine="420"/>
        <w:rPr>
          <w:rFonts w:hint="eastAsia"/>
          <w:color w:val="auto"/>
          <w:highlight w:val="none"/>
        </w:rPr>
      </w:pPr>
      <w:r>
        <w:rPr>
          <w:rFonts w:hint="eastAsia"/>
          <w:color w:val="auto"/>
          <w:highlight w:val="none"/>
        </w:rPr>
        <w:t>1）运行时显示下列内容：</w:t>
      </w:r>
    </w:p>
    <w:p>
      <w:pPr>
        <w:ind w:firstLine="420"/>
        <w:rPr>
          <w:rFonts w:hint="eastAsia"/>
          <w:color w:val="auto"/>
          <w:highlight w:val="none"/>
        </w:rPr>
      </w:pPr>
      <w:r>
        <w:rPr>
          <w:rFonts w:hint="eastAsia"/>
          <w:color w:val="auto"/>
          <w:highlight w:val="none"/>
        </w:rPr>
        <w:t>a）</w:t>
      </w:r>
      <w:r>
        <w:rPr>
          <w:rFonts w:hint="eastAsia"/>
          <w:color w:val="auto"/>
          <w:highlight w:val="none"/>
        </w:rPr>
        <w:tab/>
      </w:r>
      <w:r>
        <w:rPr>
          <w:rFonts w:hint="eastAsia"/>
          <w:color w:val="auto"/>
          <w:highlight w:val="none"/>
        </w:rPr>
        <w:t>交、直流回路输入电流、输入电压。</w:t>
      </w:r>
    </w:p>
    <w:p>
      <w:pPr>
        <w:ind w:firstLine="420"/>
        <w:rPr>
          <w:rFonts w:hint="eastAsia"/>
          <w:color w:val="auto"/>
          <w:highlight w:val="none"/>
        </w:rPr>
      </w:pPr>
      <w:r>
        <w:rPr>
          <w:rFonts w:hint="eastAsia"/>
          <w:color w:val="auto"/>
          <w:highlight w:val="none"/>
        </w:rPr>
        <w:t>b）整流器输出电流、输出电压。</w:t>
      </w:r>
    </w:p>
    <w:p>
      <w:pPr>
        <w:ind w:firstLine="420"/>
        <w:rPr>
          <w:rFonts w:hint="eastAsia"/>
          <w:color w:val="auto"/>
          <w:highlight w:val="none"/>
        </w:rPr>
      </w:pPr>
      <w:r>
        <w:rPr>
          <w:rFonts w:hint="eastAsia"/>
          <w:color w:val="auto"/>
          <w:highlight w:val="none"/>
        </w:rPr>
        <w:t>c）</w:t>
      </w:r>
      <w:r>
        <w:rPr>
          <w:rFonts w:hint="eastAsia"/>
          <w:color w:val="auto"/>
          <w:highlight w:val="none"/>
        </w:rPr>
        <w:tab/>
      </w:r>
      <w:r>
        <w:rPr>
          <w:rFonts w:hint="eastAsia"/>
          <w:color w:val="auto"/>
          <w:highlight w:val="none"/>
        </w:rPr>
        <w:t>逆变器输入电压。</w:t>
      </w:r>
    </w:p>
    <w:p>
      <w:pPr>
        <w:ind w:firstLine="420"/>
        <w:rPr>
          <w:rFonts w:hint="eastAsia"/>
          <w:color w:val="auto"/>
          <w:highlight w:val="none"/>
        </w:rPr>
      </w:pPr>
      <w:r>
        <w:rPr>
          <w:rFonts w:hint="eastAsia"/>
          <w:color w:val="auto"/>
          <w:highlight w:val="none"/>
        </w:rPr>
        <w:t>d）逆变器输出电压、输出电流、输出频率。</w:t>
      </w:r>
    </w:p>
    <w:p>
      <w:pPr>
        <w:ind w:firstLine="420"/>
        <w:rPr>
          <w:rFonts w:hint="eastAsia"/>
          <w:color w:val="auto"/>
          <w:highlight w:val="none"/>
        </w:rPr>
      </w:pPr>
      <w:r>
        <w:rPr>
          <w:rFonts w:hint="eastAsia"/>
          <w:color w:val="auto"/>
          <w:highlight w:val="none"/>
        </w:rPr>
        <w:t>e）</w:t>
      </w:r>
      <w:r>
        <w:rPr>
          <w:rFonts w:hint="eastAsia"/>
          <w:color w:val="auto"/>
          <w:highlight w:val="none"/>
        </w:rPr>
        <w:tab/>
      </w:r>
      <w:r>
        <w:rPr>
          <w:rFonts w:hint="eastAsia"/>
          <w:color w:val="auto"/>
          <w:highlight w:val="none"/>
        </w:rPr>
        <w:t>旁路交流电压。</w:t>
      </w:r>
    </w:p>
    <w:p>
      <w:pPr>
        <w:ind w:firstLine="420"/>
        <w:rPr>
          <w:rFonts w:hint="eastAsia"/>
          <w:color w:val="auto"/>
          <w:highlight w:val="none"/>
        </w:rPr>
      </w:pPr>
      <w:r>
        <w:rPr>
          <w:rFonts w:hint="eastAsia"/>
          <w:color w:val="auto"/>
          <w:highlight w:val="none"/>
        </w:rPr>
        <w:t>f）</w:t>
      </w:r>
      <w:r>
        <w:rPr>
          <w:rFonts w:hint="eastAsia"/>
          <w:color w:val="auto"/>
          <w:highlight w:val="none"/>
        </w:rPr>
        <w:tab/>
      </w:r>
      <w:r>
        <w:rPr>
          <w:rFonts w:hint="eastAsia"/>
          <w:color w:val="auto"/>
          <w:highlight w:val="none"/>
        </w:rPr>
        <w:t>UPS输出电流有效值。</w:t>
      </w:r>
    </w:p>
    <w:p>
      <w:pPr>
        <w:ind w:firstLine="420"/>
        <w:rPr>
          <w:rFonts w:hint="eastAsia"/>
          <w:color w:val="auto"/>
          <w:highlight w:val="none"/>
        </w:rPr>
      </w:pPr>
      <w:r>
        <w:rPr>
          <w:rFonts w:hint="eastAsia"/>
          <w:color w:val="auto"/>
          <w:highlight w:val="none"/>
        </w:rPr>
        <w:t>g）逆变器运行指示。</w:t>
      </w:r>
    </w:p>
    <w:p>
      <w:pPr>
        <w:ind w:firstLine="420"/>
        <w:rPr>
          <w:rFonts w:hint="eastAsia"/>
          <w:color w:val="auto"/>
          <w:highlight w:val="none"/>
        </w:rPr>
      </w:pPr>
      <w:r>
        <w:rPr>
          <w:rFonts w:hint="eastAsia"/>
          <w:color w:val="auto"/>
          <w:highlight w:val="none"/>
        </w:rPr>
        <w:t>h）静态开关位置指示。</w:t>
      </w:r>
    </w:p>
    <w:p>
      <w:pPr>
        <w:ind w:firstLine="420"/>
        <w:rPr>
          <w:rFonts w:hint="eastAsia"/>
          <w:color w:val="auto"/>
          <w:highlight w:val="none"/>
        </w:rPr>
      </w:pPr>
      <w:r>
        <w:rPr>
          <w:rFonts w:hint="eastAsia"/>
          <w:color w:val="auto"/>
          <w:highlight w:val="none"/>
        </w:rPr>
        <w:t>i）</w:t>
      </w:r>
      <w:r>
        <w:rPr>
          <w:rFonts w:hint="eastAsia"/>
          <w:color w:val="auto"/>
          <w:highlight w:val="none"/>
        </w:rPr>
        <w:tab/>
      </w:r>
      <w:r>
        <w:rPr>
          <w:rFonts w:hint="eastAsia"/>
          <w:color w:val="auto"/>
          <w:highlight w:val="none"/>
        </w:rPr>
        <w:t>旁路开关位置指示。</w:t>
      </w:r>
    </w:p>
    <w:p>
      <w:pPr>
        <w:ind w:firstLine="420"/>
        <w:rPr>
          <w:rFonts w:hint="eastAsia"/>
          <w:color w:val="auto"/>
          <w:highlight w:val="none"/>
        </w:rPr>
      </w:pPr>
      <w:r>
        <w:rPr>
          <w:rFonts w:hint="eastAsia"/>
          <w:color w:val="auto"/>
          <w:highlight w:val="none"/>
        </w:rPr>
        <w:t>j）</w:t>
      </w:r>
      <w:r>
        <w:rPr>
          <w:rFonts w:hint="eastAsia"/>
          <w:color w:val="auto"/>
          <w:highlight w:val="none"/>
        </w:rPr>
        <w:tab/>
      </w:r>
      <w:r>
        <w:rPr>
          <w:rFonts w:hint="eastAsia"/>
          <w:color w:val="auto"/>
          <w:highlight w:val="none"/>
        </w:rPr>
        <w:t>负载百分比。</w:t>
      </w:r>
    </w:p>
    <w:p>
      <w:pPr>
        <w:ind w:firstLine="420"/>
        <w:rPr>
          <w:rFonts w:hint="eastAsia"/>
          <w:color w:val="auto"/>
          <w:highlight w:val="none"/>
        </w:rPr>
      </w:pPr>
      <w:r>
        <w:rPr>
          <w:rFonts w:hint="eastAsia"/>
          <w:color w:val="auto"/>
          <w:highlight w:val="none"/>
        </w:rPr>
        <w:t>k）通信接口的工作状况。</w:t>
      </w:r>
    </w:p>
    <w:p>
      <w:pPr>
        <w:ind w:firstLine="420"/>
        <w:rPr>
          <w:rFonts w:hint="eastAsia"/>
          <w:color w:val="auto"/>
          <w:highlight w:val="none"/>
        </w:rPr>
      </w:pPr>
      <w:r>
        <w:rPr>
          <w:rFonts w:hint="eastAsia"/>
          <w:color w:val="auto"/>
          <w:highlight w:val="none"/>
        </w:rPr>
        <w:t>2）面板报警显示内容：</w:t>
      </w:r>
    </w:p>
    <w:p>
      <w:pPr>
        <w:ind w:firstLine="420"/>
        <w:rPr>
          <w:rFonts w:hint="eastAsia"/>
          <w:color w:val="auto"/>
          <w:highlight w:val="none"/>
        </w:rPr>
      </w:pPr>
      <w:r>
        <w:rPr>
          <w:rFonts w:hint="eastAsia"/>
          <w:color w:val="auto"/>
          <w:highlight w:val="none"/>
        </w:rPr>
        <w:t>a）</w:t>
      </w:r>
      <w:r>
        <w:rPr>
          <w:rFonts w:hint="eastAsia"/>
          <w:color w:val="auto"/>
          <w:highlight w:val="none"/>
        </w:rPr>
        <w:tab/>
      </w:r>
      <w:r>
        <w:rPr>
          <w:rFonts w:hint="eastAsia"/>
          <w:color w:val="auto"/>
          <w:highlight w:val="none"/>
        </w:rPr>
        <w:t>整流器输入电压低报警。</w:t>
      </w:r>
    </w:p>
    <w:p>
      <w:pPr>
        <w:ind w:firstLine="420"/>
        <w:rPr>
          <w:rFonts w:hint="eastAsia"/>
          <w:color w:val="auto"/>
          <w:highlight w:val="none"/>
        </w:rPr>
      </w:pPr>
      <w:r>
        <w:rPr>
          <w:rFonts w:hint="eastAsia"/>
          <w:color w:val="auto"/>
          <w:highlight w:val="none"/>
        </w:rPr>
        <w:t>b）直流输入电压低报警。</w:t>
      </w:r>
    </w:p>
    <w:p>
      <w:pPr>
        <w:ind w:firstLine="420"/>
        <w:rPr>
          <w:rFonts w:hint="eastAsia"/>
          <w:color w:val="auto"/>
          <w:highlight w:val="none"/>
        </w:rPr>
      </w:pPr>
      <w:r>
        <w:rPr>
          <w:rFonts w:hint="eastAsia"/>
          <w:color w:val="auto"/>
          <w:highlight w:val="none"/>
        </w:rPr>
        <w:t>c）</w:t>
      </w:r>
      <w:r>
        <w:rPr>
          <w:rFonts w:hint="eastAsia"/>
          <w:color w:val="auto"/>
          <w:highlight w:val="none"/>
        </w:rPr>
        <w:tab/>
      </w:r>
      <w:r>
        <w:rPr>
          <w:rFonts w:hint="eastAsia"/>
          <w:color w:val="auto"/>
          <w:highlight w:val="none"/>
        </w:rPr>
        <w:t>旁路交流电源电压低报警。</w:t>
      </w:r>
    </w:p>
    <w:p>
      <w:pPr>
        <w:ind w:firstLine="420"/>
        <w:rPr>
          <w:rFonts w:hint="eastAsia"/>
          <w:color w:val="auto"/>
          <w:highlight w:val="none"/>
        </w:rPr>
      </w:pPr>
      <w:r>
        <w:rPr>
          <w:rFonts w:hint="eastAsia"/>
          <w:color w:val="auto"/>
          <w:highlight w:val="none"/>
        </w:rPr>
        <w:t>d）逆变器输入电压低/高报警。</w:t>
      </w:r>
    </w:p>
    <w:p>
      <w:pPr>
        <w:ind w:firstLine="420"/>
        <w:rPr>
          <w:rFonts w:hint="eastAsia"/>
          <w:color w:val="auto"/>
          <w:highlight w:val="none"/>
        </w:rPr>
      </w:pPr>
      <w:r>
        <w:rPr>
          <w:rFonts w:hint="eastAsia"/>
          <w:color w:val="auto"/>
          <w:highlight w:val="none"/>
        </w:rPr>
        <w:t>e）</w:t>
      </w:r>
      <w:r>
        <w:rPr>
          <w:rFonts w:hint="eastAsia"/>
          <w:color w:val="auto"/>
          <w:highlight w:val="none"/>
        </w:rPr>
        <w:tab/>
      </w:r>
      <w:r>
        <w:rPr>
          <w:rFonts w:hint="eastAsia"/>
          <w:color w:val="auto"/>
          <w:highlight w:val="none"/>
        </w:rPr>
        <w:t>逆变器输出电压低/高报警。</w:t>
      </w:r>
    </w:p>
    <w:p>
      <w:pPr>
        <w:ind w:firstLine="420"/>
        <w:rPr>
          <w:rFonts w:hint="eastAsia"/>
          <w:color w:val="auto"/>
          <w:highlight w:val="none"/>
        </w:rPr>
      </w:pPr>
      <w:r>
        <w:rPr>
          <w:rFonts w:hint="eastAsia"/>
          <w:color w:val="auto"/>
          <w:highlight w:val="none"/>
        </w:rPr>
        <w:t>f）</w:t>
      </w:r>
      <w:r>
        <w:rPr>
          <w:rFonts w:hint="eastAsia"/>
          <w:color w:val="auto"/>
          <w:highlight w:val="none"/>
        </w:rPr>
        <w:tab/>
      </w:r>
      <w:r>
        <w:rPr>
          <w:rFonts w:hint="eastAsia"/>
          <w:color w:val="auto"/>
          <w:highlight w:val="none"/>
        </w:rPr>
        <w:t>旁路位置报警。</w:t>
      </w:r>
    </w:p>
    <w:p>
      <w:pPr>
        <w:ind w:firstLine="420"/>
        <w:rPr>
          <w:rFonts w:hint="eastAsia"/>
          <w:color w:val="auto"/>
          <w:highlight w:val="none"/>
        </w:rPr>
      </w:pPr>
      <w:r>
        <w:rPr>
          <w:rFonts w:hint="eastAsia"/>
          <w:color w:val="auto"/>
          <w:highlight w:val="none"/>
        </w:rPr>
        <w:t>g）逆变器故障报警。</w:t>
      </w:r>
    </w:p>
    <w:p>
      <w:pPr>
        <w:ind w:firstLine="420"/>
        <w:rPr>
          <w:rFonts w:hint="eastAsia"/>
          <w:color w:val="auto"/>
          <w:highlight w:val="none"/>
        </w:rPr>
      </w:pPr>
      <w:r>
        <w:rPr>
          <w:rFonts w:hint="eastAsia"/>
          <w:color w:val="auto"/>
          <w:highlight w:val="none"/>
        </w:rPr>
        <w:t>h）UPS装置过载或出口短路关机信号。</w:t>
      </w:r>
    </w:p>
    <w:p>
      <w:pPr>
        <w:ind w:firstLine="420"/>
        <w:rPr>
          <w:rFonts w:hint="eastAsia"/>
          <w:color w:val="auto"/>
          <w:highlight w:val="none"/>
        </w:rPr>
      </w:pPr>
      <w:r>
        <w:rPr>
          <w:rFonts w:hint="eastAsia"/>
          <w:color w:val="auto"/>
          <w:highlight w:val="none"/>
        </w:rPr>
        <w:t>要求状态信息、报警信息等能通过通信上传计算机监控系统，关键信号有硬触点上传。</w:t>
      </w:r>
    </w:p>
    <w:bookmarkEnd w:id="290"/>
    <w:p>
      <w:pPr>
        <w:ind w:firstLine="420"/>
        <w:rPr>
          <w:rFonts w:hint="eastAsia"/>
          <w:color w:val="auto"/>
          <w:highlight w:val="none"/>
        </w:rPr>
      </w:pPr>
      <w:bookmarkStart w:id="291" w:name="_Toc247776338"/>
      <w:bookmarkStart w:id="292" w:name="_Toc252568493"/>
      <w:r>
        <w:rPr>
          <w:rFonts w:hint="eastAsia" w:ascii="Calibri" w:eastAsia="宋体"/>
          <w:color w:val="auto"/>
          <w:highlight w:val="none"/>
          <w:lang w:val="en-US" w:eastAsia="zh-CN"/>
        </w:rPr>
        <w:t>4、</w:t>
      </w:r>
      <w:r>
        <w:rPr>
          <w:rFonts w:hint="eastAsia"/>
          <w:color w:val="auto"/>
          <w:highlight w:val="none"/>
        </w:rPr>
        <w:t>整流器</w:t>
      </w:r>
      <w:bookmarkEnd w:id="291"/>
      <w:bookmarkEnd w:id="292"/>
    </w:p>
    <w:p>
      <w:pPr>
        <w:ind w:firstLine="420"/>
        <w:rPr>
          <w:rFonts w:hint="eastAsia"/>
          <w:color w:val="auto"/>
          <w:highlight w:val="none"/>
        </w:rPr>
      </w:pPr>
      <w:r>
        <w:rPr>
          <w:rFonts w:hint="eastAsia"/>
          <w:color w:val="auto"/>
          <w:highlight w:val="none"/>
        </w:rPr>
        <w:t>整流器的容量应能满足逆变器长期满负荷供电的要求。</w:t>
      </w:r>
    </w:p>
    <w:p>
      <w:pPr>
        <w:ind w:firstLine="420"/>
        <w:rPr>
          <w:rFonts w:hint="eastAsia"/>
          <w:color w:val="auto"/>
          <w:highlight w:val="none"/>
        </w:rPr>
      </w:pPr>
      <w:r>
        <w:rPr>
          <w:rFonts w:hint="eastAsia"/>
          <w:color w:val="auto"/>
          <w:highlight w:val="none"/>
        </w:rPr>
        <w:t>整流器的交流电源输入回路应设置空气断路器。</w:t>
      </w:r>
    </w:p>
    <w:p>
      <w:pPr>
        <w:ind w:firstLine="420"/>
        <w:rPr>
          <w:rFonts w:hint="eastAsia"/>
          <w:color w:val="auto"/>
          <w:highlight w:val="none"/>
        </w:rPr>
      </w:pPr>
      <w:r>
        <w:rPr>
          <w:rFonts w:hint="eastAsia"/>
          <w:color w:val="auto"/>
          <w:highlight w:val="none"/>
        </w:rPr>
        <w:t>整流器应有涌流抑制功能。</w:t>
      </w:r>
    </w:p>
    <w:p>
      <w:pPr>
        <w:ind w:firstLine="420"/>
        <w:rPr>
          <w:rFonts w:hint="eastAsia"/>
          <w:color w:val="auto"/>
          <w:highlight w:val="none"/>
        </w:rPr>
      </w:pPr>
      <w:r>
        <w:rPr>
          <w:rFonts w:hint="eastAsia"/>
          <w:color w:val="auto"/>
          <w:highlight w:val="none"/>
        </w:rPr>
        <w:t>整流器的容量应按带逆变器静态负荷来选择。</w:t>
      </w:r>
    </w:p>
    <w:p>
      <w:pPr>
        <w:ind w:firstLine="420"/>
        <w:rPr>
          <w:rFonts w:hint="eastAsia"/>
          <w:color w:val="auto"/>
          <w:highlight w:val="none"/>
        </w:rPr>
      </w:pPr>
      <w:bookmarkStart w:id="293" w:name="_Toc252568494"/>
      <w:bookmarkStart w:id="294" w:name="_Toc247776339"/>
      <w:r>
        <w:rPr>
          <w:rFonts w:hint="eastAsia" w:ascii="Calibri" w:eastAsia="宋体"/>
          <w:color w:val="auto"/>
          <w:highlight w:val="none"/>
          <w:lang w:val="en-US" w:eastAsia="zh-CN"/>
        </w:rPr>
        <w:t>5、</w:t>
      </w:r>
      <w:r>
        <w:rPr>
          <w:rFonts w:hint="eastAsia"/>
          <w:color w:val="auto"/>
          <w:highlight w:val="none"/>
        </w:rPr>
        <w:t>逆变器</w:t>
      </w:r>
      <w:bookmarkEnd w:id="293"/>
      <w:bookmarkEnd w:id="294"/>
    </w:p>
    <w:p>
      <w:pPr>
        <w:ind w:firstLine="420"/>
        <w:rPr>
          <w:rFonts w:hint="eastAsia"/>
          <w:color w:val="auto"/>
          <w:highlight w:val="none"/>
        </w:rPr>
      </w:pPr>
      <w:bookmarkStart w:id="295" w:name="_Toc199562602"/>
      <w:r>
        <w:rPr>
          <w:rFonts w:hint="eastAsia"/>
          <w:color w:val="auto"/>
          <w:highlight w:val="none"/>
        </w:rPr>
        <w:t>逆变器的输入来自经过整流器整流后的直流电源和所用直流电源。旁路交流电源正常时，逆变器输出频率保持与旁路交流电源同步，若旁路交流电源的频率和电压偏差超过逆变器容差允许值时，同步回路应自动关断，逆变器则按其内部基准频率运行，直至旁路交流电源恢复至逆变器容差允许范围内时再与其保持同步。</w:t>
      </w:r>
    </w:p>
    <w:p>
      <w:pPr>
        <w:ind w:firstLine="420"/>
        <w:rPr>
          <w:rFonts w:hint="eastAsia"/>
          <w:color w:val="auto"/>
          <w:highlight w:val="none"/>
        </w:rPr>
      </w:pPr>
      <w:r>
        <w:rPr>
          <w:rFonts w:hint="eastAsia"/>
          <w:color w:val="auto"/>
          <w:highlight w:val="none"/>
        </w:rPr>
        <w:t>额定功率因数下，负载在0～100%范围内按±20%增/减时，UPS稳态输出电压不应超过±3%。逆变器在功率因数0.7～0.9运行时，最大冲击负荷为额定值的1.5倍时，应能承受60s。</w:t>
      </w:r>
    </w:p>
    <w:p>
      <w:pPr>
        <w:ind w:firstLine="420"/>
        <w:rPr>
          <w:rFonts w:hint="eastAsia"/>
          <w:color w:val="auto"/>
          <w:highlight w:val="none"/>
        </w:rPr>
      </w:pPr>
      <w:r>
        <w:rPr>
          <w:rFonts w:hint="eastAsia"/>
          <w:color w:val="auto"/>
          <w:highlight w:val="none"/>
        </w:rPr>
        <w:t>逆变器应具有过电流保护特性。UPS的过电流保护应能保证在负荷发生短路或电流超过允许的极限值时及时动作，使其免受浪涌电流的损伤。</w:t>
      </w:r>
    </w:p>
    <w:bookmarkEnd w:id="295"/>
    <w:p>
      <w:pPr>
        <w:ind w:firstLine="420"/>
        <w:rPr>
          <w:rFonts w:hint="eastAsia"/>
          <w:color w:val="auto"/>
          <w:highlight w:val="none"/>
        </w:rPr>
      </w:pPr>
      <w:bookmarkStart w:id="296" w:name="_Toc252568495"/>
      <w:bookmarkStart w:id="297" w:name="_Toc247776340"/>
      <w:r>
        <w:rPr>
          <w:rFonts w:hint="eastAsia" w:ascii="Calibri" w:eastAsia="宋体"/>
          <w:color w:val="auto"/>
          <w:highlight w:val="none"/>
          <w:lang w:val="en-US" w:eastAsia="zh-CN"/>
        </w:rPr>
        <w:t>7、</w:t>
      </w:r>
      <w:r>
        <w:rPr>
          <w:rFonts w:hint="eastAsia"/>
          <w:color w:val="auto"/>
          <w:highlight w:val="none"/>
        </w:rPr>
        <w:t>静态开关</w:t>
      </w:r>
      <w:bookmarkEnd w:id="296"/>
      <w:bookmarkEnd w:id="297"/>
    </w:p>
    <w:p>
      <w:pPr>
        <w:ind w:firstLine="420"/>
        <w:rPr>
          <w:rFonts w:hint="eastAsia"/>
          <w:color w:val="auto"/>
          <w:highlight w:val="none"/>
        </w:rPr>
      </w:pPr>
      <w:bookmarkStart w:id="298" w:name="_Toc199562603"/>
      <w:r>
        <w:rPr>
          <w:rFonts w:hint="eastAsia" w:ascii="Calibri" w:eastAsia="宋体"/>
          <w:color w:val="auto"/>
          <w:highlight w:val="none"/>
          <w:lang w:val="en-US" w:eastAsia="zh-CN"/>
        </w:rPr>
        <w:t>1）</w:t>
      </w:r>
      <w:r>
        <w:rPr>
          <w:rFonts w:hint="eastAsia"/>
          <w:color w:val="auto"/>
          <w:highlight w:val="none"/>
        </w:rPr>
        <w:t>静态开关的切换时间特性：切换时间，≤4ms；切换方式，自动。</w:t>
      </w:r>
    </w:p>
    <w:p>
      <w:pPr>
        <w:ind w:firstLine="420"/>
        <w:rPr>
          <w:rFonts w:hint="eastAsia"/>
          <w:color w:val="auto"/>
          <w:highlight w:val="none"/>
        </w:rPr>
      </w:pPr>
      <w:r>
        <w:rPr>
          <w:rFonts w:hint="eastAsia" w:ascii="Calibri" w:eastAsia="宋体"/>
          <w:color w:val="auto"/>
          <w:highlight w:val="none"/>
          <w:lang w:val="en-US" w:eastAsia="zh-CN"/>
        </w:rPr>
        <w:t>2）</w:t>
      </w:r>
      <w:r>
        <w:rPr>
          <w:rFonts w:hint="eastAsia"/>
          <w:color w:val="auto"/>
          <w:highlight w:val="none"/>
        </w:rPr>
        <w:t>当UPS逆变器故障或输入交、直流电源失去时，能将负载无间断地切换至旁路交流电源。在旁路运行方式下，UPS装置应设计为易于维护和拆装，且对负载的供电不中断。</w:t>
      </w:r>
    </w:p>
    <w:p>
      <w:pPr>
        <w:ind w:firstLine="420"/>
        <w:rPr>
          <w:rFonts w:hint="eastAsia"/>
          <w:color w:val="auto"/>
          <w:highlight w:val="none"/>
        </w:rPr>
      </w:pPr>
      <w:r>
        <w:rPr>
          <w:rFonts w:hint="eastAsia" w:ascii="Calibri" w:eastAsia="宋体"/>
          <w:color w:val="auto"/>
          <w:highlight w:val="none"/>
          <w:lang w:val="en-US" w:eastAsia="zh-CN"/>
        </w:rPr>
        <w:t>3）</w:t>
      </w:r>
      <w:r>
        <w:rPr>
          <w:rFonts w:hint="eastAsia"/>
          <w:color w:val="auto"/>
          <w:highlight w:val="none"/>
        </w:rPr>
        <w:t>UPS过载时，静态开关应能按过载能力的规定自动将电源切换至由旁路交流电源供电。当负载由逆变器切换到旁路时，旁路电压必须正常；由旁路切换至逆变器时，不应有相位的突变。</w:t>
      </w:r>
    </w:p>
    <w:p>
      <w:pPr>
        <w:ind w:firstLine="420"/>
        <w:rPr>
          <w:rFonts w:hint="eastAsia"/>
          <w:color w:val="auto"/>
          <w:highlight w:val="none"/>
        </w:rPr>
      </w:pPr>
      <w:r>
        <w:rPr>
          <w:rFonts w:hint="eastAsia" w:ascii="Calibri" w:eastAsia="宋体"/>
          <w:color w:val="auto"/>
          <w:highlight w:val="none"/>
          <w:lang w:val="en-US" w:eastAsia="zh-CN"/>
        </w:rPr>
        <w:t>4）</w:t>
      </w:r>
      <w:r>
        <w:rPr>
          <w:rFonts w:hint="eastAsia"/>
          <w:color w:val="auto"/>
          <w:highlight w:val="none"/>
        </w:rPr>
        <w:t>任何条件导致UPS输出电压异常，如UPS故障、馈出支路短路等，若旁路电压正常，应立即切换到旁路供电。</w:t>
      </w:r>
    </w:p>
    <w:bookmarkEnd w:id="298"/>
    <w:p>
      <w:pPr>
        <w:ind w:firstLine="420"/>
        <w:rPr>
          <w:rFonts w:hint="eastAsia"/>
          <w:color w:val="auto"/>
          <w:highlight w:val="none"/>
        </w:rPr>
      </w:pPr>
      <w:bookmarkStart w:id="299" w:name="_Toc247776341"/>
      <w:bookmarkStart w:id="300" w:name="_Toc252568496"/>
      <w:r>
        <w:rPr>
          <w:rFonts w:hint="eastAsia" w:ascii="Calibri" w:eastAsia="宋体"/>
          <w:color w:val="auto"/>
          <w:highlight w:val="none"/>
          <w:lang w:val="en-US" w:eastAsia="zh-CN"/>
        </w:rPr>
        <w:t>8、</w:t>
      </w:r>
      <w:r>
        <w:rPr>
          <w:rFonts w:hint="eastAsia"/>
          <w:color w:val="auto"/>
          <w:highlight w:val="none"/>
        </w:rPr>
        <w:t>手动旁路开关</w:t>
      </w:r>
      <w:bookmarkEnd w:id="299"/>
      <w:bookmarkEnd w:id="300"/>
      <w:r>
        <w:rPr>
          <w:rFonts w:hint="eastAsia"/>
          <w:color w:val="auto"/>
          <w:highlight w:val="none"/>
        </w:rPr>
        <w:t xml:space="preserve"> </w:t>
      </w:r>
    </w:p>
    <w:p>
      <w:pPr>
        <w:ind w:firstLine="420"/>
        <w:rPr>
          <w:rFonts w:hint="eastAsia"/>
          <w:color w:val="auto"/>
          <w:highlight w:val="none"/>
        </w:rPr>
      </w:pPr>
      <w:r>
        <w:rPr>
          <w:rFonts w:hint="eastAsia" w:ascii="Calibri" w:eastAsia="宋体"/>
          <w:color w:val="auto"/>
          <w:highlight w:val="none"/>
          <w:lang w:val="en-US" w:eastAsia="zh-CN"/>
        </w:rPr>
        <w:t>1）</w:t>
      </w:r>
      <w:r>
        <w:rPr>
          <w:rFonts w:hint="eastAsia"/>
          <w:color w:val="auto"/>
          <w:highlight w:val="none"/>
        </w:rPr>
        <w:t>“正常”位置时负荷应接至逆变器，“旁路”位置时负荷应接至交流电源。切换时负载供电不能中断。</w:t>
      </w:r>
    </w:p>
    <w:p>
      <w:pPr>
        <w:ind w:firstLine="420"/>
        <w:rPr>
          <w:rFonts w:hint="eastAsia"/>
          <w:color w:val="auto"/>
          <w:highlight w:val="none"/>
        </w:rPr>
      </w:pPr>
      <w:r>
        <w:rPr>
          <w:rFonts w:hint="eastAsia" w:ascii="Calibri" w:eastAsia="宋体"/>
          <w:color w:val="auto"/>
          <w:highlight w:val="none"/>
          <w:lang w:val="en-US" w:eastAsia="zh-CN"/>
        </w:rPr>
        <w:t>2）</w:t>
      </w:r>
      <w:r>
        <w:rPr>
          <w:rFonts w:hint="eastAsia"/>
          <w:color w:val="auto"/>
          <w:highlight w:val="none"/>
        </w:rPr>
        <w:t>手动旁路开关应能将负荷由逆变器输出切换至旁路交流电源供电，在旁路侧应加隔离变压器。当负荷由旁路交流供电时，应允许对整流器、逆变器和静态开关进行检修和维护。</w:t>
      </w:r>
    </w:p>
    <w:p>
      <w:pPr>
        <w:pStyle w:val="5"/>
        <w:rPr>
          <w:color w:val="auto"/>
          <w:highlight w:val="none"/>
          <w:lang w:eastAsia="zh-CN"/>
        </w:rPr>
      </w:pPr>
      <w:bookmarkStart w:id="301" w:name="_Toc252568497"/>
      <w:bookmarkStart w:id="302" w:name="_Toc256337243"/>
      <w:bookmarkStart w:id="303" w:name="_Toc4532"/>
      <w:bookmarkStart w:id="304" w:name="_Toc527738410"/>
      <w:r>
        <w:rPr>
          <w:rFonts w:hint="eastAsia"/>
          <w:color w:val="auto"/>
          <w:lang w:val="en-US" w:eastAsia="zh-CN"/>
        </w:rPr>
        <w:t>10.8.3</w:t>
      </w:r>
      <w:r>
        <w:rPr>
          <w:color w:val="auto"/>
          <w:lang w:eastAsia="zh-CN"/>
        </w:rPr>
        <w:t>一体化电源监控</w:t>
      </w:r>
      <w:bookmarkEnd w:id="301"/>
      <w:bookmarkEnd w:id="302"/>
      <w:bookmarkEnd w:id="303"/>
      <w:bookmarkEnd w:id="304"/>
    </w:p>
    <w:p>
      <w:pPr>
        <w:ind w:firstLine="420"/>
        <w:rPr>
          <w:rFonts w:hint="eastAsia"/>
          <w:color w:val="auto"/>
          <w:highlight w:val="none"/>
        </w:rPr>
      </w:pPr>
      <w:r>
        <w:rPr>
          <w:rFonts w:hint="eastAsia"/>
          <w:color w:val="auto"/>
          <w:highlight w:val="none"/>
        </w:rPr>
        <w:t>一体化电源监控装置是管理变电站交流系统、直流系统、UPS、通信电源、逆变电源等站内电源系统的综合监控，计算机监控和一体化电源监控通信实现对电站电源系统的三遥功能。</w:t>
      </w:r>
    </w:p>
    <w:p>
      <w:pPr>
        <w:ind w:firstLine="420"/>
        <w:rPr>
          <w:rFonts w:hint="eastAsia"/>
          <w:color w:val="auto"/>
          <w:highlight w:val="none"/>
        </w:rPr>
      </w:pPr>
      <w:bookmarkStart w:id="305" w:name="_Toc252568498"/>
      <w:r>
        <w:rPr>
          <w:rFonts w:hint="eastAsia" w:ascii="Calibri" w:eastAsia="宋体"/>
          <w:color w:val="auto"/>
          <w:highlight w:val="none"/>
          <w:lang w:val="en-US" w:eastAsia="zh-CN"/>
        </w:rPr>
        <w:t>1、</w:t>
      </w:r>
      <w:r>
        <w:rPr>
          <w:rFonts w:hint="eastAsia"/>
          <w:color w:val="auto"/>
          <w:highlight w:val="none"/>
        </w:rPr>
        <w:t>显示界面</w:t>
      </w:r>
      <w:bookmarkEnd w:id="305"/>
    </w:p>
    <w:p>
      <w:pPr>
        <w:ind w:firstLine="420"/>
        <w:rPr>
          <w:rFonts w:hint="eastAsia"/>
          <w:color w:val="auto"/>
          <w:highlight w:val="none"/>
        </w:rPr>
      </w:pPr>
      <w:r>
        <w:rPr>
          <w:rFonts w:hint="eastAsia" w:eastAsia="宋体"/>
          <w:color w:val="auto"/>
          <w:highlight w:val="none"/>
          <w:lang w:eastAsia="zh-CN"/>
        </w:rPr>
        <w:t>（</w:t>
      </w:r>
      <w:r>
        <w:rPr>
          <w:rFonts w:hint="eastAsia" w:ascii="Calibri" w:eastAsia="宋体"/>
          <w:color w:val="auto"/>
          <w:highlight w:val="none"/>
          <w:lang w:val="en-US" w:eastAsia="zh-CN"/>
        </w:rPr>
        <w:t>1</w:t>
      </w:r>
      <w:r>
        <w:rPr>
          <w:rFonts w:hint="eastAsia" w:eastAsia="宋体"/>
          <w:color w:val="auto"/>
          <w:highlight w:val="none"/>
          <w:lang w:eastAsia="zh-CN"/>
        </w:rPr>
        <w:t>）</w:t>
      </w:r>
      <w:r>
        <w:rPr>
          <w:rFonts w:hint="eastAsia"/>
          <w:color w:val="auto"/>
          <w:highlight w:val="none"/>
        </w:rPr>
        <w:t>主界面</w:t>
      </w:r>
    </w:p>
    <w:p>
      <w:pPr>
        <w:ind w:firstLine="420"/>
        <w:rPr>
          <w:rFonts w:hint="eastAsia"/>
          <w:color w:val="auto"/>
          <w:highlight w:val="none"/>
        </w:rPr>
      </w:pPr>
      <w:r>
        <w:rPr>
          <w:rFonts w:hint="eastAsia"/>
          <w:color w:val="auto"/>
          <w:highlight w:val="none"/>
        </w:rPr>
        <w:t>主界面以单线图的方式显示数字化管理系统所管理的电源系统的主接线图，正确反映各种电源装置之间的接线关系，图中的开关、智能单元等符号应符合GB/T 4728.7的规定，所有文字显示均应为中文。开关位置、各智能单元的状态及母线电压、电流应为实时信息。</w:t>
      </w:r>
    </w:p>
    <w:p>
      <w:pPr>
        <w:ind w:firstLine="420"/>
        <w:rPr>
          <w:rFonts w:hint="eastAsia"/>
          <w:color w:val="auto"/>
          <w:highlight w:val="none"/>
        </w:rPr>
      </w:pPr>
      <w:r>
        <w:rPr>
          <w:rFonts w:hint="eastAsia" w:eastAsia="宋体"/>
          <w:color w:val="auto"/>
          <w:highlight w:val="none"/>
          <w:lang w:eastAsia="zh-CN"/>
        </w:rPr>
        <w:t>（</w:t>
      </w:r>
      <w:r>
        <w:rPr>
          <w:rFonts w:hint="eastAsia" w:ascii="Calibri" w:eastAsia="宋体"/>
          <w:color w:val="auto"/>
          <w:highlight w:val="none"/>
          <w:lang w:val="en-US" w:eastAsia="zh-CN"/>
        </w:rPr>
        <w:t>2</w:t>
      </w:r>
      <w:r>
        <w:rPr>
          <w:rFonts w:hint="eastAsia" w:eastAsia="宋体"/>
          <w:color w:val="auto"/>
          <w:highlight w:val="none"/>
          <w:lang w:eastAsia="zh-CN"/>
        </w:rPr>
        <w:t>）</w:t>
      </w:r>
      <w:r>
        <w:rPr>
          <w:rFonts w:hint="eastAsia"/>
          <w:color w:val="auto"/>
          <w:highlight w:val="none"/>
        </w:rPr>
        <w:t>子界面</w:t>
      </w:r>
    </w:p>
    <w:p>
      <w:pPr>
        <w:ind w:firstLine="420"/>
        <w:rPr>
          <w:rFonts w:hint="eastAsia"/>
          <w:color w:val="auto"/>
          <w:highlight w:val="none"/>
        </w:rPr>
      </w:pPr>
      <w:r>
        <w:rPr>
          <w:rFonts w:hint="eastAsia"/>
          <w:color w:val="auto"/>
          <w:highlight w:val="none"/>
        </w:rPr>
        <w:t>各种电源装置均有独立的子界面，以模拟图的方式显示较详细的电气主接线图，电气符号应符合GB/T 4728.7的规定，所有文字显示均应为中文。根据复杂程度的不同，子界面可以分成多级。界面中显示的信息均应是实时的。</w:t>
      </w:r>
    </w:p>
    <w:p>
      <w:pPr>
        <w:ind w:firstLine="420"/>
        <w:rPr>
          <w:rFonts w:hint="eastAsia"/>
          <w:color w:val="auto"/>
          <w:highlight w:val="none"/>
        </w:rPr>
      </w:pPr>
      <w:r>
        <w:rPr>
          <w:rFonts w:hint="eastAsia" w:eastAsia="宋体"/>
          <w:color w:val="auto"/>
          <w:highlight w:val="none"/>
          <w:lang w:eastAsia="zh-CN"/>
        </w:rPr>
        <w:t>（</w:t>
      </w:r>
      <w:r>
        <w:rPr>
          <w:rFonts w:hint="eastAsia" w:ascii="Calibri" w:eastAsia="宋体"/>
          <w:color w:val="auto"/>
          <w:highlight w:val="none"/>
          <w:lang w:val="en-US" w:eastAsia="zh-CN"/>
        </w:rPr>
        <w:t>3</w:t>
      </w:r>
      <w:r>
        <w:rPr>
          <w:rFonts w:hint="eastAsia" w:eastAsia="宋体"/>
          <w:color w:val="auto"/>
          <w:highlight w:val="none"/>
          <w:lang w:eastAsia="zh-CN"/>
        </w:rPr>
        <w:t>）</w:t>
      </w:r>
      <w:r>
        <w:rPr>
          <w:rFonts w:hint="eastAsia"/>
          <w:color w:val="auto"/>
          <w:highlight w:val="none"/>
        </w:rPr>
        <w:t>列表信息</w:t>
      </w:r>
    </w:p>
    <w:p>
      <w:pPr>
        <w:ind w:firstLine="420"/>
        <w:rPr>
          <w:rFonts w:hint="eastAsia"/>
          <w:color w:val="auto"/>
          <w:highlight w:val="none"/>
        </w:rPr>
      </w:pPr>
      <w:r>
        <w:rPr>
          <w:rFonts w:hint="eastAsia"/>
          <w:color w:val="auto"/>
          <w:highlight w:val="none"/>
        </w:rPr>
        <w:t>对于信息量较大的电源系统，可采用模拟图与列表相结合的方式显示各种模拟量和状态量，所有文字显示均应为中文。画面响应时间如下：</w:t>
      </w:r>
    </w:p>
    <w:p>
      <w:pPr>
        <w:ind w:firstLine="420"/>
        <w:rPr>
          <w:rFonts w:hint="eastAsia"/>
          <w:color w:val="auto"/>
          <w:highlight w:val="none"/>
        </w:rPr>
      </w:pPr>
      <w:r>
        <w:rPr>
          <w:rFonts w:hint="eastAsia"/>
          <w:color w:val="auto"/>
          <w:highlight w:val="none"/>
        </w:rPr>
        <w:t>1）画面调用响应时间不大于2s。</w:t>
      </w:r>
    </w:p>
    <w:p>
      <w:pPr>
        <w:ind w:firstLine="420"/>
        <w:rPr>
          <w:rFonts w:hint="eastAsia"/>
          <w:color w:val="auto"/>
          <w:highlight w:val="none"/>
        </w:rPr>
      </w:pPr>
      <w:r>
        <w:rPr>
          <w:rFonts w:hint="eastAsia"/>
          <w:color w:val="auto"/>
          <w:highlight w:val="none"/>
        </w:rPr>
        <w:t>2）开关量信号输入至画面显示的响应时间不大于2s。</w:t>
      </w:r>
    </w:p>
    <w:p>
      <w:pPr>
        <w:ind w:firstLine="420"/>
        <w:rPr>
          <w:rFonts w:hint="eastAsia"/>
          <w:color w:val="auto"/>
          <w:highlight w:val="none"/>
        </w:rPr>
      </w:pPr>
      <w:r>
        <w:rPr>
          <w:rFonts w:hint="eastAsia"/>
          <w:color w:val="auto"/>
          <w:highlight w:val="none"/>
        </w:rPr>
        <w:t>3）由串行通信输入的信号至画面显示的响应时间不大于3s。</w:t>
      </w:r>
    </w:p>
    <w:p>
      <w:pPr>
        <w:ind w:firstLine="420"/>
        <w:rPr>
          <w:rFonts w:hint="eastAsia"/>
          <w:color w:val="auto"/>
          <w:highlight w:val="none"/>
        </w:rPr>
      </w:pPr>
      <w:bookmarkStart w:id="306" w:name="_Toc252568499"/>
      <w:r>
        <w:rPr>
          <w:rFonts w:hint="eastAsia" w:eastAsia="宋体"/>
          <w:color w:val="auto"/>
          <w:highlight w:val="none"/>
          <w:lang w:eastAsia="zh-CN"/>
        </w:rPr>
        <w:t>（</w:t>
      </w:r>
      <w:r>
        <w:rPr>
          <w:rFonts w:hint="eastAsia" w:ascii="Calibri" w:eastAsia="宋体"/>
          <w:color w:val="auto"/>
          <w:highlight w:val="none"/>
          <w:lang w:val="en-US" w:eastAsia="zh-CN"/>
        </w:rPr>
        <w:t>4</w:t>
      </w:r>
      <w:r>
        <w:rPr>
          <w:rFonts w:hint="eastAsia" w:eastAsia="宋体"/>
          <w:color w:val="auto"/>
          <w:highlight w:val="none"/>
          <w:lang w:eastAsia="zh-CN"/>
        </w:rPr>
        <w:t>）</w:t>
      </w:r>
      <w:r>
        <w:rPr>
          <w:rFonts w:hint="eastAsia"/>
          <w:color w:val="auto"/>
          <w:highlight w:val="none"/>
        </w:rPr>
        <w:t>事件记录</w:t>
      </w:r>
      <w:bookmarkEnd w:id="306"/>
    </w:p>
    <w:p>
      <w:pPr>
        <w:ind w:firstLine="420"/>
        <w:rPr>
          <w:rFonts w:hint="eastAsia" w:eastAsia="宋体"/>
          <w:color w:val="auto"/>
          <w:highlight w:val="none"/>
          <w:lang w:eastAsia="zh-CN"/>
        </w:rPr>
      </w:pPr>
      <w:r>
        <w:rPr>
          <w:rFonts w:hint="eastAsia"/>
          <w:color w:val="auto"/>
          <w:highlight w:val="none"/>
        </w:rPr>
        <w:t>站用交流电源</w:t>
      </w:r>
      <w:r>
        <w:rPr>
          <w:rFonts w:hint="eastAsia" w:eastAsia="宋体"/>
          <w:color w:val="auto"/>
          <w:highlight w:val="none"/>
          <w:lang w:eastAsia="zh-CN"/>
        </w:rPr>
        <w:t>：</w:t>
      </w:r>
    </w:p>
    <w:p>
      <w:pPr>
        <w:ind w:firstLine="420"/>
        <w:rPr>
          <w:rFonts w:hint="eastAsia"/>
          <w:color w:val="auto"/>
          <w:highlight w:val="none"/>
        </w:rPr>
      </w:pPr>
      <w:r>
        <w:rPr>
          <w:rFonts w:hint="eastAsia"/>
          <w:color w:val="auto"/>
          <w:highlight w:val="none"/>
        </w:rPr>
        <w:t>1）交流输入故障记录，包括发生时间、持续时间，故障类型，如过电压、欠电压、缺相、三相不平衡和失电压等。</w:t>
      </w:r>
    </w:p>
    <w:p>
      <w:pPr>
        <w:ind w:firstLine="420"/>
        <w:rPr>
          <w:rFonts w:hint="eastAsia"/>
          <w:color w:val="auto"/>
          <w:highlight w:val="none"/>
        </w:rPr>
      </w:pPr>
      <w:r>
        <w:rPr>
          <w:rFonts w:hint="eastAsia"/>
          <w:color w:val="auto"/>
          <w:highlight w:val="none"/>
        </w:rPr>
        <w:t>2）交流屏内备自投开关（如ATS）位置记录，包括备自投开关在各种位置的运行时间。</w:t>
      </w:r>
    </w:p>
    <w:p>
      <w:pPr>
        <w:ind w:firstLine="420"/>
        <w:rPr>
          <w:rFonts w:hint="eastAsia"/>
          <w:color w:val="auto"/>
          <w:highlight w:val="none"/>
        </w:rPr>
      </w:pPr>
      <w:r>
        <w:rPr>
          <w:rFonts w:hint="eastAsia"/>
          <w:color w:val="auto"/>
          <w:highlight w:val="none"/>
        </w:rPr>
        <w:t>3）备自投开关投切记录，投切原因，如遥控投切、手动投切、交流故障投切等。</w:t>
      </w:r>
    </w:p>
    <w:p>
      <w:pPr>
        <w:ind w:firstLine="420"/>
        <w:rPr>
          <w:rFonts w:hint="eastAsia"/>
          <w:color w:val="auto"/>
          <w:highlight w:val="none"/>
        </w:rPr>
      </w:pPr>
      <w:r>
        <w:rPr>
          <w:rFonts w:hint="eastAsia"/>
          <w:color w:val="auto"/>
          <w:highlight w:val="none"/>
        </w:rPr>
        <w:t>4）馈线开关脱扣记录。</w:t>
      </w:r>
    </w:p>
    <w:p>
      <w:pPr>
        <w:ind w:firstLine="420"/>
        <w:rPr>
          <w:rFonts w:hint="eastAsia" w:eastAsia="宋体"/>
          <w:color w:val="auto"/>
          <w:highlight w:val="none"/>
          <w:lang w:eastAsia="zh-CN"/>
        </w:rPr>
      </w:pPr>
      <w:r>
        <w:rPr>
          <w:rFonts w:hint="eastAsia"/>
          <w:color w:val="auto"/>
          <w:highlight w:val="none"/>
        </w:rPr>
        <w:t>直流电源</w:t>
      </w:r>
      <w:r>
        <w:rPr>
          <w:rFonts w:hint="eastAsia" w:eastAsia="宋体"/>
          <w:color w:val="auto"/>
          <w:highlight w:val="none"/>
          <w:lang w:eastAsia="zh-CN"/>
        </w:rPr>
        <w:t>：</w:t>
      </w:r>
    </w:p>
    <w:p>
      <w:pPr>
        <w:ind w:firstLine="420"/>
        <w:rPr>
          <w:rFonts w:hint="eastAsia"/>
          <w:color w:val="auto"/>
          <w:highlight w:val="none"/>
        </w:rPr>
      </w:pPr>
      <w:r>
        <w:rPr>
          <w:rFonts w:hint="eastAsia"/>
          <w:color w:val="auto"/>
          <w:highlight w:val="none"/>
        </w:rPr>
        <w:t>1）直流屏包括DC 220V。</w:t>
      </w:r>
    </w:p>
    <w:p>
      <w:pPr>
        <w:ind w:firstLine="420"/>
        <w:rPr>
          <w:rFonts w:hint="eastAsia"/>
          <w:color w:val="auto"/>
          <w:highlight w:val="none"/>
        </w:rPr>
      </w:pPr>
      <w:r>
        <w:rPr>
          <w:rFonts w:hint="eastAsia"/>
          <w:color w:val="auto"/>
          <w:highlight w:val="none"/>
        </w:rPr>
        <w:t>2）直流屏内交流备自投开关位置记录。</w:t>
      </w:r>
    </w:p>
    <w:p>
      <w:pPr>
        <w:ind w:firstLine="420"/>
        <w:rPr>
          <w:rFonts w:hint="eastAsia"/>
          <w:color w:val="auto"/>
          <w:highlight w:val="none"/>
        </w:rPr>
      </w:pPr>
      <w:r>
        <w:rPr>
          <w:rFonts w:hint="eastAsia"/>
          <w:color w:val="auto"/>
          <w:highlight w:val="none"/>
        </w:rPr>
        <w:t>3）交流输入电压故障记录。</w:t>
      </w:r>
    </w:p>
    <w:p>
      <w:pPr>
        <w:ind w:firstLine="420"/>
        <w:rPr>
          <w:rFonts w:hint="eastAsia"/>
          <w:color w:val="auto"/>
          <w:highlight w:val="none"/>
        </w:rPr>
      </w:pPr>
      <w:r>
        <w:rPr>
          <w:rFonts w:hint="eastAsia"/>
          <w:color w:val="auto"/>
          <w:highlight w:val="none"/>
        </w:rPr>
        <w:t>4）充电机输出开关位置、脱扣（或熔断器熔断）记录。</w:t>
      </w:r>
    </w:p>
    <w:p>
      <w:pPr>
        <w:ind w:firstLine="420"/>
        <w:rPr>
          <w:rFonts w:hint="eastAsia"/>
          <w:color w:val="auto"/>
          <w:highlight w:val="none"/>
        </w:rPr>
      </w:pPr>
      <w:r>
        <w:rPr>
          <w:rFonts w:hint="eastAsia"/>
          <w:color w:val="auto"/>
          <w:highlight w:val="none"/>
        </w:rPr>
        <w:t>5）蓄电池进线开关位置、脱扣（或熔断器熔断）记录。</w:t>
      </w:r>
    </w:p>
    <w:p>
      <w:pPr>
        <w:ind w:firstLine="420"/>
        <w:rPr>
          <w:rFonts w:hint="eastAsia"/>
          <w:color w:val="auto"/>
          <w:highlight w:val="none"/>
        </w:rPr>
      </w:pPr>
      <w:r>
        <w:rPr>
          <w:rFonts w:hint="eastAsia"/>
          <w:color w:val="auto"/>
          <w:highlight w:val="none"/>
        </w:rPr>
        <w:t>6）母线联络开关位置记录。</w:t>
      </w:r>
    </w:p>
    <w:p>
      <w:pPr>
        <w:ind w:firstLine="420"/>
        <w:rPr>
          <w:rFonts w:hint="eastAsia"/>
          <w:color w:val="auto"/>
          <w:highlight w:val="none"/>
        </w:rPr>
      </w:pPr>
      <w:r>
        <w:rPr>
          <w:rFonts w:hint="eastAsia"/>
          <w:color w:val="auto"/>
          <w:highlight w:val="none"/>
        </w:rPr>
        <w:t>7）直流母线电压异常记录，记录母线电压异常的持续时间。</w:t>
      </w:r>
    </w:p>
    <w:p>
      <w:pPr>
        <w:ind w:firstLine="420"/>
        <w:rPr>
          <w:rFonts w:hint="eastAsia"/>
          <w:color w:val="auto"/>
          <w:highlight w:val="none"/>
        </w:rPr>
      </w:pPr>
      <w:r>
        <w:rPr>
          <w:rFonts w:hint="eastAsia"/>
          <w:color w:val="auto"/>
          <w:highlight w:val="none"/>
        </w:rPr>
        <w:t>8）充电机浮充电压记录，稳态下每天记录一次交流输入电压（在允许波动范围内）最低和最高时，充电机在浮充状态下的输出电压，需同时记录温度补偿电压值。</w:t>
      </w:r>
    </w:p>
    <w:p>
      <w:pPr>
        <w:ind w:firstLine="420"/>
        <w:rPr>
          <w:rFonts w:hint="eastAsia"/>
          <w:color w:val="auto"/>
          <w:highlight w:val="none"/>
        </w:rPr>
      </w:pPr>
      <w:r>
        <w:rPr>
          <w:rFonts w:hint="eastAsia"/>
          <w:color w:val="auto"/>
          <w:highlight w:val="none"/>
        </w:rPr>
        <w:t>9）电模块故障记录。</w:t>
      </w:r>
    </w:p>
    <w:p>
      <w:pPr>
        <w:ind w:firstLine="420"/>
        <w:rPr>
          <w:rFonts w:hint="eastAsia"/>
          <w:color w:val="auto"/>
          <w:highlight w:val="none"/>
        </w:rPr>
      </w:pPr>
      <w:r>
        <w:rPr>
          <w:rFonts w:hint="eastAsia"/>
          <w:color w:val="auto"/>
          <w:highlight w:val="none"/>
        </w:rPr>
        <w:t>10）各充电模块输出电流记录，稳态下每天记录一次。</w:t>
      </w:r>
    </w:p>
    <w:p>
      <w:pPr>
        <w:ind w:firstLine="420"/>
        <w:rPr>
          <w:rFonts w:hint="eastAsia"/>
          <w:color w:val="auto"/>
          <w:highlight w:val="none"/>
        </w:rPr>
      </w:pPr>
      <w:r>
        <w:rPr>
          <w:rFonts w:hint="eastAsia"/>
          <w:color w:val="auto"/>
          <w:highlight w:val="none"/>
        </w:rPr>
        <w:t>11）馈线开关脱扣记录。</w:t>
      </w:r>
    </w:p>
    <w:p>
      <w:pPr>
        <w:ind w:firstLine="420"/>
        <w:rPr>
          <w:rFonts w:hint="eastAsia"/>
          <w:color w:val="auto"/>
          <w:highlight w:val="none"/>
        </w:rPr>
      </w:pPr>
      <w:r>
        <w:rPr>
          <w:rFonts w:hint="eastAsia"/>
          <w:color w:val="auto"/>
          <w:highlight w:val="none"/>
        </w:rPr>
        <w:t>12）馈线开关变位记录。</w:t>
      </w:r>
    </w:p>
    <w:p>
      <w:pPr>
        <w:ind w:firstLine="420"/>
        <w:rPr>
          <w:rFonts w:hint="eastAsia"/>
          <w:color w:val="auto"/>
          <w:highlight w:val="none"/>
        </w:rPr>
      </w:pPr>
      <w:r>
        <w:rPr>
          <w:rFonts w:hint="eastAsia"/>
          <w:color w:val="auto"/>
          <w:highlight w:val="none"/>
        </w:rPr>
        <w:t>13）直流母线绝缘状况记录，记录每天的绝缘电阻最小值，以曲线形式表示。</w:t>
      </w:r>
    </w:p>
    <w:p>
      <w:pPr>
        <w:ind w:firstLine="420"/>
        <w:rPr>
          <w:rFonts w:hint="eastAsia"/>
          <w:color w:val="auto"/>
          <w:highlight w:val="none"/>
        </w:rPr>
      </w:pPr>
      <w:r>
        <w:rPr>
          <w:rFonts w:hint="eastAsia"/>
          <w:color w:val="auto"/>
          <w:highlight w:val="none"/>
        </w:rPr>
        <w:t>14）直流母线绝缘状况实时记录，保留最近一周的实时曲线。</w:t>
      </w:r>
    </w:p>
    <w:p>
      <w:pPr>
        <w:ind w:firstLine="420"/>
        <w:rPr>
          <w:rFonts w:hint="eastAsia"/>
          <w:color w:val="auto"/>
          <w:highlight w:val="none"/>
        </w:rPr>
      </w:pPr>
      <w:r>
        <w:rPr>
          <w:rFonts w:hint="eastAsia"/>
          <w:color w:val="auto"/>
          <w:highlight w:val="none"/>
        </w:rPr>
        <w:t>15）馈线支路绝缘故障记录。</w:t>
      </w:r>
    </w:p>
    <w:p>
      <w:pPr>
        <w:ind w:firstLine="420"/>
        <w:rPr>
          <w:rFonts w:hint="eastAsia"/>
          <w:color w:val="auto"/>
          <w:highlight w:val="none"/>
        </w:rPr>
      </w:pPr>
      <w:r>
        <w:rPr>
          <w:rFonts w:hint="eastAsia"/>
          <w:color w:val="auto"/>
          <w:highlight w:val="none"/>
        </w:rPr>
        <w:t>16）各种智能电子设备故障记录。</w:t>
      </w:r>
    </w:p>
    <w:p>
      <w:pPr>
        <w:ind w:firstLine="420"/>
        <w:rPr>
          <w:rFonts w:hint="eastAsia" w:eastAsia="宋体"/>
          <w:color w:val="auto"/>
          <w:highlight w:val="none"/>
          <w:lang w:eastAsia="zh-CN"/>
        </w:rPr>
      </w:pPr>
      <w:r>
        <w:rPr>
          <w:rFonts w:hint="eastAsia" w:eastAsia="宋体"/>
          <w:color w:val="auto"/>
          <w:highlight w:val="none"/>
          <w:lang w:eastAsia="zh-CN"/>
        </w:rPr>
        <w:t>（</w:t>
      </w:r>
      <w:r>
        <w:rPr>
          <w:rFonts w:hint="eastAsia" w:ascii="Calibri" w:eastAsia="宋体"/>
          <w:color w:val="auto"/>
          <w:highlight w:val="none"/>
          <w:lang w:val="en-US" w:eastAsia="zh-CN"/>
        </w:rPr>
        <w:t>5</w:t>
      </w:r>
      <w:r>
        <w:rPr>
          <w:rFonts w:hint="eastAsia" w:eastAsia="宋体"/>
          <w:color w:val="auto"/>
          <w:highlight w:val="none"/>
          <w:lang w:eastAsia="zh-CN"/>
        </w:rPr>
        <w:t>）</w:t>
      </w:r>
      <w:r>
        <w:rPr>
          <w:rFonts w:hint="eastAsia"/>
          <w:color w:val="auto"/>
          <w:highlight w:val="none"/>
        </w:rPr>
        <w:t>蓄电池</w:t>
      </w:r>
      <w:r>
        <w:rPr>
          <w:rFonts w:hint="eastAsia" w:eastAsia="宋体"/>
          <w:color w:val="auto"/>
          <w:highlight w:val="none"/>
          <w:lang w:eastAsia="zh-CN"/>
        </w:rPr>
        <w:t>：</w:t>
      </w:r>
    </w:p>
    <w:p>
      <w:pPr>
        <w:ind w:firstLine="420"/>
        <w:rPr>
          <w:rFonts w:hint="eastAsia"/>
          <w:color w:val="auto"/>
          <w:highlight w:val="none"/>
        </w:rPr>
      </w:pPr>
      <w:r>
        <w:rPr>
          <w:rFonts w:hint="eastAsia"/>
          <w:color w:val="auto"/>
          <w:highlight w:val="none"/>
        </w:rPr>
        <w:t>1）蓄电池初次投运的完整记录，包括均充后的各单节电池电压的均衡度。</w:t>
      </w:r>
    </w:p>
    <w:p>
      <w:pPr>
        <w:ind w:firstLine="420"/>
        <w:rPr>
          <w:rFonts w:hint="eastAsia"/>
          <w:color w:val="auto"/>
          <w:highlight w:val="none"/>
        </w:rPr>
      </w:pPr>
      <w:r>
        <w:rPr>
          <w:rFonts w:hint="eastAsia"/>
          <w:color w:val="auto"/>
          <w:highlight w:val="none"/>
        </w:rPr>
        <w:t>2）蓄电池浮充记录，记录连续浮充时间、浮充时的最大电流值每天记录一次。</w:t>
      </w:r>
    </w:p>
    <w:p>
      <w:pPr>
        <w:ind w:firstLine="420"/>
        <w:rPr>
          <w:rFonts w:hint="eastAsia"/>
          <w:color w:val="auto"/>
          <w:highlight w:val="none"/>
        </w:rPr>
      </w:pPr>
      <w:r>
        <w:rPr>
          <w:rFonts w:hint="eastAsia"/>
          <w:color w:val="auto"/>
          <w:highlight w:val="none"/>
        </w:rPr>
        <w:t>3）蓄电池均衡充电记录，记录均充开始时间、均充持续时间、实际的均充电流值（稳流状态）和均充电压值（稳压状态下）。</w:t>
      </w:r>
    </w:p>
    <w:p>
      <w:pPr>
        <w:ind w:firstLine="420"/>
        <w:rPr>
          <w:rFonts w:hint="eastAsia"/>
          <w:color w:val="auto"/>
          <w:highlight w:val="none"/>
        </w:rPr>
      </w:pPr>
      <w:r>
        <w:rPr>
          <w:rFonts w:hint="eastAsia"/>
          <w:color w:val="auto"/>
          <w:highlight w:val="none"/>
        </w:rPr>
        <w:t>4）蓄电池巡检装置运行状态记录。</w:t>
      </w:r>
    </w:p>
    <w:p>
      <w:pPr>
        <w:ind w:firstLine="420"/>
        <w:rPr>
          <w:rFonts w:hint="eastAsia"/>
          <w:color w:val="auto"/>
          <w:highlight w:val="none"/>
        </w:rPr>
      </w:pPr>
      <w:r>
        <w:rPr>
          <w:rFonts w:hint="eastAsia" w:eastAsia="宋体"/>
          <w:color w:val="auto"/>
          <w:highlight w:val="none"/>
          <w:lang w:eastAsia="zh-CN"/>
        </w:rPr>
        <w:t>（</w:t>
      </w:r>
      <w:r>
        <w:rPr>
          <w:rFonts w:hint="eastAsia" w:ascii="Calibri" w:eastAsia="宋体"/>
          <w:color w:val="auto"/>
          <w:highlight w:val="none"/>
          <w:lang w:val="en-US" w:eastAsia="zh-CN"/>
        </w:rPr>
        <w:t>6</w:t>
      </w:r>
      <w:r>
        <w:rPr>
          <w:rFonts w:hint="eastAsia" w:eastAsia="宋体"/>
          <w:color w:val="auto"/>
          <w:highlight w:val="none"/>
          <w:lang w:eastAsia="zh-CN"/>
        </w:rPr>
        <w:t>）</w:t>
      </w:r>
      <w:r>
        <w:rPr>
          <w:rFonts w:hint="eastAsia"/>
          <w:color w:val="auto"/>
          <w:highlight w:val="none"/>
        </w:rPr>
        <w:t>UPS</w:t>
      </w:r>
      <w:r>
        <w:rPr>
          <w:rFonts w:hint="eastAsia" w:eastAsia="宋体"/>
          <w:color w:val="auto"/>
          <w:highlight w:val="none"/>
          <w:lang w:eastAsia="zh-CN"/>
        </w:rPr>
        <w:t>：</w:t>
      </w:r>
      <w:r>
        <w:rPr>
          <w:rFonts w:hint="eastAsia"/>
          <w:color w:val="auto"/>
          <w:highlight w:val="none"/>
        </w:rPr>
        <w:t xml:space="preserve"> </w:t>
      </w:r>
    </w:p>
    <w:p>
      <w:pPr>
        <w:ind w:firstLine="420"/>
        <w:rPr>
          <w:rFonts w:hint="eastAsia"/>
          <w:color w:val="auto"/>
          <w:highlight w:val="none"/>
        </w:rPr>
      </w:pPr>
      <w:r>
        <w:rPr>
          <w:rFonts w:hint="eastAsia"/>
          <w:color w:val="auto"/>
          <w:highlight w:val="none"/>
        </w:rPr>
        <w:t>1）UPS屏内交流输入备自投开关位置记录。</w:t>
      </w:r>
    </w:p>
    <w:p>
      <w:pPr>
        <w:ind w:firstLine="420"/>
        <w:rPr>
          <w:rFonts w:hint="eastAsia"/>
          <w:color w:val="auto"/>
          <w:highlight w:val="none"/>
        </w:rPr>
      </w:pPr>
      <w:r>
        <w:rPr>
          <w:rFonts w:hint="eastAsia"/>
          <w:color w:val="auto"/>
          <w:highlight w:val="none"/>
        </w:rPr>
        <w:t>2）交流输入电压故障记录。</w:t>
      </w:r>
    </w:p>
    <w:p>
      <w:pPr>
        <w:ind w:firstLine="420"/>
        <w:rPr>
          <w:rFonts w:hint="eastAsia"/>
          <w:color w:val="auto"/>
          <w:highlight w:val="none"/>
        </w:rPr>
      </w:pPr>
      <w:r>
        <w:rPr>
          <w:rFonts w:hint="eastAsia"/>
          <w:color w:val="auto"/>
          <w:highlight w:val="none"/>
        </w:rPr>
        <w:t>3）直流输入电压故障记录。</w:t>
      </w:r>
    </w:p>
    <w:p>
      <w:pPr>
        <w:ind w:firstLine="420"/>
        <w:rPr>
          <w:rFonts w:hint="eastAsia"/>
          <w:color w:val="auto"/>
          <w:highlight w:val="none"/>
        </w:rPr>
      </w:pPr>
      <w:r>
        <w:rPr>
          <w:rFonts w:hint="eastAsia"/>
          <w:color w:val="auto"/>
          <w:highlight w:val="none"/>
        </w:rPr>
        <w:t>4）UPS输出开关位置、脱扣记录。</w:t>
      </w:r>
    </w:p>
    <w:p>
      <w:pPr>
        <w:ind w:firstLine="420"/>
        <w:rPr>
          <w:rFonts w:hint="eastAsia"/>
          <w:color w:val="auto"/>
          <w:highlight w:val="none"/>
        </w:rPr>
      </w:pPr>
      <w:r>
        <w:rPr>
          <w:rFonts w:hint="eastAsia"/>
          <w:color w:val="auto"/>
          <w:highlight w:val="none"/>
        </w:rPr>
        <w:t>5）直流输入开关位置、脱扣记录。</w:t>
      </w:r>
    </w:p>
    <w:p>
      <w:pPr>
        <w:ind w:firstLine="420"/>
        <w:rPr>
          <w:rFonts w:hint="eastAsia"/>
          <w:color w:val="auto"/>
          <w:highlight w:val="none"/>
        </w:rPr>
      </w:pPr>
      <w:r>
        <w:rPr>
          <w:rFonts w:hint="eastAsia"/>
          <w:color w:val="auto"/>
          <w:highlight w:val="none"/>
        </w:rPr>
        <w:t>6）母线联络开关位置记录。</w:t>
      </w:r>
    </w:p>
    <w:p>
      <w:pPr>
        <w:ind w:firstLine="420"/>
        <w:rPr>
          <w:rFonts w:hint="eastAsia"/>
          <w:color w:val="auto"/>
          <w:highlight w:val="none"/>
        </w:rPr>
      </w:pPr>
      <w:r>
        <w:rPr>
          <w:rFonts w:hint="eastAsia"/>
          <w:color w:val="auto"/>
          <w:highlight w:val="none"/>
        </w:rPr>
        <w:t>7）母线自动切换装置动作记录。</w:t>
      </w:r>
    </w:p>
    <w:p>
      <w:pPr>
        <w:ind w:firstLine="420"/>
        <w:rPr>
          <w:rFonts w:hint="eastAsia"/>
          <w:color w:val="auto"/>
          <w:highlight w:val="none"/>
        </w:rPr>
      </w:pPr>
      <w:r>
        <w:rPr>
          <w:rFonts w:hint="eastAsia"/>
          <w:color w:val="auto"/>
          <w:highlight w:val="none"/>
        </w:rPr>
        <w:t>8）母线电压异常记录。</w:t>
      </w:r>
    </w:p>
    <w:p>
      <w:pPr>
        <w:ind w:firstLine="420"/>
        <w:rPr>
          <w:rFonts w:hint="eastAsia"/>
          <w:color w:val="auto"/>
          <w:highlight w:val="none"/>
        </w:rPr>
      </w:pPr>
      <w:r>
        <w:rPr>
          <w:rFonts w:hint="eastAsia"/>
          <w:color w:val="auto"/>
          <w:highlight w:val="none"/>
        </w:rPr>
        <w:t>9）馈线开关脱扣记录。</w:t>
      </w:r>
    </w:p>
    <w:p>
      <w:pPr>
        <w:ind w:firstLine="420"/>
        <w:rPr>
          <w:rFonts w:hint="eastAsia"/>
          <w:color w:val="auto"/>
          <w:highlight w:val="none"/>
        </w:rPr>
      </w:pPr>
      <w:r>
        <w:rPr>
          <w:rFonts w:hint="eastAsia"/>
          <w:color w:val="auto"/>
          <w:highlight w:val="none"/>
        </w:rPr>
        <w:t>10） UPS运行模式记录，如旁路输出、交流输入逆变输出、直流输入逆变输出。</w:t>
      </w:r>
    </w:p>
    <w:p>
      <w:pPr>
        <w:ind w:firstLine="420"/>
        <w:rPr>
          <w:rFonts w:hint="eastAsia"/>
          <w:color w:val="auto"/>
          <w:highlight w:val="none"/>
        </w:rPr>
      </w:pPr>
      <w:r>
        <w:rPr>
          <w:rFonts w:hint="eastAsia"/>
          <w:color w:val="auto"/>
          <w:highlight w:val="none"/>
        </w:rPr>
        <w:t>11） UPS故障记录，包含故障类型。</w:t>
      </w:r>
    </w:p>
    <w:p>
      <w:pPr>
        <w:ind w:firstLine="420"/>
        <w:rPr>
          <w:rFonts w:hint="eastAsia"/>
          <w:color w:val="auto"/>
          <w:highlight w:val="none"/>
        </w:rPr>
      </w:pPr>
      <w:bookmarkStart w:id="307" w:name="_Toc252568500"/>
      <w:r>
        <w:rPr>
          <w:rFonts w:hint="eastAsia" w:eastAsia="宋体"/>
          <w:color w:val="auto"/>
          <w:highlight w:val="none"/>
          <w:lang w:eastAsia="zh-CN"/>
        </w:rPr>
        <w:t>（</w:t>
      </w:r>
      <w:r>
        <w:rPr>
          <w:rFonts w:hint="eastAsia" w:ascii="Calibri" w:eastAsia="宋体"/>
          <w:color w:val="auto"/>
          <w:highlight w:val="none"/>
          <w:lang w:val="en-US" w:eastAsia="zh-CN"/>
        </w:rPr>
        <w:t>7</w:t>
      </w:r>
      <w:r>
        <w:rPr>
          <w:rFonts w:hint="eastAsia" w:eastAsia="宋体"/>
          <w:color w:val="auto"/>
          <w:highlight w:val="none"/>
          <w:lang w:eastAsia="zh-CN"/>
        </w:rPr>
        <w:t>）</w:t>
      </w:r>
      <w:r>
        <w:rPr>
          <w:rFonts w:hint="eastAsia"/>
          <w:color w:val="auto"/>
          <w:highlight w:val="none"/>
        </w:rPr>
        <w:t>报警处理</w:t>
      </w:r>
      <w:bookmarkEnd w:id="307"/>
    </w:p>
    <w:p>
      <w:pPr>
        <w:ind w:firstLine="420"/>
        <w:rPr>
          <w:rFonts w:hint="eastAsia" w:eastAsia="宋体"/>
          <w:color w:val="auto"/>
          <w:highlight w:val="none"/>
          <w:lang w:eastAsia="zh-CN"/>
        </w:rPr>
      </w:pPr>
      <w:r>
        <w:rPr>
          <w:rFonts w:hint="eastAsia" w:ascii="Calibri" w:eastAsia="宋体"/>
          <w:color w:val="auto"/>
          <w:highlight w:val="none"/>
          <w:lang w:val="en-US" w:eastAsia="zh-CN"/>
        </w:rPr>
        <w:t>1）</w:t>
      </w:r>
      <w:r>
        <w:rPr>
          <w:rFonts w:hint="eastAsia"/>
          <w:color w:val="auto"/>
          <w:highlight w:val="none"/>
        </w:rPr>
        <w:t>报警输出</w:t>
      </w:r>
      <w:r>
        <w:rPr>
          <w:rFonts w:hint="eastAsia" w:eastAsia="宋体"/>
          <w:color w:val="auto"/>
          <w:highlight w:val="none"/>
          <w:lang w:eastAsia="zh-CN"/>
        </w:rPr>
        <w:t>：</w:t>
      </w:r>
    </w:p>
    <w:p>
      <w:pPr>
        <w:ind w:firstLine="420"/>
        <w:rPr>
          <w:rFonts w:hint="eastAsia"/>
          <w:color w:val="auto"/>
          <w:highlight w:val="none"/>
        </w:rPr>
      </w:pPr>
      <w:r>
        <w:rPr>
          <w:rFonts w:hint="eastAsia"/>
          <w:color w:val="auto"/>
          <w:highlight w:val="none"/>
        </w:rPr>
        <w:t>报警输出信息应直观、醒目，并伴以声、光效果，根据需要可配置空触点输出。</w:t>
      </w:r>
    </w:p>
    <w:p>
      <w:pPr>
        <w:ind w:firstLine="420"/>
        <w:rPr>
          <w:rFonts w:hint="eastAsia" w:eastAsia="宋体"/>
          <w:color w:val="auto"/>
          <w:highlight w:val="none"/>
          <w:lang w:eastAsia="zh-CN"/>
        </w:rPr>
      </w:pPr>
      <w:r>
        <w:rPr>
          <w:rFonts w:hint="eastAsia" w:ascii="Calibri" w:eastAsia="宋体"/>
          <w:color w:val="auto"/>
          <w:highlight w:val="none"/>
          <w:lang w:val="en-US" w:eastAsia="zh-CN"/>
        </w:rPr>
        <w:t>2）</w:t>
      </w:r>
      <w:r>
        <w:rPr>
          <w:rFonts w:hint="eastAsia"/>
          <w:color w:val="auto"/>
          <w:highlight w:val="none"/>
        </w:rPr>
        <w:t>报警记录</w:t>
      </w:r>
      <w:r>
        <w:rPr>
          <w:rFonts w:hint="eastAsia" w:eastAsia="宋体"/>
          <w:color w:val="auto"/>
          <w:highlight w:val="none"/>
          <w:lang w:eastAsia="zh-CN"/>
        </w:rPr>
        <w:t>：</w:t>
      </w:r>
    </w:p>
    <w:p>
      <w:pPr>
        <w:ind w:firstLine="420"/>
        <w:rPr>
          <w:rFonts w:hint="eastAsia"/>
          <w:color w:val="auto"/>
          <w:highlight w:val="none"/>
        </w:rPr>
      </w:pPr>
      <w:r>
        <w:rPr>
          <w:rFonts w:hint="eastAsia"/>
          <w:color w:val="auto"/>
          <w:highlight w:val="none"/>
        </w:rPr>
        <w:t>报警信息记录的显示格式应可选择，如按发生时间的顺序、按解除时间的顺序，每种报警信息均成对显示，即发生时间和解除时间。</w:t>
      </w:r>
    </w:p>
    <w:p>
      <w:pPr>
        <w:ind w:firstLine="420"/>
        <w:rPr>
          <w:rFonts w:hint="eastAsia"/>
          <w:color w:val="auto"/>
          <w:highlight w:val="none"/>
        </w:rPr>
      </w:pPr>
      <w:bookmarkStart w:id="308" w:name="_Toc252568501"/>
      <w:r>
        <w:rPr>
          <w:rFonts w:hint="eastAsia" w:eastAsia="宋体"/>
          <w:color w:val="auto"/>
          <w:highlight w:val="none"/>
          <w:lang w:eastAsia="zh-CN"/>
        </w:rPr>
        <w:t>（</w:t>
      </w:r>
      <w:r>
        <w:rPr>
          <w:rFonts w:hint="eastAsia" w:ascii="Calibri" w:eastAsia="宋体"/>
          <w:color w:val="auto"/>
          <w:highlight w:val="none"/>
          <w:lang w:val="en-US" w:eastAsia="zh-CN"/>
        </w:rPr>
        <w:t>8</w:t>
      </w:r>
      <w:r>
        <w:rPr>
          <w:rFonts w:hint="eastAsia" w:eastAsia="宋体"/>
          <w:color w:val="auto"/>
          <w:highlight w:val="none"/>
          <w:lang w:eastAsia="zh-CN"/>
        </w:rPr>
        <w:t>）</w:t>
      </w:r>
      <w:r>
        <w:rPr>
          <w:rFonts w:hint="eastAsia"/>
          <w:color w:val="auto"/>
          <w:highlight w:val="none"/>
        </w:rPr>
        <w:t>时钟同步</w:t>
      </w:r>
      <w:bookmarkEnd w:id="308"/>
    </w:p>
    <w:p>
      <w:pPr>
        <w:ind w:firstLine="420"/>
        <w:rPr>
          <w:rFonts w:hint="eastAsia"/>
          <w:color w:val="auto"/>
          <w:highlight w:val="none"/>
        </w:rPr>
      </w:pPr>
      <w:r>
        <w:rPr>
          <w:rFonts w:hint="eastAsia"/>
          <w:color w:val="auto"/>
          <w:highlight w:val="none"/>
        </w:rPr>
        <w:t>数字化管理系统采用准授时信号（IRIG-B码）进行时钟校正，同时应具备软件对时功能。数字化管理系统的主机还应具有向所管理的各电源装置转发</w:t>
      </w:r>
      <w:r>
        <w:rPr>
          <w:rFonts w:hint="eastAsia" w:ascii="Calibri" w:eastAsia="宋体"/>
          <w:color w:val="auto"/>
          <w:highlight w:val="none"/>
          <w:lang w:val="en-US" w:eastAsia="zh-CN"/>
        </w:rPr>
        <w:t>北斗</w:t>
      </w:r>
      <w:r>
        <w:rPr>
          <w:rFonts w:hint="eastAsia"/>
          <w:color w:val="auto"/>
          <w:highlight w:val="none"/>
        </w:rPr>
        <w:t>信号的功能。对时精度误差不大于10ms。</w:t>
      </w:r>
    </w:p>
    <w:p>
      <w:pPr>
        <w:ind w:firstLine="420"/>
        <w:rPr>
          <w:rFonts w:hint="eastAsia"/>
          <w:color w:val="auto"/>
          <w:highlight w:val="none"/>
        </w:rPr>
      </w:pPr>
      <w:bookmarkStart w:id="309" w:name="_Toc252568502"/>
      <w:r>
        <w:rPr>
          <w:rFonts w:hint="eastAsia" w:eastAsia="宋体"/>
          <w:color w:val="auto"/>
          <w:highlight w:val="none"/>
          <w:lang w:eastAsia="zh-CN"/>
        </w:rPr>
        <w:t>（</w:t>
      </w:r>
      <w:r>
        <w:rPr>
          <w:rFonts w:hint="eastAsia" w:ascii="Calibri" w:eastAsia="宋体"/>
          <w:color w:val="auto"/>
          <w:highlight w:val="none"/>
          <w:lang w:val="en-US" w:eastAsia="zh-CN"/>
        </w:rPr>
        <w:t>9</w:t>
      </w:r>
      <w:r>
        <w:rPr>
          <w:rFonts w:hint="eastAsia" w:eastAsia="宋体"/>
          <w:color w:val="auto"/>
          <w:highlight w:val="none"/>
          <w:lang w:eastAsia="zh-CN"/>
        </w:rPr>
        <w:t>）</w:t>
      </w:r>
      <w:r>
        <w:rPr>
          <w:rFonts w:hint="eastAsia"/>
          <w:color w:val="auto"/>
          <w:highlight w:val="none"/>
        </w:rPr>
        <w:t>自诊断与自恢复</w:t>
      </w:r>
      <w:bookmarkEnd w:id="309"/>
    </w:p>
    <w:p>
      <w:pPr>
        <w:ind w:firstLine="420"/>
        <w:rPr>
          <w:rFonts w:hint="eastAsia" w:eastAsia="宋体"/>
          <w:color w:val="auto"/>
          <w:highlight w:val="none"/>
          <w:lang w:eastAsia="zh-CN"/>
        </w:rPr>
      </w:pPr>
      <w:r>
        <w:rPr>
          <w:rFonts w:hint="eastAsia"/>
          <w:color w:val="auto"/>
          <w:highlight w:val="none"/>
        </w:rPr>
        <w:t>自诊断</w:t>
      </w:r>
      <w:r>
        <w:rPr>
          <w:rFonts w:hint="eastAsia" w:eastAsia="宋体"/>
          <w:color w:val="auto"/>
          <w:highlight w:val="none"/>
          <w:lang w:eastAsia="zh-CN"/>
        </w:rPr>
        <w:t>：</w:t>
      </w:r>
    </w:p>
    <w:p>
      <w:pPr>
        <w:ind w:firstLine="420"/>
        <w:rPr>
          <w:rFonts w:hint="eastAsia"/>
          <w:color w:val="auto"/>
          <w:highlight w:val="none"/>
        </w:rPr>
      </w:pPr>
      <w:r>
        <w:rPr>
          <w:rFonts w:hint="eastAsia"/>
          <w:color w:val="auto"/>
          <w:highlight w:val="none"/>
        </w:rPr>
        <w:t>数字化管理系统应具有在线诊断能力，对系统自身的软、硬件（包括各个通信接口）运行状况进行诊断。发现异常时，予以报警和记录。</w:t>
      </w:r>
    </w:p>
    <w:p>
      <w:pPr>
        <w:ind w:firstLine="420"/>
        <w:rPr>
          <w:rFonts w:hint="eastAsia" w:eastAsia="宋体"/>
          <w:color w:val="auto"/>
          <w:highlight w:val="none"/>
          <w:lang w:eastAsia="zh-CN"/>
        </w:rPr>
      </w:pPr>
      <w:r>
        <w:rPr>
          <w:rFonts w:hint="eastAsia"/>
          <w:color w:val="auto"/>
          <w:highlight w:val="none"/>
        </w:rPr>
        <w:t>自恢复</w:t>
      </w:r>
      <w:r>
        <w:rPr>
          <w:rFonts w:hint="eastAsia" w:eastAsia="宋体"/>
          <w:color w:val="auto"/>
          <w:highlight w:val="none"/>
          <w:lang w:eastAsia="zh-CN"/>
        </w:rPr>
        <w:t>：</w:t>
      </w:r>
    </w:p>
    <w:p>
      <w:pPr>
        <w:ind w:firstLine="420"/>
        <w:rPr>
          <w:rFonts w:hint="eastAsia"/>
          <w:color w:val="auto"/>
          <w:highlight w:val="none"/>
        </w:rPr>
      </w:pPr>
      <w:r>
        <w:rPr>
          <w:rFonts w:hint="eastAsia"/>
          <w:color w:val="auto"/>
          <w:highlight w:val="none"/>
        </w:rPr>
        <w:t>对于一般性的软件异常，系统能自动恢复正常运行，并保持运行设定值不变。当运行设定值异常且不能自动恢复时，则以默认值运行，同时予以报警和记录。</w:t>
      </w:r>
    </w:p>
    <w:p>
      <w:pPr>
        <w:pStyle w:val="5"/>
        <w:rPr>
          <w:color w:val="auto"/>
          <w:highlight w:val="none"/>
          <w:lang w:eastAsia="zh-CN"/>
        </w:rPr>
      </w:pPr>
      <w:bookmarkStart w:id="310" w:name="_Toc12297"/>
      <w:bookmarkStart w:id="311" w:name="_Toc527738411"/>
      <w:bookmarkStart w:id="312" w:name="_Toc252568503"/>
      <w:bookmarkStart w:id="313" w:name="_Toc256337244"/>
      <w:r>
        <w:rPr>
          <w:rFonts w:hint="eastAsia"/>
          <w:color w:val="auto"/>
          <w:lang w:val="en-US" w:eastAsia="zh-CN"/>
        </w:rPr>
        <w:t>10.8.4</w:t>
      </w:r>
      <w:r>
        <w:rPr>
          <w:color w:val="auto"/>
          <w:lang w:eastAsia="zh-CN"/>
        </w:rPr>
        <w:t>其他要求</w:t>
      </w:r>
      <w:bookmarkEnd w:id="310"/>
      <w:bookmarkEnd w:id="311"/>
      <w:bookmarkEnd w:id="312"/>
      <w:bookmarkEnd w:id="313"/>
    </w:p>
    <w:p>
      <w:pPr>
        <w:rPr>
          <w:rFonts w:hint="default"/>
          <w:color w:val="auto"/>
          <w:lang w:val="en-US" w:eastAsia="zh-CN"/>
        </w:rPr>
      </w:pPr>
      <w:r>
        <w:rPr>
          <w:rFonts w:hint="eastAsia"/>
          <w:color w:val="auto"/>
        </w:rPr>
        <w:t>柜内设备的安排及端子排的布置，应保证各套装置的独立性，在一套装置检修时不影响其他任何一套装置的正常运行。</w:t>
      </w:r>
    </w:p>
    <w:p>
      <w:pPr>
        <w:pStyle w:val="4"/>
        <w:bidi w:val="0"/>
        <w:spacing w:line="360" w:lineRule="auto"/>
        <w:rPr>
          <w:rFonts w:hint="eastAsia" w:ascii="宋体" w:hAnsi="宋体" w:eastAsia="宋体" w:cs="宋体"/>
          <w:b/>
          <w:bCs w:val="0"/>
          <w:color w:val="auto"/>
          <w:sz w:val="24"/>
          <w:szCs w:val="24"/>
          <w:lang w:val="en-US" w:eastAsia="zh-CN"/>
        </w:rPr>
      </w:pPr>
      <w:bookmarkStart w:id="314" w:name="_Toc28112"/>
      <w:bookmarkStart w:id="315" w:name="_Toc17342"/>
      <w:bookmarkStart w:id="316" w:name="_Toc26334"/>
      <w:r>
        <w:rPr>
          <w:rFonts w:hint="eastAsia" w:ascii="宋体" w:eastAsia="宋体" w:cs="宋体"/>
          <w:b/>
          <w:bCs w:val="0"/>
          <w:color w:val="auto"/>
          <w:sz w:val="24"/>
          <w:szCs w:val="24"/>
          <w:lang w:val="en-US" w:eastAsia="zh-CN"/>
        </w:rPr>
        <w:t>10</w:t>
      </w:r>
      <w:r>
        <w:rPr>
          <w:rFonts w:hint="eastAsia" w:ascii="宋体" w:hAnsi="宋体" w:eastAsia="宋体" w:cs="宋体"/>
          <w:b/>
          <w:bCs w:val="0"/>
          <w:color w:val="auto"/>
          <w:sz w:val="24"/>
          <w:szCs w:val="24"/>
          <w:lang w:val="en-US" w:eastAsia="zh-CN"/>
        </w:rPr>
        <w:t>.</w:t>
      </w:r>
      <w:r>
        <w:rPr>
          <w:rFonts w:hint="eastAsia" w:cs="宋体"/>
          <w:b/>
          <w:bCs w:val="0"/>
          <w:color w:val="auto"/>
          <w:sz w:val="24"/>
          <w:szCs w:val="24"/>
          <w:lang w:val="en-US" w:eastAsia="zh-CN"/>
        </w:rPr>
        <w:t>9</w:t>
      </w:r>
      <w:r>
        <w:rPr>
          <w:rFonts w:hint="eastAsia" w:ascii="宋体" w:hAnsi="宋体" w:eastAsia="宋体" w:cs="宋体"/>
          <w:b/>
          <w:bCs w:val="0"/>
          <w:color w:val="auto"/>
          <w:sz w:val="24"/>
          <w:szCs w:val="24"/>
          <w:lang w:val="en-US" w:eastAsia="zh-CN"/>
        </w:rPr>
        <w:t>火灾自动报警系统</w:t>
      </w:r>
      <w:bookmarkEnd w:id="314"/>
      <w:bookmarkEnd w:id="315"/>
      <w:bookmarkEnd w:id="316"/>
    </w:p>
    <w:p>
      <w:pPr>
        <w:spacing w:line="360" w:lineRule="auto"/>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二次预制舱内单独设置火灾报警主机，火灾报警主机信号通过Modbus接入公用测控装置。</w:t>
      </w:r>
    </w:p>
    <w:p>
      <w:pPr>
        <w:spacing w:line="360" w:lineRule="auto"/>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1、火灾报警控制器</w:t>
      </w:r>
    </w:p>
    <w:p>
      <w:pPr>
        <w:spacing w:line="360" w:lineRule="auto"/>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本项目火灾报警控制器利用二总线制通讯技术，能与点式感烟探测器组成火灾报警控制系统，并具有如下功能：</w:t>
      </w:r>
    </w:p>
    <w:p>
      <w:pPr>
        <w:spacing w:line="360" w:lineRule="auto"/>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1）分布智能技术。探测器及各种现场部件均采用分布智能技术，预设有特定的算法，可处理接收信息。每个探测器的参数可按照所在位置而设定，报警功能全面分散至探测器，准确地分辨真伪火情。</w:t>
      </w:r>
    </w:p>
    <w:p>
      <w:pPr>
        <w:spacing w:line="360" w:lineRule="auto"/>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2）自适应编址。具有自适应编址能力，无需手动设置地址，从而没有混淆探测器的危险。</w:t>
      </w:r>
    </w:p>
    <w:p>
      <w:pPr>
        <w:spacing w:line="360" w:lineRule="auto"/>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3）具有对火警回路总线自动巡检功能；</w:t>
      </w:r>
    </w:p>
    <w:p>
      <w:pPr>
        <w:spacing w:line="360" w:lineRule="auto"/>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4）具有火警、故障两种报警功能，且火警优先；</w:t>
      </w:r>
    </w:p>
    <w:p>
      <w:pPr>
        <w:spacing w:line="360" w:lineRule="auto"/>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5）当系统部件或系统故障时，能显示故障位置和类型，并发出声光报警；</w:t>
      </w:r>
    </w:p>
    <w:p>
      <w:pPr>
        <w:spacing w:line="360" w:lineRule="auto"/>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6）当有火警时，报警器能发出声光报警信号、显示地址、类别和时间，记录报警时间、报警性质和火警部位；</w:t>
      </w:r>
    </w:p>
    <w:p>
      <w:pPr>
        <w:spacing w:line="360" w:lineRule="auto"/>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7）键盘在线对系统进行配置，实现人机对话，便于工程的开通和值班人员的管理与操作。</w:t>
      </w:r>
    </w:p>
    <w:p>
      <w:pPr>
        <w:spacing w:line="360" w:lineRule="auto"/>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8）自动隔离故障。每个现场部件中均设有短路隔离功能，且探测回路采用环形两总线，发生短路时，短路点被自动隔开，确保系统完全正常运行。</w:t>
      </w:r>
    </w:p>
    <w:p>
      <w:pPr>
        <w:spacing w:line="360" w:lineRule="auto"/>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9）火警信息能作为历史信息长期掉电保存。</w:t>
      </w:r>
    </w:p>
    <w:p>
      <w:pPr>
        <w:spacing w:line="360" w:lineRule="auto"/>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10）全中文显示及菜单操作。采用大屏幕液晶显示，实现用户文本和操作提示的的完全汉化。系统设置不同的操作级别，各级人员都有自己的操作范围。</w:t>
      </w:r>
    </w:p>
    <w:p>
      <w:pPr>
        <w:spacing w:line="360" w:lineRule="auto"/>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11）当主电掉电时，备用电源自动投入运行；主电恢复正常后，优先恢复运行，同时备用电源自动充电。</w:t>
      </w:r>
    </w:p>
    <w:p>
      <w:pPr>
        <w:spacing w:line="360" w:lineRule="auto"/>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12）控制器电源为AC220V±10%，50Hz。</w:t>
      </w:r>
    </w:p>
    <w:p>
      <w:pPr>
        <w:spacing w:line="360" w:lineRule="auto"/>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13）至少具备标准串口RS-485三个，可以分别与变电所内监控系统和图像监视系统通信。</w:t>
      </w:r>
    </w:p>
    <w:p>
      <w:pPr>
        <w:spacing w:line="360" w:lineRule="auto"/>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14）火灾报警系统应能提供系统异常，装置故障，火警等信号接点。</w:t>
      </w:r>
    </w:p>
    <w:p>
      <w:pPr>
        <w:spacing w:line="360" w:lineRule="auto"/>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2、感烟探测器</w:t>
      </w:r>
    </w:p>
    <w:p>
      <w:pPr>
        <w:spacing w:line="360" w:lineRule="auto"/>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1）密封防尘、防虫、抗压；</w:t>
      </w:r>
    </w:p>
    <w:p>
      <w:pPr>
        <w:spacing w:line="360" w:lineRule="auto"/>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2）在10%—95%相对湿度下能正确工作。</w:t>
      </w:r>
    </w:p>
    <w:p>
      <w:pPr>
        <w:spacing w:line="360" w:lineRule="auto"/>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3）安装地点：屋内。</w:t>
      </w:r>
    </w:p>
    <w:p>
      <w:pPr>
        <w:pStyle w:val="4"/>
        <w:bidi w:val="0"/>
        <w:spacing w:line="360" w:lineRule="auto"/>
        <w:rPr>
          <w:rFonts w:hint="eastAsia" w:ascii="宋体" w:hAnsi="宋体" w:eastAsia="宋体" w:cs="宋体"/>
          <w:b/>
          <w:bCs w:val="0"/>
          <w:color w:val="auto"/>
          <w:sz w:val="24"/>
          <w:szCs w:val="24"/>
          <w:lang w:val="en-US" w:eastAsia="zh-CN"/>
        </w:rPr>
      </w:pPr>
      <w:bookmarkStart w:id="317" w:name="_Toc31662"/>
      <w:bookmarkStart w:id="318" w:name="_Toc30521"/>
      <w:bookmarkStart w:id="319" w:name="_Toc21853"/>
      <w:r>
        <w:rPr>
          <w:rFonts w:hint="eastAsia" w:ascii="宋体" w:eastAsia="宋体" w:cs="宋体"/>
          <w:b/>
          <w:bCs w:val="0"/>
          <w:color w:val="auto"/>
          <w:sz w:val="24"/>
          <w:szCs w:val="24"/>
          <w:lang w:val="en-US" w:eastAsia="zh-CN"/>
        </w:rPr>
        <w:t>10</w:t>
      </w:r>
      <w:r>
        <w:rPr>
          <w:rFonts w:hint="eastAsia" w:ascii="宋体" w:hAnsi="宋体" w:eastAsia="宋体" w:cs="宋体"/>
          <w:b/>
          <w:bCs w:val="0"/>
          <w:color w:val="auto"/>
          <w:sz w:val="24"/>
          <w:szCs w:val="24"/>
          <w:lang w:val="en-US" w:eastAsia="zh-CN"/>
        </w:rPr>
        <w:t>.</w:t>
      </w:r>
      <w:r>
        <w:rPr>
          <w:rFonts w:hint="eastAsia" w:cs="宋体"/>
          <w:b/>
          <w:bCs w:val="0"/>
          <w:color w:val="auto"/>
          <w:sz w:val="24"/>
          <w:szCs w:val="24"/>
          <w:lang w:val="en-US" w:eastAsia="zh-CN"/>
        </w:rPr>
        <w:t>10</w:t>
      </w:r>
      <w:r>
        <w:rPr>
          <w:rFonts w:hint="eastAsia" w:ascii="宋体" w:hAnsi="宋体" w:eastAsia="宋体" w:cs="宋体"/>
          <w:b/>
          <w:bCs w:val="0"/>
          <w:color w:val="auto"/>
          <w:sz w:val="24"/>
          <w:szCs w:val="24"/>
          <w:lang w:val="en-US" w:eastAsia="zh-CN"/>
        </w:rPr>
        <w:t xml:space="preserve"> 监控系统与微网控制平台系统互联的技术要求</w:t>
      </w:r>
      <w:bookmarkEnd w:id="317"/>
      <w:bookmarkEnd w:id="318"/>
      <w:bookmarkEnd w:id="319"/>
    </w:p>
    <w:p>
      <w:pPr>
        <w:spacing w:line="360" w:lineRule="auto"/>
        <w:ind w:firstLine="480"/>
        <w:rPr>
          <w:rFonts w:hint="eastAsia" w:ascii="宋体" w:hAnsi="宋体" w:eastAsia="宋体" w:cs="宋体"/>
          <w:color w:val="auto"/>
          <w:sz w:val="24"/>
          <w:szCs w:val="24"/>
          <w:highlight w:val="yellow"/>
        </w:rPr>
      </w:pPr>
      <w:r>
        <w:rPr>
          <w:rFonts w:hint="eastAsia" w:ascii="宋体" w:hAnsi="宋体" w:eastAsia="宋体" w:cs="宋体"/>
          <w:color w:val="auto"/>
          <w:sz w:val="24"/>
          <w:szCs w:val="24"/>
        </w:rPr>
        <w:t>监控系统应具备与</w:t>
      </w:r>
      <w:r>
        <w:rPr>
          <w:rFonts w:hint="eastAsia" w:ascii="宋体" w:hAnsi="宋体" w:eastAsia="宋体" w:cs="宋体"/>
          <w:color w:val="auto"/>
          <w:sz w:val="24"/>
          <w:szCs w:val="24"/>
          <w:lang w:val="en-US" w:eastAsia="zh-CN"/>
        </w:rPr>
        <w:t>微网平台</w:t>
      </w:r>
      <w:r>
        <w:rPr>
          <w:rFonts w:hint="eastAsia" w:ascii="宋体" w:hAnsi="宋体" w:eastAsia="宋体" w:cs="宋体"/>
          <w:color w:val="auto"/>
          <w:sz w:val="24"/>
          <w:szCs w:val="24"/>
        </w:rPr>
        <w:t>进行信息交互的功能，</w:t>
      </w:r>
      <w:r>
        <w:rPr>
          <w:rFonts w:hint="eastAsia" w:ascii="宋体" w:hAnsi="宋体" w:eastAsia="宋体" w:cs="宋体"/>
          <w:color w:val="auto"/>
          <w:sz w:val="24"/>
          <w:szCs w:val="24"/>
          <w:highlight w:val="yellow"/>
        </w:rPr>
        <w:t>采用以太网通信</w:t>
      </w:r>
      <w:r>
        <w:rPr>
          <w:rFonts w:hint="eastAsia" w:ascii="宋体" w:hAnsi="宋体" w:cs="宋体"/>
          <w:color w:val="auto"/>
          <w:sz w:val="24"/>
          <w:szCs w:val="24"/>
          <w:highlight w:val="yellow"/>
          <w:lang w:eastAsia="zh-CN"/>
        </w:rPr>
        <w:t>、</w:t>
      </w:r>
      <w:r>
        <w:rPr>
          <w:rFonts w:hint="eastAsia" w:ascii="宋体" w:hAnsi="宋体" w:cs="宋体"/>
          <w:color w:val="auto"/>
          <w:sz w:val="24"/>
          <w:szCs w:val="24"/>
          <w:highlight w:val="yellow"/>
          <w:lang w:val="en-US" w:eastAsia="zh-CN"/>
        </w:rPr>
        <w:t>光纤环网、5GNR双冗余</w:t>
      </w:r>
      <w:r>
        <w:rPr>
          <w:rFonts w:hint="eastAsia" w:ascii="宋体" w:hAnsi="宋体" w:eastAsia="宋体" w:cs="宋体"/>
          <w:color w:val="auto"/>
          <w:sz w:val="24"/>
          <w:szCs w:val="24"/>
          <w:highlight w:val="yellow"/>
        </w:rPr>
        <w:t>接口</w:t>
      </w:r>
      <w:r>
        <w:rPr>
          <w:rFonts w:hint="eastAsia" w:ascii="宋体" w:hAnsi="宋体" w:cs="宋体"/>
          <w:color w:val="auto"/>
          <w:sz w:val="24"/>
          <w:szCs w:val="24"/>
          <w:highlight w:val="yellow"/>
          <w:lang w:val="en-US" w:eastAsia="zh-CN"/>
        </w:rPr>
        <w:t>等接口和北斗短报文作为最后手段的应急控制指令通道</w:t>
      </w:r>
      <w:r>
        <w:rPr>
          <w:rFonts w:hint="eastAsia" w:ascii="宋体" w:hAnsi="宋体" w:eastAsia="宋体" w:cs="宋体"/>
          <w:color w:val="auto"/>
          <w:sz w:val="24"/>
          <w:szCs w:val="24"/>
        </w:rPr>
        <w:t>，支持MODBUS-TCP、IEC61870-5</w:t>
      </w:r>
      <w:r>
        <w:rPr>
          <w:rFonts w:hint="eastAsia" w:ascii="宋体" w:hAnsi="宋体" w:cs="宋体"/>
          <w:color w:val="auto"/>
          <w:sz w:val="24"/>
          <w:szCs w:val="24"/>
          <w:lang w:val="en-US" w:eastAsia="zh-CN"/>
        </w:rPr>
        <w:t>等</w:t>
      </w:r>
      <w:r>
        <w:rPr>
          <w:rFonts w:hint="eastAsia" w:ascii="宋体" w:hAnsi="宋体" w:eastAsia="宋体" w:cs="宋体"/>
          <w:color w:val="auto"/>
          <w:sz w:val="24"/>
          <w:szCs w:val="24"/>
        </w:rPr>
        <w:t>通信协议，向</w:t>
      </w:r>
      <w:r>
        <w:rPr>
          <w:rFonts w:hint="eastAsia" w:ascii="宋体" w:hAnsi="宋体" w:eastAsia="宋体" w:cs="宋体"/>
          <w:color w:val="auto"/>
          <w:sz w:val="24"/>
          <w:szCs w:val="24"/>
          <w:lang w:val="en-US" w:eastAsia="zh-CN"/>
        </w:rPr>
        <w:t>微网控制平台</w:t>
      </w:r>
      <w:r>
        <w:rPr>
          <w:rFonts w:hint="eastAsia" w:ascii="宋体" w:hAnsi="宋体" w:eastAsia="宋体" w:cs="宋体"/>
          <w:color w:val="auto"/>
          <w:sz w:val="24"/>
          <w:szCs w:val="24"/>
        </w:rPr>
        <w:t>开放通信端口，将</w:t>
      </w:r>
      <w:r>
        <w:rPr>
          <w:rFonts w:hint="eastAsia" w:ascii="宋体" w:hAnsi="宋体" w:eastAsia="宋体" w:cs="宋体"/>
          <w:color w:val="auto"/>
          <w:sz w:val="24"/>
          <w:szCs w:val="24"/>
          <w:lang w:val="en-US" w:eastAsia="zh-CN"/>
        </w:rPr>
        <w:t>和储能</w:t>
      </w:r>
      <w:r>
        <w:rPr>
          <w:rFonts w:hint="eastAsia" w:ascii="宋体" w:hAnsi="宋体" w:eastAsia="宋体" w:cs="宋体"/>
          <w:color w:val="auto"/>
          <w:sz w:val="24"/>
          <w:szCs w:val="24"/>
        </w:rPr>
        <w:t>运行监测信息</w:t>
      </w:r>
      <w:r>
        <w:rPr>
          <w:rFonts w:hint="eastAsia" w:ascii="宋体" w:hAnsi="宋体" w:cs="宋体"/>
          <w:color w:val="auto"/>
          <w:sz w:val="24"/>
          <w:szCs w:val="24"/>
          <w:lang w:eastAsia="zh-CN"/>
        </w:rPr>
        <w:t>、</w:t>
      </w:r>
      <w:r>
        <w:rPr>
          <w:rFonts w:hint="eastAsia" w:ascii="宋体" w:hAnsi="宋体" w:eastAsia="宋体" w:cs="宋体"/>
          <w:color w:val="auto"/>
          <w:sz w:val="24"/>
          <w:szCs w:val="24"/>
        </w:rPr>
        <w:t>故障告警信号</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开关柜</w:t>
      </w:r>
      <w:r>
        <w:rPr>
          <w:rFonts w:hint="eastAsia" w:ascii="宋体" w:hAnsi="宋体" w:eastAsia="宋体" w:cs="宋体"/>
          <w:color w:val="auto"/>
          <w:sz w:val="24"/>
          <w:szCs w:val="24"/>
          <w:lang w:val="en-US" w:eastAsia="zh-CN"/>
        </w:rPr>
        <w:t>信息</w:t>
      </w:r>
      <w:r>
        <w:rPr>
          <w:rFonts w:hint="eastAsia" w:ascii="宋体" w:hAnsi="宋体" w:eastAsia="宋体" w:cs="宋体"/>
          <w:color w:val="auto"/>
          <w:sz w:val="24"/>
          <w:szCs w:val="24"/>
        </w:rPr>
        <w:t>实时上传至</w:t>
      </w:r>
      <w:r>
        <w:rPr>
          <w:rFonts w:hint="eastAsia" w:ascii="宋体" w:hAnsi="宋体" w:eastAsia="宋体" w:cs="宋体"/>
          <w:color w:val="auto"/>
          <w:sz w:val="24"/>
          <w:szCs w:val="24"/>
          <w:lang w:val="en-US" w:eastAsia="zh-CN"/>
        </w:rPr>
        <w:t>微网控制平台</w:t>
      </w:r>
      <w:r>
        <w:rPr>
          <w:rFonts w:hint="eastAsia" w:ascii="宋体" w:hAnsi="宋体" w:eastAsia="宋体" w:cs="宋体"/>
          <w:color w:val="auto"/>
          <w:sz w:val="24"/>
          <w:szCs w:val="24"/>
        </w:rPr>
        <w:t>系统。</w:t>
      </w:r>
      <w:r>
        <w:rPr>
          <w:rFonts w:hint="eastAsia" w:ascii="宋体" w:hAnsi="宋体" w:eastAsia="宋体" w:cs="宋体"/>
          <w:color w:val="auto"/>
          <w:sz w:val="24"/>
          <w:szCs w:val="24"/>
          <w:highlight w:val="yellow"/>
          <w:lang w:val="en-US" w:eastAsia="zh-CN"/>
        </w:rPr>
        <w:t>通信失效后本地EMS</w:t>
      </w:r>
      <w:r>
        <w:rPr>
          <w:rFonts w:hint="eastAsia" w:ascii="宋体" w:hAnsi="宋体" w:cs="宋体"/>
          <w:color w:val="auto"/>
          <w:sz w:val="24"/>
          <w:szCs w:val="24"/>
          <w:highlight w:val="yellow"/>
          <w:lang w:val="en-US" w:eastAsia="zh-CN"/>
        </w:rPr>
        <w:t>能</w:t>
      </w:r>
      <w:r>
        <w:rPr>
          <w:rFonts w:hint="eastAsia" w:ascii="宋体" w:hAnsi="宋体" w:eastAsia="宋体" w:cs="宋体"/>
          <w:color w:val="auto"/>
          <w:sz w:val="24"/>
          <w:szCs w:val="24"/>
          <w:highlight w:val="yellow"/>
          <w:lang w:val="en-US" w:eastAsia="zh-CN"/>
        </w:rPr>
        <w:t>孤岛自治运行≥72小时</w:t>
      </w:r>
      <w:r>
        <w:rPr>
          <w:rFonts w:hint="eastAsia" w:ascii="宋体" w:hAnsi="宋体" w:cs="宋体"/>
          <w:color w:val="auto"/>
          <w:sz w:val="24"/>
          <w:szCs w:val="24"/>
          <w:highlight w:val="yellow"/>
          <w:lang w:val="en-US" w:eastAsia="zh-CN"/>
        </w:rPr>
        <w:t>。</w:t>
      </w:r>
    </w:p>
    <w:p>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监控系统应具备远程遥控开关分合闸的功能，接收并</w:t>
      </w:r>
      <w:r>
        <w:rPr>
          <w:rFonts w:hint="eastAsia" w:ascii="宋体" w:hAnsi="宋体" w:eastAsia="宋体" w:cs="宋体"/>
          <w:color w:val="auto"/>
          <w:sz w:val="24"/>
          <w:szCs w:val="24"/>
          <w:lang w:val="en-US" w:eastAsia="zh-CN"/>
        </w:rPr>
        <w:t>微网控制平台</w:t>
      </w:r>
      <w:r>
        <w:rPr>
          <w:rFonts w:hint="eastAsia" w:ascii="宋体" w:hAnsi="宋体" w:eastAsia="宋体" w:cs="宋体"/>
          <w:color w:val="auto"/>
          <w:sz w:val="24"/>
          <w:szCs w:val="24"/>
        </w:rPr>
        <w:t>系统的控制指令。</w:t>
      </w:r>
    </w:p>
    <w:p>
      <w:pPr>
        <w:rPr>
          <w:color w:val="auto"/>
        </w:rPr>
      </w:pPr>
    </w:p>
    <w:p>
      <w:pPr>
        <w:pStyle w:val="5"/>
        <w:bidi w:val="0"/>
        <w:ind w:firstLine="118" w:firstLineChars="49"/>
        <w:outlineLvl w:val="3"/>
        <w:rPr>
          <w:rFonts w:hint="eastAsia" w:ascii="宋体" w:hAnsi="宋体" w:eastAsia="宋体" w:cs="宋体"/>
          <w:b w:val="0"/>
          <w:bCs/>
          <w:color w:val="auto"/>
          <w:szCs w:val="24"/>
          <w:lang w:val="en-US" w:eastAsia="zh-CN"/>
        </w:rPr>
      </w:pPr>
      <w:r>
        <w:rPr>
          <w:rFonts w:hint="eastAsia"/>
          <w:color w:val="auto"/>
          <w:lang w:val="en-US" w:eastAsia="zh-CN"/>
        </w:rPr>
        <w:t>10.10.1通信要求</w:t>
      </w:r>
    </w:p>
    <w:p>
      <w:pPr>
        <w:spacing w:line="360" w:lineRule="auto"/>
        <w:ind w:firstLine="480"/>
        <w:rPr>
          <w:rFonts w:hint="default" w:ascii="宋体" w:hAnsi="宋体" w:eastAsia="宋体" w:cs="宋体"/>
          <w:color w:val="auto"/>
          <w:sz w:val="24"/>
          <w:szCs w:val="24"/>
        </w:rPr>
      </w:pPr>
      <w:r>
        <w:rPr>
          <w:rFonts w:hint="default" w:ascii="宋体" w:hAnsi="宋体" w:eastAsia="宋体" w:cs="宋体"/>
          <w:color w:val="auto"/>
          <w:sz w:val="24"/>
          <w:szCs w:val="24"/>
          <w:lang w:val="en-US" w:eastAsia="zh-CN"/>
        </w:rPr>
        <w:t>储能</w:t>
      </w:r>
      <w:r>
        <w:rPr>
          <w:rFonts w:hint="default" w:ascii="宋体" w:hAnsi="宋体" w:eastAsia="宋体" w:cs="宋体"/>
          <w:color w:val="auto"/>
          <w:sz w:val="24"/>
          <w:szCs w:val="24"/>
        </w:rPr>
        <w:t>电站向</w:t>
      </w:r>
      <w:r>
        <w:rPr>
          <w:rFonts w:hint="default" w:ascii="宋体" w:hAnsi="宋体" w:eastAsia="宋体" w:cs="宋体"/>
          <w:color w:val="auto"/>
          <w:sz w:val="24"/>
          <w:szCs w:val="24"/>
          <w:lang w:val="en-US" w:eastAsia="zh-CN"/>
        </w:rPr>
        <w:t>微电网</w:t>
      </w:r>
      <w:r>
        <w:rPr>
          <w:rFonts w:hint="default" w:ascii="宋体" w:hAnsi="宋体" w:eastAsia="宋体" w:cs="宋体"/>
          <w:color w:val="auto"/>
          <w:sz w:val="24"/>
          <w:szCs w:val="24"/>
        </w:rPr>
        <w:t>提供的信号至少应该包括：</w:t>
      </w:r>
    </w:p>
    <w:p>
      <w:pPr>
        <w:spacing w:line="360" w:lineRule="auto"/>
        <w:ind w:firstLine="480"/>
        <w:rPr>
          <w:rFonts w:hint="default" w:ascii="宋体" w:hAnsi="宋体" w:eastAsia="宋体" w:cs="宋体"/>
          <w:color w:val="auto"/>
          <w:sz w:val="24"/>
          <w:szCs w:val="24"/>
        </w:rPr>
      </w:pPr>
      <w:r>
        <w:rPr>
          <w:rFonts w:hint="default" w:ascii="宋体" w:hAnsi="宋体" w:eastAsia="宋体" w:cs="宋体"/>
          <w:color w:val="auto"/>
          <w:sz w:val="24"/>
          <w:szCs w:val="24"/>
        </w:rPr>
        <w:t>1）遥测：</w:t>
      </w:r>
    </w:p>
    <w:p>
      <w:pPr>
        <w:spacing w:line="360" w:lineRule="auto"/>
        <w:ind w:firstLine="480"/>
        <w:rPr>
          <w:rFonts w:hint="default" w:ascii="宋体" w:hAnsi="宋体" w:eastAsia="宋体" w:cs="宋体"/>
          <w:color w:val="auto"/>
          <w:sz w:val="24"/>
          <w:szCs w:val="24"/>
          <w:lang w:eastAsia="zh-CN"/>
        </w:rPr>
      </w:pPr>
      <w:r>
        <w:rPr>
          <w:rFonts w:hint="default" w:ascii="宋体" w:hAnsi="宋体" w:eastAsia="宋体" w:cs="宋体"/>
          <w:color w:val="auto"/>
          <w:sz w:val="24"/>
          <w:szCs w:val="24"/>
        </w:rPr>
        <w:t>储能电池可充/可放电量、充电电量、放电电量、荷电状态、运行状态；</w:t>
      </w:r>
    </w:p>
    <w:p>
      <w:pPr>
        <w:spacing w:line="360" w:lineRule="auto"/>
        <w:ind w:firstLine="480"/>
        <w:rPr>
          <w:rFonts w:hint="default" w:ascii="宋体" w:hAnsi="宋体" w:eastAsia="宋体" w:cs="宋体"/>
          <w:color w:val="auto"/>
          <w:sz w:val="24"/>
          <w:szCs w:val="24"/>
        </w:rPr>
      </w:pPr>
      <w:r>
        <w:rPr>
          <w:rFonts w:hint="default" w:ascii="宋体" w:hAnsi="宋体" w:eastAsia="宋体" w:cs="宋体"/>
          <w:color w:val="auto"/>
          <w:sz w:val="24"/>
          <w:szCs w:val="24"/>
        </w:rPr>
        <w:t>PCS直流电压电流、交流电压电流、功率因数、运行状态；</w:t>
      </w:r>
    </w:p>
    <w:p>
      <w:pPr>
        <w:spacing w:line="360" w:lineRule="auto"/>
        <w:ind w:firstLine="480"/>
        <w:rPr>
          <w:rFonts w:hint="default" w:ascii="宋体" w:hAnsi="宋体" w:eastAsia="宋体" w:cs="宋体"/>
          <w:color w:val="auto"/>
          <w:sz w:val="24"/>
          <w:szCs w:val="24"/>
        </w:rPr>
      </w:pPr>
      <w:r>
        <w:rPr>
          <w:rFonts w:hint="default" w:ascii="宋体" w:hAnsi="宋体" w:eastAsia="宋体" w:cs="宋体"/>
          <w:color w:val="auto"/>
          <w:sz w:val="24"/>
          <w:szCs w:val="24"/>
          <w:lang w:val="en-US" w:eastAsia="zh-CN"/>
        </w:rPr>
        <w:t>10</w:t>
      </w:r>
      <w:r>
        <w:rPr>
          <w:rFonts w:hint="default" w:ascii="宋体" w:hAnsi="宋体" w:eastAsia="宋体" w:cs="宋体"/>
          <w:color w:val="auto"/>
          <w:sz w:val="24"/>
          <w:szCs w:val="24"/>
        </w:rPr>
        <w:t>kV线路的有功功率，无功功率、电流、上网电量；</w:t>
      </w:r>
    </w:p>
    <w:p>
      <w:pPr>
        <w:spacing w:line="360" w:lineRule="auto"/>
        <w:ind w:firstLine="480"/>
        <w:rPr>
          <w:rFonts w:hint="default" w:ascii="宋体" w:hAnsi="宋体" w:eastAsia="宋体" w:cs="宋体"/>
          <w:color w:val="auto"/>
          <w:sz w:val="24"/>
          <w:szCs w:val="24"/>
        </w:rPr>
      </w:pPr>
      <w:r>
        <w:rPr>
          <w:rFonts w:hint="default" w:ascii="宋体" w:hAnsi="宋体" w:eastAsia="宋体" w:cs="宋体"/>
          <w:color w:val="auto"/>
          <w:sz w:val="24"/>
          <w:szCs w:val="24"/>
          <w:lang w:val="en-US" w:eastAsia="zh-CN"/>
        </w:rPr>
        <w:t>10</w:t>
      </w:r>
      <w:r>
        <w:rPr>
          <w:rFonts w:hint="default" w:ascii="宋体" w:hAnsi="宋体" w:eastAsia="宋体" w:cs="宋体"/>
          <w:color w:val="auto"/>
          <w:sz w:val="24"/>
          <w:szCs w:val="24"/>
        </w:rPr>
        <w:t>kV集电线路的有功功率，无功功率、电流；</w:t>
      </w:r>
    </w:p>
    <w:p>
      <w:pPr>
        <w:spacing w:line="360" w:lineRule="auto"/>
        <w:ind w:firstLine="480"/>
        <w:rPr>
          <w:rFonts w:hint="default" w:ascii="宋体" w:hAnsi="宋体" w:eastAsia="宋体" w:cs="宋体"/>
          <w:color w:val="auto"/>
          <w:sz w:val="24"/>
          <w:szCs w:val="24"/>
        </w:rPr>
      </w:pPr>
      <w:r>
        <w:rPr>
          <w:rFonts w:hint="default" w:ascii="宋体" w:hAnsi="宋体" w:eastAsia="宋体" w:cs="宋体"/>
          <w:color w:val="auto"/>
          <w:sz w:val="24"/>
          <w:szCs w:val="24"/>
          <w:lang w:val="en-US" w:eastAsia="zh-CN"/>
        </w:rPr>
        <w:t>10</w:t>
      </w:r>
      <w:r>
        <w:rPr>
          <w:rFonts w:hint="default" w:ascii="宋体" w:hAnsi="宋体" w:eastAsia="宋体" w:cs="宋体"/>
          <w:color w:val="auto"/>
          <w:sz w:val="24"/>
          <w:szCs w:val="24"/>
        </w:rPr>
        <w:t>kV站用变的有功功率，无功功率、电流；</w:t>
      </w:r>
    </w:p>
    <w:p>
      <w:pPr>
        <w:spacing w:line="360" w:lineRule="auto"/>
        <w:ind w:firstLine="480"/>
        <w:rPr>
          <w:rFonts w:hint="default" w:ascii="宋体" w:hAnsi="宋体" w:eastAsia="宋体" w:cs="宋体"/>
          <w:color w:val="auto"/>
          <w:sz w:val="24"/>
          <w:szCs w:val="24"/>
        </w:rPr>
      </w:pPr>
      <w:r>
        <w:rPr>
          <w:rFonts w:hint="default" w:ascii="宋体" w:hAnsi="宋体" w:eastAsia="宋体" w:cs="宋体"/>
          <w:color w:val="auto"/>
          <w:sz w:val="24"/>
          <w:szCs w:val="24"/>
          <w:lang w:val="en-US" w:eastAsia="zh-CN"/>
        </w:rPr>
        <w:t>10</w:t>
      </w:r>
      <w:r>
        <w:rPr>
          <w:rFonts w:hint="default" w:ascii="宋体" w:hAnsi="宋体" w:eastAsia="宋体" w:cs="宋体"/>
          <w:color w:val="auto"/>
          <w:sz w:val="24"/>
          <w:szCs w:val="24"/>
        </w:rPr>
        <w:t>kV母线电压、频率；</w:t>
      </w:r>
    </w:p>
    <w:p>
      <w:pPr>
        <w:spacing w:line="360" w:lineRule="auto"/>
        <w:ind w:firstLine="480"/>
        <w:rPr>
          <w:rFonts w:hint="default" w:ascii="宋体" w:hAnsi="宋体" w:eastAsia="宋体" w:cs="宋体"/>
          <w:color w:val="auto"/>
          <w:sz w:val="24"/>
          <w:szCs w:val="24"/>
        </w:rPr>
      </w:pPr>
      <w:r>
        <w:rPr>
          <w:rFonts w:hint="default" w:ascii="宋体" w:hAnsi="宋体" w:eastAsia="宋体" w:cs="宋体"/>
          <w:color w:val="auto"/>
          <w:sz w:val="24"/>
          <w:szCs w:val="24"/>
        </w:rPr>
        <w:t>2）遥信：</w:t>
      </w:r>
    </w:p>
    <w:p>
      <w:pPr>
        <w:spacing w:line="360" w:lineRule="auto"/>
        <w:ind w:firstLine="480"/>
        <w:rPr>
          <w:rFonts w:hint="default" w:ascii="宋体" w:hAnsi="宋体" w:eastAsia="宋体" w:cs="宋体"/>
          <w:color w:val="auto"/>
          <w:sz w:val="24"/>
          <w:szCs w:val="24"/>
        </w:rPr>
      </w:pPr>
      <w:r>
        <w:rPr>
          <w:rFonts w:hint="default" w:ascii="宋体" w:hAnsi="宋体" w:eastAsia="宋体" w:cs="宋体"/>
          <w:color w:val="auto"/>
          <w:sz w:val="24"/>
          <w:szCs w:val="24"/>
        </w:rPr>
        <w:t>全站事故总信号；</w:t>
      </w:r>
    </w:p>
    <w:p>
      <w:pPr>
        <w:spacing w:line="360" w:lineRule="auto"/>
        <w:ind w:firstLine="480"/>
        <w:rPr>
          <w:rFonts w:hint="default" w:ascii="宋体" w:hAnsi="宋体" w:eastAsia="宋体" w:cs="宋体"/>
          <w:color w:val="auto"/>
          <w:sz w:val="24"/>
          <w:szCs w:val="24"/>
        </w:rPr>
      </w:pPr>
      <w:r>
        <w:rPr>
          <w:rFonts w:hint="default" w:ascii="宋体" w:hAnsi="宋体" w:eastAsia="宋体" w:cs="宋体"/>
          <w:color w:val="auto"/>
          <w:sz w:val="24"/>
          <w:szCs w:val="24"/>
        </w:rPr>
        <w:t>全站保护动作信号</w:t>
      </w:r>
    </w:p>
    <w:p>
      <w:pPr>
        <w:spacing w:line="360" w:lineRule="auto"/>
        <w:ind w:firstLine="480"/>
        <w:rPr>
          <w:rFonts w:hint="default" w:ascii="宋体" w:hAnsi="宋体" w:eastAsia="宋体" w:cs="宋体"/>
          <w:color w:val="auto"/>
          <w:sz w:val="24"/>
          <w:szCs w:val="24"/>
        </w:rPr>
      </w:pPr>
      <w:r>
        <w:rPr>
          <w:rFonts w:hint="default" w:ascii="宋体" w:hAnsi="宋体" w:eastAsia="宋体" w:cs="宋体"/>
          <w:color w:val="auto"/>
          <w:sz w:val="24"/>
          <w:szCs w:val="24"/>
        </w:rPr>
        <w:t>全站断路器位置、信号</w:t>
      </w:r>
    </w:p>
    <w:p>
      <w:pPr>
        <w:spacing w:line="360" w:lineRule="auto"/>
        <w:ind w:firstLine="480"/>
        <w:rPr>
          <w:rFonts w:hint="default" w:ascii="宋体" w:hAnsi="宋体" w:eastAsia="宋体" w:cs="宋体"/>
          <w:color w:val="auto"/>
          <w:sz w:val="24"/>
          <w:szCs w:val="24"/>
        </w:rPr>
      </w:pPr>
      <w:r>
        <w:rPr>
          <w:rFonts w:hint="default" w:ascii="宋体" w:hAnsi="宋体" w:eastAsia="宋体" w:cs="宋体"/>
          <w:color w:val="auto"/>
          <w:sz w:val="24"/>
          <w:szCs w:val="24"/>
        </w:rPr>
        <w:t>10</w:t>
      </w:r>
      <w:r>
        <w:rPr>
          <w:rFonts w:hint="default" w:ascii="宋体" w:hAnsi="宋体" w:eastAsia="宋体" w:cs="宋体"/>
          <w:color w:val="auto"/>
          <w:sz w:val="24"/>
          <w:szCs w:val="24"/>
          <w:lang w:eastAsia="zh-CN"/>
        </w:rPr>
        <w:t>kV</w:t>
      </w:r>
      <w:r>
        <w:rPr>
          <w:rFonts w:hint="default" w:ascii="宋体" w:hAnsi="宋体" w:eastAsia="宋体" w:cs="宋体"/>
          <w:color w:val="auto"/>
          <w:sz w:val="24"/>
          <w:szCs w:val="24"/>
        </w:rPr>
        <w:t xml:space="preserve"> 隔离手车、接地刀闸位置、信号</w:t>
      </w:r>
    </w:p>
    <w:p>
      <w:pPr>
        <w:spacing w:line="360" w:lineRule="auto"/>
        <w:ind w:firstLine="480"/>
        <w:rPr>
          <w:rFonts w:hint="default" w:ascii="宋体" w:hAnsi="宋体" w:eastAsia="宋体" w:cs="宋体"/>
          <w:color w:val="auto"/>
          <w:sz w:val="24"/>
          <w:szCs w:val="24"/>
        </w:rPr>
      </w:pPr>
      <w:r>
        <w:rPr>
          <w:rFonts w:hint="default" w:ascii="宋体" w:hAnsi="宋体" w:eastAsia="宋体" w:cs="宋体"/>
          <w:color w:val="auto"/>
          <w:sz w:val="24"/>
          <w:szCs w:val="24"/>
        </w:rPr>
        <w:t>（3）遥控：</w:t>
      </w:r>
    </w:p>
    <w:p>
      <w:pPr>
        <w:spacing w:line="360" w:lineRule="auto"/>
        <w:ind w:firstLine="480"/>
        <w:rPr>
          <w:rFonts w:hint="default" w:ascii="宋体" w:hAnsi="宋体" w:eastAsia="宋体" w:cs="宋体"/>
          <w:color w:val="auto"/>
          <w:sz w:val="24"/>
          <w:szCs w:val="24"/>
        </w:rPr>
      </w:pPr>
      <w:r>
        <w:rPr>
          <w:rFonts w:hint="default" w:ascii="宋体" w:hAnsi="宋体" w:eastAsia="宋体" w:cs="宋体"/>
          <w:color w:val="auto"/>
          <w:sz w:val="24"/>
          <w:szCs w:val="24"/>
        </w:rPr>
        <w:t>PCS开机、关机；</w:t>
      </w:r>
    </w:p>
    <w:bookmarkEnd w:id="200"/>
    <w:bookmarkEnd w:id="201"/>
    <w:bookmarkEnd w:id="202"/>
    <w:bookmarkEnd w:id="203"/>
    <w:bookmarkEnd w:id="204"/>
    <w:bookmarkEnd w:id="205"/>
    <w:bookmarkEnd w:id="206"/>
    <w:bookmarkEnd w:id="207"/>
    <w:bookmarkEnd w:id="208"/>
    <w:p>
      <w:pPr>
        <w:pStyle w:val="3"/>
        <w:numPr>
          <w:ilvl w:val="0"/>
          <w:numId w:val="0"/>
        </w:numPr>
        <w:adjustRightInd w:val="0"/>
        <w:snapToGrid w:val="0"/>
        <w:spacing w:before="0" w:beforeLines="50" w:after="0" w:afterLines="50" w:line="360" w:lineRule="auto"/>
        <w:ind w:left="0" w:leftChars="0" w:firstLine="0" w:firstLineChars="0"/>
        <w:outlineLvl w:val="1"/>
        <w:rPr>
          <w:rFonts w:hint="eastAsia" w:ascii="宋体" w:hAnsi="宋体" w:eastAsia="宋体" w:cs="宋体"/>
          <w:b/>
          <w:bCs w:val="0"/>
          <w:color w:val="auto"/>
          <w:szCs w:val="24"/>
          <w:lang w:val="en-US" w:eastAsia="zh-CN"/>
        </w:rPr>
      </w:pPr>
      <w:bookmarkStart w:id="320" w:name="_Toc25063"/>
      <w:bookmarkStart w:id="321" w:name="_Toc20716"/>
      <w:bookmarkStart w:id="322" w:name="_Toc8605"/>
      <w:bookmarkStart w:id="323" w:name="_Toc30547"/>
      <w:bookmarkStart w:id="324" w:name="_Toc25752"/>
      <w:r>
        <w:rPr>
          <w:rFonts w:hint="default"/>
          <w:color w:val="auto"/>
          <w:lang w:val="en-US" w:eastAsia="zh-CN"/>
        </w:rPr>
        <w:t>11.</w:t>
      </w:r>
      <w:r>
        <w:rPr>
          <w:rFonts w:hint="eastAsia"/>
          <w:color w:val="auto"/>
          <w:lang w:val="en-US" w:eastAsia="zh-CN"/>
        </w:rPr>
        <w:t xml:space="preserve"> </w:t>
      </w:r>
      <w:r>
        <w:rPr>
          <w:rFonts w:hint="default"/>
          <w:color w:val="auto"/>
          <w:lang w:val="en-US" w:eastAsia="zh-CN"/>
        </w:rPr>
        <w:t>视频监控系统</w:t>
      </w:r>
      <w:bookmarkEnd w:id="320"/>
      <w:r>
        <w:rPr>
          <w:rFonts w:hint="default"/>
          <w:color w:val="auto"/>
          <w:lang w:val="en-US" w:eastAsia="zh-CN"/>
        </w:rPr>
        <w:t>技术要求</w:t>
      </w:r>
      <w:bookmarkEnd w:id="321"/>
      <w:bookmarkEnd w:id="322"/>
      <w:bookmarkEnd w:id="323"/>
      <w:bookmarkEnd w:id="324"/>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视频监控系统主要考虑对</w:t>
      </w:r>
      <w:r>
        <w:rPr>
          <w:rFonts w:hint="eastAsia" w:ascii="宋体" w:hAnsi="宋体" w:cs="宋体"/>
          <w:color w:val="auto"/>
          <w:sz w:val="24"/>
          <w:szCs w:val="24"/>
          <w:lang w:val="en-US" w:eastAsia="zh-CN"/>
        </w:rPr>
        <w:t>储能</w:t>
      </w:r>
      <w:r>
        <w:rPr>
          <w:rFonts w:hint="eastAsia" w:ascii="宋体" w:hAnsi="宋体" w:eastAsia="宋体" w:cs="宋体"/>
          <w:color w:val="auto"/>
          <w:sz w:val="24"/>
          <w:szCs w:val="24"/>
        </w:rPr>
        <w:t>安装区域</w:t>
      </w:r>
      <w:r>
        <w:rPr>
          <w:rFonts w:hint="eastAsia" w:ascii="宋体" w:hAnsi="宋体" w:eastAsia="宋体" w:cs="宋体"/>
          <w:color w:val="auto"/>
          <w:sz w:val="24"/>
          <w:szCs w:val="24"/>
          <w:highlight w:val="none"/>
        </w:rPr>
        <w:t>及</w:t>
      </w:r>
      <w:r>
        <w:rPr>
          <w:rFonts w:hint="eastAsia" w:ascii="宋体" w:hAnsi="宋体" w:eastAsia="宋体" w:cs="宋体"/>
          <w:color w:val="auto"/>
          <w:sz w:val="24"/>
          <w:szCs w:val="24"/>
          <w:highlight w:val="none"/>
          <w:lang w:val="en-US" w:eastAsia="zh-CN"/>
        </w:rPr>
        <w:t>微网</w:t>
      </w:r>
      <w:r>
        <w:rPr>
          <w:rFonts w:hint="eastAsia" w:ascii="宋体" w:hAnsi="宋体" w:eastAsia="宋体" w:cs="宋体"/>
          <w:color w:val="auto"/>
          <w:sz w:val="24"/>
          <w:szCs w:val="24"/>
          <w:highlight w:val="none"/>
        </w:rPr>
        <w:t>项目主要设备、关</w:t>
      </w:r>
      <w:r>
        <w:rPr>
          <w:rFonts w:hint="eastAsia" w:ascii="宋体" w:hAnsi="宋体" w:eastAsia="宋体" w:cs="宋体"/>
          <w:color w:val="auto"/>
          <w:sz w:val="24"/>
          <w:szCs w:val="24"/>
        </w:rPr>
        <w:t>键设备安装地点以及周围环境进行全天24小时的图像监视，以满足安全生产所需的监视设备关键部位的要求。</w:t>
      </w:r>
    </w:p>
    <w:p>
      <w:pPr>
        <w:pStyle w:val="4"/>
        <w:bidi w:val="0"/>
        <w:ind w:firstLine="0" w:firstLineChars="0"/>
        <w:outlineLvl w:val="2"/>
        <w:rPr>
          <w:rFonts w:hint="eastAsia" w:ascii="宋体" w:hAnsi="宋体" w:eastAsia="宋体" w:cs="宋体"/>
          <w:b w:val="0"/>
          <w:bCs/>
          <w:color w:val="auto"/>
          <w:szCs w:val="24"/>
          <w:lang w:val="en-US" w:eastAsia="zh-CN"/>
        </w:rPr>
      </w:pPr>
      <w:bookmarkStart w:id="325" w:name="_Toc4039"/>
      <w:bookmarkStart w:id="326" w:name="_Toc27808"/>
      <w:bookmarkStart w:id="327" w:name="_Toc13261"/>
      <w:r>
        <w:rPr>
          <w:rFonts w:hint="eastAsia"/>
          <w:color w:val="auto"/>
          <w:lang w:val="en-US" w:eastAsia="zh-CN"/>
        </w:rPr>
        <w:t>11.1实时视频监控对象</w:t>
      </w:r>
      <w:bookmarkEnd w:id="325"/>
      <w:bookmarkEnd w:id="326"/>
      <w:bookmarkEnd w:id="327"/>
    </w:p>
    <w:p>
      <w:pPr>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主要监视对象及范围如下，但不限于此：</w:t>
      </w:r>
    </w:p>
    <w:p>
      <w:pPr>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1、实现对电化学储能安装区域场景情况的远程监视；</w:t>
      </w:r>
    </w:p>
    <w:p>
      <w:pPr>
        <w:spacing w:line="360" w:lineRule="auto"/>
        <w:ind w:firstLine="420" w:firstLineChars="200"/>
        <w:rPr>
          <w:rFonts w:hint="eastAsia"/>
          <w:color w:val="auto"/>
        </w:rPr>
      </w:pPr>
      <w:r>
        <w:rPr>
          <w:rFonts w:hint="eastAsia" w:ascii="宋体" w:hAnsi="宋体" w:eastAsia="宋体" w:cs="宋体"/>
          <w:color w:val="auto"/>
          <w:lang w:val="en-US" w:eastAsia="zh-CN"/>
        </w:rPr>
        <w:t>2</w:t>
      </w:r>
      <w:r>
        <w:rPr>
          <w:rFonts w:hint="eastAsia" w:ascii="宋体" w:hAnsi="宋体" w:eastAsia="宋体" w:cs="宋体"/>
          <w:color w:val="auto"/>
        </w:rPr>
        <w:t>、实现对</w:t>
      </w:r>
      <w:r>
        <w:rPr>
          <w:rFonts w:hint="eastAsia" w:ascii="宋体" w:hAnsi="宋体" w:eastAsia="宋体" w:cs="宋体"/>
          <w:color w:val="auto"/>
          <w:lang w:val="en-US" w:eastAsia="zh-CN"/>
        </w:rPr>
        <w:t>储能舱、一二次预制舱等</w:t>
      </w:r>
      <w:r>
        <w:rPr>
          <w:rFonts w:hint="eastAsia" w:ascii="宋体" w:hAnsi="宋体" w:eastAsia="宋体" w:cs="宋体"/>
          <w:color w:val="auto"/>
        </w:rPr>
        <w:t>关键变配电设备</w:t>
      </w:r>
      <w:r>
        <w:rPr>
          <w:rFonts w:hint="eastAsia" w:ascii="宋体" w:hAnsi="宋体" w:eastAsia="宋体" w:cs="宋体"/>
          <w:color w:val="auto"/>
          <w:lang w:val="en-US" w:eastAsia="zh-CN"/>
        </w:rPr>
        <w:t>外观的运行状态</w:t>
      </w:r>
      <w:r>
        <w:rPr>
          <w:rFonts w:hint="eastAsia"/>
          <w:color w:val="auto"/>
        </w:rPr>
        <w:t>。</w:t>
      </w:r>
    </w:p>
    <w:p>
      <w:pPr>
        <w:pStyle w:val="4"/>
        <w:bidi w:val="0"/>
        <w:ind w:firstLine="118" w:firstLineChars="49"/>
        <w:outlineLvl w:val="3"/>
        <w:rPr>
          <w:rFonts w:hint="eastAsia" w:ascii="宋体" w:hAnsi="宋体" w:eastAsia="宋体" w:cs="宋体"/>
          <w:b w:val="0"/>
          <w:bCs/>
          <w:color w:val="auto"/>
          <w:szCs w:val="24"/>
          <w:lang w:val="en-US" w:eastAsia="zh-CN"/>
        </w:rPr>
      </w:pPr>
      <w:r>
        <w:rPr>
          <w:rFonts w:hint="eastAsia" w:ascii="宋体" w:hAnsi="宋体" w:eastAsia="宋体" w:cs="宋体"/>
          <w:b/>
          <w:bCs/>
          <w:color w:val="auto"/>
          <w:sz w:val="24"/>
          <w:szCs w:val="24"/>
          <w:lang w:val="en-US" w:eastAsia="zh-CN"/>
        </w:rPr>
        <w:t>11.</w:t>
      </w:r>
      <w:r>
        <w:rPr>
          <w:rFonts w:hint="eastAsia"/>
          <w:color w:val="auto"/>
          <w:lang w:val="en-US" w:eastAsia="zh-CN"/>
        </w:rPr>
        <w:t>2</w:t>
      </w:r>
      <w:r>
        <w:rPr>
          <w:rFonts w:hint="eastAsia" w:ascii="宋体" w:hAnsi="宋体" w:eastAsia="宋体" w:cs="宋体"/>
          <w:b/>
          <w:bCs/>
          <w:color w:val="auto"/>
          <w:sz w:val="24"/>
          <w:szCs w:val="24"/>
          <w:lang w:val="en-US" w:eastAsia="zh-CN"/>
        </w:rPr>
        <w:t>实时视频监控系统技术要求</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视频监控系统技术要求如下，但不限于此：</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1、支持远程云台镜头控制，可以控制摄像机的图像的拉近、拉远，方便用户查看细节信息；通过控制云台的上、下、左、右转动，实现用户对现场环境的全方位监控。</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2、支持多个客户端同时监控一个监控点的图像。</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、视频监控主站具备调用项目摄像头图像的能力，支持同时查看多路视频信号，支持远程控制云台镜头。</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5、视频监控主站应具有视频管理功能，支持监控视频解码上墙，支持画布设置与画面分割、拼接管理。</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6、视频监控主站提供HDMI视频信号接口，能够在</w:t>
      </w:r>
      <w:r>
        <w:rPr>
          <w:rFonts w:hint="eastAsia" w:ascii="宋体" w:hAnsi="宋体" w:eastAsia="宋体" w:cs="宋体"/>
          <w:color w:val="auto"/>
          <w:sz w:val="24"/>
          <w:szCs w:val="24"/>
          <w:lang w:val="en-US" w:eastAsia="zh-CN"/>
        </w:rPr>
        <w:t>微网平台</w:t>
      </w:r>
      <w:r>
        <w:rPr>
          <w:rFonts w:hint="eastAsia" w:ascii="宋体" w:hAnsi="宋体" w:eastAsia="宋体" w:cs="宋体"/>
          <w:color w:val="auto"/>
          <w:sz w:val="24"/>
          <w:szCs w:val="24"/>
        </w:rPr>
        <w:t>系统展示大屏上显示监控画面。</w:t>
      </w:r>
    </w:p>
    <w:p>
      <w:pPr>
        <w:pStyle w:val="4"/>
        <w:rPr>
          <w:rFonts w:hint="eastAsia" w:ascii="宋体" w:hAnsi="宋体" w:eastAsia="宋体" w:cs="宋体"/>
          <w:b w:val="0"/>
          <w:bCs/>
          <w:color w:val="auto"/>
          <w:szCs w:val="24"/>
          <w:lang w:val="en-US" w:eastAsia="zh-CN"/>
        </w:rPr>
      </w:pPr>
      <w:bookmarkStart w:id="328" w:name="_Toc31162"/>
      <w:bookmarkStart w:id="329" w:name="_Toc28003"/>
      <w:bookmarkStart w:id="330" w:name="_Toc19051"/>
      <w:r>
        <w:rPr>
          <w:rFonts w:hint="eastAsia" w:ascii="宋体" w:hAnsi="宋体" w:eastAsia="宋体" w:cs="宋体"/>
          <w:b/>
          <w:bCs/>
          <w:color w:val="auto"/>
          <w:sz w:val="24"/>
          <w:szCs w:val="24"/>
          <w:lang w:val="en-US" w:eastAsia="zh-CN"/>
        </w:rPr>
        <w:t>11.</w:t>
      </w:r>
      <w:r>
        <w:rPr>
          <w:rFonts w:hint="eastAsia"/>
          <w:color w:val="auto"/>
          <w:lang w:val="en-US" w:eastAsia="zh-CN"/>
        </w:rPr>
        <w:t>3</w:t>
      </w:r>
      <w:r>
        <w:rPr>
          <w:rFonts w:hint="eastAsia" w:ascii="宋体" w:hAnsi="宋体" w:eastAsia="宋体" w:cs="宋体"/>
          <w:b/>
          <w:bCs/>
          <w:color w:val="auto"/>
          <w:sz w:val="24"/>
          <w:szCs w:val="24"/>
          <w:lang w:val="en-US" w:eastAsia="zh-CN"/>
        </w:rPr>
        <w:t>实时视频监控功能</w:t>
      </w:r>
      <w:bookmarkEnd w:id="328"/>
      <w:bookmarkEnd w:id="329"/>
      <w:bookmarkEnd w:id="330"/>
    </w:p>
    <w:p>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对监控范围内的设备实现实时视频监控。</w:t>
      </w:r>
    </w:p>
    <w:p>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在可设定的时间间隔内对站内摄像机进行视频巡检，参与巡检的对象可以任意设定，包括同一站端的不同摄像机、同一摄像机的不同预置位等，巡检间隔时间可设置。</w:t>
      </w:r>
    </w:p>
    <w:p>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具有视频自动跟踪、移动检测等功能。</w:t>
      </w:r>
    </w:p>
    <w:p>
      <w:pPr>
        <w:pStyle w:val="4"/>
        <w:rPr>
          <w:rFonts w:hint="eastAsia" w:ascii="宋体" w:hAnsi="宋体" w:eastAsia="宋体" w:cs="宋体"/>
          <w:b w:val="0"/>
          <w:bCs/>
          <w:color w:val="auto"/>
          <w:szCs w:val="24"/>
        </w:rPr>
      </w:pPr>
      <w:bookmarkStart w:id="331" w:name="_Toc26937"/>
      <w:bookmarkStart w:id="332" w:name="_Toc18683"/>
      <w:bookmarkStart w:id="333" w:name="_Toc15605"/>
      <w:r>
        <w:rPr>
          <w:rFonts w:hint="eastAsia" w:ascii="宋体" w:hAnsi="宋体" w:eastAsia="宋体" w:cs="宋体"/>
          <w:b/>
          <w:bCs/>
          <w:color w:val="auto"/>
          <w:sz w:val="24"/>
          <w:szCs w:val="24"/>
          <w:lang w:val="en-US" w:eastAsia="zh-CN"/>
        </w:rPr>
        <w:t>11</w:t>
      </w:r>
      <w:r>
        <w:rPr>
          <w:rFonts w:hint="eastAsia" w:ascii="宋体" w:hAnsi="宋体" w:eastAsia="宋体" w:cs="宋体"/>
          <w:b/>
          <w:bCs/>
          <w:color w:val="auto"/>
          <w:sz w:val="24"/>
          <w:szCs w:val="24"/>
        </w:rPr>
        <w:t>.</w:t>
      </w:r>
      <w:r>
        <w:rPr>
          <w:rFonts w:hint="eastAsia"/>
          <w:color w:val="auto"/>
          <w:lang w:eastAsia="zh-CN"/>
        </w:rPr>
        <w:t>4</w:t>
      </w:r>
      <w:r>
        <w:rPr>
          <w:rFonts w:hint="eastAsia" w:ascii="宋体" w:hAnsi="宋体" w:eastAsia="宋体" w:cs="宋体"/>
          <w:b/>
          <w:bCs/>
          <w:color w:val="auto"/>
          <w:sz w:val="24"/>
          <w:szCs w:val="24"/>
        </w:rPr>
        <w:t>视频显示功能</w:t>
      </w:r>
      <w:bookmarkEnd w:id="331"/>
      <w:bookmarkEnd w:id="332"/>
      <w:bookmarkEnd w:id="333"/>
    </w:p>
    <w:p>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实时图像监视，彩色图像以不少于4通道、每通道以每秒25帧的速率实时传送和播放。视频图像大小随意可调。</w:t>
      </w:r>
    </w:p>
    <w:p>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可在系统结构窗内方便地选择所需监控的摄像机。切换画面简便明了，对于带云台摄像机应可以通过预置位菜单，快速切换不同的预置位。</w:t>
      </w:r>
    </w:p>
    <w:p>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视频色彩、亮度、饱和度等可由用户设置调整。</w:t>
      </w:r>
    </w:p>
    <w:p>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可以单画面、4画面、9画面或16画面显示图像。</w:t>
      </w:r>
    </w:p>
    <w:p>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可自由切换视频画面。</w:t>
      </w:r>
    </w:p>
    <w:p>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可方便地设置屏幕背景颜色。</w:t>
      </w:r>
    </w:p>
    <w:p>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可方便设置轮巡显示，可以在同一监视器上对站内所选摄像机进行轮巡显示。用户可在系统弹出菜单内增减轮巡摄像机，改变停留时间，改变预置位等。</w:t>
      </w:r>
    </w:p>
    <w:p>
      <w:pPr>
        <w:pStyle w:val="4"/>
        <w:rPr>
          <w:rFonts w:hint="eastAsia" w:ascii="宋体" w:hAnsi="宋体" w:eastAsia="宋体" w:cs="宋体"/>
          <w:b w:val="0"/>
          <w:bCs/>
          <w:color w:val="auto"/>
          <w:szCs w:val="24"/>
          <w:lang w:val="en-US" w:eastAsia="zh-CN"/>
        </w:rPr>
      </w:pPr>
      <w:bookmarkStart w:id="334" w:name="_Toc17793"/>
      <w:bookmarkStart w:id="335" w:name="_Toc29349"/>
      <w:bookmarkStart w:id="336" w:name="_Toc17246"/>
      <w:r>
        <w:rPr>
          <w:rFonts w:hint="eastAsia" w:ascii="宋体" w:hAnsi="宋体" w:eastAsia="宋体" w:cs="宋体"/>
          <w:b/>
          <w:bCs/>
          <w:color w:val="auto"/>
          <w:sz w:val="24"/>
          <w:szCs w:val="24"/>
          <w:lang w:val="en-US" w:eastAsia="zh-CN"/>
        </w:rPr>
        <w:t>11.</w:t>
      </w:r>
      <w:r>
        <w:rPr>
          <w:rFonts w:hint="eastAsia"/>
          <w:color w:val="auto"/>
          <w:lang w:val="en-US" w:eastAsia="zh-CN"/>
        </w:rPr>
        <w:t>5</w:t>
      </w:r>
      <w:r>
        <w:rPr>
          <w:rFonts w:hint="eastAsia" w:ascii="宋体" w:hAnsi="宋体" w:eastAsia="宋体" w:cs="宋体"/>
          <w:b/>
          <w:bCs/>
          <w:color w:val="auto"/>
          <w:sz w:val="24"/>
          <w:szCs w:val="24"/>
          <w:lang w:val="en-US" w:eastAsia="zh-CN"/>
        </w:rPr>
        <w:t>图像储存回放功能</w:t>
      </w:r>
      <w:bookmarkEnd w:id="334"/>
      <w:bookmarkEnd w:id="335"/>
      <w:bookmarkEnd w:id="336"/>
    </w:p>
    <w:p>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图像快照功能：以JPEG格式储存画面。</w:t>
      </w:r>
    </w:p>
    <w:p>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报警可联动录像，录像时间可调，带时标、地标。可存储静止画面和活动画面。</w:t>
      </w:r>
    </w:p>
    <w:p>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系统可连续录像，每路图像的存储时间应不小于720h。</w:t>
      </w:r>
    </w:p>
    <w:p>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存盘信息合理管理，可按时间、地点、报警性质查询回放。</w:t>
      </w:r>
    </w:p>
    <w:p>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具有可显示、存储、检索、回放所选摄像机实时图像及图像回放编辑功能。</w:t>
      </w:r>
    </w:p>
    <w:p>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硬盘空间管理功能，硬盘空间不足时报警。</w:t>
      </w:r>
    </w:p>
    <w:p>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可远程回放站端的任一摄像头的历史图像（时间可设）及报警录像；可远程控制站端的服务器实现手动录像、定时录像、报警触发录像，支持画面异动检测功能。</w:t>
      </w:r>
    </w:p>
    <w:p>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图像回放方式有逐帧、慢放、常速、快速放大/缩小等多种方式。能够将任意一幅回放图像存放成JPEG或BMP格式的图像，供数据交换使用。</w:t>
      </w:r>
    </w:p>
    <w:p>
      <w:pPr>
        <w:spacing w:line="360" w:lineRule="auto"/>
        <w:ind w:firstLine="480"/>
        <w:rPr>
          <w:rFonts w:hint="eastAsia" w:ascii="宋体" w:hAnsi="宋体" w:eastAsia="宋体" w:cs="宋体"/>
          <w:color w:val="auto"/>
          <w:szCs w:val="24"/>
        </w:rPr>
      </w:pPr>
      <w:r>
        <w:rPr>
          <w:rFonts w:hint="eastAsia" w:ascii="宋体" w:hAnsi="宋体" w:eastAsia="宋体" w:cs="宋体"/>
          <w:color w:val="auto"/>
          <w:szCs w:val="24"/>
          <w:lang w:val="en-US" w:eastAsia="zh-CN"/>
        </w:rPr>
        <w:t>9、</w:t>
      </w:r>
      <w:r>
        <w:rPr>
          <w:rFonts w:hint="eastAsia" w:ascii="宋体" w:hAnsi="宋体" w:eastAsia="宋体" w:cs="宋体"/>
          <w:color w:val="auto"/>
          <w:szCs w:val="24"/>
        </w:rPr>
        <w:t>每路录像支持按1080P格式回放。</w:t>
      </w:r>
    </w:p>
    <w:p>
      <w:pPr>
        <w:pStyle w:val="3"/>
        <w:rPr>
          <w:rFonts w:hint="eastAsia" w:ascii="宋体" w:hAnsi="宋体" w:eastAsia="宋体" w:cs="宋体"/>
          <w:b/>
          <w:bCs w:val="0"/>
          <w:color w:val="auto"/>
          <w:szCs w:val="24"/>
          <w:lang w:val="en-US" w:eastAsia="zh-CN"/>
        </w:rPr>
      </w:pPr>
      <w:bookmarkStart w:id="337" w:name="_Toc23733"/>
      <w:bookmarkStart w:id="338" w:name="_Toc26879"/>
      <w:bookmarkStart w:id="339" w:name="_Toc28371"/>
      <w:bookmarkStart w:id="340" w:name="_Toc20660"/>
      <w:r>
        <w:rPr>
          <w:rFonts w:hint="eastAsia"/>
          <w:color w:val="auto"/>
          <w:lang w:val="en-US" w:eastAsia="zh-CN"/>
        </w:rPr>
        <w:t>12. 储能系统（含微网协控装置）技术要求</w:t>
      </w:r>
      <w:bookmarkEnd w:id="337"/>
      <w:bookmarkEnd w:id="338"/>
      <w:bookmarkEnd w:id="339"/>
      <w:bookmarkEnd w:id="340"/>
    </w:p>
    <w:p>
      <w:pPr>
        <w:autoSpaceDE w:val="0"/>
        <w:autoSpaceDN w:val="0"/>
        <w:adjustRightInd/>
        <w:snapToGrid/>
        <w:spacing w:line="360" w:lineRule="auto"/>
        <w:ind w:firstLine="480" w:firstLineChars="200"/>
        <w:jc w:val="left"/>
        <w:rPr>
          <w:rFonts w:hint="eastAsia" w:ascii="宋体" w:hAnsi="宋体" w:eastAsia="宋体" w:cs="宋体"/>
          <w:bCs w:val="0"/>
          <w:color w:val="auto"/>
          <w:sz w:val="24"/>
          <w:szCs w:val="24"/>
          <w:highlight w:val="none"/>
          <w:lang w:val="en-US" w:eastAsia="zh-CN"/>
        </w:rPr>
      </w:pPr>
      <w:bookmarkStart w:id="341" w:name="_Toc3907"/>
      <w:r>
        <w:rPr>
          <w:rFonts w:hint="eastAsia" w:ascii="宋体" w:hAnsi="宋体" w:eastAsia="宋体" w:cs="宋体"/>
          <w:bCs w:val="0"/>
          <w:color w:val="auto"/>
          <w:sz w:val="24"/>
          <w:szCs w:val="24"/>
          <w:highlight w:val="none"/>
          <w:lang w:val="en-US" w:eastAsia="zh-CN"/>
        </w:rPr>
        <w:t>储能集中布置，分为两套2MW/4MWh储能系统接入储能一次预制舱，通过储能一次预制舱共计1回10kV线路接入B12动力用房10kV龙商线母线段，于并网状态时进行削峰填谷，离网状态时满足黑启动需求；</w:t>
      </w:r>
    </w:p>
    <w:p>
      <w:pPr>
        <w:numPr>
          <w:ilvl w:val="-1"/>
          <w:numId w:val="0"/>
        </w:numPr>
        <w:adjustRightInd/>
        <w:snapToGrid/>
        <w:spacing w:before="10" w:beforeLines="0" w:after="10" w:afterLines="0" w:afterAutospacing="0" w:line="360" w:lineRule="auto"/>
        <w:ind w:left="0" w:leftChars="0" w:firstLine="0" w:firstLineChars="0"/>
        <w:outlineLvl w:val="9"/>
        <w:rPr>
          <w:rFonts w:hint="eastAsia"/>
          <w:color w:val="auto"/>
          <w:lang w:val="en-US" w:eastAsia="zh-CN"/>
        </w:rPr>
      </w:pPr>
      <w:r>
        <w:rPr>
          <w:rFonts w:hint="eastAsia" w:eastAsia="宋体"/>
          <w:color w:val="auto"/>
          <w:highlight w:val="none"/>
          <w:lang w:val="en-US" w:eastAsia="zh-CN"/>
        </w:rPr>
        <w:drawing>
          <wp:inline distT="0" distB="0" distL="114300" distR="114300">
            <wp:extent cx="4834890" cy="2893695"/>
            <wp:effectExtent l="0" t="0" r="3810" b="1905"/>
            <wp:docPr id="12" name="图片 12" descr="1753763868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1753763868424"/>
                    <pic:cNvPicPr>
                      <a:picLocks noChangeAspect="1"/>
                    </pic:cNvPicPr>
                  </pic:nvPicPr>
                  <pic:blipFill>
                    <a:blip r:embed="rId11"/>
                    <a:stretch>
                      <a:fillRect/>
                    </a:stretch>
                  </pic:blipFill>
                  <pic:spPr>
                    <a:xfrm>
                      <a:off x="0" y="0"/>
                      <a:ext cx="4834890" cy="2893695"/>
                    </a:xfrm>
                    <a:prstGeom prst="rect">
                      <a:avLst/>
                    </a:prstGeom>
                  </pic:spPr>
                </pic:pic>
              </a:graphicData>
            </a:graphic>
          </wp:inline>
        </w:drawing>
      </w:r>
    </w:p>
    <w:p>
      <w:pPr>
        <w:pStyle w:val="4"/>
        <w:numPr>
          <w:ilvl w:val="-1"/>
          <w:numId w:val="0"/>
        </w:numPr>
        <w:adjustRightInd/>
        <w:snapToGrid/>
        <w:spacing w:before="10" w:beforeLines="0" w:after="10" w:afterLines="0" w:afterAutospacing="0" w:line="360" w:lineRule="auto"/>
        <w:ind w:left="0" w:leftChars="0" w:firstLine="0" w:firstLineChars="0"/>
        <w:outlineLvl w:val="2"/>
        <w:rPr>
          <w:rFonts w:hint="eastAsia" w:ascii="宋体" w:hAnsi="宋体" w:eastAsia="宋体" w:cs="宋体"/>
          <w:b/>
          <w:bCs w:val="0"/>
          <w:color w:val="auto"/>
          <w:szCs w:val="24"/>
          <w:lang w:val="en-US" w:eastAsia="zh-CN"/>
        </w:rPr>
      </w:pPr>
      <w:bookmarkStart w:id="342" w:name="_Toc28224"/>
      <w:bookmarkStart w:id="343" w:name="_Toc4199"/>
      <w:bookmarkStart w:id="344" w:name="_Toc1836"/>
      <w:r>
        <w:rPr>
          <w:rFonts w:hint="eastAsia"/>
          <w:color w:val="auto"/>
          <w:lang w:val="en-US" w:eastAsia="zh-CN"/>
        </w:rPr>
        <w:t>12.1 供货范围</w:t>
      </w:r>
      <w:bookmarkEnd w:id="341"/>
      <w:bookmarkEnd w:id="342"/>
      <w:bookmarkEnd w:id="343"/>
      <w:bookmarkEnd w:id="344"/>
    </w:p>
    <w:p>
      <w:pPr>
        <w:spacing w:line="360" w:lineRule="auto"/>
        <w:rPr>
          <w:rFonts w:hint="eastAsia" w:ascii="宋体" w:hAnsi="宋体" w:eastAsia="宋体" w:cs="宋体"/>
          <w:color w:val="auto"/>
          <w:kern w:val="21"/>
          <w:szCs w:val="24"/>
        </w:rPr>
      </w:pPr>
      <w:r>
        <w:rPr>
          <w:rFonts w:hint="eastAsia"/>
          <w:color w:val="auto"/>
        </w:rPr>
        <w:t>供货范围为</w:t>
      </w:r>
      <w:r>
        <w:rPr>
          <w:rFonts w:hint="eastAsia" w:ascii="Calibri" w:eastAsia="宋体"/>
          <w:color w:val="auto"/>
          <w:lang w:val="en-US" w:eastAsia="zh-CN"/>
        </w:rPr>
        <w:t>4</w:t>
      </w:r>
      <w:r>
        <w:rPr>
          <w:rFonts w:hint="eastAsia"/>
          <w:color w:val="auto"/>
        </w:rPr>
        <w:t>MW/</w:t>
      </w:r>
      <w:r>
        <w:rPr>
          <w:rFonts w:hint="eastAsia" w:ascii="Calibri" w:eastAsia="宋体"/>
          <w:color w:val="auto"/>
          <w:lang w:val="en-US" w:eastAsia="zh-CN"/>
        </w:rPr>
        <w:t>8</w:t>
      </w:r>
      <w:r>
        <w:rPr>
          <w:rFonts w:hint="eastAsia"/>
          <w:color w:val="auto"/>
        </w:rPr>
        <w:t>MWh储能系统及其附属设备，主要包括</w:t>
      </w:r>
      <w:r>
        <w:rPr>
          <w:rFonts w:hint="eastAsia" w:ascii="Calibri" w:eastAsia="宋体"/>
          <w:color w:val="auto"/>
          <w:lang w:val="en-US" w:eastAsia="zh-CN"/>
        </w:rPr>
        <w:t>2</w:t>
      </w:r>
      <w:r>
        <w:rPr>
          <w:rFonts w:hint="eastAsia"/>
          <w:color w:val="auto"/>
        </w:rPr>
        <w:t>套</w:t>
      </w:r>
      <w:r>
        <w:rPr>
          <w:rFonts w:hint="eastAsia" w:ascii="Calibri" w:eastAsia="宋体"/>
          <w:color w:val="auto"/>
          <w:lang w:val="en-US" w:eastAsia="zh-CN"/>
        </w:rPr>
        <w:t>2</w:t>
      </w:r>
      <w:r>
        <w:rPr>
          <w:rFonts w:hint="eastAsia"/>
          <w:color w:val="auto"/>
        </w:rPr>
        <w:t>MW/</w:t>
      </w:r>
      <w:r>
        <w:rPr>
          <w:rFonts w:hint="eastAsia" w:ascii="Calibri" w:eastAsia="宋体"/>
          <w:color w:val="auto"/>
          <w:lang w:val="en-US" w:eastAsia="zh-CN"/>
        </w:rPr>
        <w:t>4</w:t>
      </w:r>
      <w:r>
        <w:rPr>
          <w:rFonts w:hint="eastAsia"/>
          <w:color w:val="auto"/>
        </w:rPr>
        <w:t>MWh（构网型）储能系统，10</w:t>
      </w:r>
      <w:r>
        <w:rPr>
          <w:rFonts w:hint="eastAsia" w:eastAsia="宋体"/>
          <w:color w:val="auto"/>
          <w:lang w:eastAsia="zh-CN"/>
        </w:rPr>
        <w:t>kV</w:t>
      </w:r>
      <w:r>
        <w:rPr>
          <w:rFonts w:hint="eastAsia"/>
          <w:color w:val="auto"/>
        </w:rPr>
        <w:t>电压等级输出。含储能设备及</w:t>
      </w:r>
      <w:r>
        <w:rPr>
          <w:rFonts w:hint="eastAsia" w:ascii="Calibri" w:eastAsia="宋体"/>
          <w:color w:val="auto"/>
          <w:lang w:val="en-US" w:eastAsia="zh-CN"/>
        </w:rPr>
        <w:t>10kV/0.69kV</w:t>
      </w:r>
      <w:r>
        <w:rPr>
          <w:rFonts w:hint="eastAsia"/>
          <w:color w:val="auto"/>
        </w:rPr>
        <w:t>升压变、开关柜（供货范围到10</w:t>
      </w:r>
      <w:r>
        <w:rPr>
          <w:rFonts w:hint="eastAsia" w:eastAsia="宋体"/>
          <w:color w:val="auto"/>
          <w:lang w:eastAsia="zh-CN"/>
        </w:rPr>
        <w:t>kV</w:t>
      </w:r>
      <w:r>
        <w:rPr>
          <w:rFonts w:hint="eastAsia"/>
          <w:color w:val="auto"/>
        </w:rPr>
        <w:t>开关柜高压侧出口），以及供货范围内所有设备元件的选择、设计、制造、提供图纸资料、试验（包括型式试验、出厂试验、协助交接试验）、供货、包装、发运、现场交货、现场指导安装、现场调试指导、参加试验运行和协助交接验收以及技术文件的编制和技术服务等工作，负责储能系统所有设备的试验与储能系统的调试、与项目其他各系统（包含一次、二次、通信、自动化等）的匹配。</w:t>
      </w:r>
    </w:p>
    <w:p>
      <w:pPr>
        <w:pStyle w:val="4"/>
        <w:numPr>
          <w:ilvl w:val="-1"/>
          <w:numId w:val="0"/>
        </w:numPr>
        <w:adjustRightInd/>
        <w:snapToGrid/>
        <w:spacing w:before="10" w:beforeLines="0" w:after="10" w:afterLines="0" w:line="360" w:lineRule="auto"/>
        <w:ind w:left="0" w:leftChars="0" w:firstLine="0" w:firstLineChars="0"/>
        <w:outlineLvl w:val="2"/>
        <w:rPr>
          <w:rFonts w:hint="eastAsia" w:ascii="宋体" w:hAnsi="宋体" w:eastAsia="宋体" w:cs="宋体"/>
          <w:b/>
          <w:bCs w:val="0"/>
          <w:color w:val="auto"/>
          <w:szCs w:val="24"/>
          <w:lang w:val="en-US" w:eastAsia="zh-CN"/>
        </w:rPr>
      </w:pPr>
      <w:bookmarkStart w:id="345" w:name="_Toc2821"/>
      <w:bookmarkStart w:id="346" w:name="_Toc18377"/>
      <w:bookmarkStart w:id="347" w:name="_Toc7807"/>
      <w:bookmarkStart w:id="348" w:name="_Toc6907"/>
      <w:r>
        <w:rPr>
          <w:rFonts w:hint="eastAsia"/>
          <w:color w:val="auto"/>
          <w:lang w:val="en-US" w:eastAsia="zh-CN"/>
        </w:rPr>
        <w:t>12.2 执行标准</w:t>
      </w:r>
      <w:bookmarkEnd w:id="345"/>
      <w:bookmarkEnd w:id="346"/>
      <w:bookmarkEnd w:id="347"/>
      <w:bookmarkEnd w:id="348"/>
    </w:p>
    <w:p>
      <w:pPr>
        <w:numPr>
          <w:ilvl w:val="0"/>
          <w:numId w:val="0"/>
        </w:numPr>
        <w:spacing w:line="360" w:lineRule="auto"/>
        <w:ind w:leftChars="0"/>
        <w:rPr>
          <w:rFonts w:hint="eastAsia"/>
          <w:color w:val="auto"/>
        </w:rPr>
      </w:pPr>
      <w:r>
        <w:rPr>
          <w:rFonts w:hint="eastAsia"/>
          <w:color w:val="auto"/>
        </w:rPr>
        <w:t>《电化学储能电站设计规范》GB 51048-2014</w:t>
      </w:r>
    </w:p>
    <w:p>
      <w:pPr>
        <w:numPr>
          <w:ilvl w:val="0"/>
          <w:numId w:val="0"/>
        </w:numPr>
        <w:spacing w:line="360" w:lineRule="auto"/>
        <w:ind w:leftChars="0"/>
        <w:rPr>
          <w:rFonts w:hint="eastAsia"/>
          <w:color w:val="auto"/>
        </w:rPr>
      </w:pPr>
      <w:r>
        <w:rPr>
          <w:rFonts w:hint="eastAsia"/>
          <w:color w:val="auto"/>
        </w:rPr>
        <w:t>《电力系统电化学储能系统通用技术条件》GB/T 36558-20</w:t>
      </w:r>
      <w:r>
        <w:rPr>
          <w:rFonts w:hint="eastAsia" w:ascii="Calibri" w:eastAsia="宋体"/>
          <w:color w:val="auto"/>
          <w:lang w:val="en-US" w:eastAsia="zh-CN"/>
        </w:rPr>
        <w:t>23</w:t>
      </w:r>
    </w:p>
    <w:p>
      <w:pPr>
        <w:numPr>
          <w:ilvl w:val="0"/>
          <w:numId w:val="0"/>
        </w:numPr>
        <w:spacing w:line="360" w:lineRule="auto"/>
        <w:ind w:leftChars="0"/>
        <w:rPr>
          <w:rFonts w:hint="eastAsia"/>
          <w:color w:val="auto"/>
        </w:rPr>
      </w:pPr>
      <w:r>
        <w:rPr>
          <w:rFonts w:hint="eastAsia"/>
          <w:color w:val="auto"/>
        </w:rPr>
        <w:t>《电力储能用电池管理系统》GB/T 34131-20</w:t>
      </w:r>
      <w:r>
        <w:rPr>
          <w:rFonts w:hint="eastAsia" w:ascii="Calibri" w:eastAsia="宋体"/>
          <w:color w:val="auto"/>
          <w:lang w:val="en-US" w:eastAsia="zh-CN"/>
        </w:rPr>
        <w:t>23</w:t>
      </w:r>
    </w:p>
    <w:p>
      <w:pPr>
        <w:numPr>
          <w:ilvl w:val="0"/>
          <w:numId w:val="0"/>
        </w:numPr>
        <w:spacing w:line="360" w:lineRule="auto"/>
        <w:ind w:leftChars="0"/>
        <w:rPr>
          <w:rFonts w:hint="eastAsia"/>
          <w:color w:val="auto"/>
        </w:rPr>
      </w:pPr>
      <w:r>
        <w:rPr>
          <w:rFonts w:hint="eastAsia"/>
          <w:color w:val="auto"/>
        </w:rPr>
        <w:t>《电化学储能系统接入电网技术规定》GB/T 36547-20</w:t>
      </w:r>
      <w:r>
        <w:rPr>
          <w:rFonts w:hint="eastAsia" w:ascii="Calibri" w:eastAsia="宋体"/>
          <w:color w:val="auto"/>
          <w:lang w:val="en-US" w:eastAsia="zh-CN"/>
        </w:rPr>
        <w:t>24</w:t>
      </w:r>
    </w:p>
    <w:p>
      <w:pPr>
        <w:numPr>
          <w:ilvl w:val="0"/>
          <w:numId w:val="0"/>
        </w:numPr>
        <w:spacing w:line="360" w:lineRule="auto"/>
        <w:ind w:leftChars="0"/>
        <w:rPr>
          <w:rFonts w:hint="eastAsia"/>
          <w:color w:val="auto"/>
        </w:rPr>
      </w:pPr>
      <w:r>
        <w:rPr>
          <w:rFonts w:hint="eastAsia"/>
          <w:color w:val="auto"/>
        </w:rPr>
        <w:t>《电化学储能系统接入电网测试规范》GB/T 36548-20</w:t>
      </w:r>
      <w:r>
        <w:rPr>
          <w:rFonts w:hint="eastAsia" w:ascii="Calibri" w:eastAsia="宋体"/>
          <w:color w:val="auto"/>
          <w:lang w:val="en-US" w:eastAsia="zh-CN"/>
        </w:rPr>
        <w:t>24</w:t>
      </w:r>
    </w:p>
    <w:p>
      <w:pPr>
        <w:numPr>
          <w:ilvl w:val="0"/>
          <w:numId w:val="0"/>
        </w:numPr>
        <w:spacing w:line="360" w:lineRule="auto"/>
        <w:ind w:leftChars="0"/>
        <w:rPr>
          <w:rFonts w:hint="eastAsia"/>
          <w:color w:val="auto"/>
        </w:rPr>
      </w:pPr>
      <w:r>
        <w:rPr>
          <w:rFonts w:hint="eastAsia"/>
          <w:color w:val="auto"/>
        </w:rPr>
        <w:t>《电化学储能电站运行指标及评价》GB/T 36549-2018</w:t>
      </w:r>
    </w:p>
    <w:p>
      <w:pPr>
        <w:numPr>
          <w:ilvl w:val="0"/>
          <w:numId w:val="0"/>
        </w:numPr>
        <w:spacing w:line="360" w:lineRule="auto"/>
        <w:ind w:leftChars="0"/>
        <w:rPr>
          <w:rFonts w:hint="eastAsia"/>
          <w:color w:val="auto"/>
        </w:rPr>
      </w:pPr>
      <w:r>
        <w:rPr>
          <w:rFonts w:hint="eastAsia"/>
          <w:color w:val="auto"/>
        </w:rPr>
        <w:t>《电化学储能系统储能变流器技术规范》GB/T 34120-20</w:t>
      </w:r>
      <w:r>
        <w:rPr>
          <w:rFonts w:hint="eastAsia" w:ascii="Calibri" w:eastAsia="宋体"/>
          <w:color w:val="auto"/>
          <w:lang w:val="en-US" w:eastAsia="zh-CN"/>
        </w:rPr>
        <w:t>23</w:t>
      </w:r>
    </w:p>
    <w:p>
      <w:pPr>
        <w:numPr>
          <w:ilvl w:val="0"/>
          <w:numId w:val="0"/>
        </w:numPr>
        <w:spacing w:line="360" w:lineRule="auto"/>
        <w:ind w:leftChars="0"/>
        <w:rPr>
          <w:rFonts w:hint="eastAsia"/>
          <w:color w:val="auto"/>
        </w:rPr>
      </w:pPr>
      <w:r>
        <w:rPr>
          <w:rFonts w:hint="eastAsia"/>
          <w:color w:val="auto"/>
        </w:rPr>
        <w:t>《电化学储能电站标识系统编码导则》DL/T 1816-2018</w:t>
      </w:r>
    </w:p>
    <w:p>
      <w:pPr>
        <w:numPr>
          <w:ilvl w:val="0"/>
          <w:numId w:val="0"/>
        </w:numPr>
        <w:spacing w:line="360" w:lineRule="auto"/>
        <w:ind w:leftChars="0"/>
        <w:rPr>
          <w:rFonts w:hint="eastAsia"/>
          <w:color w:val="auto"/>
        </w:rPr>
      </w:pPr>
      <w:r>
        <w:rPr>
          <w:rFonts w:hint="eastAsia"/>
          <w:color w:val="auto"/>
        </w:rPr>
        <w:t>《电化学储能电站监控系统与电池管理系统通信协议》DL/T 1989-2019</w:t>
      </w:r>
    </w:p>
    <w:p>
      <w:pPr>
        <w:numPr>
          <w:ilvl w:val="0"/>
          <w:numId w:val="0"/>
        </w:numPr>
        <w:spacing w:line="360" w:lineRule="auto"/>
        <w:ind w:leftChars="0"/>
        <w:rPr>
          <w:rFonts w:hint="eastAsia"/>
          <w:color w:val="auto"/>
        </w:rPr>
      </w:pPr>
      <w:r>
        <w:rPr>
          <w:rFonts w:hint="eastAsia"/>
          <w:color w:val="auto"/>
        </w:rPr>
        <w:t>《电化学储能电站功率变换系统技术规范》NB/T 42089-2016</w:t>
      </w:r>
    </w:p>
    <w:p>
      <w:pPr>
        <w:numPr>
          <w:ilvl w:val="0"/>
          <w:numId w:val="0"/>
        </w:numPr>
        <w:spacing w:line="360" w:lineRule="auto"/>
        <w:ind w:leftChars="0"/>
        <w:rPr>
          <w:rFonts w:hint="eastAsia"/>
          <w:color w:val="auto"/>
        </w:rPr>
      </w:pPr>
      <w:r>
        <w:rPr>
          <w:rFonts w:hint="eastAsia"/>
          <w:color w:val="auto"/>
        </w:rPr>
        <w:t>《电化学储能电站监控系统技术规范》NB/T 42090-2016</w:t>
      </w:r>
    </w:p>
    <w:p>
      <w:pPr>
        <w:numPr>
          <w:ilvl w:val="0"/>
          <w:numId w:val="0"/>
        </w:numPr>
        <w:spacing w:line="360" w:lineRule="auto"/>
        <w:ind w:leftChars="0"/>
        <w:rPr>
          <w:rFonts w:hint="eastAsia"/>
          <w:color w:val="auto"/>
        </w:rPr>
      </w:pPr>
      <w:r>
        <w:rPr>
          <w:rFonts w:hint="eastAsia"/>
          <w:color w:val="auto"/>
        </w:rPr>
        <w:t>《电化学储能电站用锂离子电池技术规范》NB/T 42091-20</w:t>
      </w:r>
      <w:r>
        <w:rPr>
          <w:rFonts w:hint="eastAsia" w:ascii="Calibri" w:eastAsia="宋体"/>
          <w:color w:val="auto"/>
          <w:lang w:val="en-US" w:eastAsia="zh-CN"/>
        </w:rPr>
        <w:t>24</w:t>
      </w:r>
    </w:p>
    <w:p>
      <w:pPr>
        <w:numPr>
          <w:ilvl w:val="0"/>
          <w:numId w:val="0"/>
        </w:numPr>
        <w:spacing w:line="360" w:lineRule="auto"/>
        <w:ind w:leftChars="0"/>
        <w:rPr>
          <w:rFonts w:hint="eastAsia"/>
          <w:color w:val="auto"/>
        </w:rPr>
      </w:pPr>
      <w:r>
        <w:rPr>
          <w:rFonts w:hint="eastAsia"/>
          <w:color w:val="auto"/>
        </w:rPr>
        <w:t>《电化学储能系统方舱设计规范》T/CEC 175-2018</w:t>
      </w:r>
    </w:p>
    <w:p>
      <w:pPr>
        <w:numPr>
          <w:ilvl w:val="0"/>
          <w:numId w:val="0"/>
        </w:numPr>
        <w:spacing w:line="360" w:lineRule="auto"/>
        <w:ind w:leftChars="0"/>
        <w:rPr>
          <w:rFonts w:hint="eastAsia"/>
          <w:color w:val="auto"/>
        </w:rPr>
      </w:pPr>
      <w:r>
        <w:rPr>
          <w:rFonts w:hint="eastAsia"/>
          <w:color w:val="auto"/>
        </w:rPr>
        <w:t>《电池储能电站技术导则》QGDW 1769-2012</w:t>
      </w:r>
    </w:p>
    <w:p>
      <w:pPr>
        <w:numPr>
          <w:ilvl w:val="0"/>
          <w:numId w:val="0"/>
        </w:numPr>
        <w:spacing w:line="360" w:lineRule="auto"/>
        <w:ind w:leftChars="0"/>
        <w:rPr>
          <w:rFonts w:hint="eastAsia"/>
          <w:color w:val="auto"/>
        </w:rPr>
      </w:pPr>
      <w:r>
        <w:rPr>
          <w:rFonts w:hint="eastAsia"/>
          <w:color w:val="auto"/>
        </w:rPr>
        <w:t>《电池储能电站设计技术规程》QGDW 11265-2014</w:t>
      </w:r>
    </w:p>
    <w:p>
      <w:pPr>
        <w:numPr>
          <w:ilvl w:val="0"/>
          <w:numId w:val="0"/>
        </w:numPr>
        <w:spacing w:line="360" w:lineRule="auto"/>
        <w:ind w:leftChars="0"/>
        <w:rPr>
          <w:rFonts w:hint="eastAsia"/>
          <w:color w:val="auto"/>
        </w:rPr>
      </w:pPr>
      <w:r>
        <w:rPr>
          <w:rFonts w:hint="eastAsia"/>
          <w:color w:val="auto"/>
        </w:rPr>
        <w:t>《储能电站自动化系统接入配置技术规范》Q/GDW10 111-03-002-2018</w:t>
      </w:r>
    </w:p>
    <w:p>
      <w:pPr>
        <w:numPr>
          <w:ilvl w:val="0"/>
          <w:numId w:val="0"/>
        </w:numPr>
        <w:spacing w:line="360" w:lineRule="auto"/>
        <w:ind w:leftChars="0"/>
        <w:rPr>
          <w:rFonts w:hint="eastAsia"/>
          <w:color w:val="auto"/>
        </w:rPr>
      </w:pPr>
      <w:r>
        <w:rPr>
          <w:rFonts w:hint="eastAsia"/>
          <w:color w:val="auto"/>
        </w:rPr>
        <w:t>《储能电站计算机监控系统技术规范》Q/GDW10 111-03-003-2018</w:t>
      </w:r>
    </w:p>
    <w:p>
      <w:pPr>
        <w:numPr>
          <w:ilvl w:val="0"/>
          <w:numId w:val="0"/>
        </w:numPr>
        <w:spacing w:line="360" w:lineRule="auto"/>
        <w:ind w:leftChars="0"/>
        <w:rPr>
          <w:rFonts w:hint="eastAsia"/>
          <w:color w:val="auto"/>
        </w:rPr>
      </w:pPr>
      <w:r>
        <w:rPr>
          <w:rFonts w:hint="eastAsia"/>
          <w:color w:val="auto"/>
        </w:rPr>
        <w:t>《储能电站自动化监控信息传输技术规范》Q/GDW10 111-03-004-201</w:t>
      </w:r>
    </w:p>
    <w:p>
      <w:pPr>
        <w:numPr>
          <w:ilvl w:val="0"/>
          <w:numId w:val="0"/>
        </w:numPr>
        <w:spacing w:line="360" w:lineRule="auto"/>
        <w:ind w:leftChars="0"/>
        <w:rPr>
          <w:rFonts w:hint="eastAsia"/>
          <w:color w:val="auto"/>
        </w:rPr>
      </w:pPr>
      <w:r>
        <w:rPr>
          <w:rFonts w:hint="eastAsia"/>
          <w:color w:val="auto"/>
        </w:rPr>
        <w:t>《大型电化学储能电站电池监控数据管理规范》T/CEC 176-2018</w:t>
      </w:r>
    </w:p>
    <w:p>
      <w:pPr>
        <w:numPr>
          <w:ilvl w:val="0"/>
          <w:numId w:val="0"/>
        </w:numPr>
        <w:spacing w:line="360" w:lineRule="auto"/>
        <w:ind w:leftChars="0"/>
        <w:rPr>
          <w:rFonts w:hint="eastAsia"/>
          <w:color w:val="auto"/>
        </w:rPr>
      </w:pPr>
      <w:r>
        <w:rPr>
          <w:rFonts w:hint="eastAsia"/>
          <w:color w:val="auto"/>
        </w:rPr>
        <w:t>《电力储能用锂离子电池》GB/T 36276-20</w:t>
      </w:r>
      <w:r>
        <w:rPr>
          <w:rFonts w:hint="eastAsia" w:ascii="Calibri" w:eastAsia="宋体"/>
          <w:color w:val="auto"/>
          <w:lang w:val="en-US" w:eastAsia="zh-CN"/>
        </w:rPr>
        <w:t>23</w:t>
      </w:r>
    </w:p>
    <w:p>
      <w:pPr>
        <w:numPr>
          <w:ilvl w:val="0"/>
          <w:numId w:val="0"/>
        </w:numPr>
        <w:spacing w:line="360" w:lineRule="auto"/>
        <w:ind w:leftChars="0"/>
        <w:rPr>
          <w:rFonts w:hint="eastAsia"/>
          <w:color w:val="auto"/>
        </w:rPr>
      </w:pPr>
      <w:r>
        <w:rPr>
          <w:rFonts w:hint="eastAsia"/>
          <w:color w:val="auto"/>
        </w:rPr>
        <w:t>《预制舱式磷酸铁锂电池储能电站消防技术规范》T/CEC 373-2020</w:t>
      </w:r>
    </w:p>
    <w:p>
      <w:pPr>
        <w:numPr>
          <w:ilvl w:val="0"/>
          <w:numId w:val="0"/>
        </w:numPr>
        <w:spacing w:line="360" w:lineRule="auto"/>
        <w:ind w:leftChars="0"/>
        <w:rPr>
          <w:rFonts w:hint="eastAsia"/>
          <w:color w:val="auto"/>
        </w:rPr>
      </w:pPr>
      <w:r>
        <w:rPr>
          <w:rFonts w:hint="eastAsia"/>
          <w:color w:val="auto"/>
        </w:rPr>
        <w:t>《建筑设计防火规范》GB 50016-2014（2018版）</w:t>
      </w:r>
    </w:p>
    <w:p>
      <w:pPr>
        <w:numPr>
          <w:ilvl w:val="0"/>
          <w:numId w:val="0"/>
        </w:numPr>
        <w:spacing w:line="360" w:lineRule="auto"/>
        <w:ind w:leftChars="0"/>
        <w:rPr>
          <w:rFonts w:hint="eastAsia"/>
          <w:color w:val="auto"/>
        </w:rPr>
      </w:pPr>
      <w:r>
        <w:rPr>
          <w:rFonts w:hint="eastAsia"/>
          <w:color w:val="auto"/>
        </w:rPr>
        <w:t>《火力发电厂与变电站设计防火标准》GB 50229-2019</w:t>
      </w:r>
    </w:p>
    <w:p>
      <w:pPr>
        <w:numPr>
          <w:ilvl w:val="0"/>
          <w:numId w:val="0"/>
        </w:numPr>
        <w:spacing w:line="360" w:lineRule="auto"/>
        <w:ind w:leftChars="0"/>
        <w:rPr>
          <w:rFonts w:hint="eastAsia"/>
          <w:color w:val="auto"/>
        </w:rPr>
      </w:pPr>
      <w:r>
        <w:rPr>
          <w:rFonts w:hint="eastAsia"/>
          <w:color w:val="auto"/>
        </w:rPr>
        <w:t>《建筑照明设计标准》GB 50034-20</w:t>
      </w:r>
      <w:r>
        <w:rPr>
          <w:rFonts w:hint="eastAsia" w:ascii="Calibri" w:eastAsia="宋体"/>
          <w:color w:val="auto"/>
          <w:lang w:val="en-US" w:eastAsia="zh-CN"/>
        </w:rPr>
        <w:t>24</w:t>
      </w:r>
    </w:p>
    <w:p>
      <w:pPr>
        <w:numPr>
          <w:ilvl w:val="0"/>
          <w:numId w:val="0"/>
        </w:numPr>
        <w:spacing w:line="360" w:lineRule="auto"/>
        <w:ind w:leftChars="0"/>
        <w:rPr>
          <w:rFonts w:hint="eastAsia"/>
          <w:color w:val="auto"/>
        </w:rPr>
      </w:pPr>
      <w:r>
        <w:rPr>
          <w:rFonts w:hint="eastAsia"/>
          <w:color w:val="auto"/>
        </w:rPr>
        <w:t>《火灾自动报警系统设计规范》GB 50116-201</w:t>
      </w:r>
      <w:r>
        <w:rPr>
          <w:rFonts w:hint="eastAsia" w:ascii="Calibri" w:eastAsia="宋体"/>
          <w:color w:val="auto"/>
          <w:lang w:val="en-US" w:eastAsia="zh-CN"/>
        </w:rPr>
        <w:t>3</w:t>
      </w:r>
    </w:p>
    <w:p>
      <w:pPr>
        <w:numPr>
          <w:ilvl w:val="0"/>
          <w:numId w:val="0"/>
        </w:numPr>
        <w:spacing w:line="360" w:lineRule="auto"/>
        <w:ind w:leftChars="0"/>
        <w:rPr>
          <w:rFonts w:hint="eastAsia"/>
          <w:color w:val="auto"/>
        </w:rPr>
      </w:pPr>
      <w:r>
        <w:rPr>
          <w:rFonts w:hint="eastAsia"/>
          <w:color w:val="auto"/>
        </w:rPr>
        <w:t>《电力工程电缆设计标准》GB 50217-2018</w:t>
      </w:r>
    </w:p>
    <w:p>
      <w:pPr>
        <w:numPr>
          <w:ilvl w:val="0"/>
          <w:numId w:val="0"/>
        </w:numPr>
        <w:spacing w:line="360" w:lineRule="auto"/>
        <w:ind w:leftChars="0"/>
        <w:rPr>
          <w:rFonts w:hint="eastAsia"/>
          <w:color w:val="auto"/>
        </w:rPr>
      </w:pPr>
      <w:r>
        <w:rPr>
          <w:rFonts w:hint="eastAsia"/>
          <w:color w:val="auto"/>
        </w:rPr>
        <w:t>《地区电网调度自动化设计技术规程》DL/T 5002-20</w:t>
      </w:r>
      <w:r>
        <w:rPr>
          <w:rFonts w:hint="eastAsia" w:ascii="Calibri" w:eastAsia="宋体"/>
          <w:color w:val="auto"/>
          <w:lang w:val="en-US" w:eastAsia="zh-CN"/>
        </w:rPr>
        <w:t>21</w:t>
      </w:r>
    </w:p>
    <w:p>
      <w:pPr>
        <w:numPr>
          <w:ilvl w:val="0"/>
          <w:numId w:val="0"/>
        </w:numPr>
        <w:spacing w:line="360" w:lineRule="auto"/>
        <w:ind w:leftChars="0"/>
        <w:rPr>
          <w:rFonts w:hint="eastAsia"/>
          <w:color w:val="auto"/>
        </w:rPr>
      </w:pPr>
      <w:r>
        <w:rPr>
          <w:rFonts w:hint="eastAsia"/>
          <w:color w:val="auto"/>
        </w:rPr>
        <w:t>《电力系统调度自动化设计技术规程》DL/T 5003-2017</w:t>
      </w:r>
    </w:p>
    <w:p>
      <w:pPr>
        <w:numPr>
          <w:ilvl w:val="0"/>
          <w:numId w:val="0"/>
        </w:numPr>
        <w:spacing w:line="360" w:lineRule="auto"/>
        <w:ind w:leftChars="0"/>
        <w:rPr>
          <w:rFonts w:hint="eastAsia"/>
          <w:color w:val="auto"/>
        </w:rPr>
      </w:pPr>
      <w:r>
        <w:rPr>
          <w:rFonts w:hint="eastAsia"/>
          <w:color w:val="auto"/>
        </w:rPr>
        <w:t>《电能量计量系统设计技术规程》DL/T 5202-20</w:t>
      </w:r>
      <w:r>
        <w:rPr>
          <w:rFonts w:hint="eastAsia" w:ascii="Calibri" w:eastAsia="宋体"/>
          <w:color w:val="auto"/>
          <w:lang w:val="en-US" w:eastAsia="zh-CN"/>
        </w:rPr>
        <w:t>22</w:t>
      </w:r>
    </w:p>
    <w:p>
      <w:pPr>
        <w:numPr>
          <w:ilvl w:val="0"/>
          <w:numId w:val="0"/>
        </w:numPr>
        <w:spacing w:line="360" w:lineRule="auto"/>
        <w:ind w:leftChars="0"/>
        <w:rPr>
          <w:rFonts w:hint="eastAsia"/>
          <w:color w:val="auto"/>
        </w:rPr>
      </w:pPr>
      <w:r>
        <w:rPr>
          <w:rFonts w:hint="eastAsia"/>
          <w:color w:val="auto"/>
        </w:rPr>
        <w:t>《建筑灭火器配置设计规范》GB 50140-2005</w:t>
      </w:r>
    </w:p>
    <w:p>
      <w:pPr>
        <w:numPr>
          <w:ilvl w:val="0"/>
          <w:numId w:val="0"/>
        </w:numPr>
        <w:spacing w:line="360" w:lineRule="auto"/>
        <w:ind w:leftChars="0"/>
        <w:rPr>
          <w:rFonts w:hint="eastAsia"/>
          <w:color w:val="auto"/>
        </w:rPr>
      </w:pPr>
      <w:r>
        <w:rPr>
          <w:rFonts w:hint="eastAsia"/>
          <w:color w:val="auto"/>
        </w:rPr>
        <w:t>《电化学储能电站安全规程》（GB∕T 42288-2022）</w:t>
      </w:r>
    </w:p>
    <w:p>
      <w:pPr>
        <w:numPr>
          <w:ilvl w:val="0"/>
          <w:numId w:val="0"/>
        </w:numPr>
        <w:spacing w:line="360" w:lineRule="auto"/>
        <w:ind w:leftChars="0"/>
        <w:rPr>
          <w:rFonts w:hint="eastAsia"/>
          <w:color w:val="auto"/>
          <w:lang w:eastAsia="zh-CN"/>
        </w:rPr>
      </w:pPr>
      <w:r>
        <w:rPr>
          <w:rFonts w:hint="eastAsia" w:eastAsia="宋体"/>
          <w:color w:val="auto"/>
          <w:lang w:eastAsia="zh-CN"/>
        </w:rPr>
        <w:t>《</w:t>
      </w:r>
      <w:r>
        <w:rPr>
          <w:rFonts w:hint="eastAsia"/>
          <w:color w:val="auto"/>
        </w:rPr>
        <w:t>储能系统安全测试</w:t>
      </w:r>
      <w:r>
        <w:rPr>
          <w:rFonts w:hint="eastAsia" w:eastAsia="宋体"/>
          <w:color w:val="auto"/>
          <w:lang w:eastAsia="zh-CN"/>
        </w:rPr>
        <w:t>》（</w:t>
      </w:r>
      <w:r>
        <w:rPr>
          <w:rFonts w:hint="eastAsia"/>
          <w:color w:val="auto"/>
        </w:rPr>
        <w:t>IEC 62933-5-2</w:t>
      </w:r>
      <w:r>
        <w:rPr>
          <w:rFonts w:hint="eastAsia" w:eastAsia="宋体"/>
          <w:color w:val="auto"/>
          <w:lang w:eastAsia="zh-CN"/>
        </w:rPr>
        <w:t>）</w:t>
      </w:r>
    </w:p>
    <w:p>
      <w:pPr>
        <w:numPr>
          <w:ilvl w:val="0"/>
          <w:numId w:val="0"/>
        </w:numPr>
        <w:spacing w:line="360" w:lineRule="auto"/>
        <w:ind w:leftChars="0"/>
        <w:rPr>
          <w:rFonts w:hint="eastAsia"/>
          <w:color w:val="auto"/>
          <w:lang w:eastAsia="zh-CN"/>
        </w:rPr>
      </w:pPr>
      <w:r>
        <w:rPr>
          <w:rFonts w:hint="eastAsia" w:eastAsia="宋体"/>
          <w:color w:val="auto"/>
          <w:lang w:eastAsia="zh-CN"/>
        </w:rPr>
        <w:t>《</w:t>
      </w:r>
      <w:r>
        <w:rPr>
          <w:rFonts w:hint="eastAsia"/>
          <w:color w:val="auto"/>
        </w:rPr>
        <w:t>微电网离网运行标准</w:t>
      </w:r>
      <w:r>
        <w:rPr>
          <w:rFonts w:hint="eastAsia" w:eastAsia="宋体"/>
          <w:color w:val="auto"/>
          <w:lang w:eastAsia="zh-CN"/>
        </w:rPr>
        <w:t>》（</w:t>
      </w:r>
      <w:r>
        <w:rPr>
          <w:rFonts w:hint="eastAsia"/>
          <w:color w:val="auto"/>
        </w:rPr>
        <w:t>IEEE 1547.4</w:t>
      </w:r>
      <w:r>
        <w:rPr>
          <w:rFonts w:hint="eastAsia" w:eastAsia="宋体"/>
          <w:color w:val="auto"/>
          <w:lang w:eastAsia="zh-CN"/>
        </w:rPr>
        <w:t>）</w:t>
      </w:r>
    </w:p>
    <w:p>
      <w:pPr>
        <w:numPr>
          <w:ilvl w:val="0"/>
          <w:numId w:val="0"/>
        </w:numPr>
        <w:spacing w:line="360" w:lineRule="auto"/>
        <w:ind w:leftChars="0"/>
        <w:rPr>
          <w:rFonts w:hint="eastAsia"/>
          <w:color w:val="auto"/>
          <w:lang w:eastAsia="zh-CN"/>
        </w:rPr>
      </w:pPr>
      <w:r>
        <w:rPr>
          <w:rFonts w:hint="eastAsia" w:eastAsia="宋体"/>
          <w:color w:val="auto"/>
          <w:lang w:eastAsia="zh-CN"/>
        </w:rPr>
        <w:t>《分布式电源并网标准》（</w:t>
      </w:r>
      <w:r>
        <w:rPr>
          <w:rFonts w:hint="eastAsia"/>
          <w:color w:val="auto"/>
        </w:rPr>
        <w:t>IEEE 1547</w:t>
      </w:r>
      <w:r>
        <w:rPr>
          <w:rFonts w:hint="eastAsia" w:eastAsia="宋体"/>
          <w:color w:val="auto"/>
          <w:lang w:eastAsia="zh-CN"/>
        </w:rPr>
        <w:t>）</w:t>
      </w:r>
    </w:p>
    <w:p>
      <w:pPr>
        <w:pStyle w:val="4"/>
        <w:numPr>
          <w:ilvl w:val="-1"/>
          <w:numId w:val="0"/>
        </w:numPr>
        <w:adjustRightInd/>
        <w:snapToGrid/>
        <w:spacing w:before="10" w:beforeLines="0" w:after="10" w:afterLines="0" w:line="360" w:lineRule="auto"/>
        <w:ind w:left="0" w:leftChars="0" w:firstLine="0" w:firstLineChars="0"/>
        <w:outlineLvl w:val="2"/>
        <w:rPr>
          <w:rFonts w:hint="eastAsia" w:ascii="宋体" w:hAnsi="宋体" w:eastAsia="宋体" w:cs="宋体"/>
          <w:b/>
          <w:bCs w:val="0"/>
          <w:color w:val="auto"/>
          <w:szCs w:val="24"/>
          <w:lang w:val="en-US" w:eastAsia="zh-CN"/>
        </w:rPr>
      </w:pPr>
      <w:bookmarkStart w:id="349" w:name="_Toc24621"/>
      <w:bookmarkStart w:id="350" w:name="_Toc22539"/>
      <w:bookmarkStart w:id="351" w:name="_Toc7061"/>
      <w:bookmarkStart w:id="352" w:name="_Toc4192"/>
      <w:r>
        <w:rPr>
          <w:rFonts w:hint="eastAsia"/>
          <w:color w:val="auto"/>
          <w:lang w:val="en-US" w:eastAsia="zh-CN"/>
        </w:rPr>
        <w:t>12.3 总体目标</w:t>
      </w:r>
      <w:bookmarkEnd w:id="349"/>
      <w:bookmarkEnd w:id="350"/>
      <w:bookmarkEnd w:id="351"/>
      <w:bookmarkEnd w:id="352"/>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总体目标为储柴微互补运行，在外部电网消失的情况下，实现离网运行，保证重要负荷用电需求，微网控制储能平滑过渡至柴发启动；并通过设置峰谷出力计划曲线，峰电价或者尖峰时放电，谷电价时充电，获取峰谷电价差利润，提高微网的经济效益。具体目标及技术指标如下：</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并网运行时需尽量降低峰段或尖峰段用电负荷，设置峰谷充放电策略、控制储能运行区间、调控部分负荷功率等方式；</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离网运行时，要求柴发作为主电源，储能作为备用电源，允许调控分布式电源及部分负荷以维持系统电压、频率稳定；</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计划性并网转离网要求无缝切换，非计划性并网转离网可短时停电后进行系统黑启动离网运行，系统需具备黑启动功能，系统全黑时，UPS足以满足控制系统长时间供电，黑启动在10s以内完成。</w:t>
      </w:r>
    </w:p>
    <w:p>
      <w:pPr>
        <w:pStyle w:val="4"/>
        <w:keepNext/>
        <w:keepLines/>
        <w:widowControl w:val="0"/>
        <w:numPr>
          <w:ilvl w:val="2"/>
          <w:numId w:val="0"/>
        </w:numPr>
        <w:adjustRightInd w:val="0"/>
        <w:snapToGrid w:val="0"/>
        <w:spacing w:before="120" w:beforeLines="50" w:after="120" w:afterLines="50" w:line="360" w:lineRule="auto"/>
        <w:ind w:left="0" w:leftChars="0" w:firstLine="0" w:firstLineChars="0"/>
        <w:jc w:val="both"/>
        <w:outlineLvl w:val="2"/>
        <w:rPr>
          <w:rFonts w:hint="eastAsia" w:ascii="宋体" w:hAnsi="宋体" w:eastAsia="宋体" w:cs="宋体"/>
          <w:b/>
          <w:bCs w:val="0"/>
          <w:color w:val="auto"/>
          <w:kern w:val="2"/>
          <w:sz w:val="28"/>
          <w:szCs w:val="24"/>
          <w:lang w:val="en-US" w:eastAsia="zh-CN" w:bidi="ar-SA"/>
        </w:rPr>
      </w:pPr>
      <w:bookmarkStart w:id="353" w:name="_Toc11412"/>
      <w:bookmarkStart w:id="354" w:name="_Toc23099"/>
      <w:bookmarkStart w:id="355" w:name="_Toc27012"/>
      <w:bookmarkStart w:id="356" w:name="_Toc7800"/>
      <w:r>
        <w:rPr>
          <w:rFonts w:hint="eastAsia" w:ascii="宋体" w:hAnsi="宋体" w:eastAsia="宋体" w:cs="黑体"/>
          <w:b/>
          <w:color w:val="auto"/>
          <w:kern w:val="2"/>
          <w:sz w:val="28"/>
          <w:szCs w:val="28"/>
          <w:lang w:val="en-US" w:eastAsia="zh-CN" w:bidi="ar-SA"/>
        </w:rPr>
        <w:t>12.4 一般要求</w:t>
      </w:r>
      <w:bookmarkEnd w:id="353"/>
      <w:bookmarkEnd w:id="354"/>
      <w:bookmarkEnd w:id="355"/>
      <w:bookmarkEnd w:id="356"/>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1）储能系统应具备削峰填谷、系统调频、无功支撑、电能质量治理、新能源功率平滑输出、为系统提供调峰服务、黑启动、需求响应支撑等功能；</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储能系统设备采用集装箱一体化设计，将储能电池簇、电池控制柜、储能变流器、配电柜等设备安装在集装箱内，集装箱系统拥有独立的自供电系统、温度控制系统、火灾报警系统、门控照明、安全逃生系统、应急系统、消防系统等自动控制和安全保障系统；</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要求储能设备采用模块化设计，储能电池单体-电池模组-电池簇-电池储能系统模块化层级，层次分明、结构清晰、功能完善，应包含完善的电池机架、电池管理系统（BMS）、照明系统、火灾探测及自动灭火系统、安防系统、应急系统、防浪涌装置、接地保护装置、接地故障探测装置等；</w:t>
      </w:r>
    </w:p>
    <w:p>
      <w:pPr>
        <w:pStyle w:val="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4）要求储能设备具有能量管理系统（EMS），实现监视、测量、控制，具备遥测、遥信、遥调、遥控等远动功能；</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储能系统应具备完善的保护功能，包括但不限于电池本体保护、电池过流过压保护、并网保护、防爆设计。电池集装箱内部应集成必要的火灾探测报警系统和灭火系统，在应用投标人提供的储能软硬件系统情况下，不应起火、爆炸；</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6）储能设备需配置必要设备，保证电池储能设备可以安全串并联运行；</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7）储能系统的运行要求：储能系统自身运行控制系统应提供完善的内部监测、控制、故障保护与切除、事件记录功能，包括但不限于投切控制、运行模式控制、设备状态、运行温度、环境控制和监测等功能。储能系统内应配置相应的交直流UPS设备，保证控制系统、信号系统、消防系统在断电情况下能够正常工作；</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8）全套储能系统质保期为2年，在质保期内，投标人产品系统及各部件除非因证明由招标人不当使用或其他不可抗力而未能达到合同规定的各项指标时，投标人应无偿地为招标人修理或更换零部件，直至改进设备结构并无偿供货。质保期内，如储能系统发现部件缺陷、损坏情况，在证实设备维护和运行都符合要求时，投标人应尽快免费更换；</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9）投标人应提供如下相关资料：</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rPr>
        <w:tab/>
      </w:r>
      <w:r>
        <w:rPr>
          <w:rFonts w:hint="eastAsia" w:ascii="宋体" w:hAnsi="宋体" w:eastAsia="宋体" w:cs="宋体"/>
          <w:color w:val="auto"/>
          <w:sz w:val="24"/>
          <w:szCs w:val="24"/>
        </w:rPr>
        <w:t>可选的充放电方式；</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rPr>
        <w:tab/>
      </w:r>
      <w:r>
        <w:rPr>
          <w:rFonts w:hint="eastAsia" w:ascii="宋体" w:hAnsi="宋体" w:eastAsia="宋体" w:cs="宋体"/>
          <w:color w:val="auto"/>
          <w:sz w:val="24"/>
          <w:szCs w:val="24"/>
        </w:rPr>
        <w:t>循环次数与充放电深度关系曲线（电池单体/模块曲线）；</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rPr>
        <w:tab/>
      </w:r>
      <w:r>
        <w:rPr>
          <w:rFonts w:hint="eastAsia" w:ascii="宋体" w:hAnsi="宋体" w:eastAsia="宋体" w:cs="宋体"/>
          <w:color w:val="auto"/>
          <w:sz w:val="24"/>
          <w:szCs w:val="24"/>
        </w:rPr>
        <w:t>循环次数与充放电倍率的关系曲线（电池单体/模块曲线）；</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w:t>
      </w:r>
      <w:r>
        <w:rPr>
          <w:rFonts w:hint="eastAsia" w:ascii="宋体" w:hAnsi="宋体" w:eastAsia="宋体" w:cs="宋体"/>
          <w:color w:val="auto"/>
          <w:sz w:val="24"/>
          <w:szCs w:val="24"/>
        </w:rPr>
        <w:tab/>
      </w:r>
      <w:r>
        <w:rPr>
          <w:rFonts w:hint="eastAsia" w:ascii="宋体" w:hAnsi="宋体" w:eastAsia="宋体" w:cs="宋体"/>
          <w:color w:val="auto"/>
          <w:sz w:val="24"/>
          <w:szCs w:val="24"/>
        </w:rPr>
        <w:t>电池容量与温度关系曲线（电池单体/模块曲线）；</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rPr>
        <w:tab/>
      </w:r>
      <w:r>
        <w:rPr>
          <w:rFonts w:hint="eastAsia" w:ascii="宋体" w:hAnsi="宋体" w:eastAsia="宋体" w:cs="宋体"/>
          <w:color w:val="auto"/>
          <w:sz w:val="24"/>
          <w:szCs w:val="24"/>
        </w:rPr>
        <w:t>电池充放电倍率与容量关系曲线（电池单体/模块曲线）；</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w:t>
      </w:r>
      <w:r>
        <w:rPr>
          <w:rFonts w:hint="eastAsia" w:ascii="宋体" w:hAnsi="宋体" w:eastAsia="宋体" w:cs="宋体"/>
          <w:color w:val="auto"/>
          <w:sz w:val="24"/>
          <w:szCs w:val="24"/>
        </w:rPr>
        <w:tab/>
      </w:r>
      <w:r>
        <w:rPr>
          <w:rFonts w:hint="eastAsia" w:ascii="宋体" w:hAnsi="宋体" w:eastAsia="宋体" w:cs="宋体"/>
          <w:color w:val="auto"/>
          <w:sz w:val="24"/>
          <w:szCs w:val="24"/>
        </w:rPr>
        <w:t>年度电池容量衰减的保证值（单元及系统的保证值）；</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7.</w:t>
      </w:r>
      <w:r>
        <w:rPr>
          <w:rFonts w:hint="eastAsia" w:ascii="宋体" w:hAnsi="宋体" w:eastAsia="宋体" w:cs="宋体"/>
          <w:color w:val="auto"/>
          <w:sz w:val="24"/>
          <w:szCs w:val="24"/>
        </w:rPr>
        <w:tab/>
      </w:r>
      <w:r>
        <w:rPr>
          <w:rFonts w:hint="eastAsia" w:ascii="宋体" w:hAnsi="宋体" w:eastAsia="宋体" w:cs="宋体"/>
          <w:color w:val="auto"/>
          <w:sz w:val="24"/>
          <w:szCs w:val="24"/>
        </w:rPr>
        <w:t>电池充电特性曲线（电池单体/模块曲线）；</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8.</w:t>
      </w:r>
      <w:r>
        <w:rPr>
          <w:rFonts w:hint="eastAsia" w:ascii="宋体" w:hAnsi="宋体" w:eastAsia="宋体" w:cs="宋体"/>
          <w:color w:val="auto"/>
          <w:sz w:val="24"/>
          <w:szCs w:val="24"/>
        </w:rPr>
        <w:tab/>
      </w:r>
      <w:r>
        <w:rPr>
          <w:rFonts w:hint="eastAsia" w:ascii="宋体" w:hAnsi="宋体" w:eastAsia="宋体" w:cs="宋体"/>
          <w:color w:val="auto"/>
          <w:sz w:val="24"/>
          <w:szCs w:val="24"/>
        </w:rPr>
        <w:t>电池放电特性曲线（电池单体/模块曲线）；</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9.</w:t>
      </w:r>
      <w:r>
        <w:rPr>
          <w:rFonts w:hint="eastAsia" w:ascii="宋体" w:hAnsi="宋体" w:eastAsia="宋体" w:cs="宋体"/>
          <w:color w:val="auto"/>
          <w:sz w:val="24"/>
          <w:szCs w:val="24"/>
        </w:rPr>
        <w:tab/>
      </w:r>
      <w:r>
        <w:rPr>
          <w:rFonts w:hint="eastAsia" w:ascii="宋体" w:hAnsi="宋体" w:eastAsia="宋体" w:cs="宋体"/>
          <w:color w:val="auto"/>
          <w:sz w:val="24"/>
          <w:szCs w:val="24"/>
        </w:rPr>
        <w:t>电池耐过充、过放能力说明（电池单体/模块曲线）；</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10.电池长期正常运行后的端电压偏差范围（电池单体/模块曲线）；</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11.提供整套储能系统电芯内阻正态分布图；</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12.电池的荷电状态（SOC）、电池健康度（SOH）的计算方法；</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13.电池储能系统的电池巡检和保护功能；</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14.电池单体、电池模组和电池簇按国标GB/T 36276-2023规范要求通过资质检测认证机构的检测认证报告（CNAS资质，包括安全、性能、循环寿命测试）;</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15. 电芯获得安全检测GB/T 44240-2024《电能存储系统用锂蓄电池和电池组安全要求》认证证书，并提供具有CNAS标识的检测报告；</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16. 电池模块提供IP67防护等级报告（CNAS资质）；</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17. 电池舱系统有通过-30℃及以下低温环境测试和55℃及以上高温环境测试，并提供测试报告；</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18.</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电池舱系统层级冷凝水测试报告；</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19. 电池模块级震动报告；</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20. 电池舱级防震仿真报告（运输、吊装、地震等报告）；</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21. PCS按相关规程规范和要求通过资质检测认证机构的检测认证报告;</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22. PCS需提供高电压穿越报告、低电压穿越报告及型式试验报告。</w:t>
      </w:r>
    </w:p>
    <w:p>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w:t>
      </w:r>
      <w:r>
        <w:rPr>
          <w:rFonts w:hint="eastAsia" w:ascii="宋体" w:hAnsi="宋体" w:cs="宋体"/>
          <w:color w:val="auto"/>
          <w:sz w:val="24"/>
          <w:szCs w:val="24"/>
          <w:lang w:val="en-US" w:eastAsia="zh-CN"/>
        </w:rPr>
        <w:t>3</w:t>
      </w:r>
      <w:r>
        <w:rPr>
          <w:rFonts w:hint="eastAsia" w:ascii="宋体" w:hAnsi="宋体" w:eastAsia="宋体" w:cs="宋体"/>
          <w:color w:val="auto"/>
          <w:sz w:val="24"/>
          <w:szCs w:val="24"/>
        </w:rPr>
        <w:t>. 本储能电站交流侧（10kV出线侧）效率不得低于8</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%，投标人应提供电池配置容量计算过程</w:t>
      </w:r>
      <w:r>
        <w:rPr>
          <w:rFonts w:hint="eastAsia" w:ascii="宋体" w:hAnsi="宋体" w:eastAsia="宋体" w:cs="宋体"/>
          <w:color w:val="auto"/>
          <w:sz w:val="24"/>
          <w:szCs w:val="24"/>
          <w:lang w:eastAsia="zh-CN"/>
        </w:rPr>
        <w:t>；</w:t>
      </w:r>
    </w:p>
    <w:p>
      <w:pPr>
        <w:ind w:firstLine="420" w:firstLineChars="200"/>
        <w:rPr>
          <w:rFonts w:hint="eastAsia" w:ascii="宋体" w:hAnsi="宋体" w:eastAsia="宋体" w:cs="宋体"/>
          <w:color w:val="auto"/>
          <w:lang w:eastAsia="zh-CN"/>
        </w:rPr>
      </w:pPr>
      <w:r>
        <w:rPr>
          <w:rFonts w:hint="eastAsia" w:ascii="宋体" w:hAnsi="宋体" w:eastAsia="宋体" w:cs="宋体"/>
          <w:color w:val="auto"/>
          <w:lang w:val="en-US" w:eastAsia="zh-CN"/>
        </w:rPr>
        <w:t>24.投标人应提供</w:t>
      </w:r>
      <w:r>
        <w:rPr>
          <w:rFonts w:hint="eastAsia" w:ascii="宋体" w:hAnsi="宋体" w:eastAsia="宋体" w:cs="宋体"/>
          <w:color w:val="auto"/>
          <w:lang w:eastAsia="zh-CN"/>
        </w:rPr>
        <w:t>《电芯及PCS设备型式试验报告》。</w:t>
      </w:r>
    </w:p>
    <w:p>
      <w:pPr>
        <w:pStyle w:val="4"/>
        <w:keepNext/>
        <w:keepLines/>
        <w:widowControl w:val="0"/>
        <w:numPr>
          <w:ilvl w:val="2"/>
          <w:numId w:val="0"/>
        </w:numPr>
        <w:adjustRightInd w:val="0"/>
        <w:snapToGrid w:val="0"/>
        <w:spacing w:before="120" w:beforeLines="50" w:after="120" w:afterLines="50" w:line="360" w:lineRule="auto"/>
        <w:ind w:left="0" w:leftChars="0" w:firstLine="0" w:firstLineChars="0"/>
        <w:jc w:val="both"/>
        <w:outlineLvl w:val="2"/>
        <w:rPr>
          <w:rFonts w:hint="eastAsia" w:ascii="宋体" w:hAnsi="宋体" w:eastAsia="宋体" w:cs="宋体"/>
          <w:b/>
          <w:bCs w:val="0"/>
          <w:color w:val="auto"/>
          <w:kern w:val="2"/>
          <w:sz w:val="28"/>
          <w:szCs w:val="24"/>
          <w:lang w:val="en-US" w:eastAsia="zh-CN" w:bidi="ar-SA"/>
        </w:rPr>
      </w:pPr>
      <w:bookmarkStart w:id="357" w:name="_Toc14588"/>
      <w:bookmarkStart w:id="358" w:name="_Toc16776"/>
      <w:bookmarkStart w:id="359" w:name="_Toc16219"/>
      <w:bookmarkStart w:id="360" w:name="_Toc32235"/>
      <w:r>
        <w:rPr>
          <w:rFonts w:hint="eastAsia" w:ascii="宋体" w:hAnsi="宋体" w:eastAsia="宋体" w:cs="黑体"/>
          <w:b/>
          <w:color w:val="auto"/>
          <w:kern w:val="2"/>
          <w:sz w:val="28"/>
          <w:szCs w:val="28"/>
          <w:lang w:val="en-US" w:eastAsia="zh-CN" w:bidi="ar-SA"/>
        </w:rPr>
        <w:t>12.5 2MW/4MWh储能设备</w:t>
      </w:r>
      <w:bookmarkEnd w:id="357"/>
      <w:bookmarkEnd w:id="358"/>
      <w:bookmarkEnd w:id="359"/>
      <w:bookmarkEnd w:id="360"/>
    </w:p>
    <w:p>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（1）储能电池组（含BMS）技术要求</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本项目采用1500V直流储能系统方案，储能系统设备采用预制舱一体化设计，系统拥有独立的自供电系统、温度控制系统、火灾报警系统、照明系统、应急系统、消防系统等自动控制和安全保障系统；</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要求储能电池系统设备采用液冷系统设计，尺寸按20尺集装箱设计便于运输，重量不超过40吨。储能电池单体-电池模组-电池机架-电池系统模块化层级，层次分明、结构清晰、功能完善，应包含完善的电池机架、电池管理系统（BMS）、高压箱、液冷冷却系统、照明系统、消防系统（含PACK级气体消防，PACK需内置不低于50%温度检测点，舱级火灾探测及自动灭火系统）、应急装置等。</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储能系统应具备完善的保护功能，包括但不限于电池本体保护、电池过流过压保护、并网保护、防爆设计。电池集装箱内部应集成必要的火灾探测报警系统和气体灭火系统，火灾探测报警系统应能够及时探测到集装箱内异常情况并自动和手动的启动气体灭火。火灾探测报警系统应能够独立于原建筑火灾报警系统工作，并可通过干接点信号将报警信息接入原建筑火灾探测报警系统。在应用投标人提供的储能软硬件系统情况下，储能系统发生异常不应起火、爆炸。投标方自身产品和采用的电芯品牌五年内未发生过安全事故。</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储能设备需配置必要设备，保证电池储能设备可以安全串并联运行。本次投标的电芯、BMS和电池预制舱应为同一厂家，并提供型式试验报告作为证明材料，其中电池预制舱可提供供货业绩证明材料和电池簇的型式试验报告。</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储能系统的运行要求：储能系统自身运行控制系统应提供完善的内部监测、控制、故障保护与切除、事件记录功能，包括但不限于投切控制、运行模式控制、设备状态、运行温度、环境控制和监测等功能。储能系统内应配置相应的交直流UPS设备，保证控制系统、信号系统、消防系统在断电情况下能够正常工作。</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电池模块和电池簇内，电气间隙和爬电距离、绝缘电阻、介质强度应满足NB∕T 42091《电化学储能电站用锂离子电池技术规范》。</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为避免因单体电池或电池模块电池特性或运行条件差异较大而引起整组电池性能和寿命下降，投标人设备应具备保证电池各项指标的均衡性的解决措施，并提供令招标人及技术专家组满意的监测体系。</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根据工程需要可以召开设计联络会或以其它形式解决设计制造中的问题。文件交接要有记录，设计联络会议应有纪要。未尽事宜，双方协商处理，可以以其它形式补充。以后协调所形成的文件与规范书具有同等效力。</w:t>
      </w:r>
    </w:p>
    <w:p>
      <w:pPr>
        <w:rPr>
          <w:rFonts w:hint="eastAsia" w:ascii="宋体" w:hAnsi="宋体" w:eastAsia="宋体" w:cs="宋体"/>
          <w:b/>
          <w:color w:val="auto"/>
          <w:szCs w:val="24"/>
          <w:shd w:val="clear" w:color="auto" w:fill="FFFFFF"/>
        </w:rPr>
      </w:pPr>
      <w:r>
        <w:rPr>
          <w:rFonts w:hint="eastAsia"/>
          <w:b/>
          <w:bCs/>
          <w:color w:val="auto"/>
        </w:rPr>
        <w:t>1）电池组技术要求</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本项目只接受国家标准或企业标准中的A品储能电池，不接受其它类型、品级和梯次电池，也不接受长时间库存电池，具体参数要求如表所示：</w:t>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t>电池应选用磷酸铁锂电池，额定电压3.2V，电压范围2.5V-3.65V，适用于电网储能应用要求</w:t>
      </w:r>
      <w:r>
        <w:rPr>
          <w:rFonts w:hint="eastAsia" w:ascii="宋体" w:hAnsi="宋体" w:eastAsia="宋体" w:cs="宋体"/>
          <w:color w:val="auto"/>
          <w:sz w:val="24"/>
          <w:szCs w:val="24"/>
          <w:lang w:eastAsia="zh-CN"/>
        </w:rPr>
        <w:t>，标称容量</w:t>
      </w:r>
      <w:r>
        <w:rPr>
          <w:rFonts w:hint="eastAsia" w:ascii="宋体" w:hAnsi="宋体" w:eastAsia="宋体" w:cs="宋体"/>
          <w:color w:val="auto"/>
          <w:sz w:val="24"/>
          <w:szCs w:val="24"/>
          <w:lang w:val="en-US" w:eastAsia="zh-CN"/>
        </w:rPr>
        <w:t>为314Ah</w:t>
      </w:r>
      <w:r>
        <w:rPr>
          <w:rFonts w:hint="eastAsia" w:ascii="宋体" w:hAnsi="宋体" w:eastAsia="宋体" w:cs="宋体"/>
          <w:color w:val="auto"/>
          <w:sz w:val="24"/>
          <w:szCs w:val="24"/>
        </w:rPr>
        <w:t>。</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要求连续储能时长</w:t>
      </w:r>
      <w:r>
        <w:rPr>
          <w:rFonts w:hint="eastAsia" w:ascii="宋体" w:hAnsi="宋体" w:eastAsia="宋体" w:cs="宋体"/>
          <w:color w:val="auto"/>
          <w:sz w:val="24"/>
          <w:szCs w:val="24"/>
          <w:lang w:val="en-US" w:eastAsia="zh-CN"/>
        </w:rPr>
        <w:t>不少于2</w:t>
      </w:r>
      <w:r>
        <w:rPr>
          <w:rFonts w:hint="eastAsia" w:ascii="宋体" w:hAnsi="宋体" w:eastAsia="宋体" w:cs="宋体"/>
          <w:color w:val="auto"/>
          <w:sz w:val="24"/>
          <w:szCs w:val="24"/>
        </w:rPr>
        <w:t>小时、充放电次数在90%DOD及80%EOL时不少于</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000次。厂家应根据自身设备的特性制定科学有效的措施，提供的产品在运行5年后电池储能系统总容量不低于初始容量的80%。</w:t>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t>电池外壳结构必须充分牢靠，确保电池单体在长时间使用（不低于10年），电池不会出现漏液、变形或融化等安全隐患。</w:t>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t>单体电池设计必须具有防爆功能，确保电池在极端状态下，不会出现爆炸危险。</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电池簇和电池模组内，电气间隙和爬电距离、绝缘电阻、介质强度应满足NB∕T 42091《电化学储能电站用锂离子电池技术规范》。</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电池的正、负极端子有明显标志，便于连接、巡视和检修；电池内部结构应符合相关标准的设计和工艺要求；</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电池模组必须标明制造厂名及商标、型号及规格、极性符号、生产日期。</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电池壳体、外盖不得有变形、裂纹及污迹，标识清晰；</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电池组应具备完整安装连接材料，并完成电池输出端的接线；</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设备应为柜式或舱式结构。为保证美观，每面柜体尺寸高度、色调应统一，整体协调。</w:t>
      </w:r>
    </w:p>
    <w:p>
      <w:pPr>
        <w:ind w:firstLine="480"/>
        <w:rPr>
          <w:rFonts w:hint="eastAsia" w:ascii="宋体" w:hAnsi="宋体" w:eastAsia="宋体" w:cs="宋体"/>
          <w:b w:val="0"/>
          <w:bCs w:val="0"/>
          <w:color w:val="auto"/>
          <w:lang w:val="en-US" w:eastAsia="zh-CN"/>
        </w:rPr>
      </w:pPr>
      <w:r>
        <w:rPr>
          <w:rFonts w:hint="eastAsia" w:ascii="宋体" w:hAnsi="宋体" w:cs="宋体"/>
          <w:color w:val="auto"/>
        </w:rPr>
        <w:t>电池老化与退役机制</w:t>
      </w:r>
    </w:p>
    <w:p>
      <w:pPr>
        <w:adjustRightInd w:val="0"/>
        <w:snapToGrid w:val="0"/>
        <w:spacing w:line="360" w:lineRule="auto"/>
        <w:ind w:firstLine="480" w:firstLineChars="200"/>
        <w:rPr>
          <w:rFonts w:hint="default" w:eastAsia="仿宋_GB2312"/>
          <w:bCs/>
          <w:color w:val="auto"/>
          <w:sz w:val="32"/>
          <w:szCs w:val="32"/>
          <w:lang w:val="en-US" w:eastAsia="zh-CN"/>
        </w:rPr>
      </w:pPr>
      <w:r>
        <w:rPr>
          <w:rFonts w:hint="eastAsia" w:ascii="宋体" w:hAnsi="宋体" w:eastAsia="宋体" w:cs="宋体"/>
          <w:bCs w:val="0"/>
          <w:color w:val="auto"/>
          <w:sz w:val="24"/>
          <w:szCs w:val="24"/>
          <w:highlight w:val="none"/>
          <w:lang w:val="en-US" w:eastAsia="zh-CN"/>
        </w:rPr>
        <w:t>根据规范GB/T43540一2023《电力储能用锂离子电池退役技术要求》的回收流程及环保责任主体由投标方负责。</w:t>
      </w:r>
    </w:p>
    <w:p>
      <w:pPr>
        <w:adjustRightInd w:val="0"/>
        <w:snapToGrid w:val="0"/>
        <w:spacing w:line="360" w:lineRule="auto"/>
        <w:ind w:firstLine="640" w:firstLineChars="200"/>
        <w:rPr>
          <w:rFonts w:hint="eastAsia" w:eastAsia="仿宋_GB2312"/>
          <w:bCs/>
          <w:color w:val="auto"/>
          <w:sz w:val="32"/>
          <w:szCs w:val="32"/>
          <w:lang w:val="en-US" w:eastAsia="zh-CN"/>
        </w:rPr>
      </w:pPr>
      <w:r>
        <w:rPr>
          <w:rFonts w:hint="eastAsia" w:eastAsia="仿宋_GB2312"/>
          <w:bCs/>
          <w:color w:val="auto"/>
          <w:sz w:val="32"/>
          <w:szCs w:val="32"/>
          <w:lang w:val="en-US" w:eastAsia="zh-CN"/>
        </w:rPr>
        <w:drawing>
          <wp:inline distT="0" distB="0" distL="114300" distR="114300">
            <wp:extent cx="5727065" cy="2021840"/>
            <wp:effectExtent l="0" t="0" r="6985" b="16510"/>
            <wp:docPr id="13" name="图片 13" descr="1754276552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1754276552190"/>
                    <pic:cNvPicPr>
                      <a:picLocks noChangeAspect="1"/>
                    </pic:cNvPicPr>
                  </pic:nvPicPr>
                  <pic:blipFill>
                    <a:blip r:embed="rId12"/>
                    <a:stretch>
                      <a:fillRect/>
                    </a:stretch>
                  </pic:blipFill>
                  <pic:spPr>
                    <a:xfrm>
                      <a:off x="0" y="0"/>
                      <a:ext cx="5727065" cy="2021840"/>
                    </a:xfrm>
                    <a:prstGeom prst="rect">
                      <a:avLst/>
                    </a:prstGeom>
                  </pic:spPr>
                </pic:pic>
              </a:graphicData>
            </a:graphic>
          </wp:inline>
        </w:drawing>
      </w:r>
    </w:p>
    <w:p>
      <w:pPr>
        <w:rPr>
          <w:rFonts w:hint="eastAsia"/>
          <w:b/>
          <w:bCs/>
          <w:color w:val="auto"/>
        </w:rPr>
      </w:pPr>
      <w:r>
        <w:rPr>
          <w:rFonts w:hint="eastAsia" w:eastAsia="仿宋_GB2312"/>
          <w:bCs/>
          <w:color w:val="auto"/>
          <w:sz w:val="32"/>
          <w:szCs w:val="32"/>
          <w:lang w:val="en-US" w:eastAsia="zh-CN"/>
        </w:rPr>
        <w:drawing>
          <wp:inline distT="0" distB="0" distL="114300" distR="114300">
            <wp:extent cx="5732145" cy="4100195"/>
            <wp:effectExtent l="0" t="0" r="1905" b="14605"/>
            <wp:docPr id="9" name="图片 9" descr="1754277048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1754277048295"/>
                    <pic:cNvPicPr>
                      <a:picLocks noChangeAspect="1"/>
                    </pic:cNvPicPr>
                  </pic:nvPicPr>
                  <pic:blipFill>
                    <a:blip r:embed="rId13"/>
                    <a:stretch>
                      <a:fillRect/>
                    </a:stretch>
                  </pic:blipFill>
                  <pic:spPr>
                    <a:xfrm>
                      <a:off x="0" y="0"/>
                      <a:ext cx="5732145" cy="4100195"/>
                    </a:xfrm>
                    <a:prstGeom prst="rect">
                      <a:avLst/>
                    </a:prstGeom>
                  </pic:spPr>
                </pic:pic>
              </a:graphicData>
            </a:graphic>
          </wp:inline>
        </w:drawing>
      </w:r>
    </w:p>
    <w:p>
      <w:pPr>
        <w:rPr>
          <w:rFonts w:hint="eastAsia" w:ascii="宋体" w:hAnsi="宋体" w:eastAsia="宋体" w:cs="宋体"/>
          <w:b/>
          <w:color w:val="auto"/>
          <w:szCs w:val="24"/>
          <w:shd w:val="clear" w:color="auto" w:fill="FFFFFF"/>
        </w:rPr>
      </w:pPr>
      <w:r>
        <w:rPr>
          <w:rFonts w:hint="eastAsia"/>
          <w:b/>
          <w:bCs/>
          <w:color w:val="auto"/>
        </w:rPr>
        <w:t>2） BMS技术要求</w:t>
      </w:r>
    </w:p>
    <w:p>
      <w:pPr>
        <w:ind w:firstLine="480"/>
        <w:rPr>
          <w:rFonts w:hint="eastAsia" w:ascii="宋体" w:hAnsi="宋体" w:eastAsia="宋体" w:cs="宋体"/>
          <w:color w:val="auto"/>
        </w:rPr>
      </w:pPr>
      <w:r>
        <w:rPr>
          <w:rFonts w:hint="eastAsia" w:ascii="宋体" w:hAnsi="宋体" w:eastAsia="宋体" w:cs="宋体"/>
          <w:color w:val="auto"/>
        </w:rPr>
        <w:t>电池管理系统应具有高精度的电池电压、电流、温度采集的功能，并能够根据实际运行情况提供数字量、开关量等输出，电池管理系统依靠算法保证电池模组内单体电池间电量的一致性，同时对电池的剩余电量（SOC）、能量状态（SOE）、健康状态（SOH）等进行准确估算。</w:t>
      </w:r>
    </w:p>
    <w:p>
      <w:pPr>
        <w:ind w:firstLine="480"/>
        <w:rPr>
          <w:rFonts w:hint="eastAsia" w:ascii="宋体" w:hAnsi="宋体" w:eastAsia="宋体" w:cs="宋体"/>
          <w:color w:val="auto"/>
        </w:rPr>
      </w:pPr>
      <w:r>
        <w:rPr>
          <w:rFonts w:hint="eastAsia" w:ascii="宋体" w:hAnsi="宋体" w:eastAsia="宋体" w:cs="宋体"/>
          <w:color w:val="auto"/>
        </w:rPr>
        <w:t>电池管理系统与储能变流器能够双向交换数据，进行监测和控制。电池管理系统给监控系统提供实时电池储能系统状态监控、数据存储、策略分析的依据；电池管理系统实时将报警信息传送给变流器，为后者提供充放电依据。电池管理系统至少应具备以下功能：</w:t>
      </w:r>
    </w:p>
    <w:p>
      <w:pPr>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1）电池管理系统应能够检测电池热和电相关的数据，实时测量电池簇电压，充放电电流、温度和单体电池端电压等参数。供货厂家应确保电池安全、可靠、稳定运行，保证电池使用寿命要求和满足对单体电池、电池模组和电池簇的运行优化控制的要求来确定电池管理系统的具体测量量及测量量采样周期、采样精度等。</w:t>
      </w:r>
    </w:p>
    <w:p>
      <w:pPr>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2）电池管理系统应能对电池的荷电状态（SOC）、能量状态（SOE）、电池健康度（SOH）进行估算，并进行自动校准。能够计算、实时就地显示并上报循环次数（指累计到90%DOD满充满放的循环次数）、DOD、SOC、SOE、SOH。</w:t>
      </w:r>
    </w:p>
    <w:p>
      <w:pPr>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3）电池管理系统根据电池的荷电状态控制规划对电池的充放电控制，如电池电压超标或过电流，系统需立即停止电池工作。</w:t>
      </w:r>
    </w:p>
    <w:p>
      <w:pPr>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4）电池管理系统应能对电池进行故障诊断，并可以根据具体故障内容进行相应的故障处理，应具备但不限于以下的保护功能：过充保护、过放保护、短路保护、反接保护、过载保护、温度保护。在电池储能系统运行时，如果电池的电压、电流、温度等模拟量出现超过安全保护门限的情况时，电池管理系统应能够实现就地故障隔离，将问题电池簇退出运行，同时上报故障信息并实时告警。</w:t>
      </w:r>
    </w:p>
    <w:p>
      <w:pPr>
        <w:ind w:firstLine="480"/>
        <w:rPr>
          <w:rFonts w:hint="eastAsia" w:ascii="宋体" w:hAnsi="宋体" w:eastAsia="宋体" w:cs="宋体"/>
          <w:color w:val="auto"/>
        </w:rPr>
      </w:pPr>
      <w:r>
        <w:rPr>
          <w:rFonts w:hint="eastAsia" w:ascii="宋体" w:hAnsi="宋体" w:eastAsia="宋体" w:cs="宋体"/>
          <w:color w:val="auto"/>
        </w:rPr>
        <w:t>5）电池管理系统应实时采集单体电池的温度，采取散热措施防止电池温度过高。热管理功能对电池组的运行温度进行严格监控，如果温度高于或低于保护值将输出热管理启动信号，系统可配备风机或保温储热装置来调整温度；若温度达到设定的危险值，电池管理系统自动与系统保护机制联动，及时切断电池回路，保证系统安全。</w:t>
      </w:r>
    </w:p>
    <w:p>
      <w:pPr>
        <w:ind w:firstLine="480"/>
        <w:rPr>
          <w:rFonts w:hint="eastAsia" w:ascii="宋体" w:hAnsi="宋体" w:eastAsia="宋体" w:cs="宋体"/>
          <w:color w:val="auto"/>
        </w:rPr>
      </w:pPr>
      <w:r>
        <w:rPr>
          <w:rFonts w:hint="eastAsia" w:ascii="宋体" w:hAnsi="宋体" w:eastAsia="宋体" w:cs="宋体"/>
          <w:color w:val="auto"/>
        </w:rPr>
        <w:t>6）电池管理系统应具备与变流器和能量管理控制系统进行信息交互的功能，需提供RS485、CAN和以太网通信接口。</w:t>
      </w:r>
    </w:p>
    <w:p>
      <w:pPr>
        <w:ind w:firstLine="480"/>
        <w:rPr>
          <w:rFonts w:hint="eastAsia" w:ascii="宋体" w:hAnsi="宋体" w:eastAsia="宋体" w:cs="宋体"/>
          <w:color w:val="auto"/>
        </w:rPr>
      </w:pPr>
      <w:r>
        <w:rPr>
          <w:rFonts w:hint="eastAsia" w:ascii="宋体" w:hAnsi="宋体" w:eastAsia="宋体" w:cs="宋体"/>
          <w:color w:val="auto"/>
        </w:rPr>
        <w:t>7）电池管理系统应具有均衡管理功能，能平衡电池模组、簇间的不一致差异，均衡方式请说明。</w:t>
      </w:r>
    </w:p>
    <w:p>
      <w:pPr>
        <w:ind w:firstLine="480"/>
        <w:rPr>
          <w:rFonts w:hint="eastAsia" w:ascii="宋体" w:hAnsi="宋体" w:eastAsia="宋体" w:cs="宋体"/>
          <w:color w:val="auto"/>
        </w:rPr>
      </w:pPr>
      <w:r>
        <w:rPr>
          <w:rFonts w:hint="eastAsia" w:ascii="宋体" w:hAnsi="宋体" w:eastAsia="宋体" w:cs="宋体"/>
          <w:color w:val="auto"/>
        </w:rPr>
        <w:t>8）电池管理系统需实现对储能集装箱的全面控制与保护并实现与PCS、能量管理系统的通信。</w:t>
      </w:r>
    </w:p>
    <w:p>
      <w:pPr>
        <w:ind w:firstLine="480"/>
        <w:rPr>
          <w:rFonts w:hint="eastAsia" w:ascii="宋体" w:hAnsi="宋体" w:eastAsia="宋体" w:cs="宋体"/>
          <w:color w:val="auto"/>
        </w:rPr>
      </w:pPr>
      <w:r>
        <w:rPr>
          <w:rFonts w:hint="eastAsia" w:ascii="宋体" w:hAnsi="宋体" w:eastAsia="宋体" w:cs="宋体"/>
          <w:color w:val="auto"/>
        </w:rPr>
        <w:t>9）电池管理系统运行各项参数应能通过本地和远程两种方式在电池管理系统平台进行修改，并有通过密码进行权限认证功能。</w:t>
      </w:r>
    </w:p>
    <w:p>
      <w:pPr>
        <w:ind w:firstLine="480"/>
        <w:rPr>
          <w:rFonts w:hint="eastAsia" w:ascii="宋体" w:hAnsi="宋体" w:eastAsia="宋体" w:cs="宋体"/>
          <w:color w:val="auto"/>
        </w:rPr>
      </w:pPr>
      <w:r>
        <w:rPr>
          <w:rFonts w:hint="eastAsia" w:ascii="宋体" w:hAnsi="宋体" w:eastAsia="宋体" w:cs="宋体"/>
          <w:color w:val="auto"/>
        </w:rPr>
        <w:t>10）电池管理系统应能够在本地对电池储能系统的各项运行状态进行显示，如系统状态，模拟量信息，报警和保护信息等。</w:t>
      </w:r>
    </w:p>
    <w:p>
      <w:pPr>
        <w:ind w:firstLine="480"/>
        <w:rPr>
          <w:rFonts w:hint="eastAsia" w:ascii="宋体" w:hAnsi="宋体" w:eastAsia="宋体" w:cs="宋体"/>
          <w:color w:val="auto"/>
        </w:rPr>
      </w:pPr>
      <w:r>
        <w:rPr>
          <w:rFonts w:hint="eastAsia" w:ascii="宋体" w:hAnsi="宋体" w:eastAsia="宋体" w:cs="宋体"/>
          <w:color w:val="auto"/>
        </w:rPr>
        <w:t>11）电池管理系统应能够在本地对电池储能系统的各项事件及历史数据进行存储，根据GB/T 34131-2023要求， BMS应具备足够的容量本地存储120天的信息。</w:t>
      </w:r>
    </w:p>
    <w:p>
      <w:pPr>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12）电池在充放电过程中外部遇明火、撞击、雷电、短路、过充过放等各种意外因素，不应发生爆炸；</w:t>
      </w:r>
    </w:p>
    <w:p>
      <w:pPr>
        <w:rPr>
          <w:rFonts w:hint="eastAsia" w:ascii="宋体" w:hAnsi="宋体" w:eastAsia="宋体" w:cs="宋体"/>
          <w:b/>
          <w:color w:val="auto"/>
          <w:szCs w:val="24"/>
          <w:shd w:val="clear" w:color="auto" w:fill="FFFFFF"/>
        </w:rPr>
      </w:pPr>
      <w:r>
        <w:rPr>
          <w:rFonts w:hint="eastAsia"/>
          <w:b/>
          <w:bCs/>
          <w:color w:val="auto"/>
        </w:rPr>
        <w:t>（2）储能变流器技术要求</w:t>
      </w:r>
    </w:p>
    <w:p>
      <w:pPr>
        <w:spacing w:line="360" w:lineRule="auto"/>
        <w:ind w:firstLine="480" w:firstLineChars="20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储能变流器是储能系统中的核心设备，必须采用高品质性能良好的成熟产品。</w:t>
      </w:r>
    </w:p>
    <w:p>
      <w:pPr>
        <w:ind w:firstLine="48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1）储能变流器通信接口宜具有RS485通讯、CAN通讯或者以太网通讯接口。</w:t>
      </w:r>
    </w:p>
    <w:p>
      <w:pPr>
        <w:ind w:firstLine="48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2）储能变流器可以兼容各大生产厂家多种不同规格和型号的蓄电池。</w:t>
      </w:r>
    </w:p>
    <w:p>
      <w:pPr>
        <w:ind w:firstLine="480"/>
        <w:rPr>
          <w:rFonts w:hint="default" w:ascii="Times New Roman" w:hAnsi="Times New Roman" w:eastAsia="宋体" w:cs="Times New Roman"/>
          <w:color w:val="auto"/>
          <w:sz w:val="24"/>
          <w:szCs w:val="24"/>
        </w:rPr>
      </w:pPr>
      <w:bookmarkStart w:id="361" w:name="_Toc32200"/>
      <w:r>
        <w:rPr>
          <w:rFonts w:hint="default" w:ascii="Times New Roman" w:hAnsi="Times New Roman" w:eastAsia="宋体" w:cs="Times New Roman"/>
          <w:color w:val="auto"/>
          <w:sz w:val="24"/>
          <w:szCs w:val="24"/>
        </w:rPr>
        <w:t>3）储能变流器正常使用的电气条件</w:t>
      </w:r>
      <w:bookmarkEnd w:id="361"/>
    </w:p>
    <w:p>
      <w:pPr>
        <w:ind w:firstLine="48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储能变流器在下列电网条件下，应能以正常方式运行：</w:t>
      </w:r>
    </w:p>
    <w:p>
      <w:pPr>
        <w:ind w:firstLine="48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a）公用电网谐波电压不超过GB/T 14549中规定的限值；</w:t>
      </w:r>
    </w:p>
    <w:p>
      <w:pPr>
        <w:ind w:firstLine="48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b）储能变流器输出端三相电压不平衡度不超过GB/T 15543规定的限值；</w:t>
      </w:r>
    </w:p>
    <w:p>
      <w:pPr>
        <w:ind w:firstLine="48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c）电网频率偏差不超过GB/T 15945规定的限值的规定；</w:t>
      </w:r>
    </w:p>
    <w:p>
      <w:pPr>
        <w:ind w:firstLine="48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d）电网电压偏差在-10%～+10%； </w:t>
      </w:r>
    </w:p>
    <w:p>
      <w:pPr>
        <w:ind w:firstLine="48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e）总电流波形畸变率&lt;3%；</w:t>
      </w:r>
    </w:p>
    <w:p>
      <w:pPr>
        <w:ind w:firstLine="48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f）长时110%过载；</w:t>
      </w:r>
    </w:p>
    <w:p>
      <w:pPr>
        <w:spacing w:line="360" w:lineRule="auto"/>
        <w:ind w:firstLine="480" w:firstLineChars="20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4）当储能变流器与BMS及监控系统的网络通信中断时，储能变流器宜有足够的措施保证设备自身的安全，并维持一段时间正常运行。</w:t>
      </w:r>
    </w:p>
    <w:p>
      <w:pPr>
        <w:spacing w:line="360" w:lineRule="auto"/>
        <w:ind w:firstLine="480" w:firstLineChars="20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5）储能变流器必须具有P/Q和V/F两种工作模式，处于P/Q工作模式时，能根据电网调度部门指令控制有功功率及无功功率输出，具备四象限满容量运行的能力。</w:t>
      </w:r>
    </w:p>
    <w:p>
      <w:pPr>
        <w:spacing w:line="360" w:lineRule="auto"/>
        <w:ind w:firstLine="480" w:firstLineChars="20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6）储能变流器除并网运行模式外，还应具有离网运行模式，即按照设定的条件脱离主网。具备离网时的黑启动功能，能够为重要负荷短时供电。电网恢复供电时，具备平滑切换并网模式运行，整个过程负荷不受影响。</w:t>
      </w:r>
    </w:p>
    <w:p>
      <w:pPr>
        <w:spacing w:line="360" w:lineRule="auto"/>
        <w:ind w:firstLine="480" w:firstLineChars="20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7）有功功率控制功能</w:t>
      </w:r>
    </w:p>
    <w:p>
      <w:pPr>
        <w:spacing w:line="360" w:lineRule="auto"/>
        <w:ind w:firstLine="480" w:firstLineChars="20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a) 当有功功率指令为定值时，储能变流器应能输出恒定的功率值，正常运行条件下，有功功率不随频率、电压的变化而变化，功率控制精度满足GB/T34120 标准中 5.4.7 的基本要求。</w:t>
      </w:r>
    </w:p>
    <w:p>
      <w:pPr>
        <w:spacing w:line="360" w:lineRule="auto"/>
        <w:ind w:firstLine="480" w:firstLineChars="20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b) 储能变流器应跟随监控系统指令控制其有功功率输出，待机状态下，从接收到功率调度指令到响应功率输出的时间不大于 100ms，功率输出不超过 储能变流器 最大允许功率。</w:t>
      </w:r>
    </w:p>
    <w:p>
      <w:pPr>
        <w:spacing w:line="360" w:lineRule="auto"/>
        <w:ind w:firstLine="480" w:firstLineChars="20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8）电压/无功调节功能</w:t>
      </w:r>
    </w:p>
    <w:p>
      <w:pPr>
        <w:spacing w:line="360" w:lineRule="auto"/>
        <w:ind w:firstLine="480" w:firstLineChars="20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a) 当无功功率为定值时，储能变流器应能输出恒定功率值，无功功率不随频率、电压的变化而变化。</w:t>
      </w:r>
    </w:p>
    <w:p>
      <w:pPr>
        <w:spacing w:line="360" w:lineRule="auto"/>
        <w:ind w:firstLine="480" w:firstLineChars="20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b) 储能变流器应跟随储能电站监控系统控制指令等信号实时跟踪调节无功输出。</w:t>
      </w:r>
    </w:p>
    <w:p>
      <w:pPr>
        <w:spacing w:line="360" w:lineRule="auto"/>
        <w:ind w:firstLine="480" w:firstLineChars="20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c) 动态无功支撑能力应满足 GB/T 34120 标准中 5.4.12.2 的基本要求。</w:t>
      </w:r>
    </w:p>
    <w:p>
      <w:pPr>
        <w:spacing w:line="360" w:lineRule="auto"/>
        <w:ind w:firstLine="480" w:firstLineChars="20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9）储能变流器恒流充电时，稳流精度≤1%（在20%~100%输出额定电流时），电流纹波≤1%。</w:t>
      </w:r>
    </w:p>
    <w:p>
      <w:pPr>
        <w:spacing w:line="360" w:lineRule="auto"/>
        <w:ind w:firstLine="480" w:firstLineChars="20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10）储能变流器交流侧电压不平衡度不超过GB/T 15543-2008《电能质量三相电压不平衡》规定的限值，公共连接点的负序电压不平衡度应不超过2%，短时不得超过4%；其中由变流器引起的负序电压不平衡度应不超过1.3%，短时不超过2.6%。</w:t>
      </w:r>
    </w:p>
    <w:p>
      <w:pPr>
        <w:spacing w:line="360" w:lineRule="auto"/>
        <w:ind w:firstLine="480" w:firstLineChars="20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11）储能变流器具备一定的耐受电压、系统频率异常的能力，满足国标GBT34133-2017要求。</w:t>
      </w:r>
    </w:p>
    <w:p>
      <w:pPr>
        <w:spacing w:line="360" w:lineRule="auto"/>
        <w:ind w:firstLine="480" w:firstLineChars="20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12）储能变流器保护功能</w:t>
      </w:r>
    </w:p>
    <w:p>
      <w:pPr>
        <w:spacing w:line="360" w:lineRule="auto"/>
        <w:ind w:firstLine="480" w:firstLineChars="20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储能变流器须具有直流过电压保护、过流保护、输入反接保护、短路保护、接地保护（具有故障检测功能）、欠压/过压保护、过载保护、过热保护、过/欠频保护、三相不平衡保护及报警、相位保护功能。在并网运行时宜设置Ⅰ段式电网过压定时限保护和Ⅱ段式电网欠压定时限保护。变流器在离网运行时宜设置Ⅱ段式负载欠压定时限保护。</w:t>
      </w:r>
    </w:p>
    <w:p>
      <w:pPr>
        <w:spacing w:line="360" w:lineRule="auto"/>
        <w:ind w:firstLine="480" w:firstLineChars="20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13）储能变流器具有故障记录功能，每份记录的信息包括故障器件所有重要的模拟量和开关量，以便进行事故分析。</w:t>
      </w:r>
    </w:p>
    <w:p>
      <w:pPr>
        <w:spacing w:line="360" w:lineRule="auto"/>
        <w:ind w:firstLine="480" w:firstLineChars="20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14）储能变流器并网运行时，直流电流分量不超过其输出电流额定值的0.5%。</w:t>
      </w:r>
    </w:p>
    <w:p>
      <w:pPr>
        <w:spacing w:line="360" w:lineRule="auto"/>
        <w:ind w:firstLine="480" w:firstLineChars="20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15）储能变流器要求能够自动化运行，运行状态可视化程度高。</w:t>
      </w:r>
    </w:p>
    <w:p>
      <w:pPr>
        <w:spacing w:line="360" w:lineRule="auto"/>
        <w:ind w:firstLine="480" w:firstLineChars="20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16）储能变流器具有直流输入手动或电动分断开关，交流电网手动或电动分断开关，紧急停机操作开关。 </w:t>
      </w:r>
    </w:p>
    <w:p>
      <w:pPr>
        <w:spacing w:line="360" w:lineRule="auto"/>
        <w:ind w:firstLine="480" w:firstLineChars="20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17）储能变流器使用寿命：20年安全可靠运行。</w:t>
      </w:r>
    </w:p>
    <w:p>
      <w:pPr>
        <w:ind w:firstLine="48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18）控制系统要求</w:t>
      </w:r>
    </w:p>
    <w:p>
      <w:pPr>
        <w:ind w:firstLine="48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a）通信</w:t>
      </w:r>
    </w:p>
    <w:p>
      <w:pPr>
        <w:ind w:firstLine="48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储能变流器（PCS）主要与能量管理系统（EMS）、监控系统进行信息交换，每台PCS系统或模块应预留CAN、RS485和以太网的独立物理通信接口，并可支持物理通信接口扩展，支持多种协议进行实时通信。PCS应通过上述通信协议提供自身运行和故障信息，运行和故障信息应清晰、明确（准确）。PCS应能够接收BMS的充放电需求（电压、电流、功率等）并据此调整其自身工作状态。</w:t>
      </w:r>
    </w:p>
    <w:p>
      <w:pPr>
        <w:ind w:firstLine="48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b）可编程接口</w:t>
      </w:r>
    </w:p>
    <w:p>
      <w:pPr>
        <w:ind w:firstLine="48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PCS预留可编程接口，可满足设备后续EMS升级要求。</w:t>
      </w:r>
    </w:p>
    <w:p>
      <w:pPr>
        <w:ind w:firstLine="48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c）PCS的同步</w:t>
      </w:r>
    </w:p>
    <w:p>
      <w:pPr>
        <w:ind w:firstLine="48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PCS能够与储能能量管理系统进行对时。</w:t>
      </w:r>
    </w:p>
    <w:p>
      <w:pPr>
        <w:rPr>
          <w:rFonts w:hint="eastAsia"/>
          <w:color w:val="auto"/>
        </w:rPr>
      </w:pPr>
      <w:r>
        <w:rPr>
          <w:rFonts w:hint="eastAsia" w:ascii="Calibri" w:eastAsia="宋体"/>
          <w:color w:val="auto"/>
          <w:lang w:val="en-US" w:eastAsia="zh-CN"/>
        </w:rPr>
        <w:t>19)</w:t>
      </w:r>
      <w:r>
        <w:rPr>
          <w:rFonts w:hint="eastAsia"/>
          <w:color w:val="auto"/>
        </w:rPr>
        <w:t>PCS 直流侧用作系统级保护，预期短路电流超过 200 - 250kA。此处采用直流框架隔离开关，绝缘电压 1600V DC，耐受冲击电压 12kV，短时耐受能力：Icw=100kA/1s，150kA/0.2s，使用环境温度 - 40℃ - 70℃，机械寿命 10000 次，电气寿命 500 次，使用类别DC21A/22A/DC23A。</w:t>
      </w:r>
    </w:p>
    <w:p>
      <w:pPr>
        <w:rPr>
          <w:rFonts w:hint="eastAsia"/>
          <w:color w:val="auto"/>
        </w:rPr>
      </w:pPr>
      <w:r>
        <w:rPr>
          <w:rFonts w:hint="eastAsia"/>
          <w:color w:val="auto"/>
        </w:rPr>
        <w:t>交流侧采用交流框架断路器，额定工作电压 690V，额定电流 3200-6300A，短时耐受电流 Icw = 85kA/1s，用于控制电路通断和保护设备安全。</w:t>
      </w:r>
    </w:p>
    <w:p>
      <w:pPr>
        <w:rPr>
          <w:rFonts w:hint="eastAsia" w:ascii="Calibri" w:hAnsi="Calibri" w:eastAsia="宋体" w:cs="Times New Roman"/>
          <w:color w:val="auto"/>
        </w:rPr>
      </w:pPr>
      <w:r>
        <w:rPr>
          <w:rFonts w:hint="eastAsia" w:ascii="Calibri" w:eastAsia="宋体"/>
          <w:color w:val="auto"/>
          <w:lang w:val="en-US" w:eastAsia="zh-CN"/>
        </w:rPr>
        <w:t>20)</w:t>
      </w:r>
      <w:r>
        <w:rPr>
          <w:rFonts w:hint="eastAsia" w:ascii="Calibri" w:hAnsi="Calibri" w:eastAsia="宋体" w:cs="Times New Roman"/>
          <w:color w:val="auto"/>
        </w:rPr>
        <w:t>电压穿越</w:t>
      </w:r>
    </w:p>
    <w:p>
      <w:pPr>
        <w:rPr>
          <w:rFonts w:hint="eastAsia" w:ascii="Calibri" w:hAnsi="Calibri" w:eastAsia="宋体" w:cs="Times New Roman"/>
          <w:color w:val="auto"/>
        </w:rPr>
      </w:pPr>
      <w:r>
        <w:rPr>
          <w:rFonts w:hint="eastAsia" w:ascii="Calibri" w:hAnsi="Calibri" w:eastAsia="宋体" w:cs="Times New Roman"/>
          <w:color w:val="auto"/>
        </w:rPr>
        <w:t>（1）低电压穿越</w:t>
      </w:r>
    </w:p>
    <w:p>
      <w:pPr>
        <w:rPr>
          <w:rFonts w:hint="eastAsia" w:ascii="Calibri" w:hAnsi="Calibri" w:eastAsia="宋体" w:cs="Times New Roman"/>
          <w:color w:val="auto"/>
        </w:rPr>
      </w:pPr>
      <w:r>
        <w:rPr>
          <w:rFonts w:hint="eastAsia" w:ascii="Calibri" w:hAnsi="Calibri" w:eastAsia="宋体" w:cs="Times New Roman"/>
          <w:color w:val="auto"/>
        </w:rPr>
        <w:t>电力系统发生故障时，若并网点考核电压全部在储能变流器低电压穿越要求的电压轮廓线及以上的区域内时，如下图所示，储能变流器应保证不脱网连续运行；否则，允许储能变流器切出。储能变流器低电压穿越具体要求如下：</w:t>
      </w:r>
    </w:p>
    <w:p>
      <w:pPr>
        <w:rPr>
          <w:rFonts w:hint="eastAsia" w:ascii="Calibri" w:hAnsi="Calibri" w:eastAsia="宋体" w:cs="Times New Roman"/>
          <w:color w:val="auto"/>
        </w:rPr>
      </w:pPr>
      <w:r>
        <w:rPr>
          <w:rFonts w:hint="eastAsia" w:ascii="Calibri" w:hAnsi="Calibri" w:eastAsia="宋体" w:cs="Times New Roman"/>
          <w:color w:val="auto"/>
        </w:rPr>
        <w:t>a) 储能变流器并网点电压跌至 0 时，储能变流器能够保证不脱网连续运行 0.15s；</w:t>
      </w:r>
    </w:p>
    <w:p>
      <w:pPr>
        <w:rPr>
          <w:rFonts w:hint="eastAsia" w:ascii="Calibri" w:hAnsi="Calibri" w:eastAsia="宋体" w:cs="Times New Roman"/>
          <w:color w:val="auto"/>
        </w:rPr>
      </w:pPr>
      <w:r>
        <w:rPr>
          <w:rFonts w:hint="eastAsia" w:ascii="Calibri" w:hAnsi="Calibri" w:eastAsia="宋体" w:cs="Times New Roman"/>
          <w:color w:val="auto"/>
        </w:rPr>
        <w:t>b) 储能变流器并网点电压跌至曲线1以下时，储能变流器可以从电网切出；</w:t>
      </w:r>
    </w:p>
    <w:p>
      <w:pPr>
        <w:rPr>
          <w:rFonts w:hint="eastAsia" w:ascii="Calibri" w:hAnsi="Calibri" w:eastAsia="宋体" w:cs="Times New Roman"/>
          <w:color w:val="auto"/>
        </w:rPr>
      </w:pPr>
      <w:r>
        <w:rPr>
          <w:rFonts w:hint="eastAsia" w:ascii="Calibri" w:hAnsi="Calibri" w:eastAsia="宋体" w:cs="Times New Roman"/>
          <w:color w:val="auto"/>
        </w:rPr>
        <w:t>c) 对电力系统故障期间没有切出的储能变流器，其有功功率在故障消除后应能快速恢复，自故障清除时刻开始，以至少 30%额定功率／秒的功率变化率恢复至故障前的值。</w:t>
      </w:r>
    </w:p>
    <w:p>
      <w:pPr>
        <w:tabs>
          <w:tab w:val="left" w:pos="2055"/>
        </w:tabs>
        <w:jc w:val="center"/>
        <w:rPr>
          <w:color w:val="auto"/>
          <w:szCs w:val="30"/>
        </w:rPr>
      </w:pPr>
      <w:r>
        <w:rPr>
          <w:color w:val="auto"/>
        </w:rPr>
        <w:drawing>
          <wp:inline distT="0" distB="0" distL="114300" distR="114300">
            <wp:extent cx="4300220" cy="1866900"/>
            <wp:effectExtent l="0" t="0" r="508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icPr>
                  <pic:blipFill>
                    <a:blip r:embed="rId14"/>
                    <a:stretch>
                      <a:fillRect/>
                    </a:stretch>
                  </pic:blipFill>
                  <pic:spPr>
                    <a:xfrm>
                      <a:off x="0" y="0"/>
                      <a:ext cx="4300220" cy="1866900"/>
                    </a:xfrm>
                    <a:prstGeom prst="rect">
                      <a:avLst/>
                    </a:prstGeom>
                    <a:noFill/>
                    <a:ln>
                      <a:noFill/>
                    </a:ln>
                  </pic:spPr>
                </pic:pic>
              </a:graphicData>
            </a:graphic>
          </wp:inline>
        </w:drawing>
      </w:r>
    </w:p>
    <w:p>
      <w:pPr>
        <w:rPr>
          <w:rFonts w:hint="eastAsia" w:ascii="Calibri" w:hAnsi="Calibri" w:eastAsia="宋体" w:cs="Times New Roman"/>
          <w:color w:val="auto"/>
          <w:sz w:val="24"/>
          <w:szCs w:val="24"/>
        </w:rPr>
      </w:pPr>
      <w:r>
        <w:rPr>
          <w:rFonts w:hint="eastAsia" w:ascii="Calibri" w:hAnsi="Calibri" w:eastAsia="宋体" w:cs="Times New Roman"/>
          <w:color w:val="auto"/>
          <w:sz w:val="24"/>
          <w:szCs w:val="24"/>
        </w:rPr>
        <w:t>注1：对于三相短路故障和两相短路故障，考核电压为并网点线电压；对于单相接地短路故障，考核电压为并网点相电压。</w:t>
      </w:r>
    </w:p>
    <w:p>
      <w:pPr>
        <w:rPr>
          <w:rFonts w:hint="eastAsia" w:ascii="Calibri" w:hAnsi="Calibri" w:eastAsia="宋体" w:cs="Times New Roman"/>
          <w:color w:val="auto"/>
          <w:sz w:val="24"/>
          <w:szCs w:val="24"/>
        </w:rPr>
      </w:pPr>
      <w:r>
        <w:rPr>
          <w:rFonts w:hint="eastAsia" w:ascii="Calibri" w:hAnsi="Calibri" w:eastAsia="宋体" w:cs="Times New Roman"/>
          <w:color w:val="auto"/>
          <w:sz w:val="24"/>
          <w:szCs w:val="24"/>
        </w:rPr>
        <w:t>注2：对于并入10（6）kV以下电压等级电网的储能变流器，具备故障脱离功能即可。</w:t>
      </w:r>
    </w:p>
    <w:p>
      <w:pPr>
        <w:rPr>
          <w:rFonts w:hint="eastAsia" w:ascii="Calibri" w:hAnsi="Calibri" w:eastAsia="宋体" w:cs="Times New Roman"/>
          <w:color w:val="auto"/>
        </w:rPr>
      </w:pPr>
      <w:r>
        <w:rPr>
          <w:rFonts w:hint="eastAsia" w:ascii="Calibri" w:hAnsi="Calibri" w:eastAsia="宋体" w:cs="Times New Roman"/>
          <w:color w:val="auto"/>
        </w:rPr>
        <w:t>（2）高电压穿越</w:t>
      </w:r>
    </w:p>
    <w:p>
      <w:pPr>
        <w:rPr>
          <w:rFonts w:hint="eastAsia" w:ascii="Calibri" w:hAnsi="Calibri" w:eastAsia="宋体" w:cs="Times New Roman"/>
          <w:color w:val="auto"/>
          <w:szCs w:val="24"/>
        </w:rPr>
      </w:pPr>
      <w:r>
        <w:rPr>
          <w:rFonts w:hint="eastAsia" w:ascii="Calibri" w:hAnsi="Calibri" w:eastAsia="宋体" w:cs="Times New Roman"/>
          <w:color w:val="auto"/>
        </w:rPr>
        <w:t>当储能系统通过10（6）kV及以上电压等级接入公共电网的储能的储能系统应具备下图所示的高电压穿越能力，交流侧电压在下图曲线2轮廓线及以下区域时，储能系统应不拖网连续运行，交流侧电压在下图取现2轮廓线以上区域时允许储能单元与电网断开连接。</w:t>
      </w:r>
    </w:p>
    <w:p>
      <w:pPr>
        <w:pStyle w:val="53"/>
        <w:spacing w:line="360" w:lineRule="auto"/>
        <w:ind w:firstLine="420"/>
        <w:rPr>
          <w:rFonts w:hint="eastAsia" w:ascii="宋体" w:hAnsi="宋体" w:eastAsia="宋体" w:cs="宋体"/>
          <w:color w:val="auto"/>
          <w:sz w:val="24"/>
          <w:szCs w:val="24"/>
          <w:lang w:val="en-US" w:eastAsia="zh-CN"/>
        </w:rPr>
      </w:pPr>
      <w:r>
        <w:rPr>
          <w:rFonts w:hint="eastAsia" w:ascii="宋体" w:hAnsi="宋体" w:cs="宋体"/>
          <w:color w:val="auto"/>
          <w:szCs w:val="24"/>
        </w:rPr>
        <w:drawing>
          <wp:inline distT="0" distB="0" distL="114300" distR="114300">
            <wp:extent cx="4360545" cy="2008505"/>
            <wp:effectExtent l="0" t="0" r="1905" b="10795"/>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icPr>
                  <pic:blipFill>
                    <a:blip r:embed="rId15"/>
                    <a:stretch>
                      <a:fillRect/>
                    </a:stretch>
                  </pic:blipFill>
                  <pic:spPr>
                    <a:xfrm>
                      <a:off x="0" y="0"/>
                      <a:ext cx="4360545" cy="2008505"/>
                    </a:xfrm>
                    <a:prstGeom prst="rect">
                      <a:avLst/>
                    </a:prstGeom>
                    <a:noFill/>
                    <a:ln>
                      <a:noFill/>
                    </a:ln>
                  </pic:spPr>
                </pic:pic>
              </a:graphicData>
            </a:graphic>
          </wp:inline>
        </w:drawing>
      </w:r>
    </w:p>
    <w:p>
      <w:pPr>
        <w:ind w:firstLine="480"/>
        <w:rPr>
          <w:rFonts w:hint="eastAsia"/>
          <w:color w:val="auto"/>
        </w:rPr>
      </w:pPr>
      <w:bookmarkStart w:id="362" w:name="_Toc22241"/>
      <w:r>
        <w:rPr>
          <w:rFonts w:hint="eastAsia" w:ascii="Calibri" w:eastAsia="宋体"/>
          <w:color w:val="auto"/>
          <w:lang w:val="en-US" w:eastAsia="zh-CN"/>
        </w:rPr>
        <w:t>21)</w:t>
      </w:r>
      <w:bookmarkStart w:id="363" w:name="_Toc168474107"/>
      <w:r>
        <w:rPr>
          <w:rFonts w:hint="eastAsia"/>
          <w:color w:val="auto"/>
        </w:rPr>
        <w:t>运行适应性</w:t>
      </w:r>
      <w:bookmarkEnd w:id="363"/>
    </w:p>
    <w:p>
      <w:pPr>
        <w:keepLines w:val="0"/>
        <w:pageBreakBefore w:val="0"/>
        <w:kinsoku/>
        <w:wordWrap/>
        <w:overflowPunct/>
        <w:topLinePunct w:val="0"/>
        <w:autoSpaceDE/>
        <w:autoSpaceDN/>
        <w:bidi w:val="0"/>
        <w:adjustRightInd/>
        <w:snapToGrid/>
        <w:spacing w:line="360" w:lineRule="auto"/>
        <w:ind w:firstLine="420" w:firstLineChars="200"/>
        <w:textAlignment w:val="auto"/>
        <w:rPr>
          <w:rFonts w:hint="default"/>
          <w:color w:val="auto"/>
        </w:rPr>
      </w:pPr>
      <w:r>
        <w:rPr>
          <w:rFonts w:hint="default"/>
          <w:color w:val="auto"/>
        </w:rPr>
        <w:t>（1）频率适应性</w:t>
      </w:r>
    </w:p>
    <w:p>
      <w:pPr>
        <w:keepLines w:val="0"/>
        <w:pageBreakBefore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eastAsia="宋体" w:cs="Times New Roman"/>
          <w:color w:val="auto"/>
        </w:rPr>
      </w:pPr>
      <w:r>
        <w:rPr>
          <w:rFonts w:hint="default"/>
          <w:color w:val="auto"/>
        </w:rPr>
        <w:t>PCS具备一定的耐受系统频率异常的能力，应能满足GB/T 34120标准中8.1.9.2频率适应性的基本要求。按照下表要求运行。</w:t>
      </w:r>
    </w:p>
    <w:p>
      <w:pPr>
        <w:pStyle w:val="56"/>
        <w:keepNext w:val="0"/>
        <w:keepLines w:val="0"/>
        <w:pageBreakBefore w:val="0"/>
        <w:widowControl w:val="0"/>
        <w:kinsoku/>
        <w:wordWrap/>
        <w:overflowPunct/>
        <w:topLinePunct w:val="0"/>
        <w:autoSpaceDE/>
        <w:autoSpaceDN/>
        <w:bidi w:val="0"/>
        <w:adjustRightInd/>
        <w:snapToGrid/>
        <w:ind w:firstLine="0" w:firstLineChars="0"/>
        <w:textAlignment w:val="auto"/>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表</w:t>
      </w:r>
      <w:r>
        <w:rPr>
          <w:rFonts w:hint="eastAsia" w:ascii="Times New Roman" w:hAnsi="Times New Roman" w:eastAsia="宋体" w:cs="Times New Roman"/>
          <w:b/>
          <w:bCs/>
          <w:color w:val="auto"/>
          <w:sz w:val="21"/>
          <w:szCs w:val="21"/>
          <w:lang w:val="en-US" w:eastAsia="zh-CN"/>
        </w:rPr>
        <w:t>12</w:t>
      </w:r>
      <w:r>
        <w:rPr>
          <w:rFonts w:hint="default" w:ascii="Times New Roman" w:hAnsi="Times New Roman" w:eastAsia="宋体" w:cs="Times New Roman"/>
          <w:b/>
          <w:bCs/>
          <w:color w:val="auto"/>
          <w:sz w:val="21"/>
          <w:szCs w:val="21"/>
          <w:lang w:val="en-US" w:eastAsia="zh-CN"/>
        </w:rPr>
        <w:t>-</w:t>
      </w:r>
      <w:r>
        <w:rPr>
          <w:rFonts w:hint="eastAsia" w:ascii="Times New Roman" w:hAnsi="Times New Roman" w:eastAsia="宋体" w:cs="Times New Roman"/>
          <w:b/>
          <w:bCs/>
          <w:color w:val="auto"/>
          <w:sz w:val="21"/>
          <w:szCs w:val="21"/>
          <w:lang w:val="en-US" w:eastAsia="zh-CN"/>
        </w:rPr>
        <w:t>1</w:t>
      </w:r>
      <w:r>
        <w:rPr>
          <w:rFonts w:hint="default" w:ascii="Times New Roman" w:hAnsi="Times New Roman" w:eastAsia="宋体" w:cs="Times New Roman"/>
          <w:b/>
          <w:bCs/>
          <w:color w:val="auto"/>
          <w:sz w:val="21"/>
          <w:szCs w:val="21"/>
          <w:lang w:val="en-US" w:eastAsia="zh-CN"/>
        </w:rPr>
        <w:t xml:space="preserve"> 频率响应时间要求</w:t>
      </w: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20" w:type="dxa"/>
          <w:left w:w="60" w:type="dxa"/>
          <w:bottom w:w="120" w:type="dxa"/>
          <w:right w:w="60" w:type="dxa"/>
        </w:tblCellMar>
      </w:tblPr>
      <w:tblGrid>
        <w:gridCol w:w="1650"/>
        <w:gridCol w:w="67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60" w:type="dxa"/>
            <w:bottom w:w="120" w:type="dxa"/>
            <w:right w:w="60" w:type="dxa"/>
          </w:tblCellMar>
        </w:tblPrEx>
        <w:trPr>
          <w:trHeight w:val="23" w:hRule="atLeast"/>
          <w:tblHeader/>
        </w:trPr>
        <w:tc>
          <w:tcPr>
            <w:tcW w:w="978" w:type="pct"/>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default" w:ascii="Times New Roman" w:hAnsi="Times New Roman" w:eastAsia="宋体" w:cs="Times New Roman"/>
                <w:b/>
                <w:bCs/>
                <w:color w:val="auto"/>
                <w:kern w:val="0"/>
                <w:sz w:val="24"/>
                <w:szCs w:val="24"/>
              </w:rPr>
            </w:pPr>
            <w:r>
              <w:rPr>
                <w:rFonts w:hint="default" w:ascii="Times New Roman" w:hAnsi="Times New Roman" w:eastAsia="宋体" w:cs="Times New Roman"/>
                <w:b/>
                <w:bCs/>
                <w:color w:val="auto"/>
                <w:kern w:val="0"/>
                <w:sz w:val="24"/>
                <w:szCs w:val="24"/>
              </w:rPr>
              <w:t>频率范围</w:t>
            </w:r>
          </w:p>
        </w:tc>
        <w:tc>
          <w:tcPr>
            <w:tcW w:w="4021" w:type="pct"/>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default" w:ascii="Times New Roman" w:hAnsi="Times New Roman" w:eastAsia="宋体" w:cs="Times New Roman"/>
                <w:b/>
                <w:bCs/>
                <w:color w:val="auto"/>
                <w:kern w:val="0"/>
                <w:sz w:val="24"/>
                <w:szCs w:val="24"/>
              </w:rPr>
            </w:pPr>
            <w:r>
              <w:rPr>
                <w:rFonts w:hint="default" w:ascii="Times New Roman" w:hAnsi="Times New Roman" w:eastAsia="宋体" w:cs="Times New Roman"/>
                <w:b/>
                <w:bCs/>
                <w:color w:val="auto"/>
                <w:kern w:val="0"/>
                <w:sz w:val="24"/>
                <w:szCs w:val="24"/>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60" w:type="dxa"/>
            <w:bottom w:w="120" w:type="dxa"/>
            <w:right w:w="60" w:type="dxa"/>
          </w:tblCellMar>
        </w:tblPrEx>
        <w:trPr>
          <w:trHeight w:val="23" w:hRule="atLeast"/>
        </w:trPr>
        <w:tc>
          <w:tcPr>
            <w:tcW w:w="978" w:type="pct"/>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低于46.5Hz</w:t>
            </w:r>
          </w:p>
        </w:tc>
        <w:tc>
          <w:tcPr>
            <w:tcW w:w="4021" w:type="pct"/>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1）储能变流器不应处于充电状态。</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2）储能变流器应根据允许运行的最低频率或电网调度机构的要求确定是否与电网脱离。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60" w:type="dxa"/>
            <w:bottom w:w="120" w:type="dxa"/>
            <w:right w:w="60" w:type="dxa"/>
          </w:tblCellMar>
        </w:tblPrEx>
        <w:trPr>
          <w:trHeight w:val="23" w:hRule="atLeast"/>
        </w:trPr>
        <w:tc>
          <w:tcPr>
            <w:tcW w:w="978" w:type="pct"/>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46.5Hz~48.5Hz</w:t>
            </w:r>
          </w:p>
        </w:tc>
        <w:tc>
          <w:tcPr>
            <w:tcW w:w="4021" w:type="pct"/>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1）处于充电状态的储能变流器应在0.2s内转为放电状态，对于不具备放电条件或其他特殊情况，应在0.2s内与电网脱离。</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2）处于放电状态的储能变流器应能连续运行。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60" w:type="dxa"/>
            <w:bottom w:w="120" w:type="dxa"/>
            <w:right w:w="60" w:type="dxa"/>
          </w:tblCellMar>
        </w:tblPrEx>
        <w:trPr>
          <w:trHeight w:val="23" w:hRule="atLeast"/>
        </w:trPr>
        <w:tc>
          <w:tcPr>
            <w:tcW w:w="978" w:type="pct"/>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48.5Hz~50.5Hz</w:t>
            </w:r>
          </w:p>
        </w:tc>
        <w:tc>
          <w:tcPr>
            <w:tcW w:w="4021" w:type="pct"/>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正常充电或放电运行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60" w:type="dxa"/>
            <w:bottom w:w="120" w:type="dxa"/>
            <w:right w:w="60" w:type="dxa"/>
          </w:tblCellMar>
        </w:tblPrEx>
        <w:trPr>
          <w:trHeight w:val="23" w:hRule="atLeast"/>
        </w:trPr>
        <w:tc>
          <w:tcPr>
            <w:tcW w:w="978" w:type="pct"/>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50.5Hz~51.5Hz</w:t>
            </w:r>
          </w:p>
        </w:tc>
        <w:tc>
          <w:tcPr>
            <w:tcW w:w="4021" w:type="pct"/>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1）处于放电状态的储能变流器应在0.2s内转为充电状态，对于不具备充电条件或其他特殊情况，应在0.2s内与电网脱离。</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2）处于充电状态的储能变流器应能连续运行。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60" w:type="dxa"/>
            <w:bottom w:w="120" w:type="dxa"/>
            <w:right w:w="60" w:type="dxa"/>
          </w:tblCellMar>
        </w:tblPrEx>
        <w:trPr>
          <w:trHeight w:val="23" w:hRule="atLeast"/>
        </w:trPr>
        <w:tc>
          <w:tcPr>
            <w:tcW w:w="978" w:type="pct"/>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高于51.5Hz</w:t>
            </w:r>
          </w:p>
        </w:tc>
        <w:tc>
          <w:tcPr>
            <w:tcW w:w="4021" w:type="pct"/>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1）储能变流器不应处于放电状态。</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2）储能变流器应根据允许运行的最高频率确定是否与电网脱离。</w:t>
            </w:r>
          </w:p>
        </w:tc>
      </w:tr>
    </w:tbl>
    <w:p>
      <w:pPr>
        <w:keepLines w:val="0"/>
        <w:pageBreakBefore w:val="0"/>
        <w:tabs>
          <w:tab w:val="left" w:pos="2388"/>
          <w:tab w:val="left" w:pos="2832"/>
          <w:tab w:val="left" w:pos="3472"/>
          <w:tab w:val="left" w:pos="6667"/>
          <w:tab w:val="left" w:pos="7270"/>
        </w:tabs>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eastAsia="宋体" w:cs="Times New Roman"/>
          <w:color w:val="auto"/>
        </w:rPr>
      </w:pPr>
      <w:r>
        <w:rPr>
          <w:rFonts w:hint="default" w:ascii="Times New Roman" w:hAnsi="Times New Roman" w:eastAsia="宋体" w:cs="Times New Roman"/>
          <w:color w:val="auto"/>
        </w:rPr>
        <w:t>储能变流器在正常运行频率范围内,在500ms的时间窗口内频率变化率不大于2Hz/s时应不脱网连续运行。</w:t>
      </w:r>
    </w:p>
    <w:p>
      <w:pPr>
        <w:keepLines w:val="0"/>
        <w:pageBreakBefore w:val="0"/>
        <w:tabs>
          <w:tab w:val="left" w:pos="2388"/>
          <w:tab w:val="left" w:pos="2832"/>
          <w:tab w:val="left" w:pos="3472"/>
          <w:tab w:val="left" w:pos="6667"/>
          <w:tab w:val="left" w:pos="7270"/>
        </w:tabs>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eastAsia="宋体" w:cs="Times New Roman"/>
          <w:color w:val="auto"/>
        </w:rPr>
      </w:pPr>
      <w:r>
        <w:rPr>
          <w:rFonts w:hint="default" w:ascii="Times New Roman" w:hAnsi="Times New Roman" w:eastAsia="宋体" w:cs="Times New Roman"/>
          <w:color w:val="auto"/>
        </w:rPr>
        <w:t>（2）电压适应性</w:t>
      </w:r>
    </w:p>
    <w:p>
      <w:pPr>
        <w:keepLines w:val="0"/>
        <w:pageBreakBefore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eastAsia="宋体" w:cs="Times New Roman"/>
          <w:color w:val="auto"/>
        </w:rPr>
      </w:pPr>
      <w:r>
        <w:rPr>
          <w:rFonts w:hint="default" w:ascii="Times New Roman" w:hAnsi="Times New Roman" w:eastAsia="宋体" w:cs="Times New Roman"/>
          <w:color w:val="auto"/>
        </w:rPr>
        <w:t>储能变流器电压适应性应满足下表要求：</w:t>
      </w:r>
    </w:p>
    <w:p>
      <w:pPr>
        <w:pStyle w:val="56"/>
        <w:pageBreakBefore w:val="0"/>
        <w:kinsoku/>
        <w:wordWrap/>
        <w:autoSpaceDE/>
        <w:autoSpaceDN/>
        <w:bidi w:val="0"/>
        <w:adjustRightInd/>
        <w:snapToGrid/>
        <w:textAlignment w:val="auto"/>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表</w:t>
      </w:r>
      <w:r>
        <w:rPr>
          <w:rFonts w:hint="eastAsia" w:ascii="Times New Roman" w:hAnsi="Times New Roman" w:eastAsia="宋体" w:cs="Times New Roman"/>
          <w:b/>
          <w:bCs/>
          <w:color w:val="auto"/>
          <w:sz w:val="21"/>
          <w:szCs w:val="21"/>
          <w:lang w:val="en-US" w:eastAsia="zh-CN"/>
        </w:rPr>
        <w:t>12</w:t>
      </w:r>
      <w:r>
        <w:rPr>
          <w:rFonts w:hint="default" w:ascii="Times New Roman" w:hAnsi="Times New Roman" w:eastAsia="宋体" w:cs="Times New Roman"/>
          <w:b/>
          <w:bCs/>
          <w:color w:val="auto"/>
          <w:sz w:val="21"/>
          <w:szCs w:val="21"/>
          <w:lang w:val="en-US" w:eastAsia="zh-CN"/>
        </w:rPr>
        <w:t>-</w:t>
      </w:r>
      <w:r>
        <w:rPr>
          <w:rFonts w:hint="eastAsia" w:ascii="Times New Roman" w:hAnsi="Times New Roman" w:eastAsia="宋体" w:cs="Times New Roman"/>
          <w:b/>
          <w:bCs/>
          <w:color w:val="auto"/>
          <w:sz w:val="21"/>
          <w:szCs w:val="21"/>
          <w:lang w:val="en-US" w:eastAsia="zh-CN"/>
        </w:rPr>
        <w:t>2</w:t>
      </w:r>
      <w:r>
        <w:rPr>
          <w:rFonts w:hint="default" w:ascii="Times New Roman" w:hAnsi="Times New Roman" w:eastAsia="宋体" w:cs="Times New Roman"/>
          <w:b/>
          <w:bCs/>
          <w:color w:val="auto"/>
          <w:sz w:val="21"/>
          <w:szCs w:val="21"/>
          <w:lang w:val="en-US" w:eastAsia="zh-CN"/>
        </w:rPr>
        <w:t xml:space="preserve"> 电压适应性</w:t>
      </w:r>
    </w:p>
    <w:tbl>
      <w:tblPr>
        <w:tblStyle w:val="22"/>
        <w:tblW w:w="5000" w:type="pct"/>
        <w:tblInd w:w="0" w:type="dxa"/>
        <w:tblLayout w:type="autofit"/>
        <w:tblCellMar>
          <w:top w:w="0" w:type="dxa"/>
          <w:left w:w="108" w:type="dxa"/>
          <w:bottom w:w="0" w:type="dxa"/>
          <w:right w:w="108" w:type="dxa"/>
        </w:tblCellMar>
      </w:tblPr>
      <w:tblGrid>
        <w:gridCol w:w="5009"/>
        <w:gridCol w:w="3513"/>
      </w:tblGrid>
      <w:tr>
        <w:tblPrEx>
          <w:tblCellMar>
            <w:top w:w="0" w:type="dxa"/>
            <w:left w:w="108" w:type="dxa"/>
            <w:bottom w:w="0" w:type="dxa"/>
            <w:right w:w="108" w:type="dxa"/>
          </w:tblCellMar>
        </w:tblPrEx>
        <w:trPr>
          <w:trHeight w:val="295" w:hRule="atLeast"/>
        </w:trPr>
        <w:tc>
          <w:tcPr>
            <w:tcW w:w="2939" w:type="pct"/>
            <w:tcBorders>
              <w:top w:val="single" w:color="000000" w:sz="4" w:space="0"/>
              <w:left w:val="single" w:color="000000" w:sz="4" w:space="0"/>
              <w:bottom w:val="single" w:color="000000" w:sz="4" w:space="0"/>
              <w:right w:val="single" w:color="000000" w:sz="4" w:space="0"/>
              <w:tl2br w:val="nil"/>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eastAsia="宋体" w:cs="Times New Roman"/>
                <w:b w:val="0"/>
                <w:color w:val="auto"/>
                <w:kern w:val="0"/>
                <w:sz w:val="24"/>
                <w:szCs w:val="24"/>
              </w:rPr>
            </w:pPr>
            <w:r>
              <w:rPr>
                <w:rFonts w:hint="default" w:ascii="Times New Roman" w:hAnsi="Times New Roman" w:eastAsia="宋体" w:cs="Times New Roman"/>
                <w:b w:val="0"/>
                <w:color w:val="auto"/>
                <w:kern w:val="0"/>
                <w:sz w:val="24"/>
                <w:szCs w:val="24"/>
              </w:rPr>
              <w:t>交流端口电压(U)</w:t>
            </w:r>
          </w:p>
        </w:tc>
        <w:tc>
          <w:tcPr>
            <w:tcW w:w="2060"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eastAsia="宋体" w:cs="Times New Roman"/>
                <w:b w:val="0"/>
                <w:color w:val="auto"/>
                <w:kern w:val="0"/>
                <w:sz w:val="24"/>
                <w:szCs w:val="24"/>
              </w:rPr>
            </w:pPr>
            <w:r>
              <w:rPr>
                <w:rFonts w:hint="default" w:ascii="Times New Roman" w:hAnsi="Times New Roman" w:eastAsia="宋体" w:cs="Times New Roman"/>
                <w:b w:val="0"/>
                <w:color w:val="auto"/>
                <w:kern w:val="0"/>
                <w:sz w:val="24"/>
                <w:szCs w:val="24"/>
              </w:rPr>
              <w:t>运行要求</w:t>
            </w:r>
          </w:p>
        </w:tc>
      </w:tr>
      <w:tr>
        <w:tblPrEx>
          <w:tblCellMar>
            <w:top w:w="0" w:type="dxa"/>
            <w:left w:w="108" w:type="dxa"/>
            <w:bottom w:w="0" w:type="dxa"/>
            <w:right w:w="108" w:type="dxa"/>
          </w:tblCellMar>
        </w:tblPrEx>
        <w:trPr>
          <w:trHeight w:val="550" w:hRule="atLeast"/>
        </w:trPr>
        <w:tc>
          <w:tcPr>
            <w:tcW w:w="2939"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eastAsia="宋体" w:cs="Times New Roman"/>
                <w:b w:val="0"/>
                <w:color w:val="auto"/>
                <w:kern w:val="0"/>
                <w:sz w:val="24"/>
                <w:szCs w:val="24"/>
              </w:rPr>
            </w:pPr>
            <w:r>
              <w:rPr>
                <w:rFonts w:hint="default" w:ascii="Times New Roman" w:hAnsi="Times New Roman" w:eastAsia="宋体" w:cs="Times New Roman"/>
                <w:b w:val="0"/>
                <w:color w:val="auto"/>
                <w:kern w:val="0"/>
                <w:sz w:val="24"/>
                <w:szCs w:val="24"/>
              </w:rPr>
              <w:t>U&lt;90%UN</w:t>
            </w:r>
          </w:p>
        </w:tc>
        <w:tc>
          <w:tcPr>
            <w:tcW w:w="2060"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eastAsia="宋体" w:cs="Times New Roman"/>
                <w:b w:val="0"/>
                <w:color w:val="auto"/>
                <w:kern w:val="0"/>
                <w:sz w:val="24"/>
                <w:szCs w:val="24"/>
              </w:rPr>
            </w:pPr>
            <w:r>
              <w:rPr>
                <w:rFonts w:hint="default" w:ascii="Times New Roman" w:hAnsi="Times New Roman" w:eastAsia="宋体" w:cs="Times New Roman"/>
                <w:b w:val="0"/>
                <w:color w:val="auto"/>
                <w:kern w:val="0"/>
                <w:sz w:val="24"/>
                <w:szCs w:val="24"/>
              </w:rPr>
              <w:t>满足低电压穿越要求</w:t>
            </w:r>
          </w:p>
        </w:tc>
      </w:tr>
      <w:tr>
        <w:tblPrEx>
          <w:tblCellMar>
            <w:top w:w="0" w:type="dxa"/>
            <w:left w:w="108" w:type="dxa"/>
            <w:bottom w:w="0" w:type="dxa"/>
            <w:right w:w="108" w:type="dxa"/>
          </w:tblCellMar>
        </w:tblPrEx>
        <w:trPr>
          <w:trHeight w:val="550" w:hRule="atLeast"/>
        </w:trPr>
        <w:tc>
          <w:tcPr>
            <w:tcW w:w="2939"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eastAsia="宋体" w:cs="Times New Roman"/>
                <w:b w:val="0"/>
                <w:color w:val="auto"/>
                <w:kern w:val="0"/>
                <w:sz w:val="24"/>
                <w:szCs w:val="24"/>
              </w:rPr>
            </w:pPr>
            <w:r>
              <w:rPr>
                <w:rFonts w:hint="default" w:ascii="Times New Roman" w:hAnsi="Times New Roman" w:eastAsia="宋体" w:cs="Times New Roman"/>
                <w:b w:val="0"/>
                <w:color w:val="auto"/>
                <w:kern w:val="0"/>
                <w:sz w:val="24"/>
                <w:szCs w:val="24"/>
              </w:rPr>
              <w:t>90%UN≤U≤110%UN</w:t>
            </w:r>
          </w:p>
        </w:tc>
        <w:tc>
          <w:tcPr>
            <w:tcW w:w="2060"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eastAsia="宋体" w:cs="Times New Roman"/>
                <w:b w:val="0"/>
                <w:color w:val="auto"/>
                <w:kern w:val="0"/>
                <w:sz w:val="24"/>
                <w:szCs w:val="24"/>
              </w:rPr>
            </w:pPr>
            <w:r>
              <w:rPr>
                <w:rFonts w:hint="default" w:ascii="Times New Roman" w:hAnsi="Times New Roman" w:eastAsia="宋体" w:cs="Times New Roman"/>
                <w:b w:val="0"/>
                <w:color w:val="auto"/>
                <w:kern w:val="0"/>
                <w:sz w:val="24"/>
                <w:szCs w:val="24"/>
              </w:rPr>
              <w:t>正常运行</w:t>
            </w:r>
          </w:p>
        </w:tc>
      </w:tr>
      <w:tr>
        <w:tblPrEx>
          <w:tblCellMar>
            <w:top w:w="0" w:type="dxa"/>
            <w:left w:w="108" w:type="dxa"/>
            <w:bottom w:w="0" w:type="dxa"/>
            <w:right w:w="108" w:type="dxa"/>
          </w:tblCellMar>
        </w:tblPrEx>
        <w:trPr>
          <w:trHeight w:val="280" w:hRule="atLeast"/>
        </w:trPr>
        <w:tc>
          <w:tcPr>
            <w:tcW w:w="2939"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eastAsia="宋体" w:cs="Times New Roman"/>
                <w:b w:val="0"/>
                <w:color w:val="auto"/>
                <w:kern w:val="0"/>
                <w:sz w:val="24"/>
                <w:szCs w:val="24"/>
              </w:rPr>
            </w:pPr>
            <w:r>
              <w:rPr>
                <w:rFonts w:hint="default" w:ascii="Times New Roman" w:hAnsi="Times New Roman" w:eastAsia="宋体" w:cs="Times New Roman"/>
                <w:b w:val="0"/>
                <w:color w:val="auto"/>
                <w:kern w:val="0"/>
                <w:sz w:val="24"/>
                <w:szCs w:val="24"/>
              </w:rPr>
              <w:t>110%UN&lt;U</w:t>
            </w:r>
          </w:p>
        </w:tc>
        <w:tc>
          <w:tcPr>
            <w:tcW w:w="2060"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eastAsia="宋体" w:cs="Times New Roman"/>
                <w:b w:val="0"/>
                <w:color w:val="auto"/>
                <w:kern w:val="0"/>
                <w:sz w:val="24"/>
                <w:szCs w:val="24"/>
              </w:rPr>
            </w:pPr>
            <w:r>
              <w:rPr>
                <w:rFonts w:hint="default" w:ascii="Times New Roman" w:hAnsi="Times New Roman" w:eastAsia="宋体" w:cs="Times New Roman"/>
                <w:b w:val="0"/>
                <w:color w:val="auto"/>
                <w:kern w:val="0"/>
                <w:sz w:val="24"/>
                <w:szCs w:val="24"/>
              </w:rPr>
              <w:t>满足高电压穿越要求</w:t>
            </w:r>
          </w:p>
        </w:tc>
      </w:tr>
      <w:tr>
        <w:tblPrEx>
          <w:tblCellMar>
            <w:top w:w="0" w:type="dxa"/>
            <w:left w:w="108" w:type="dxa"/>
            <w:bottom w:w="0" w:type="dxa"/>
            <w:right w:w="108" w:type="dxa"/>
          </w:tblCellMar>
        </w:tblPrEx>
        <w:trPr>
          <w:trHeight w:val="285" w:hRule="atLeast"/>
        </w:trPr>
        <w:tc>
          <w:tcPr>
            <w:tcW w:w="5000" w:type="pct"/>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default" w:ascii="Times New Roman" w:hAnsi="Times New Roman" w:eastAsia="宋体" w:cs="Times New Roman"/>
                <w:b w:val="0"/>
                <w:color w:val="auto"/>
                <w:kern w:val="0"/>
                <w:sz w:val="24"/>
                <w:szCs w:val="24"/>
              </w:rPr>
            </w:pPr>
            <w:r>
              <w:rPr>
                <w:rFonts w:hint="default" w:ascii="Times New Roman" w:hAnsi="Times New Roman" w:eastAsia="宋体" w:cs="Times New Roman"/>
                <w:b w:val="0"/>
                <w:color w:val="auto"/>
                <w:kern w:val="0"/>
                <w:sz w:val="24"/>
                <w:szCs w:val="24"/>
              </w:rPr>
              <w:t>注：UN为储能变流器的交流端口额定电压。</w:t>
            </w:r>
          </w:p>
        </w:tc>
      </w:tr>
    </w:tbl>
    <w:p>
      <w:pPr>
        <w:pStyle w:val="53"/>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default" w:ascii="Times New Roman" w:hAnsi="Times New Roman" w:eastAsia="宋体" w:cs="Times New Roman"/>
          <w:b/>
          <w:bCs/>
          <w:color w:val="auto"/>
          <w:sz w:val="21"/>
          <w:szCs w:val="21"/>
          <w:lang w:val="en-US" w:eastAsia="zh-CN"/>
        </w:rPr>
      </w:pPr>
    </w:p>
    <w:p>
      <w:pPr>
        <w:pStyle w:val="56"/>
        <w:keepNext w:val="0"/>
        <w:keepLines w:val="0"/>
        <w:pageBreakBefore w:val="0"/>
        <w:widowControl w:val="0"/>
        <w:kinsoku/>
        <w:wordWrap/>
        <w:overflowPunct/>
        <w:topLinePunct w:val="0"/>
        <w:autoSpaceDE/>
        <w:autoSpaceDN/>
        <w:bidi w:val="0"/>
        <w:adjustRightInd/>
        <w:snapToGrid/>
        <w:ind w:firstLine="0" w:firstLineChars="0"/>
        <w:textAlignment w:val="auto"/>
        <w:rPr>
          <w:rFonts w:hint="default"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表14-3 PCS主要技术参数表</w:t>
      </w:r>
    </w:p>
    <w:tbl>
      <w:tblPr>
        <w:tblStyle w:val="23"/>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978"/>
        <w:gridCol w:w="2679"/>
        <w:gridCol w:w="3247"/>
        <w:gridCol w:w="161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574" w:type="pct"/>
            <w:tcBorders>
              <w:top w:val="single" w:color="000000" w:sz="4" w:space="0"/>
              <w:left w:val="single" w:color="000000" w:sz="4" w:space="0"/>
              <w:bottom w:val="single" w:color="000000" w:sz="4" w:space="0"/>
              <w:right w:val="single" w:color="000000" w:sz="4" w:space="0"/>
              <w:tl2br w:val="nil"/>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序号</w:t>
            </w: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项目</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参数</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lang w:val="en-US" w:eastAsia="zh-CN"/>
              </w:rPr>
            </w:pPr>
            <w:r>
              <w:rPr>
                <w:rFonts w:hint="eastAsia" w:cs="Times New Roman"/>
                <w:b w:val="0"/>
                <w:color w:val="auto"/>
                <w:sz w:val="24"/>
                <w:szCs w:val="24"/>
                <w:lang w:val="en-US" w:eastAsia="zh-CN"/>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numPr>
                <w:ilvl w:val="0"/>
                <w:numId w:val="19"/>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交流接入方式</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三相三线制</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numPr>
                <w:ilvl w:val="0"/>
                <w:numId w:val="19"/>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highlight w:val="yellow"/>
              </w:rPr>
            </w:pPr>
            <w:r>
              <w:rPr>
                <w:rFonts w:hint="default" w:ascii="Times New Roman" w:hAnsi="Times New Roman" w:eastAsia="宋体" w:cs="Times New Roman"/>
                <w:b w:val="0"/>
                <w:color w:val="auto"/>
                <w:sz w:val="24"/>
                <w:szCs w:val="24"/>
                <w:highlight w:val="yellow"/>
              </w:rPr>
              <w:t>额定功率</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highlight w:val="yellow"/>
              </w:rPr>
            </w:pPr>
            <w:r>
              <w:rPr>
                <w:rFonts w:hint="default" w:ascii="Times New Roman" w:hAnsi="Times New Roman" w:eastAsia="宋体" w:cs="Times New Roman"/>
                <w:b w:val="0"/>
                <w:color w:val="auto"/>
                <w:sz w:val="24"/>
                <w:szCs w:val="24"/>
                <w:highlight w:val="yellow"/>
              </w:rPr>
              <w:t>具体方案厂家自行配置</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numPr>
                <w:ilvl w:val="0"/>
                <w:numId w:val="19"/>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highlight w:val="yellow"/>
              </w:rPr>
            </w:pPr>
            <w:r>
              <w:rPr>
                <w:rFonts w:hint="default" w:ascii="Times New Roman" w:hAnsi="Times New Roman" w:eastAsia="宋体" w:cs="Times New Roman"/>
                <w:b w:val="0"/>
                <w:color w:val="auto"/>
                <w:sz w:val="24"/>
                <w:szCs w:val="24"/>
                <w:highlight w:val="yellow"/>
              </w:rPr>
              <w:t>最大输出功率</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numPr>
                <w:ilvl w:val="0"/>
                <w:numId w:val="19"/>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highlight w:val="yellow"/>
              </w:rPr>
            </w:pPr>
            <w:r>
              <w:rPr>
                <w:rFonts w:hint="default" w:ascii="Times New Roman" w:hAnsi="Times New Roman" w:eastAsia="宋体" w:cs="Times New Roman"/>
                <w:b w:val="0"/>
                <w:color w:val="auto"/>
                <w:sz w:val="24"/>
                <w:szCs w:val="24"/>
                <w:highlight w:val="yellow"/>
              </w:rPr>
              <w:t>无功范围</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numPr>
                <w:ilvl w:val="0"/>
                <w:numId w:val="19"/>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highlight w:val="none"/>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highlight w:val="none"/>
              </w:rPr>
            </w:pPr>
            <w:r>
              <w:rPr>
                <w:rFonts w:hint="default" w:ascii="Times New Roman" w:hAnsi="Times New Roman" w:eastAsia="宋体" w:cs="Times New Roman"/>
                <w:b w:val="0"/>
                <w:color w:val="auto"/>
                <w:sz w:val="24"/>
                <w:szCs w:val="24"/>
                <w:highlight w:val="none"/>
              </w:rPr>
              <w:t>过载能力</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highlight w:val="none"/>
              </w:rPr>
            </w:pPr>
            <w:r>
              <w:rPr>
                <w:rFonts w:hint="default" w:ascii="Times New Roman" w:hAnsi="Times New Roman" w:eastAsia="宋体" w:cs="Times New Roman"/>
                <w:b w:val="0"/>
                <w:color w:val="auto"/>
                <w:sz w:val="24"/>
                <w:szCs w:val="24"/>
                <w:highlight w:val="none"/>
              </w:rPr>
              <w:t>1.1倍：10min</w:t>
            </w:r>
          </w:p>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highlight w:val="none"/>
              </w:rPr>
            </w:pPr>
            <w:r>
              <w:rPr>
                <w:rFonts w:hint="default" w:ascii="Times New Roman" w:hAnsi="Times New Roman" w:eastAsia="宋体" w:cs="Times New Roman"/>
                <w:b w:val="0"/>
                <w:color w:val="auto"/>
                <w:sz w:val="24"/>
                <w:szCs w:val="24"/>
                <w:highlight w:val="none"/>
              </w:rPr>
              <w:t>1.2倍：不少于1min</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numPr>
                <w:ilvl w:val="0"/>
                <w:numId w:val="19"/>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额定电压</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须适应电网电压±10%的波动</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99" w:hRule="atLeast"/>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numPr>
                <w:ilvl w:val="0"/>
                <w:numId w:val="19"/>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highlight w:val="yellow"/>
              </w:rPr>
              <w:t>额定电流</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numPr>
                <w:ilvl w:val="0"/>
                <w:numId w:val="19"/>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额定电网频率</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50Hz</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numPr>
                <w:ilvl w:val="0"/>
                <w:numId w:val="19"/>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highlight w:val="none"/>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highlight w:val="none"/>
              </w:rPr>
            </w:pPr>
            <w:r>
              <w:rPr>
                <w:rFonts w:hint="default" w:ascii="Times New Roman" w:hAnsi="Times New Roman" w:eastAsia="宋体" w:cs="Times New Roman"/>
                <w:b w:val="0"/>
                <w:color w:val="auto"/>
                <w:sz w:val="24"/>
                <w:szCs w:val="24"/>
                <w:highlight w:val="none"/>
              </w:rPr>
              <w:t>总谐波畸变率</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highlight w:val="none"/>
              </w:rPr>
            </w:pPr>
            <w:r>
              <w:rPr>
                <w:rFonts w:hint="default" w:ascii="Times New Roman" w:hAnsi="Times New Roman" w:eastAsia="宋体" w:cs="Times New Roman"/>
                <w:b w:val="0"/>
                <w:color w:val="auto"/>
                <w:sz w:val="24"/>
                <w:szCs w:val="24"/>
                <w:highlight w:val="none"/>
              </w:rPr>
              <w:t>＜3%（额定电流）</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numPr>
                <w:ilvl w:val="0"/>
                <w:numId w:val="19"/>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功率因数</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-1~1</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numPr>
                <w:ilvl w:val="0"/>
                <w:numId w:val="19"/>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隔离方式</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无变压器</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numPr>
                <w:ilvl w:val="0"/>
                <w:numId w:val="19"/>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highlight w:val="none"/>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highlight w:val="none"/>
              </w:rPr>
            </w:pPr>
            <w:r>
              <w:rPr>
                <w:rFonts w:hint="default" w:ascii="Times New Roman" w:hAnsi="Times New Roman" w:eastAsia="宋体" w:cs="Times New Roman"/>
                <w:b w:val="0"/>
                <w:color w:val="auto"/>
                <w:sz w:val="24"/>
                <w:szCs w:val="24"/>
                <w:highlight w:val="none"/>
              </w:rPr>
              <w:t>无功功率响应时间</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highlight w:val="none"/>
              </w:rPr>
            </w:pPr>
            <w:r>
              <w:rPr>
                <w:rFonts w:hint="default" w:ascii="Times New Roman" w:hAnsi="Times New Roman" w:eastAsia="宋体" w:cs="Times New Roman"/>
                <w:b w:val="0"/>
                <w:color w:val="auto"/>
                <w:sz w:val="24"/>
                <w:szCs w:val="24"/>
                <w:highlight w:val="none"/>
              </w:rPr>
              <w:t>≤</w:t>
            </w:r>
            <w:r>
              <w:rPr>
                <w:rFonts w:hint="default" w:ascii="Times New Roman" w:hAnsi="Times New Roman" w:eastAsia="宋体" w:cs="Times New Roman"/>
                <w:b w:val="0"/>
                <w:color w:val="auto"/>
                <w:sz w:val="24"/>
                <w:szCs w:val="24"/>
                <w:highlight w:val="none"/>
                <w:lang w:val="en-US" w:eastAsia="zh-CN"/>
              </w:rPr>
              <w:t>10</w:t>
            </w:r>
            <w:r>
              <w:rPr>
                <w:rFonts w:hint="default" w:ascii="Times New Roman" w:hAnsi="Times New Roman" w:eastAsia="宋体" w:cs="Times New Roman"/>
                <w:b w:val="0"/>
                <w:color w:val="auto"/>
                <w:sz w:val="24"/>
                <w:szCs w:val="24"/>
                <w:highlight w:val="none"/>
              </w:rPr>
              <w:t>0ms</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numPr>
                <w:ilvl w:val="0"/>
                <w:numId w:val="19"/>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功率控制偏差</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功率大于额定功率20%时，功率控制偏差不超过</w:t>
            </w:r>
            <w:r>
              <w:rPr>
                <w:rFonts w:hint="default" w:ascii="Times New Roman" w:hAnsi="Times New Roman" w:eastAsia="宋体" w:cs="Times New Roman"/>
                <w:b w:val="0"/>
                <w:color w:val="auto"/>
                <w:sz w:val="24"/>
                <w:szCs w:val="24"/>
                <w:lang w:val="en-US" w:eastAsia="zh-CN"/>
              </w:rPr>
              <w:t>1</w:t>
            </w:r>
            <w:r>
              <w:rPr>
                <w:rFonts w:hint="default" w:ascii="Times New Roman" w:hAnsi="Times New Roman" w:eastAsia="宋体" w:cs="Times New Roman"/>
                <w:b w:val="0"/>
                <w:color w:val="auto"/>
                <w:sz w:val="24"/>
                <w:szCs w:val="24"/>
              </w:rPr>
              <w:t>%。</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numPr>
                <w:ilvl w:val="0"/>
                <w:numId w:val="19"/>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highlight w:val="none"/>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highlight w:val="none"/>
              </w:rPr>
            </w:pPr>
            <w:r>
              <w:rPr>
                <w:rFonts w:hint="default" w:ascii="Times New Roman" w:hAnsi="Times New Roman" w:eastAsia="宋体" w:cs="Times New Roman"/>
                <w:b w:val="0"/>
                <w:color w:val="auto"/>
                <w:sz w:val="24"/>
                <w:szCs w:val="24"/>
                <w:highlight w:val="none"/>
              </w:rPr>
              <w:t>直流分量</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highlight w:val="none"/>
              </w:rPr>
            </w:pPr>
            <w:r>
              <w:rPr>
                <w:rFonts w:hint="default" w:ascii="Times New Roman" w:hAnsi="Times New Roman" w:eastAsia="宋体" w:cs="Times New Roman"/>
                <w:b w:val="0"/>
                <w:color w:val="auto"/>
                <w:sz w:val="24"/>
                <w:szCs w:val="24"/>
                <w:highlight w:val="none"/>
              </w:rPr>
              <w:t>0.5%（额定电流）</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numPr>
                <w:ilvl w:val="0"/>
                <w:numId w:val="19"/>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highlight w:val="yellow"/>
              </w:rPr>
            </w:pPr>
            <w:r>
              <w:rPr>
                <w:rFonts w:hint="default" w:ascii="Times New Roman" w:hAnsi="Times New Roman" w:eastAsia="宋体" w:cs="Times New Roman"/>
                <w:b w:val="0"/>
                <w:color w:val="auto"/>
                <w:sz w:val="24"/>
                <w:szCs w:val="24"/>
                <w:highlight w:val="yellow"/>
              </w:rPr>
              <w:t>最大直流功率</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numPr>
                <w:ilvl w:val="0"/>
                <w:numId w:val="19"/>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highlight w:val="yellow"/>
              </w:rPr>
            </w:pPr>
            <w:r>
              <w:rPr>
                <w:rFonts w:hint="default" w:ascii="Times New Roman" w:hAnsi="Times New Roman" w:eastAsia="宋体" w:cs="Times New Roman"/>
                <w:b w:val="0"/>
                <w:color w:val="auto"/>
                <w:sz w:val="24"/>
                <w:szCs w:val="24"/>
                <w:highlight w:val="yellow"/>
              </w:rPr>
              <w:t>最大直流电流</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numPr>
                <w:ilvl w:val="0"/>
                <w:numId w:val="19"/>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直流电压工作范围</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1000V-1500V</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numPr>
                <w:ilvl w:val="0"/>
                <w:numId w:val="19"/>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highlight w:val="none"/>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highlight w:val="none"/>
              </w:rPr>
            </w:pPr>
            <w:r>
              <w:rPr>
                <w:rFonts w:hint="default" w:ascii="Times New Roman" w:hAnsi="Times New Roman" w:eastAsia="宋体" w:cs="Times New Roman"/>
                <w:b w:val="0"/>
                <w:color w:val="auto"/>
                <w:sz w:val="24"/>
                <w:szCs w:val="24"/>
                <w:highlight w:val="none"/>
              </w:rPr>
              <w:t>电流纹波</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highlight w:val="none"/>
              </w:rPr>
            </w:pPr>
            <w:r>
              <w:rPr>
                <w:rFonts w:hint="default" w:ascii="Times New Roman" w:hAnsi="Times New Roman" w:eastAsia="宋体" w:cs="Times New Roman"/>
                <w:b w:val="0"/>
                <w:color w:val="auto"/>
                <w:sz w:val="24"/>
                <w:szCs w:val="24"/>
                <w:highlight w:val="none"/>
              </w:rPr>
              <w:t>储能变流器工作在恒功率充放电模式下时,直流端口的交流电流纹波有效值应不大于3%最大直流电流</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numPr>
                <w:ilvl w:val="0"/>
                <w:numId w:val="19"/>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highlight w:val="none"/>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highlight w:val="none"/>
              </w:rPr>
            </w:pPr>
            <w:r>
              <w:rPr>
                <w:rFonts w:hint="default" w:ascii="Times New Roman" w:hAnsi="Times New Roman" w:eastAsia="宋体" w:cs="Times New Roman"/>
                <w:b w:val="0"/>
                <w:color w:val="auto"/>
                <w:sz w:val="24"/>
                <w:szCs w:val="24"/>
                <w:highlight w:val="none"/>
              </w:rPr>
              <w:t>电压纹波</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highlight w:val="none"/>
              </w:rPr>
            </w:pPr>
            <w:r>
              <w:rPr>
                <w:rFonts w:hint="default" w:ascii="Times New Roman" w:hAnsi="Times New Roman" w:eastAsia="宋体" w:cs="Times New Roman"/>
                <w:b w:val="0"/>
                <w:color w:val="auto"/>
                <w:sz w:val="24"/>
                <w:szCs w:val="24"/>
                <w:highlight w:val="none"/>
              </w:rPr>
              <w:t>储能变流器工作在恒功率充放电模式下时,直流端口的交流电压纹波有效值应不大于2%最大直流电压。</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numPr>
                <w:ilvl w:val="0"/>
                <w:numId w:val="19"/>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低电压穿越</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提供第三方测试报告</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numPr>
                <w:ilvl w:val="0"/>
                <w:numId w:val="19"/>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高电压穿越</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提供第三方测试报告</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numPr>
                <w:ilvl w:val="0"/>
                <w:numId w:val="19"/>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防孤岛保护</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有</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numPr>
                <w:ilvl w:val="0"/>
                <w:numId w:val="19"/>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交流过流/短路保护</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有</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numPr>
                <w:ilvl w:val="0"/>
                <w:numId w:val="19"/>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频率异常保护</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有</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numPr>
                <w:ilvl w:val="0"/>
                <w:numId w:val="19"/>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交流过压/欠压保护</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有</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numPr>
                <w:ilvl w:val="0"/>
                <w:numId w:val="19"/>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交流过频/欠频保护</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有</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numPr>
                <w:ilvl w:val="0"/>
                <w:numId w:val="19"/>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交流进线相序错误保护</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有</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numPr>
                <w:ilvl w:val="0"/>
                <w:numId w:val="19"/>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直流过流/短路保护</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有</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numPr>
                <w:ilvl w:val="0"/>
                <w:numId w:val="19"/>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直流过压/欠压保护</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有</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numPr>
                <w:ilvl w:val="0"/>
                <w:numId w:val="19"/>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直流极性反接保护</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有</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 w:hRule="atLeast"/>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numPr>
                <w:ilvl w:val="0"/>
                <w:numId w:val="19"/>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过温保护</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有</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numPr>
                <w:ilvl w:val="0"/>
                <w:numId w:val="19"/>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功率模块（IGBT）保护</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有</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numPr>
                <w:ilvl w:val="0"/>
                <w:numId w:val="19"/>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通讯故障保护</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有</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numPr>
                <w:ilvl w:val="0"/>
                <w:numId w:val="19"/>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冷却系统故障保护</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有</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numPr>
                <w:ilvl w:val="0"/>
                <w:numId w:val="19"/>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电流直流分量超标保护</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有</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numPr>
                <w:ilvl w:val="0"/>
                <w:numId w:val="19"/>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直流谐波超标保护</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有</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numPr>
                <w:ilvl w:val="0"/>
                <w:numId w:val="19"/>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电网电压不平衡度保护</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有</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numPr>
                <w:ilvl w:val="0"/>
                <w:numId w:val="19"/>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highlight w:val="yellow"/>
              </w:rPr>
            </w:pPr>
            <w:r>
              <w:rPr>
                <w:rFonts w:hint="default" w:ascii="Times New Roman" w:hAnsi="Times New Roman" w:eastAsia="宋体" w:cs="Times New Roman"/>
                <w:b w:val="0"/>
                <w:color w:val="auto"/>
                <w:sz w:val="24"/>
                <w:szCs w:val="24"/>
                <w:highlight w:val="yellow"/>
              </w:rPr>
              <w:t>故障录波</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numPr>
                <w:ilvl w:val="0"/>
                <w:numId w:val="19"/>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highlight w:val="yellow"/>
              </w:rPr>
            </w:pPr>
            <w:r>
              <w:rPr>
                <w:rFonts w:hint="default" w:ascii="Times New Roman" w:hAnsi="Times New Roman" w:eastAsia="宋体" w:cs="Times New Roman"/>
                <w:b w:val="0"/>
                <w:color w:val="auto"/>
                <w:sz w:val="24"/>
                <w:szCs w:val="24"/>
                <w:highlight w:val="yellow"/>
              </w:rPr>
              <w:t>最大转换效率</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numPr>
                <w:ilvl w:val="0"/>
                <w:numId w:val="19"/>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highlight w:val="none"/>
              </w:rPr>
            </w:pPr>
            <w:r>
              <w:rPr>
                <w:rFonts w:hint="default" w:ascii="Times New Roman" w:hAnsi="Times New Roman" w:eastAsia="宋体" w:cs="Times New Roman"/>
                <w:b w:val="0"/>
                <w:color w:val="auto"/>
                <w:sz w:val="24"/>
                <w:szCs w:val="24"/>
                <w:highlight w:val="none"/>
              </w:rPr>
              <w:t>功率响应速度</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highlight w:val="none"/>
              </w:rPr>
            </w:pPr>
            <w:r>
              <w:rPr>
                <w:rFonts w:hint="default" w:ascii="Times New Roman" w:hAnsi="Times New Roman" w:eastAsia="宋体" w:cs="Times New Roman"/>
                <w:b w:val="0"/>
                <w:color w:val="auto"/>
                <w:sz w:val="24"/>
                <w:szCs w:val="24"/>
                <w:highlight w:val="none"/>
              </w:rPr>
              <w:t>热备用状态下，从接收到功率调度指令＜100ms</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numPr>
                <w:ilvl w:val="0"/>
                <w:numId w:val="19"/>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highlight w:val="none"/>
              </w:rPr>
            </w:pPr>
            <w:r>
              <w:rPr>
                <w:rFonts w:hint="default" w:ascii="Times New Roman" w:hAnsi="Times New Roman" w:eastAsia="宋体" w:cs="Times New Roman"/>
                <w:b w:val="0"/>
                <w:color w:val="auto"/>
                <w:sz w:val="24"/>
                <w:szCs w:val="24"/>
                <w:highlight w:val="none"/>
              </w:rPr>
              <w:t>充放电转换时间</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highlight w:val="none"/>
              </w:rPr>
            </w:pPr>
            <w:r>
              <w:rPr>
                <w:rFonts w:hint="default" w:ascii="Times New Roman" w:hAnsi="Times New Roman" w:eastAsia="宋体" w:cs="Times New Roman"/>
                <w:b w:val="0"/>
                <w:color w:val="auto"/>
                <w:sz w:val="24"/>
                <w:szCs w:val="24"/>
                <w:highlight w:val="none"/>
              </w:rPr>
              <w:t>从90%额定功率充电到90%额定功率放电，相互转换时间＜100ms</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numPr>
                <w:ilvl w:val="0"/>
                <w:numId w:val="19"/>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highlight w:val="yellow"/>
              </w:rPr>
            </w:pPr>
            <w:r>
              <w:rPr>
                <w:rFonts w:hint="default" w:ascii="Times New Roman" w:hAnsi="Times New Roman" w:eastAsia="宋体" w:cs="Times New Roman"/>
                <w:b w:val="0"/>
                <w:color w:val="auto"/>
                <w:sz w:val="24"/>
                <w:szCs w:val="24"/>
                <w:highlight w:val="yellow"/>
              </w:rPr>
              <w:t>尺寸（宽*高*深）</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numPr>
                <w:ilvl w:val="0"/>
                <w:numId w:val="19"/>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highlight w:val="yellow"/>
              </w:rPr>
            </w:pPr>
            <w:r>
              <w:rPr>
                <w:rFonts w:hint="default" w:ascii="Times New Roman" w:hAnsi="Times New Roman" w:eastAsia="宋体" w:cs="Times New Roman"/>
                <w:b w:val="0"/>
                <w:color w:val="auto"/>
                <w:sz w:val="24"/>
                <w:szCs w:val="24"/>
                <w:highlight w:val="yellow"/>
              </w:rPr>
              <w:t>重量</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numPr>
                <w:ilvl w:val="0"/>
                <w:numId w:val="19"/>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highlight w:val="yellow"/>
              </w:rPr>
            </w:pPr>
            <w:r>
              <w:rPr>
                <w:rFonts w:hint="default" w:ascii="Times New Roman" w:hAnsi="Times New Roman" w:eastAsia="宋体" w:cs="Times New Roman"/>
                <w:b w:val="0"/>
                <w:color w:val="auto"/>
                <w:sz w:val="24"/>
                <w:szCs w:val="24"/>
                <w:highlight w:val="yellow"/>
              </w:rPr>
              <w:t>外壳防护等级</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numPr>
                <w:ilvl w:val="0"/>
                <w:numId w:val="19"/>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噪声</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≤80dB@1m</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numPr>
                <w:ilvl w:val="0"/>
                <w:numId w:val="19"/>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highlight w:val="yellow"/>
              </w:rPr>
            </w:pPr>
            <w:r>
              <w:rPr>
                <w:rFonts w:hint="default" w:ascii="Times New Roman" w:hAnsi="Times New Roman" w:eastAsia="宋体" w:cs="Times New Roman"/>
                <w:b w:val="0"/>
                <w:color w:val="auto"/>
                <w:sz w:val="24"/>
                <w:szCs w:val="24"/>
                <w:highlight w:val="yellow"/>
              </w:rPr>
              <w:t>冷却方式</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highlight w:val="yellow"/>
                <w:lang w:val="en-US" w:eastAsia="zh-CN"/>
              </w:rPr>
            </w:pP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numPr>
                <w:ilvl w:val="0"/>
                <w:numId w:val="19"/>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通信接口</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LAN/CAN/RS485</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numPr>
                <w:ilvl w:val="0"/>
                <w:numId w:val="19"/>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通信规约</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Modbus,IEC61850等</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numPr>
                <w:ilvl w:val="0"/>
                <w:numId w:val="19"/>
              </w:numPr>
              <w:kinsoku/>
              <w:wordWrap/>
              <w:overflowPunct/>
              <w:topLinePunct w:val="0"/>
              <w:autoSpaceDE/>
              <w:autoSpaceDN/>
              <w:bidi w:val="0"/>
              <w:adjustRightInd/>
              <w:snapToGrid/>
              <w:spacing w:line="360" w:lineRule="auto"/>
              <w:ind w:left="0" w:firstLine="0" w:firstLineChars="0"/>
              <w:jc w:val="left"/>
              <w:textAlignment w:val="auto"/>
              <w:rPr>
                <w:rFonts w:hint="default" w:ascii="Times New Roman" w:hAnsi="Times New Roman" w:eastAsia="宋体" w:cs="Times New Roman"/>
                <w:b w:val="0"/>
                <w:color w:val="auto"/>
                <w:sz w:val="24"/>
                <w:szCs w:val="24"/>
              </w:rPr>
            </w:pPr>
          </w:p>
        </w:tc>
        <w:tc>
          <w:tcPr>
            <w:tcW w:w="1572"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接线方式</w:t>
            </w:r>
          </w:p>
        </w:tc>
        <w:tc>
          <w:tcPr>
            <w:tcW w:w="1905"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r>
              <w:rPr>
                <w:rFonts w:hint="default" w:ascii="Times New Roman" w:hAnsi="Times New Roman" w:eastAsia="宋体" w:cs="Times New Roman"/>
                <w:b w:val="0"/>
                <w:color w:val="auto"/>
                <w:sz w:val="24"/>
                <w:szCs w:val="24"/>
              </w:rPr>
              <w:t>下进下出</w:t>
            </w:r>
          </w:p>
        </w:tc>
        <w:tc>
          <w:tcPr>
            <w:tcW w:w="94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b w:val="0"/>
                <w:color w:val="auto"/>
                <w:sz w:val="24"/>
                <w:szCs w:val="24"/>
              </w:rPr>
            </w:pPr>
          </w:p>
        </w:tc>
      </w:tr>
    </w:tbl>
    <w:p>
      <w:pPr>
        <w:ind w:firstLine="480"/>
        <w:rPr>
          <w:rFonts w:hint="eastAsia"/>
          <w:b/>
          <w:bCs/>
          <w:color w:val="auto"/>
        </w:rPr>
      </w:pPr>
      <w:r>
        <w:rPr>
          <w:rFonts w:hint="eastAsia"/>
          <w:b/>
          <w:bCs/>
          <w:color w:val="auto"/>
        </w:rPr>
        <w:t>（3）储能舱（柜）体结构及设计要求</w:t>
      </w:r>
      <w:bookmarkEnd w:id="362"/>
    </w:p>
    <w:p>
      <w:pPr>
        <w:ind w:firstLine="480"/>
        <w:rPr>
          <w:rFonts w:hint="eastAsia"/>
          <w:color w:val="auto"/>
        </w:rPr>
      </w:pPr>
      <w:r>
        <w:rPr>
          <w:rFonts w:hint="eastAsia"/>
          <w:color w:val="auto"/>
        </w:rPr>
        <w:t>1）储能电池采用预制舱或柜式安装，在保证设备正常运行条件下投标人应提出舱体或柜体内部设备布置图。</w:t>
      </w:r>
    </w:p>
    <w:p>
      <w:pPr>
        <w:ind w:firstLine="480"/>
        <w:rPr>
          <w:rFonts w:hint="eastAsia"/>
          <w:color w:val="auto"/>
        </w:rPr>
      </w:pPr>
      <w:r>
        <w:rPr>
          <w:rFonts w:hint="eastAsia"/>
          <w:color w:val="auto"/>
        </w:rPr>
        <w:t>2）储能舱（柜）将电池储能系统各设备有机的集成到一个标准的单元中，包括电池组、BMS、汇流柜、PCS等，同时，该标准单元可以拥有自己独立的配电系统、环控系统、消防设备、门限开关、照明等自动控制和安全保障系统。</w:t>
      </w:r>
    </w:p>
    <w:p>
      <w:pPr>
        <w:ind w:firstLine="480"/>
        <w:rPr>
          <w:rFonts w:hint="eastAsia"/>
          <w:color w:val="auto"/>
        </w:rPr>
      </w:pPr>
      <w:r>
        <w:rPr>
          <w:rFonts w:hint="eastAsia"/>
          <w:color w:val="auto"/>
        </w:rPr>
        <w:t>3）舱（柜）内采用恒温恒湿设计，内置工业空调制冷制热系统，使得集装箱内环境温度宜恒定在23±5℃（确保处于最佳工作状态）</w:t>
      </w:r>
      <w:r>
        <w:rPr>
          <w:rFonts w:hint="eastAsia" w:eastAsia="宋体"/>
          <w:color w:val="auto"/>
          <w:lang w:eastAsia="zh-CN"/>
        </w:rPr>
        <w:t>；湿度控制在 5% RH 至 60% RH 之间</w:t>
      </w:r>
      <w:r>
        <w:rPr>
          <w:rFonts w:hint="eastAsia"/>
          <w:color w:val="auto"/>
        </w:rPr>
        <w:t>。</w:t>
      </w:r>
    </w:p>
    <w:p>
      <w:pPr>
        <w:ind w:firstLine="420" w:firstLineChars="200"/>
        <w:jc w:val="left"/>
        <w:rPr>
          <w:rFonts w:hint="eastAsia"/>
          <w:color w:val="auto"/>
        </w:rPr>
      </w:pPr>
      <w:r>
        <w:rPr>
          <w:rFonts w:hint="eastAsia" w:ascii="Calibri" w:eastAsia="宋体"/>
          <w:color w:val="auto"/>
          <w:lang w:val="en-US" w:eastAsia="zh-CN"/>
        </w:rPr>
        <w:t>4）</w:t>
      </w:r>
      <w:r>
        <w:rPr>
          <w:rFonts w:hint="eastAsia"/>
          <w:color w:val="auto"/>
        </w:rPr>
        <w:t>方舱内部需要提供足够的照明，以便于运维人员进行巡检、操作和维护；通常要求工作面（如主要通道、设备操作面、仪表盘）的照度达到 50 lux 至 100 lux 以上。照明灯具应选择防爆型或适用于存在电气设备环境的安全型灯具（IP等级足够高，如 IP65），布局合理，避免眩光。</w:t>
      </w:r>
    </w:p>
    <w:p>
      <w:pPr>
        <w:spacing w:line="360" w:lineRule="auto"/>
        <w:ind w:firstLine="420" w:firstLineChars="200"/>
        <w:jc w:val="left"/>
        <w:rPr>
          <w:rFonts w:hint="eastAsia"/>
          <w:color w:val="auto"/>
        </w:rPr>
      </w:pPr>
      <w:r>
        <w:rPr>
          <w:rFonts w:hint="eastAsia" w:ascii="Calibri" w:eastAsia="宋体"/>
          <w:color w:val="auto"/>
          <w:lang w:val="en-US" w:eastAsia="zh-CN"/>
        </w:rPr>
        <w:t>5</w:t>
      </w:r>
      <w:r>
        <w:rPr>
          <w:rFonts w:hint="eastAsia"/>
          <w:color w:val="auto"/>
        </w:rPr>
        <w:t>）集装箱内辅助供电回路接入要求：储能系统内辅助供电，包括消防系统、温控系统、照明系统等，其中，消防、监控等重要负荷采用双电源供电，供电方案由投标人提供具体方案。投标人根据自身方案和设备特点确定储能系统辅助供电容量大小及配电设计方案。</w:t>
      </w:r>
    </w:p>
    <w:p>
      <w:pPr>
        <w:spacing w:line="360" w:lineRule="auto"/>
        <w:ind w:firstLine="422" w:firstLineChars="200"/>
        <w:jc w:val="left"/>
        <w:rPr>
          <w:rFonts w:hint="eastAsia"/>
          <w:b/>
          <w:bCs/>
          <w:color w:val="auto"/>
        </w:rPr>
      </w:pPr>
      <w:r>
        <w:rPr>
          <w:rFonts w:hint="eastAsia"/>
          <w:b/>
          <w:bCs/>
          <w:color w:val="auto"/>
        </w:rPr>
        <w:t>（4）控制系统技术要求</w:t>
      </w:r>
    </w:p>
    <w:p>
      <w:pPr>
        <w:spacing w:line="360" w:lineRule="auto"/>
        <w:ind w:firstLine="420" w:firstLineChars="200"/>
        <w:jc w:val="left"/>
        <w:rPr>
          <w:rFonts w:hint="eastAsia"/>
          <w:color w:val="auto"/>
        </w:rPr>
      </w:pPr>
      <w:r>
        <w:rPr>
          <w:rFonts w:hint="eastAsia"/>
          <w:color w:val="auto"/>
        </w:rPr>
        <w:t>EMS应具备与</w:t>
      </w:r>
      <w:r>
        <w:rPr>
          <w:rFonts w:hint="eastAsia" w:ascii="Calibri" w:eastAsia="宋体"/>
          <w:color w:val="auto"/>
          <w:lang w:val="en-US" w:eastAsia="zh-CN"/>
        </w:rPr>
        <w:t>微网平台</w:t>
      </w:r>
      <w:r>
        <w:rPr>
          <w:rFonts w:hint="eastAsia"/>
          <w:color w:val="auto"/>
        </w:rPr>
        <w:t>进行信息交互的功能，采用以太网通信接口，支持MODBUS-TCP、IEC61870-5通信协议，向</w:t>
      </w:r>
      <w:r>
        <w:rPr>
          <w:rFonts w:hint="eastAsia" w:ascii="Calibri" w:eastAsia="宋体"/>
          <w:color w:val="auto"/>
          <w:lang w:val="en-US" w:eastAsia="zh-CN"/>
        </w:rPr>
        <w:t>微网平台</w:t>
      </w:r>
      <w:r>
        <w:rPr>
          <w:rFonts w:hint="eastAsia"/>
          <w:color w:val="auto"/>
        </w:rPr>
        <w:t>开放通信端口，将全线储能的运行监测信息和故障告警信号实时上传至</w:t>
      </w:r>
      <w:r>
        <w:rPr>
          <w:rFonts w:hint="eastAsia" w:ascii="Calibri" w:eastAsia="宋体"/>
          <w:color w:val="auto"/>
          <w:lang w:val="en-US" w:eastAsia="zh-CN"/>
        </w:rPr>
        <w:t>微网平台</w:t>
      </w:r>
      <w:r>
        <w:rPr>
          <w:rFonts w:hint="eastAsia"/>
          <w:color w:val="auto"/>
        </w:rPr>
        <w:t>，包括但不限于充放电功率、荷电状态（SOC）、能量状态（SOE）、电池健康度（SOH）、循环次数、放电深度（DOD）、运行告警状态、保护动作过程。</w:t>
      </w:r>
    </w:p>
    <w:p>
      <w:pPr>
        <w:spacing w:line="360" w:lineRule="auto"/>
        <w:ind w:firstLine="420" w:firstLineChars="200"/>
        <w:jc w:val="left"/>
        <w:rPr>
          <w:rFonts w:hint="eastAsia"/>
          <w:color w:val="auto"/>
        </w:rPr>
      </w:pPr>
      <w:r>
        <w:rPr>
          <w:rFonts w:hint="eastAsia"/>
          <w:color w:val="auto"/>
        </w:rPr>
        <w:t>EMS应具备根据</w:t>
      </w:r>
      <w:r>
        <w:rPr>
          <w:rFonts w:hint="eastAsia" w:ascii="Calibri" w:eastAsia="宋体"/>
          <w:color w:val="auto"/>
          <w:lang w:val="en-US" w:eastAsia="zh-CN"/>
        </w:rPr>
        <w:t>微网平台</w:t>
      </w:r>
      <w:r>
        <w:rPr>
          <w:rFonts w:hint="eastAsia"/>
          <w:color w:val="auto"/>
        </w:rPr>
        <w:t>的指令设定储能变流器的控制模式和控制参数的功能。构网型储能应支持P/Q模式和V/f模式。</w:t>
      </w:r>
    </w:p>
    <w:p>
      <w:pPr>
        <w:spacing w:line="360" w:lineRule="auto"/>
        <w:ind w:firstLine="420" w:firstLineChars="200"/>
        <w:jc w:val="left"/>
        <w:rPr>
          <w:rFonts w:hint="eastAsia"/>
          <w:color w:val="auto"/>
        </w:rPr>
      </w:pPr>
      <w:r>
        <w:rPr>
          <w:rFonts w:hint="eastAsia"/>
          <w:color w:val="auto"/>
        </w:rPr>
        <w:t>EMS应具备将储能充电量、放电量实时上传至</w:t>
      </w:r>
      <w:r>
        <w:rPr>
          <w:rFonts w:hint="eastAsia" w:ascii="Calibri" w:eastAsia="宋体"/>
          <w:color w:val="auto"/>
          <w:lang w:val="en-US" w:eastAsia="zh-CN"/>
        </w:rPr>
        <w:t>微网平台</w:t>
      </w:r>
      <w:r>
        <w:rPr>
          <w:rFonts w:hint="eastAsia"/>
          <w:color w:val="auto"/>
        </w:rPr>
        <w:t>的功能，数据刷新间隔不高于15分钟，电量计量精度不低于0.2S级。</w:t>
      </w:r>
    </w:p>
    <w:p>
      <w:pPr>
        <w:spacing w:line="360" w:lineRule="auto"/>
        <w:ind w:firstLine="420" w:firstLineChars="200"/>
        <w:jc w:val="left"/>
        <w:rPr>
          <w:rFonts w:hint="eastAsia"/>
          <w:color w:val="auto"/>
        </w:rPr>
      </w:pPr>
      <w:r>
        <w:rPr>
          <w:rFonts w:hint="eastAsia"/>
          <w:color w:val="auto"/>
        </w:rPr>
        <w:t>1）系统应配备能量管理系统EMS，统一协调控制储能系统中的各个设备，同时管理统计储能系统充放电电量与储能系统各组成设备，对其进行调节控制和相关运行参数的采集。同时，EMS应可支持调度，包括但不限于根据调度指令提供有功、无功支撑。</w:t>
      </w:r>
    </w:p>
    <w:p>
      <w:pPr>
        <w:spacing w:line="360" w:lineRule="auto"/>
        <w:ind w:firstLine="420" w:firstLineChars="200"/>
        <w:jc w:val="left"/>
        <w:rPr>
          <w:rFonts w:hint="eastAsia"/>
          <w:color w:val="auto"/>
        </w:rPr>
      </w:pPr>
      <w:r>
        <w:rPr>
          <w:rFonts w:hint="eastAsia"/>
          <w:color w:val="auto"/>
        </w:rPr>
        <w:t>2）储能系统EMS应具有实时数据采集与监视(SCADA)、自动充放电控制与计划、系统保护等功能的集中管理系统。</w:t>
      </w:r>
    </w:p>
    <w:p>
      <w:pPr>
        <w:spacing w:line="360" w:lineRule="auto"/>
        <w:ind w:firstLine="420" w:firstLineChars="200"/>
        <w:jc w:val="left"/>
        <w:rPr>
          <w:rFonts w:hint="eastAsia"/>
          <w:color w:val="auto"/>
        </w:rPr>
      </w:pPr>
      <w:r>
        <w:rPr>
          <w:rFonts w:hint="eastAsia"/>
          <w:color w:val="auto"/>
        </w:rPr>
        <w:t>3）储能系统EMS应提供友好的就地或远程人机界面，包括但不限于实时数据监测、历史数据查询、设备控制、参数设置等画面。</w:t>
      </w:r>
    </w:p>
    <w:p>
      <w:pPr>
        <w:spacing w:line="360" w:lineRule="auto"/>
        <w:ind w:firstLine="420" w:firstLineChars="200"/>
        <w:jc w:val="left"/>
        <w:rPr>
          <w:rFonts w:hint="eastAsia"/>
          <w:color w:val="auto"/>
        </w:rPr>
      </w:pPr>
      <w:r>
        <w:rPr>
          <w:rFonts w:hint="eastAsia"/>
          <w:color w:val="auto"/>
        </w:rPr>
        <w:t>4）储能系统EMS应支持MODBUS-TCP、IEC61870-5 等通信规约，采用标准的设备数据模型及通信服务程序，保证储能设备与就地监控层之间通讯的一致性。</w:t>
      </w:r>
    </w:p>
    <w:p>
      <w:pPr>
        <w:spacing w:line="360" w:lineRule="auto"/>
        <w:ind w:firstLine="420" w:firstLineChars="200"/>
        <w:jc w:val="left"/>
        <w:rPr>
          <w:rFonts w:hint="eastAsia"/>
          <w:color w:val="auto"/>
        </w:rPr>
      </w:pPr>
      <w:r>
        <w:rPr>
          <w:rFonts w:hint="eastAsia"/>
          <w:color w:val="auto"/>
        </w:rPr>
        <w:t>5）实时采集与监视储能系统运行过程中的参数设置动作、运行报警状态、保护动作过程、充放电开始／结束事件、电池容量及健康状态等信息，能够对采集数据进行合理性检查、限值告警上述信息可以自动同步保存，时间记录可精确到秒，并掉电保持。系统现地应能够保存最近1年的历史数据，并实现数据的远程传输和存储。</w:t>
      </w:r>
    </w:p>
    <w:p>
      <w:pPr>
        <w:spacing w:line="360" w:lineRule="auto"/>
        <w:ind w:firstLine="420" w:firstLineChars="200"/>
        <w:jc w:val="left"/>
        <w:rPr>
          <w:rFonts w:hint="eastAsia"/>
          <w:color w:val="auto"/>
        </w:rPr>
      </w:pPr>
      <w:r>
        <w:rPr>
          <w:rFonts w:hint="eastAsia"/>
          <w:color w:val="auto"/>
        </w:rPr>
        <w:t>6）支持多种方式控制储能系统充放电运行工况，包括：①执行远程控制指令，完成启动停止、控制模式切换、P和Q的目标设定；②在无远程指令或远程通讯中断时，自动执行能量管理系统中既定的充放电运行计划；③检修调试过程中，通过远程或就地方式手动控制储能系统的运行工况。</w:t>
      </w:r>
    </w:p>
    <w:p>
      <w:pPr>
        <w:spacing w:line="360" w:lineRule="auto"/>
        <w:ind w:firstLine="420" w:firstLineChars="200"/>
        <w:jc w:val="left"/>
        <w:rPr>
          <w:rFonts w:hint="eastAsia"/>
          <w:color w:val="auto"/>
        </w:rPr>
      </w:pPr>
      <w:r>
        <w:rPr>
          <w:rFonts w:hint="eastAsia"/>
          <w:color w:val="auto"/>
        </w:rPr>
        <w:t>7）采集系统内辅助设备工作状态，如温控系统、消防系统等安全设备，形成电气联锁，一旦检测到故障，及时切断正在运行的电池成套设备。EMS与PCS以及BMS实时通信，实时采集PCS设备以及电池设备的运行工况，根据制定的储能系统保护策略以及热管理策略，确保储能系统的安全稳定运行。</w:t>
      </w:r>
    </w:p>
    <w:p>
      <w:pPr>
        <w:spacing w:line="360" w:lineRule="auto"/>
        <w:ind w:firstLine="420" w:firstLineChars="200"/>
        <w:jc w:val="left"/>
        <w:rPr>
          <w:rFonts w:hint="eastAsia"/>
          <w:color w:val="auto"/>
        </w:rPr>
      </w:pPr>
      <w:r>
        <w:rPr>
          <w:rFonts w:hint="eastAsia"/>
          <w:color w:val="auto"/>
        </w:rPr>
        <w:t>8）采集电池管理系统的各组电池的电压、电流、平均温度、充放电电流和功率限值、最大/小单节电池电压及编号、最大/小单节电池温度及编号、各节电池的均衡状态、故障及报警信息、可充电量、可放电量等常用信息并进行显示。</w:t>
      </w:r>
    </w:p>
    <w:p>
      <w:pPr>
        <w:spacing w:line="360" w:lineRule="auto"/>
        <w:ind w:firstLine="420" w:firstLineChars="200"/>
        <w:jc w:val="left"/>
        <w:rPr>
          <w:rFonts w:hint="eastAsia"/>
          <w:color w:val="auto"/>
        </w:rPr>
      </w:pPr>
      <w:r>
        <w:rPr>
          <w:rFonts w:hint="eastAsia"/>
          <w:color w:val="auto"/>
        </w:rPr>
        <w:t>9）采集并显示PCS系统的相关参数，包括：直流侧的电压/电流/功率等、PCS的三相有功功率、无功功率、三相电压、三相电流、功率因素、频率、运行状态、报警及故障信息等常用信息，以及充放电电量等。</w:t>
      </w:r>
    </w:p>
    <w:p>
      <w:pPr>
        <w:spacing w:line="360" w:lineRule="auto"/>
        <w:ind w:firstLine="420" w:firstLineChars="200"/>
        <w:jc w:val="left"/>
        <w:rPr>
          <w:rFonts w:hint="eastAsia"/>
          <w:color w:val="auto"/>
        </w:rPr>
      </w:pPr>
      <w:r>
        <w:rPr>
          <w:rFonts w:hint="eastAsia"/>
          <w:color w:val="auto"/>
        </w:rPr>
        <w:t>10）储能系统EMS可以将采集的电池管理系统和PCS系统相关数据，包括运行状态、充放电信息、运行模式、有功无功、SOC等，上送给</w:t>
      </w:r>
      <w:r>
        <w:rPr>
          <w:rFonts w:hint="eastAsia" w:ascii="Calibri" w:eastAsia="宋体"/>
          <w:color w:val="auto"/>
          <w:lang w:val="en-US" w:eastAsia="zh-CN"/>
        </w:rPr>
        <w:t>微电网</w:t>
      </w:r>
      <w:r>
        <w:rPr>
          <w:rFonts w:hint="eastAsia"/>
          <w:color w:val="auto"/>
        </w:rPr>
        <w:t>智慧</w:t>
      </w:r>
      <w:r>
        <w:rPr>
          <w:rFonts w:hint="eastAsia" w:ascii="Calibri" w:eastAsia="宋体"/>
          <w:color w:val="auto"/>
          <w:lang w:val="en-US" w:eastAsia="zh-CN"/>
        </w:rPr>
        <w:t>平台</w:t>
      </w:r>
      <w:r>
        <w:rPr>
          <w:rFonts w:hint="eastAsia"/>
          <w:color w:val="auto"/>
        </w:rPr>
        <w:t>。</w:t>
      </w:r>
    </w:p>
    <w:p>
      <w:pPr>
        <w:spacing w:line="360" w:lineRule="auto"/>
        <w:ind w:firstLine="420" w:firstLineChars="200"/>
        <w:jc w:val="left"/>
        <w:rPr>
          <w:rFonts w:hint="eastAsia"/>
          <w:color w:val="auto"/>
        </w:rPr>
      </w:pPr>
      <w:r>
        <w:rPr>
          <w:rFonts w:hint="eastAsia"/>
          <w:color w:val="auto"/>
        </w:rPr>
        <w:t>11）具有操作权限密码管理功能，改变运行方式和运行参数的操作均需权限确认。</w:t>
      </w:r>
    </w:p>
    <w:p>
      <w:pPr>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（5）变压器</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额定功率：</w:t>
      </w:r>
      <w:r>
        <w:rPr>
          <w:rFonts w:hint="eastAsia" w:ascii="宋体" w:hAnsi="宋体" w:eastAsia="宋体" w:cs="宋体"/>
          <w:color w:val="auto"/>
          <w:sz w:val="24"/>
          <w:szCs w:val="24"/>
          <w:lang w:val="en-US" w:eastAsia="zh-CN"/>
        </w:rPr>
        <w:t>2</w:t>
      </w:r>
      <w:r>
        <w:rPr>
          <w:rFonts w:hint="eastAsia" w:ascii="宋体" w:hAnsi="宋体" w:cs="宋体"/>
          <w:color w:val="auto"/>
          <w:sz w:val="24"/>
          <w:szCs w:val="24"/>
          <w:lang w:val="en-US" w:eastAsia="zh-CN"/>
        </w:rPr>
        <w:t>0</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0</w:t>
      </w:r>
      <w:r>
        <w:rPr>
          <w:rFonts w:hint="eastAsia" w:ascii="宋体" w:hAnsi="宋体" w:eastAsia="宋体" w:cs="宋体"/>
          <w:color w:val="auto"/>
          <w:sz w:val="24"/>
          <w:szCs w:val="24"/>
          <w:lang w:eastAsia="zh-CN"/>
        </w:rPr>
        <w:t>kV</w:t>
      </w:r>
      <w:r>
        <w:rPr>
          <w:rFonts w:hint="eastAsia" w:ascii="宋体" w:hAnsi="宋体" w:eastAsia="宋体" w:cs="宋体"/>
          <w:color w:val="auto"/>
          <w:sz w:val="24"/>
          <w:szCs w:val="24"/>
        </w:rPr>
        <w:t>A</w:t>
      </w:r>
    </w:p>
    <w:p>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型号：SCB1</w:t>
      </w:r>
      <w:r>
        <w:rPr>
          <w:rFonts w:hint="eastAsia" w:ascii="宋体" w:hAnsi="宋体" w:eastAsia="宋体" w:cs="宋体"/>
          <w:color w:val="auto"/>
          <w:sz w:val="24"/>
          <w:szCs w:val="24"/>
          <w:lang w:val="en-US" w:eastAsia="zh-CN"/>
        </w:rPr>
        <w:t>4</w:t>
      </w:r>
    </w:p>
    <w:p>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系统额定电压:  10</w:t>
      </w:r>
      <w:r>
        <w:rPr>
          <w:rFonts w:hint="eastAsia" w:ascii="宋体" w:hAnsi="宋体" w:eastAsia="宋体" w:cs="宋体"/>
          <w:color w:val="auto"/>
          <w:sz w:val="24"/>
          <w:szCs w:val="24"/>
          <w:lang w:eastAsia="zh-CN"/>
        </w:rPr>
        <w:t>kV</w:t>
      </w:r>
    </w:p>
    <w:p>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最高工作电压:  12</w:t>
      </w:r>
      <w:r>
        <w:rPr>
          <w:rFonts w:hint="eastAsia" w:ascii="宋体" w:hAnsi="宋体" w:eastAsia="宋体" w:cs="宋体"/>
          <w:color w:val="auto"/>
          <w:sz w:val="24"/>
          <w:szCs w:val="24"/>
          <w:lang w:eastAsia="zh-CN"/>
        </w:rPr>
        <w:t>kV</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额定频率: 50Hz</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安装地点的倾斜度:＜3°</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高压侧分接范围:±2×2.5%</w:t>
      </w:r>
    </w:p>
    <w:p>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低压侧额定电压:0.</w:t>
      </w:r>
      <w:r>
        <w:rPr>
          <w:rFonts w:hint="eastAsia" w:ascii="宋体" w:hAnsi="宋体" w:cs="宋体"/>
          <w:color w:val="auto"/>
          <w:sz w:val="24"/>
          <w:szCs w:val="24"/>
          <w:lang w:val="en-US" w:eastAsia="zh-CN"/>
        </w:rPr>
        <w:t>69</w:t>
      </w:r>
      <w:r>
        <w:rPr>
          <w:rFonts w:hint="eastAsia" w:ascii="宋体" w:hAnsi="宋体" w:eastAsia="宋体" w:cs="宋体"/>
          <w:color w:val="auto"/>
          <w:sz w:val="24"/>
          <w:szCs w:val="24"/>
          <w:lang w:eastAsia="zh-CN"/>
        </w:rPr>
        <w:t>kV</w:t>
      </w:r>
    </w:p>
    <w:p>
      <w:pPr>
        <w:spacing w:line="360" w:lineRule="auto"/>
        <w:ind w:firstLine="420" w:firstLineChars="200"/>
        <w:rPr>
          <w:rFonts w:hint="eastAsia" w:ascii="宋体" w:hAnsi="宋体" w:eastAsia="宋体" w:cs="宋体"/>
          <w:color w:val="auto"/>
          <w:szCs w:val="24"/>
        </w:rPr>
      </w:pPr>
      <w:r>
        <w:rPr>
          <w:rFonts w:hint="eastAsia" w:ascii="宋体" w:hAnsi="宋体" w:eastAsia="宋体" w:cs="宋体"/>
          <w:color w:val="auto"/>
          <w:szCs w:val="24"/>
        </w:rPr>
        <w:t>防护等级：IP54</w:t>
      </w:r>
    </w:p>
    <w:p>
      <w:pPr>
        <w:spacing w:line="360" w:lineRule="auto"/>
        <w:ind w:firstLine="422" w:firstLineChars="200"/>
        <w:jc w:val="left"/>
        <w:rPr>
          <w:rFonts w:hint="eastAsia"/>
          <w:b/>
          <w:bCs/>
          <w:color w:val="auto"/>
        </w:rPr>
      </w:pPr>
      <w:r>
        <w:rPr>
          <w:rFonts w:hint="eastAsia"/>
          <w:b/>
          <w:bCs/>
          <w:color w:val="auto"/>
        </w:rPr>
        <w:t>（</w:t>
      </w:r>
      <w:r>
        <w:rPr>
          <w:rFonts w:hint="eastAsia" w:ascii="Calibri" w:eastAsia="宋体"/>
          <w:b/>
          <w:bCs/>
          <w:color w:val="auto"/>
          <w:lang w:val="en-US" w:eastAsia="zh-CN"/>
        </w:rPr>
        <w:t>5</w:t>
      </w:r>
      <w:r>
        <w:rPr>
          <w:rFonts w:hint="eastAsia"/>
          <w:b/>
          <w:bCs/>
          <w:color w:val="auto"/>
        </w:rPr>
        <w:t>）储能消防及安全部分技术要求</w:t>
      </w:r>
    </w:p>
    <w:p>
      <w:pPr>
        <w:keepNext w:val="0"/>
        <w:keepLines w:val="0"/>
        <w:pageBreakBefore w:val="0"/>
        <w:widowControl w:val="0"/>
        <w:kinsoku/>
        <w:wordWrap/>
        <w:overflowPunct/>
        <w:topLinePunct w:val="0"/>
        <w:autoSpaceDE w:val="0"/>
        <w:autoSpaceDN w:val="0"/>
        <w:bidi w:val="0"/>
        <w:adjustRightInd/>
        <w:snapToGrid/>
        <w:ind w:firstLine="420" w:firstLineChars="200"/>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为了确保储能系统的安全，‌采取一系列防火措施是至关重要的。‌这些措施涵盖了从设备安装、‌消防设施配置到定期检测与维护等多个方面，‌以确保储能系统的稳定运行和安全。‌</w:t>
      </w:r>
    </w:p>
    <w:p>
      <w:pPr>
        <w:keepNext w:val="0"/>
        <w:keepLines w:val="0"/>
        <w:pageBreakBefore w:val="0"/>
        <w:widowControl w:val="0"/>
        <w:kinsoku/>
        <w:wordWrap/>
        <w:overflowPunct/>
        <w:topLinePunct w:val="0"/>
        <w:autoSpaceDE w:val="0"/>
        <w:autoSpaceDN w:val="0"/>
        <w:bidi w:val="0"/>
        <w:adjustRightInd/>
        <w:snapToGrid/>
        <w:ind w:firstLine="420" w:firstLineChars="200"/>
        <w:textAlignment w:val="auto"/>
        <w:rPr>
          <w:rFonts w:hint="default"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1）</w:t>
      </w:r>
      <w:r>
        <w:rPr>
          <w:rFonts w:hint="default" w:ascii="Times New Roman" w:hAnsi="Times New Roman" w:cs="Times New Roman"/>
          <w:color w:val="auto"/>
          <w:highlight w:val="none"/>
          <w:lang w:val="en-US" w:eastAsia="zh-CN"/>
        </w:rPr>
        <w:t>消防设施配置：‌储能电站应配备足够数量的消防设施，‌如灭火器等，‌并定期检查其完好性，‌确保在紧急情况下能够正常使用。‌</w:t>
      </w:r>
    </w:p>
    <w:p>
      <w:pPr>
        <w:keepNext w:val="0"/>
        <w:keepLines w:val="0"/>
        <w:pageBreakBefore w:val="0"/>
        <w:widowControl w:val="0"/>
        <w:kinsoku/>
        <w:wordWrap/>
        <w:overflowPunct/>
        <w:topLinePunct w:val="0"/>
        <w:autoSpaceDE w:val="0"/>
        <w:autoSpaceDN w:val="0"/>
        <w:bidi w:val="0"/>
        <w:adjustRightInd/>
        <w:snapToGrid/>
        <w:ind w:firstLine="420" w:firstLineChars="200"/>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2</w:t>
      </w:r>
      <w:r>
        <w:rPr>
          <w:rFonts w:hint="eastAsia" w:ascii="Times New Roman" w:hAnsi="Times New Roman" w:cs="Times New Roman"/>
          <w:color w:val="auto"/>
          <w:highlight w:val="none"/>
          <w:lang w:val="en-US" w:eastAsia="zh-CN"/>
        </w:rPr>
        <w:t>）</w:t>
      </w:r>
      <w:r>
        <w:rPr>
          <w:rFonts w:hint="default" w:ascii="Times New Roman" w:hAnsi="Times New Roman" w:cs="Times New Roman"/>
          <w:color w:val="auto"/>
          <w:highlight w:val="none"/>
          <w:lang w:val="en-US" w:eastAsia="zh-CN"/>
        </w:rPr>
        <w:t>安全距离：根据《电化学储能设计规范》电化学储能电站内建、构筑物及设备的防火间距，‌储能电站应设置在安全距离内，‌避免与其他设施发生碰撞，‌并定期检查周围环境，‌确保无任何潜在危险因素，若无法保证安全距离的情况下需增设防火墙。目前所设置位置能保证其安全距离，故不考虑增设防火墙。</w:t>
      </w:r>
    </w:p>
    <w:p>
      <w:pPr>
        <w:keepNext w:val="0"/>
        <w:keepLines w:val="0"/>
        <w:pageBreakBefore w:val="0"/>
        <w:widowControl w:val="0"/>
        <w:kinsoku/>
        <w:wordWrap/>
        <w:overflowPunct/>
        <w:topLinePunct w:val="0"/>
        <w:autoSpaceDE w:val="0"/>
        <w:autoSpaceDN w:val="0"/>
        <w:bidi w:val="0"/>
        <w:adjustRightInd/>
        <w:snapToGrid/>
        <w:ind w:firstLine="420" w:firstLineChars="20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drawing>
          <wp:inline distT="0" distB="0" distL="114300" distR="114300">
            <wp:extent cx="4986655" cy="2612390"/>
            <wp:effectExtent l="0" t="0" r="4445" b="16510"/>
            <wp:docPr id="17"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 descr="IMG_256"/>
                    <pic:cNvPicPr>
                      <a:picLocks noChangeAspect="1"/>
                    </pic:cNvPicPr>
                  </pic:nvPicPr>
                  <pic:blipFill>
                    <a:blip r:embed="rId16"/>
                    <a:stretch>
                      <a:fillRect/>
                    </a:stretch>
                  </pic:blipFill>
                  <pic:spPr>
                    <a:xfrm>
                      <a:off x="0" y="0"/>
                      <a:ext cx="4986655" cy="2612390"/>
                    </a:xfrm>
                    <a:prstGeom prst="rect">
                      <a:avLst/>
                    </a:prstGeom>
                    <a:noFill/>
                    <a:ln w="9525">
                      <a:noFill/>
                    </a:ln>
                  </pic:spPr>
                </pic:pic>
              </a:graphicData>
            </a:graphic>
          </wp:inline>
        </w:drawing>
      </w:r>
    </w:p>
    <w:p>
      <w:pPr>
        <w:keepNext w:val="0"/>
        <w:keepLines w:val="0"/>
        <w:pageBreakBefore w:val="0"/>
        <w:widowControl w:val="0"/>
        <w:kinsoku/>
        <w:wordWrap/>
        <w:overflowPunct/>
        <w:topLinePunct w:val="0"/>
        <w:autoSpaceDE w:val="0"/>
        <w:autoSpaceDN w:val="0"/>
        <w:bidi w:val="0"/>
        <w:adjustRightInd/>
        <w:snapToGrid/>
        <w:ind w:firstLine="420" w:firstLineChars="200"/>
        <w:jc w:val="center"/>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图 3.1-</w:t>
      </w:r>
      <w:r>
        <w:rPr>
          <w:rFonts w:hint="eastAsia" w:ascii="Times New Roman" w:hAnsi="Times New Roman" w:cs="Times New Roman"/>
          <w:color w:val="auto"/>
          <w:highlight w:val="none"/>
          <w:lang w:val="en-US" w:eastAsia="zh-CN"/>
        </w:rPr>
        <w:t>2</w:t>
      </w:r>
      <w:r>
        <w:rPr>
          <w:rFonts w:hint="eastAsia" w:cs="Times New Roman"/>
          <w:color w:val="auto"/>
          <w:highlight w:val="none"/>
          <w:lang w:val="en-US" w:eastAsia="zh-CN"/>
        </w:rPr>
        <w:t>3</w:t>
      </w:r>
      <w:r>
        <w:rPr>
          <w:rFonts w:hint="default" w:ascii="Times New Roman" w:hAnsi="Times New Roman" w:cs="Times New Roman"/>
          <w:color w:val="auto"/>
          <w:highlight w:val="none"/>
          <w:lang w:val="en-US" w:eastAsia="zh-CN"/>
        </w:rPr>
        <w:t xml:space="preserve"> </w:t>
      </w:r>
      <w:r>
        <w:rPr>
          <w:rFonts w:hint="eastAsia" w:cs="Times New Roman"/>
          <w:color w:val="auto"/>
          <w:highlight w:val="none"/>
          <w:lang w:val="en-US" w:eastAsia="zh-CN"/>
        </w:rPr>
        <w:t>防火间距要求图</w:t>
      </w:r>
    </w:p>
    <w:p>
      <w:pPr>
        <w:keepNext w:val="0"/>
        <w:keepLines w:val="0"/>
        <w:pageBreakBefore w:val="0"/>
        <w:widowControl w:val="0"/>
        <w:kinsoku/>
        <w:wordWrap/>
        <w:overflowPunct/>
        <w:topLinePunct w:val="0"/>
        <w:autoSpaceDE w:val="0"/>
        <w:autoSpaceDN w:val="0"/>
        <w:bidi w:val="0"/>
        <w:adjustRightInd/>
        <w:snapToGrid/>
        <w:ind w:firstLine="420" w:firstLineChars="200"/>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3</w:t>
      </w:r>
      <w:r>
        <w:rPr>
          <w:rFonts w:hint="eastAsia" w:ascii="Times New Roman" w:hAnsi="Times New Roman" w:cs="Times New Roman"/>
          <w:color w:val="auto"/>
          <w:highlight w:val="none"/>
          <w:lang w:val="en-US" w:eastAsia="zh-CN"/>
        </w:rPr>
        <w:t>）</w:t>
      </w:r>
      <w:r>
        <w:rPr>
          <w:rFonts w:hint="default" w:ascii="Times New Roman" w:hAnsi="Times New Roman" w:cs="Times New Roman"/>
          <w:color w:val="auto"/>
          <w:highlight w:val="none"/>
          <w:lang w:val="en-US" w:eastAsia="zh-CN"/>
        </w:rPr>
        <w:t>设备安装：‌储能设备应按照说明书进行安装，‌确保安装稳固、‌合理。‌设备的支架应符合安全要求，‌避免在设备上放置重物，‌以免影响其稳定性。‌</w:t>
      </w:r>
    </w:p>
    <w:p>
      <w:pPr>
        <w:keepNext w:val="0"/>
        <w:keepLines w:val="0"/>
        <w:pageBreakBefore w:val="0"/>
        <w:widowControl w:val="0"/>
        <w:kinsoku/>
        <w:wordWrap/>
        <w:overflowPunct/>
        <w:topLinePunct w:val="0"/>
        <w:autoSpaceDE w:val="0"/>
        <w:autoSpaceDN w:val="0"/>
        <w:bidi w:val="0"/>
        <w:adjustRightInd/>
        <w:snapToGrid/>
        <w:ind w:firstLine="420" w:firstLineChars="200"/>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4</w:t>
      </w:r>
      <w:r>
        <w:rPr>
          <w:rFonts w:hint="eastAsia" w:ascii="Times New Roman" w:hAnsi="Times New Roman" w:cs="Times New Roman"/>
          <w:color w:val="auto"/>
          <w:highlight w:val="none"/>
          <w:lang w:val="en-US" w:eastAsia="zh-CN"/>
        </w:rPr>
        <w:t>）</w:t>
      </w:r>
      <w:r>
        <w:rPr>
          <w:rFonts w:hint="default" w:ascii="Times New Roman" w:hAnsi="Times New Roman" w:cs="Times New Roman"/>
          <w:color w:val="auto"/>
          <w:highlight w:val="none"/>
          <w:lang w:val="en-US" w:eastAsia="zh-CN"/>
        </w:rPr>
        <w:t>检测与维护：‌定期对储能系统进行巡检，‌包括电池组、‌电池单体、‌电气系统等，‌确保其正常工作。‌定期进行电池充放电性能测试和电气系统的连接情况检查，‌确保无短路、‌断路等现象。‌</w:t>
      </w:r>
    </w:p>
    <w:p>
      <w:pPr>
        <w:keepNext w:val="0"/>
        <w:keepLines w:val="0"/>
        <w:pageBreakBefore w:val="0"/>
        <w:widowControl w:val="0"/>
        <w:kinsoku/>
        <w:wordWrap/>
        <w:overflowPunct/>
        <w:topLinePunct w:val="0"/>
        <w:autoSpaceDE w:val="0"/>
        <w:autoSpaceDN w:val="0"/>
        <w:bidi w:val="0"/>
        <w:adjustRightInd/>
        <w:snapToGrid/>
        <w:ind w:firstLine="420" w:firstLineChars="200"/>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5</w:t>
      </w:r>
      <w:r>
        <w:rPr>
          <w:rFonts w:hint="eastAsia" w:ascii="Times New Roman" w:hAnsi="Times New Roman" w:cs="Times New Roman"/>
          <w:color w:val="auto"/>
          <w:highlight w:val="none"/>
          <w:lang w:val="en-US" w:eastAsia="zh-CN"/>
        </w:rPr>
        <w:t>）</w:t>
      </w:r>
      <w:r>
        <w:rPr>
          <w:rFonts w:hint="default" w:ascii="Times New Roman" w:hAnsi="Times New Roman" w:cs="Times New Roman"/>
          <w:color w:val="auto"/>
          <w:highlight w:val="none"/>
          <w:lang w:val="en-US" w:eastAsia="zh-CN"/>
        </w:rPr>
        <w:t>注意事项：‌禁止在储能电站附近放置易燃物品，‌并远离高温源。‌员工应熟悉消防设施的使用方法，‌并定期进行安全培训，‌提高安全意识。‌</w:t>
      </w:r>
    </w:p>
    <w:p>
      <w:pPr>
        <w:keepNext w:val="0"/>
        <w:keepLines w:val="0"/>
        <w:pageBreakBefore w:val="0"/>
        <w:widowControl w:val="0"/>
        <w:kinsoku/>
        <w:wordWrap/>
        <w:overflowPunct/>
        <w:topLinePunct w:val="0"/>
        <w:autoSpaceDE w:val="0"/>
        <w:autoSpaceDN w:val="0"/>
        <w:bidi w:val="0"/>
        <w:adjustRightInd/>
        <w:snapToGrid/>
        <w:ind w:firstLine="420" w:firstLineChars="200"/>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6</w:t>
      </w:r>
      <w:r>
        <w:rPr>
          <w:rFonts w:hint="eastAsia" w:ascii="Times New Roman" w:hAnsi="Times New Roman" w:cs="Times New Roman"/>
          <w:color w:val="auto"/>
          <w:highlight w:val="none"/>
          <w:lang w:val="en-US" w:eastAsia="zh-CN"/>
        </w:rPr>
        <w:t>）</w:t>
      </w:r>
      <w:r>
        <w:rPr>
          <w:rFonts w:hint="default" w:ascii="Times New Roman" w:hAnsi="Times New Roman" w:cs="Times New Roman"/>
          <w:color w:val="auto"/>
          <w:highlight w:val="none"/>
          <w:lang w:val="en-US" w:eastAsia="zh-CN"/>
        </w:rPr>
        <w:t>消防解决方案：</w:t>
      </w:r>
    </w:p>
    <w:p>
      <w:pPr>
        <w:keepNext w:val="0"/>
        <w:keepLines w:val="0"/>
        <w:pageBreakBefore w:val="0"/>
        <w:widowControl w:val="0"/>
        <w:kinsoku/>
        <w:wordWrap/>
        <w:overflowPunct/>
        <w:topLinePunct w:val="0"/>
        <w:autoSpaceDE w:val="0"/>
        <w:autoSpaceDN w:val="0"/>
        <w:bidi w:val="0"/>
        <w:adjustRightInd/>
        <w:snapToGrid/>
        <w:ind w:firstLine="420" w:firstLineChars="200"/>
        <w:textAlignment w:val="auto"/>
        <w:rPr>
          <w:rFonts w:hint="default"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a</w:t>
      </w:r>
      <w:r>
        <w:rPr>
          <w:rFonts w:hint="default" w:ascii="Times New Roman" w:hAnsi="Times New Roman" w:cs="Times New Roman"/>
          <w:color w:val="auto"/>
          <w:highlight w:val="none"/>
          <w:lang w:val="en-US" w:eastAsia="zh-CN"/>
        </w:rPr>
        <w:t>）预制舱内消防方案：在储能舱内采用气体灭火系统作为电池舱的灭火方式，‌如全氟己酮或七氟丙烷，‌这些灭火介质具有不腐蚀、‌不导电、‌易挥发及高效灭火等特点，‌适用于对保护区和物品有较高保护要求的场景。每个电池舱作为一个防护区考虑，按全淹没灭火系统设计，电池舱气体消防系统由灭火柜、管路、喷头、温感、烟感、可燃气体探测器、气体灭火主机、声光报警、放气勿入指示牌、手自动启停开关等组成。舱内自动消防灭火设施由预制舱‌厂家随舱成套提供。</w:t>
      </w:r>
    </w:p>
    <w:p>
      <w:pPr>
        <w:keepNext w:val="0"/>
        <w:keepLines w:val="0"/>
        <w:pageBreakBefore w:val="0"/>
        <w:widowControl w:val="0"/>
        <w:kinsoku/>
        <w:wordWrap/>
        <w:overflowPunct/>
        <w:topLinePunct w:val="0"/>
        <w:autoSpaceDE w:val="0"/>
        <w:autoSpaceDN w:val="0"/>
        <w:bidi w:val="0"/>
        <w:adjustRightInd/>
        <w:snapToGrid/>
        <w:ind w:firstLine="420" w:firstLineChars="200"/>
        <w:textAlignment w:val="auto"/>
        <w:rPr>
          <w:rFonts w:hint="default"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b</w:t>
      </w:r>
      <w:r>
        <w:rPr>
          <w:rFonts w:hint="default" w:ascii="Times New Roman" w:hAnsi="Times New Roman" w:cs="Times New Roman"/>
          <w:color w:val="auto"/>
          <w:highlight w:val="none"/>
          <w:lang w:val="en-US" w:eastAsia="zh-CN"/>
        </w:rPr>
        <w:t>）室外消防方案：储能预制舱应配置灭火器，灭火器宜放置在舱外。灭火器按照不小于中危险等级配置，每个配置点设置灭火等级不小于20kg推车式MFT/ABC20（2A）灭火器（灭火器最大保护距离为20m）。每个灭火器配置场所内的灭火器不应少于2具，灭火器设置点的数量和位置，应根据被保护对象的实际需求和灭火器最大保护距离确定，并应保证最不利点至少在一具灭火器的保护范围内。储能预制舱区域需设置室外消火栓系统，储能预制舱区域的室外消火栓用水量为20L/s，室外消火栓灭火系统火灾延续时间为于3.0h，一起火灾的灭火用水量为216m</w:t>
      </w:r>
      <w:r>
        <w:rPr>
          <w:rFonts w:hint="default" w:ascii="Times New Roman" w:hAnsi="Times New Roman" w:cs="Times New Roman"/>
          <w:color w:val="auto"/>
          <w:highlight w:val="none"/>
          <w:vertAlign w:val="superscript"/>
          <w:lang w:val="en-US" w:eastAsia="zh-CN"/>
        </w:rPr>
        <w:t>3</w:t>
      </w:r>
      <w:r>
        <w:rPr>
          <w:rFonts w:hint="default" w:ascii="Times New Roman" w:hAnsi="Times New Roman" w:cs="Times New Roman"/>
          <w:color w:val="auto"/>
          <w:highlight w:val="none"/>
          <w:lang w:val="en-US" w:eastAsia="zh-CN"/>
        </w:rPr>
        <w:t>。消火栓沿场地路边均匀布置，间距不应大于60m，检修阀之间的室外消火栓数量不应大于5个。由于暂未收到场地现状的消防给水系统参数资料，现状厂区水消防系统储水量、消防设备和管网供水流量压力等数据还待明确，目前储能预制舱区域的室外消火栓系统暂按照能够依托现有厂区室外消火栓给水系统考虑，室外消火栓系统具体方案还待现状消防系统资料落实后最终确定。‌‌</w:t>
      </w:r>
    </w:p>
    <w:p>
      <w:pPr>
        <w:ind w:firstLine="420" w:firstLineChars="200"/>
        <w:jc w:val="left"/>
        <w:rPr>
          <w:rFonts w:hint="default"/>
          <w:color w:val="auto"/>
          <w:lang w:val="en-US"/>
        </w:rPr>
      </w:pPr>
      <w:r>
        <w:rPr>
          <w:rFonts w:hint="default" w:ascii="Times New Roman" w:hAnsi="Times New Roman" w:cs="Times New Roman"/>
          <w:color w:val="auto"/>
          <w:highlight w:val="none"/>
          <w:lang w:val="en-US" w:eastAsia="zh-CN"/>
        </w:rPr>
        <w:t>7</w:t>
      </w:r>
      <w:r>
        <w:rPr>
          <w:rFonts w:hint="eastAsia" w:ascii="Times New Roman" w:hAnsi="Times New Roman" w:cs="Times New Roman"/>
          <w:color w:val="auto"/>
          <w:highlight w:val="none"/>
          <w:lang w:val="en-US" w:eastAsia="zh-CN"/>
        </w:rPr>
        <w:t>）</w:t>
      </w:r>
      <w:r>
        <w:rPr>
          <w:rFonts w:hint="default" w:ascii="Times New Roman" w:hAnsi="Times New Roman" w:cs="Times New Roman"/>
          <w:color w:val="auto"/>
          <w:highlight w:val="none"/>
          <w:lang w:val="en-US" w:eastAsia="zh-CN"/>
        </w:rPr>
        <w:t>分级防护：‌根据保护对象的不同，‌可采用舱级、‌簇级和PACK级方案进行分级保护。‌例如，‌舱级方案适用于储能集装箱，‌簇级方案适用于预制式全氟己酮等灭火装置，‌而PACK级方案则针对电池PACK箱内部和储能柜空间进行精细化保护</w:t>
      </w:r>
      <w:r>
        <w:rPr>
          <w:rFonts w:hint="eastAsia" w:ascii="Times New Roman" w:hAnsi="Times New Roman" w:cs="Times New Roman"/>
          <w:color w:val="auto"/>
          <w:highlight w:val="none"/>
          <w:lang w:val="en-US" w:eastAsia="zh-CN"/>
        </w:rPr>
        <w:t>。</w:t>
      </w:r>
    </w:p>
    <w:p>
      <w:pPr>
        <w:pStyle w:val="3"/>
        <w:keepNext/>
        <w:keepLines/>
        <w:widowControl w:val="0"/>
        <w:numPr>
          <w:ilvl w:val="0"/>
          <w:numId w:val="0"/>
        </w:numPr>
        <w:adjustRightInd w:val="0"/>
        <w:snapToGrid w:val="0"/>
        <w:spacing w:before="260" w:after="260" w:line="415" w:lineRule="auto"/>
        <w:ind w:left="0" w:leftChars="0" w:firstLine="0" w:firstLineChars="0"/>
        <w:jc w:val="both"/>
        <w:outlineLvl w:val="1"/>
        <w:rPr>
          <w:rFonts w:hint="eastAsia" w:ascii="宋体" w:hAnsi="宋体" w:eastAsia="宋体" w:cs="宋体"/>
          <w:b/>
          <w:bCs w:val="0"/>
          <w:color w:val="auto"/>
          <w:kern w:val="2"/>
          <w:sz w:val="32"/>
          <w:szCs w:val="24"/>
          <w:highlight w:val="none"/>
          <w:lang w:val="en-US" w:eastAsia="zh-CN" w:bidi="ar-SA"/>
        </w:rPr>
      </w:pPr>
      <w:bookmarkStart w:id="364" w:name="_Toc14117"/>
      <w:bookmarkStart w:id="365" w:name="_Toc3355"/>
      <w:bookmarkStart w:id="366" w:name="_Toc10492"/>
      <w:bookmarkStart w:id="367" w:name="_Toc32566"/>
      <w:r>
        <w:rPr>
          <w:rFonts w:hint="eastAsia" w:ascii="Arial" w:hAnsi="Arial" w:eastAsia="黑体" w:cs="Arial"/>
          <w:b/>
          <w:bCs/>
          <w:color w:val="auto"/>
          <w:kern w:val="2"/>
          <w:sz w:val="32"/>
          <w:szCs w:val="32"/>
          <w:lang w:val="en-US" w:eastAsia="zh-CN" w:bidi="ar-SA"/>
        </w:rPr>
        <w:t>13. 柴油发电机组技术要求</w:t>
      </w:r>
      <w:bookmarkEnd w:id="364"/>
      <w:bookmarkEnd w:id="365"/>
      <w:bookmarkEnd w:id="366"/>
      <w:bookmarkEnd w:id="367"/>
    </w:p>
    <w:p>
      <w:pPr>
        <w:bidi w:val="0"/>
        <w:ind w:firstLine="117" w:firstLineChars="49"/>
        <w:outlineLvl w:val="2"/>
        <w:rPr>
          <w:rFonts w:hint="eastAsia" w:ascii="Times New Roman" w:hAnsi="Times New Roman" w:eastAsia="宋体" w:cs="Times New Roman"/>
          <w:bCs w:val="0"/>
          <w:color w:val="auto"/>
          <w:sz w:val="24"/>
          <w:szCs w:val="24"/>
          <w:lang w:val="en-US" w:eastAsia="zh-CN"/>
        </w:rPr>
      </w:pPr>
      <w:bookmarkStart w:id="368" w:name="_Toc6885"/>
      <w:bookmarkStart w:id="369" w:name="_Toc31274"/>
      <w:bookmarkStart w:id="370" w:name="_Toc15014"/>
      <w:bookmarkStart w:id="371" w:name="_Toc11591"/>
      <w:r>
        <w:rPr>
          <w:rFonts w:hint="eastAsia" w:ascii="Times New Roman" w:hAnsi="Times New Roman" w:eastAsia="宋体" w:cs="Times New Roman"/>
          <w:bCs w:val="0"/>
          <w:color w:val="auto"/>
          <w:sz w:val="24"/>
          <w:szCs w:val="24"/>
          <w:highlight w:val="none"/>
          <w:lang w:val="en-US" w:eastAsia="zh-CN"/>
        </w:rPr>
        <w:t>柴油发电机系统集电线路出线并网点电压等级10kV，同时，设系统控制柜1面、母联开关柜1面、机组输出馈线柜5面、假负载输出馈线柜1面、负载输出馈线柜2面、接地变压器开关柜2面、直流屏2面、二次柜2面（预留部分柜体安装空间做后期扩容使用）。</w:t>
      </w:r>
      <w:bookmarkEnd w:id="368"/>
      <w:bookmarkEnd w:id="369"/>
      <w:bookmarkEnd w:id="370"/>
    </w:p>
    <w:p>
      <w:pPr>
        <w:bidi w:val="0"/>
        <w:ind w:firstLine="102" w:firstLineChars="49"/>
        <w:jc w:val="center"/>
        <w:outlineLvl w:val="9"/>
        <w:rPr>
          <w:rFonts w:hint="default"/>
          <w:color w:val="auto"/>
          <w:lang w:val="en-US" w:eastAsia="zh-CN"/>
        </w:rPr>
      </w:pPr>
      <w:r>
        <w:rPr>
          <w:color w:val="auto"/>
          <w:highlight w:val="none"/>
          <w:lang w:val="en-US"/>
        </w:rPr>
        <w:drawing>
          <wp:inline distT="0" distB="0" distL="114300" distR="114300">
            <wp:extent cx="4455795" cy="3398520"/>
            <wp:effectExtent l="0" t="0" r="1905" b="11430"/>
            <wp:docPr id="21" name="图片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332"/>
                    <pic:cNvPicPr>
                      <a:picLocks noChangeAspect="1"/>
                    </pic:cNvPicPr>
                  </pic:nvPicPr>
                  <pic:blipFill>
                    <a:blip r:embed="rId17" r:link="rId18"/>
                    <a:stretch>
                      <a:fillRect/>
                    </a:stretch>
                  </pic:blipFill>
                  <pic:spPr>
                    <a:xfrm>
                      <a:off x="0" y="0"/>
                      <a:ext cx="4455795" cy="3398520"/>
                    </a:xfrm>
                    <a:prstGeom prst="rect">
                      <a:avLst/>
                    </a:prstGeom>
                    <a:noFill/>
                    <a:ln>
                      <a:noFill/>
                    </a:ln>
                  </pic:spPr>
                </pic:pic>
              </a:graphicData>
            </a:graphic>
          </wp:inline>
        </w:drawing>
      </w:r>
    </w:p>
    <w:p>
      <w:pPr>
        <w:pStyle w:val="4"/>
        <w:bidi w:val="0"/>
        <w:ind w:firstLine="138" w:firstLineChars="49"/>
        <w:outlineLvl w:val="2"/>
        <w:rPr>
          <w:rFonts w:hint="eastAsia" w:asciiTheme="majorEastAsia" w:hAnsiTheme="majorEastAsia" w:eastAsiaTheme="majorEastAsia" w:cstheme="majorEastAsia"/>
          <w:color w:val="auto"/>
          <w:szCs w:val="24"/>
          <w:lang w:val="en-US" w:eastAsia="zh-CN"/>
        </w:rPr>
      </w:pPr>
      <w:bookmarkStart w:id="372" w:name="_Toc32068"/>
      <w:bookmarkStart w:id="373" w:name="_Toc13929"/>
      <w:bookmarkStart w:id="374" w:name="_Toc20474"/>
      <w:r>
        <w:rPr>
          <w:rFonts w:hint="eastAsia"/>
          <w:color w:val="auto"/>
          <w:lang w:val="en-US" w:eastAsia="zh-CN"/>
        </w:rPr>
        <w:t>13.1 规范要求</w:t>
      </w:r>
      <w:bookmarkEnd w:id="371"/>
      <w:bookmarkEnd w:id="372"/>
      <w:bookmarkEnd w:id="373"/>
      <w:bookmarkEnd w:id="374"/>
    </w:p>
    <w:p>
      <w:pPr>
        <w:rPr>
          <w:rFonts w:hint="eastAsia"/>
          <w:color w:val="auto"/>
        </w:rPr>
      </w:pPr>
      <w:r>
        <w:rPr>
          <w:rFonts w:hint="eastAsia"/>
          <w:color w:val="auto"/>
        </w:rPr>
        <w:t>发电机房改造装修及柴油发电机组设备的制造、试验和验收应符合如下标准：</w:t>
      </w:r>
    </w:p>
    <w:p>
      <w:pPr>
        <w:rPr>
          <w:rFonts w:hint="eastAsia"/>
          <w:color w:val="auto"/>
        </w:rPr>
      </w:pPr>
      <w:r>
        <w:rPr>
          <w:rFonts w:hint="eastAsia"/>
          <w:color w:val="auto"/>
        </w:rPr>
        <w:t>《建筑装饰装修管理规定》（中华人民共和国建设部第46号令）</w:t>
      </w:r>
    </w:p>
    <w:p>
      <w:pPr>
        <w:rPr>
          <w:rFonts w:hint="eastAsia"/>
          <w:color w:val="auto"/>
        </w:rPr>
      </w:pPr>
      <w:r>
        <w:rPr>
          <w:rFonts w:hint="eastAsia"/>
          <w:color w:val="auto"/>
        </w:rPr>
        <w:t>《建筑装饰装修工程质量验收标准》               GB 50210-2018</w:t>
      </w:r>
    </w:p>
    <w:p>
      <w:pPr>
        <w:rPr>
          <w:rFonts w:hint="eastAsia"/>
          <w:color w:val="auto"/>
        </w:rPr>
      </w:pPr>
      <w:r>
        <w:rPr>
          <w:rFonts w:hint="eastAsia"/>
          <w:color w:val="auto"/>
        </w:rPr>
        <w:t>《建筑内部装修设计防火规范》                   GB 50222-2017</w:t>
      </w:r>
    </w:p>
    <w:p>
      <w:pPr>
        <w:rPr>
          <w:rFonts w:hint="eastAsia"/>
          <w:color w:val="auto"/>
        </w:rPr>
      </w:pPr>
      <w:r>
        <w:rPr>
          <w:rFonts w:hint="eastAsia"/>
          <w:color w:val="auto"/>
        </w:rPr>
        <w:t>《民用建筑采暖通风与空气调节设计规范》         GB 50736-2012</w:t>
      </w:r>
    </w:p>
    <w:p>
      <w:pPr>
        <w:rPr>
          <w:rFonts w:hint="eastAsia"/>
          <w:color w:val="auto"/>
        </w:rPr>
      </w:pPr>
      <w:r>
        <w:rPr>
          <w:rFonts w:hint="eastAsia"/>
          <w:color w:val="auto"/>
        </w:rPr>
        <w:t>《建筑电气工程施工质量验收规范》               GB 50303-2015</w:t>
      </w:r>
    </w:p>
    <w:p>
      <w:pPr>
        <w:rPr>
          <w:rFonts w:hint="eastAsia"/>
          <w:color w:val="auto"/>
        </w:rPr>
      </w:pPr>
      <w:r>
        <w:rPr>
          <w:rFonts w:hint="eastAsia"/>
          <w:color w:val="auto"/>
        </w:rPr>
        <w:t>《民用建筑电气设计标准》                       GB 51348-2019</w:t>
      </w:r>
    </w:p>
    <w:p>
      <w:pPr>
        <w:rPr>
          <w:rFonts w:hint="eastAsia"/>
          <w:color w:val="auto"/>
        </w:rPr>
      </w:pPr>
      <w:r>
        <w:rPr>
          <w:rFonts w:hint="eastAsia"/>
          <w:color w:val="auto"/>
        </w:rPr>
        <w:t>《建筑照明设计标准》                           GB 50034-2013</w:t>
      </w:r>
    </w:p>
    <w:p>
      <w:pPr>
        <w:rPr>
          <w:rFonts w:hint="eastAsia"/>
          <w:color w:val="auto"/>
        </w:rPr>
      </w:pPr>
      <w:r>
        <w:rPr>
          <w:rFonts w:hint="eastAsia"/>
          <w:color w:val="auto"/>
        </w:rPr>
        <w:t>《额定电压1 kV(Um=1.2 kV)到35 kV(Um=40.5 kV)挤包绝缘电力电缆及附件》GB/T 12706.1-2020</w:t>
      </w:r>
    </w:p>
    <w:p>
      <w:pPr>
        <w:rPr>
          <w:rFonts w:hint="eastAsia"/>
          <w:color w:val="auto"/>
        </w:rPr>
      </w:pPr>
      <w:r>
        <w:rPr>
          <w:rFonts w:hint="eastAsia"/>
          <w:color w:val="auto"/>
        </w:rPr>
        <w:t>《非道路柴油移动机械排气烟度限值及测量方法》   GB36886-2018</w:t>
      </w:r>
    </w:p>
    <w:p>
      <w:pPr>
        <w:rPr>
          <w:rFonts w:hint="eastAsia"/>
          <w:color w:val="auto"/>
        </w:rPr>
      </w:pPr>
      <w:r>
        <w:rPr>
          <w:rFonts w:hint="eastAsia"/>
          <w:color w:val="auto"/>
        </w:rPr>
        <w:t>《往复式内燃交流发电机组》                     ISO8528</w:t>
      </w:r>
    </w:p>
    <w:p>
      <w:pPr>
        <w:rPr>
          <w:rFonts w:hint="eastAsia"/>
          <w:color w:val="auto"/>
        </w:rPr>
      </w:pPr>
      <w:r>
        <w:rPr>
          <w:rFonts w:hint="eastAsia"/>
          <w:color w:val="auto"/>
        </w:rPr>
        <w:t>《往复式内燃机性能》                           ISO3046</w:t>
      </w:r>
    </w:p>
    <w:p>
      <w:pPr>
        <w:rPr>
          <w:rFonts w:hint="eastAsia"/>
          <w:color w:val="auto"/>
        </w:rPr>
      </w:pPr>
      <w:r>
        <w:rPr>
          <w:rFonts w:hint="eastAsia"/>
          <w:color w:val="auto"/>
        </w:rPr>
        <w:t>《往复式内燃机驱动的交流发电机组》             GB/T 2820.7-2002</w:t>
      </w:r>
    </w:p>
    <w:p>
      <w:pPr>
        <w:rPr>
          <w:rFonts w:hint="eastAsia"/>
          <w:color w:val="auto"/>
        </w:rPr>
      </w:pPr>
      <w:r>
        <w:rPr>
          <w:rFonts w:hint="eastAsia"/>
          <w:color w:val="auto"/>
        </w:rPr>
        <w:t>《往复式内燃机性能功率、燃料消耗和机油消耗的标定及试验方法》 GB/T 6072.1-2008</w:t>
      </w:r>
    </w:p>
    <w:p>
      <w:pPr>
        <w:rPr>
          <w:rFonts w:hint="eastAsia"/>
          <w:color w:val="auto"/>
        </w:rPr>
      </w:pPr>
      <w:r>
        <w:rPr>
          <w:rFonts w:hint="eastAsia"/>
          <w:color w:val="auto"/>
        </w:rPr>
        <w:t>《往复式内燃机驱动的交流发电机组》             GB/T 2820.1-2009</w:t>
      </w:r>
    </w:p>
    <w:p>
      <w:pPr>
        <w:rPr>
          <w:rFonts w:hint="eastAsia"/>
          <w:color w:val="auto"/>
        </w:rPr>
      </w:pPr>
      <w:r>
        <w:rPr>
          <w:rFonts w:hint="eastAsia"/>
          <w:color w:val="auto"/>
        </w:rPr>
        <w:t>《自动化内燃机电站通用技术条件》               GB/T 12786-2021</w:t>
      </w:r>
    </w:p>
    <w:p>
      <w:pPr>
        <w:rPr>
          <w:rFonts w:hint="eastAsia" w:ascii="宋体" w:hAnsi="宋体" w:eastAsia="宋体" w:cs="宋体"/>
          <w:color w:val="auto"/>
          <w:szCs w:val="24"/>
          <w:highlight w:val="none"/>
        </w:rPr>
      </w:pPr>
      <w:r>
        <w:rPr>
          <w:rFonts w:hint="eastAsia"/>
          <w:color w:val="auto"/>
        </w:rPr>
        <w:t>机组的设备及元件应符合相应的国家标准，若ISO标准与GB标准有不同之处，则应符合其中标准较高的一个。</w:t>
      </w:r>
    </w:p>
    <w:p>
      <w:pPr>
        <w:pStyle w:val="4"/>
        <w:numPr>
          <w:ilvl w:val="0"/>
          <w:numId w:val="0"/>
        </w:numPr>
        <w:adjustRightInd/>
        <w:snapToGrid/>
        <w:spacing w:before="0" w:after="0" w:line="360" w:lineRule="auto"/>
        <w:ind w:left="0" w:leftChars="0" w:firstLine="0" w:firstLineChars="0"/>
        <w:outlineLvl w:val="2"/>
        <w:rPr>
          <w:rFonts w:hint="eastAsia" w:ascii="宋体" w:hAnsi="宋体" w:eastAsia="宋体" w:cs="宋体"/>
          <w:b/>
          <w:bCs w:val="0"/>
          <w:color w:val="auto"/>
          <w:szCs w:val="24"/>
          <w:highlight w:val="none"/>
          <w:lang w:val="en-US" w:eastAsia="zh-CN"/>
        </w:rPr>
      </w:pPr>
      <w:bookmarkStart w:id="375" w:name="_Toc24981"/>
      <w:bookmarkStart w:id="376" w:name="_Toc25808"/>
      <w:bookmarkStart w:id="377" w:name="_Toc28527"/>
      <w:bookmarkStart w:id="378" w:name="_Toc30808"/>
      <w:r>
        <w:rPr>
          <w:rFonts w:hint="eastAsia"/>
          <w:color w:val="auto"/>
          <w:lang w:val="en-US" w:eastAsia="zh-CN"/>
        </w:rPr>
        <w:t>13.2 柴油发电机组技术要求</w:t>
      </w:r>
      <w:bookmarkEnd w:id="375"/>
      <w:bookmarkEnd w:id="376"/>
      <w:bookmarkEnd w:id="377"/>
      <w:bookmarkEnd w:id="378"/>
    </w:p>
    <w:p>
      <w:pPr>
        <w:pStyle w:val="54"/>
        <w:spacing w:line="360" w:lineRule="auto"/>
        <w:ind w:firstLine="422"/>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柴油发电机组的</w:t>
      </w:r>
      <w:r>
        <w:rPr>
          <w:rFonts w:hint="eastAsia" w:ascii="宋体" w:hAnsi="宋体" w:eastAsia="宋体" w:cs="宋体"/>
          <w:bCs/>
          <w:color w:val="auto"/>
          <w:sz w:val="24"/>
          <w:szCs w:val="24"/>
          <w:highlight w:val="none"/>
        </w:rPr>
        <w:t>主用功率额定为2000KW，备用2200KW，</w:t>
      </w:r>
      <w:r>
        <w:rPr>
          <w:rFonts w:hint="eastAsia" w:ascii="宋体" w:hAnsi="宋体" w:eastAsia="宋体" w:cs="宋体"/>
          <w:color w:val="auto"/>
          <w:sz w:val="24"/>
          <w:szCs w:val="24"/>
          <w:highlight w:val="none"/>
        </w:rPr>
        <w:t>额定电压：AC10500kv（负载电压,三相四线。</w:t>
      </w:r>
    </w:p>
    <w:p>
      <w:pPr>
        <w:pStyle w:val="5"/>
        <w:bidi w:val="0"/>
        <w:ind w:firstLine="118" w:firstLineChars="49"/>
        <w:outlineLvl w:val="3"/>
        <w:rPr>
          <w:rFonts w:hint="eastAsia" w:ascii="宋体" w:hAnsi="宋体" w:eastAsia="宋体" w:cs="宋体"/>
          <w:b w:val="0"/>
          <w:bCs/>
          <w:color w:val="auto"/>
          <w:szCs w:val="24"/>
          <w:lang w:val="en-US" w:eastAsia="zh-CN"/>
        </w:rPr>
      </w:pPr>
      <w:r>
        <w:rPr>
          <w:rFonts w:hint="eastAsia"/>
          <w:color w:val="auto"/>
          <w:lang w:val="en-US" w:eastAsia="zh-CN"/>
        </w:rPr>
        <w:t>13.2.1性能指标要求</w:t>
      </w:r>
    </w:p>
    <w:p>
      <w:pPr>
        <w:rPr>
          <w:rFonts w:hint="eastAsia"/>
          <w:color w:val="auto"/>
        </w:rPr>
      </w:pPr>
      <w:r>
        <w:rPr>
          <w:rFonts w:hint="eastAsia"/>
          <w:color w:val="auto"/>
        </w:rPr>
        <w:t>1、电压要求：</w:t>
      </w:r>
    </w:p>
    <w:p>
      <w:pPr>
        <w:rPr>
          <w:rFonts w:hint="eastAsia"/>
          <w:color w:val="auto"/>
        </w:rPr>
      </w:pPr>
      <w:r>
        <w:rPr>
          <w:rFonts w:hint="eastAsia"/>
          <w:color w:val="auto"/>
        </w:rPr>
        <w:t>（1）稳态电压偏差：≤±1%；</w:t>
      </w:r>
    </w:p>
    <w:p>
      <w:pPr>
        <w:rPr>
          <w:rFonts w:hint="eastAsia"/>
          <w:color w:val="auto"/>
        </w:rPr>
      </w:pPr>
      <w:r>
        <w:rPr>
          <w:rFonts w:hint="eastAsia"/>
          <w:color w:val="auto"/>
        </w:rPr>
        <w:t>（2）瞬态电压偏差：由额定负载突减至空载，重复进行3次，偏差≤+25%；由空载突加至50%额定负载，重复进行3次，偏差≤-15%；</w:t>
      </w:r>
    </w:p>
    <w:p>
      <w:pPr>
        <w:rPr>
          <w:rFonts w:hint="eastAsia"/>
          <w:color w:val="auto"/>
        </w:rPr>
      </w:pPr>
      <w:r>
        <w:rPr>
          <w:rFonts w:hint="eastAsia"/>
          <w:color w:val="auto"/>
        </w:rPr>
        <w:t>（3）电压恢复时间：≤4s；</w:t>
      </w:r>
    </w:p>
    <w:p>
      <w:pPr>
        <w:rPr>
          <w:rFonts w:hint="eastAsia"/>
          <w:color w:val="auto"/>
        </w:rPr>
      </w:pPr>
      <w:r>
        <w:rPr>
          <w:rFonts w:hint="eastAsia" w:ascii="Calibri" w:eastAsia="宋体"/>
          <w:color w:val="auto"/>
          <w:lang w:val="en-US" w:eastAsia="zh-CN"/>
        </w:rPr>
        <w:t>2、</w:t>
      </w:r>
      <w:r>
        <w:rPr>
          <w:rFonts w:hint="eastAsia"/>
          <w:color w:val="auto"/>
        </w:rPr>
        <w:t>频率要求：</w:t>
      </w:r>
    </w:p>
    <w:p>
      <w:pPr>
        <w:rPr>
          <w:rFonts w:hint="eastAsia"/>
          <w:color w:val="auto"/>
        </w:rPr>
      </w:pPr>
      <w:r>
        <w:rPr>
          <w:rFonts w:hint="eastAsia"/>
          <w:color w:val="auto"/>
        </w:rPr>
        <w:t>（1）频率降：≤2%；</w:t>
      </w:r>
    </w:p>
    <w:p>
      <w:pPr>
        <w:rPr>
          <w:rFonts w:hint="eastAsia"/>
          <w:color w:val="auto"/>
        </w:rPr>
      </w:pPr>
      <w:r>
        <w:rPr>
          <w:rFonts w:hint="eastAsia"/>
          <w:color w:val="auto"/>
        </w:rPr>
        <w:t>（2）稳定频率带：≤0.5%；</w:t>
      </w:r>
    </w:p>
    <w:p>
      <w:pPr>
        <w:rPr>
          <w:rFonts w:hint="eastAsia"/>
          <w:color w:val="auto"/>
        </w:rPr>
      </w:pPr>
      <w:r>
        <w:rPr>
          <w:rFonts w:hint="eastAsia"/>
          <w:color w:val="auto"/>
        </w:rPr>
        <w:t>（3）瞬态频率偏差：由额定负载突减至空载，重复进行3次，偏差≤+10%；由空载突加至50%额定负载，重复进行3次，偏差≤-7%；</w:t>
      </w:r>
    </w:p>
    <w:p>
      <w:pPr>
        <w:rPr>
          <w:rFonts w:hint="eastAsia"/>
          <w:color w:val="auto"/>
        </w:rPr>
      </w:pPr>
      <w:r>
        <w:rPr>
          <w:rFonts w:hint="eastAsia"/>
          <w:color w:val="auto"/>
        </w:rPr>
        <w:t>（4）频率恢复时间：≤5s</w:t>
      </w:r>
    </w:p>
    <w:p>
      <w:pPr>
        <w:rPr>
          <w:rFonts w:hint="eastAsia"/>
          <w:color w:val="auto"/>
        </w:rPr>
      </w:pPr>
      <w:r>
        <w:rPr>
          <w:rFonts w:hint="eastAsia"/>
          <w:color w:val="auto"/>
        </w:rPr>
        <w:t>3、额定功率因数：0.8（滞后）</w:t>
      </w:r>
    </w:p>
    <w:p>
      <w:pPr>
        <w:rPr>
          <w:rFonts w:hint="eastAsia"/>
          <w:color w:val="auto"/>
        </w:rPr>
      </w:pPr>
      <w:r>
        <w:rPr>
          <w:rFonts w:hint="eastAsia"/>
          <w:color w:val="auto"/>
        </w:rPr>
        <w:t>4、额定转速：1500转／分</w:t>
      </w:r>
    </w:p>
    <w:p>
      <w:pPr>
        <w:rPr>
          <w:rFonts w:hint="eastAsia"/>
          <w:color w:val="auto"/>
        </w:rPr>
      </w:pPr>
      <w:r>
        <w:rPr>
          <w:rFonts w:hint="eastAsia"/>
          <w:color w:val="auto"/>
        </w:rPr>
        <w:t>5、机组在额定情况下，从空载到满载的变化不大于额定电压的≤±2%</w:t>
      </w:r>
    </w:p>
    <w:p>
      <w:pPr>
        <w:rPr>
          <w:rFonts w:hint="eastAsia"/>
          <w:color w:val="auto"/>
        </w:rPr>
      </w:pPr>
      <w:r>
        <w:rPr>
          <w:rFonts w:hint="eastAsia"/>
          <w:color w:val="auto"/>
        </w:rPr>
        <w:t>6、机组空载电压的调节范围为额定电压的95~105%</w:t>
      </w:r>
    </w:p>
    <w:p>
      <w:pPr>
        <w:rPr>
          <w:rFonts w:hint="eastAsia"/>
          <w:color w:val="auto"/>
        </w:rPr>
      </w:pPr>
      <w:r>
        <w:rPr>
          <w:rFonts w:hint="eastAsia"/>
          <w:color w:val="auto"/>
        </w:rPr>
        <w:t>7、采用PMG永磁方式励磁</w:t>
      </w:r>
    </w:p>
    <w:p>
      <w:pPr>
        <w:pStyle w:val="5"/>
        <w:bidi w:val="0"/>
        <w:ind w:firstLine="0" w:firstLineChars="0"/>
        <w:outlineLvl w:val="9"/>
        <w:rPr>
          <w:rFonts w:hint="eastAsia" w:ascii="宋体" w:hAnsi="宋体" w:eastAsia="宋体" w:cs="宋体"/>
          <w:b w:val="0"/>
          <w:bCs/>
          <w:color w:val="auto"/>
          <w:szCs w:val="24"/>
          <w:lang w:val="en-US" w:eastAsia="zh-CN"/>
        </w:rPr>
      </w:pPr>
      <w:r>
        <w:rPr>
          <w:rFonts w:hint="eastAsia"/>
          <w:color w:val="auto"/>
          <w:lang w:val="en-US" w:eastAsia="zh-CN"/>
        </w:rPr>
        <w:t>13.2.2 机组型式要求</w:t>
      </w:r>
    </w:p>
    <w:p>
      <w:pPr>
        <w:ind w:firstLine="480"/>
        <w:rPr>
          <w:rFonts w:hint="eastAsia"/>
          <w:color w:val="auto"/>
        </w:rPr>
      </w:pPr>
      <w:r>
        <w:rPr>
          <w:rFonts w:hint="eastAsia"/>
          <w:color w:val="auto"/>
        </w:rPr>
        <w:t>1、机组采用一体式结构，底座应选用高强度钢材料制作，冷却风扇应全部设有保护罩，并配备高效环保型降噪消音器。</w:t>
      </w:r>
    </w:p>
    <w:p>
      <w:pPr>
        <w:spacing w:line="360" w:lineRule="auto"/>
        <w:ind w:firstLine="420" w:firstLineChars="200"/>
        <w:rPr>
          <w:rFonts w:hint="eastAsia"/>
          <w:color w:val="auto"/>
        </w:rPr>
      </w:pPr>
      <w:r>
        <w:rPr>
          <w:rFonts w:hint="eastAsia"/>
          <w:color w:val="auto"/>
        </w:rPr>
        <w:t>2、发电机组通过运行方式选择开关确定所处状态，具有关、手动、自动、测试四种模式；发电机组一般情况下应在“自动”状态（热备用或称准启动状态）。</w:t>
      </w:r>
    </w:p>
    <w:p>
      <w:pPr>
        <w:spacing w:line="360" w:lineRule="auto"/>
        <w:ind w:firstLine="420" w:firstLineChars="200"/>
        <w:rPr>
          <w:rFonts w:hint="eastAsia"/>
          <w:color w:val="auto"/>
        </w:rPr>
      </w:pPr>
      <w:r>
        <w:rPr>
          <w:rFonts w:hint="eastAsia"/>
          <w:color w:val="auto"/>
        </w:rPr>
        <w:t>3、系统应可以设定为自动运行方式和手动运行方式：</w:t>
      </w:r>
    </w:p>
    <w:p>
      <w:pPr>
        <w:ind w:firstLine="480"/>
        <w:rPr>
          <w:rFonts w:hint="eastAsia"/>
          <w:color w:val="auto"/>
        </w:rPr>
      </w:pPr>
      <w:r>
        <w:rPr>
          <w:rFonts w:hint="eastAsia"/>
          <w:color w:val="auto"/>
        </w:rPr>
        <w:t>4、自动运行方式：外部给出一个无源触点信号，触点闭合，系统将自动启动机组，机组启动完成后，触点断开，机组按停机程序自动停机。手动运行方式：由操作人员手动操作，机组的启动停机和负载的转换都可由操作人员来完成。</w:t>
      </w:r>
    </w:p>
    <w:p>
      <w:pPr>
        <w:ind w:firstLine="480"/>
        <w:rPr>
          <w:rFonts w:hint="eastAsia"/>
          <w:color w:val="auto"/>
        </w:rPr>
      </w:pPr>
      <w:r>
        <w:rPr>
          <w:rFonts w:hint="eastAsia"/>
          <w:color w:val="auto"/>
        </w:rPr>
        <w:t>5、柴油发电机组配备空气滤清器，冷却液液位过低传感器、手动输油泵、燃油油位开关、油压传感器。</w:t>
      </w:r>
    </w:p>
    <w:p>
      <w:pPr>
        <w:ind w:firstLine="480"/>
        <w:rPr>
          <w:rFonts w:hint="eastAsia"/>
          <w:color w:val="auto"/>
        </w:rPr>
      </w:pPr>
      <w:r>
        <w:rPr>
          <w:rFonts w:hint="eastAsia"/>
          <w:color w:val="auto"/>
        </w:rPr>
        <w:t>6、为确保质量，冷却液、机油必须为原厂出厂时自带，冷却液有效期不得低于3年或运行500小时；</w:t>
      </w:r>
    </w:p>
    <w:p>
      <w:pPr>
        <w:ind w:firstLine="420" w:firstLineChars="200"/>
        <w:rPr>
          <w:rFonts w:hint="eastAsia"/>
          <w:color w:val="auto"/>
        </w:rPr>
      </w:pPr>
      <w:r>
        <w:rPr>
          <w:rFonts w:hint="eastAsia" w:ascii="Calibri" w:eastAsia="宋体"/>
          <w:color w:val="auto"/>
          <w:lang w:val="en-US" w:eastAsia="zh-CN"/>
        </w:rPr>
        <w:t>7</w:t>
      </w:r>
      <w:r>
        <w:rPr>
          <w:rFonts w:hint="eastAsia"/>
          <w:color w:val="auto"/>
        </w:rPr>
        <w:t>、</w:t>
      </w:r>
      <w:r>
        <w:rPr>
          <w:rFonts w:hint="eastAsia" w:ascii="Calibri" w:eastAsia="宋体"/>
          <w:color w:val="auto"/>
          <w:lang w:val="en-US" w:eastAsia="zh-CN"/>
        </w:rPr>
        <w:t>柴油发电机控制器应采具备先进的控制模块，能够</w:t>
      </w:r>
      <w:r>
        <w:rPr>
          <w:rFonts w:hint="eastAsia" w:ascii="Calibri"/>
          <w:color w:val="auto"/>
          <w:lang w:val="en-GB"/>
        </w:rPr>
        <w:t>采集单台发电机单元的发电状态和信息，并上传至微网协调控制装置，在满足自身稳定运行的基础上，响应微网控制系统的功率指令，调节出力和切换模式。接口类型：网口/串口；规约类型：Modbus TCP/Modbus RTU。</w:t>
      </w:r>
    </w:p>
    <w:p>
      <w:pPr>
        <w:pStyle w:val="5"/>
        <w:bidi w:val="0"/>
        <w:ind w:firstLine="118" w:firstLineChars="49"/>
        <w:outlineLvl w:val="3"/>
        <w:rPr>
          <w:rFonts w:hint="eastAsia" w:ascii="宋体" w:hAnsi="宋体" w:eastAsia="宋体" w:cs="宋体"/>
          <w:b w:val="0"/>
          <w:bCs/>
          <w:color w:val="auto"/>
          <w:szCs w:val="24"/>
          <w:lang w:val="en-US" w:eastAsia="zh-CN"/>
        </w:rPr>
      </w:pPr>
      <w:r>
        <w:rPr>
          <w:rFonts w:hint="eastAsia"/>
          <w:color w:val="auto"/>
          <w:lang w:val="en-US" w:eastAsia="zh-CN"/>
        </w:rPr>
        <w:t>13.2.3 其他技术要求</w:t>
      </w:r>
    </w:p>
    <w:p>
      <w:pPr>
        <w:spacing w:line="360" w:lineRule="auto"/>
        <w:ind w:firstLine="420" w:firstLineChars="200"/>
        <w:rPr>
          <w:rFonts w:hint="eastAsia"/>
          <w:color w:val="auto"/>
        </w:rPr>
      </w:pPr>
      <w:r>
        <w:rPr>
          <w:rFonts w:hint="eastAsia"/>
          <w:color w:val="auto"/>
        </w:rPr>
        <w:t>1、设备应有抑制无线干扰措施，满足GB9254、CIS—PR22或BS800标准要求。</w:t>
      </w:r>
    </w:p>
    <w:p>
      <w:pPr>
        <w:spacing w:line="360" w:lineRule="auto"/>
        <w:ind w:firstLine="480"/>
        <w:rPr>
          <w:rFonts w:hint="eastAsia"/>
          <w:color w:val="auto"/>
        </w:rPr>
      </w:pPr>
      <w:r>
        <w:rPr>
          <w:rFonts w:hint="eastAsia"/>
          <w:color w:val="auto"/>
        </w:rPr>
        <w:t>2、机组必须提供协议公开的串行通讯（RS485）接口，监控系统可通过RS485接口可读机组的工作状态、油压、水温、油位、电流、及各种报警信号等参数，并能远程通过监控系统控制柴油发电机组启停。</w:t>
      </w:r>
    </w:p>
    <w:p>
      <w:pPr>
        <w:pStyle w:val="5"/>
        <w:bidi w:val="0"/>
        <w:ind w:firstLine="118" w:firstLineChars="49"/>
        <w:outlineLvl w:val="3"/>
        <w:rPr>
          <w:rFonts w:hint="eastAsia" w:ascii="宋体" w:hAnsi="宋体" w:eastAsia="宋体" w:cs="宋体"/>
          <w:b w:val="0"/>
          <w:bCs/>
          <w:color w:val="auto"/>
          <w:szCs w:val="24"/>
          <w:lang w:val="en-US" w:eastAsia="zh-CN"/>
        </w:rPr>
      </w:pPr>
      <w:r>
        <w:rPr>
          <w:rFonts w:hint="eastAsia"/>
          <w:color w:val="auto"/>
          <w:lang w:val="en-US" w:eastAsia="zh-CN"/>
        </w:rPr>
        <w:t>13.2.4 机组控制功能</w:t>
      </w:r>
    </w:p>
    <w:p>
      <w:pPr>
        <w:spacing w:line="360" w:lineRule="auto"/>
        <w:ind w:firstLine="424" w:firstLineChars="202"/>
        <w:rPr>
          <w:rFonts w:hint="eastAsia"/>
          <w:color w:val="auto"/>
        </w:rPr>
      </w:pPr>
      <w:r>
        <w:rPr>
          <w:rFonts w:hint="eastAsia"/>
          <w:color w:val="auto"/>
        </w:rPr>
        <w:t>1、机组可实现全自动控制，也可实现手动操作，并且手动操作可随时干预自动控制的全过程。</w:t>
      </w:r>
    </w:p>
    <w:p>
      <w:pPr>
        <w:spacing w:line="360" w:lineRule="auto"/>
        <w:ind w:firstLine="424" w:firstLineChars="202"/>
        <w:rPr>
          <w:rFonts w:hint="eastAsia"/>
          <w:color w:val="auto"/>
        </w:rPr>
      </w:pPr>
      <w:r>
        <w:rPr>
          <w:rFonts w:hint="eastAsia"/>
          <w:color w:val="auto"/>
        </w:rPr>
        <w:t>2、机组控制系统应具有自动启动、手动启动和停机(包括紧急停机)功能。</w:t>
      </w:r>
    </w:p>
    <w:p>
      <w:pPr>
        <w:spacing w:line="360" w:lineRule="auto"/>
        <w:ind w:firstLine="449" w:firstLineChars="214"/>
        <w:rPr>
          <w:rFonts w:hint="eastAsia"/>
          <w:color w:val="auto"/>
        </w:rPr>
      </w:pPr>
      <w:r>
        <w:rPr>
          <w:rFonts w:hint="eastAsia"/>
          <w:color w:val="auto"/>
        </w:rPr>
        <w:t>3、自动启动</w:t>
      </w:r>
    </w:p>
    <w:p>
      <w:pPr>
        <w:spacing w:line="360" w:lineRule="auto"/>
        <w:ind w:firstLine="449" w:firstLineChars="214"/>
        <w:rPr>
          <w:rFonts w:hint="eastAsia"/>
          <w:color w:val="auto"/>
        </w:rPr>
      </w:pPr>
      <w:r>
        <w:rPr>
          <w:rFonts w:hint="eastAsia"/>
          <w:color w:val="auto"/>
        </w:rPr>
        <w:t>停电后，延时0～300秒（按秒可调）发出启动信号，启动柴油发电机组，机组在常温下启动，启动成功率应大于99％。机组启动成功后应能自动加载。若自启动失败，则发出报警信号，并闭锁自启动回路。</w:t>
      </w:r>
    </w:p>
    <w:p>
      <w:pPr>
        <w:spacing w:line="360" w:lineRule="auto"/>
        <w:ind w:firstLine="449" w:firstLineChars="214"/>
        <w:rPr>
          <w:rFonts w:hint="eastAsia"/>
          <w:color w:val="auto"/>
        </w:rPr>
      </w:pPr>
      <w:r>
        <w:rPr>
          <w:rFonts w:hint="eastAsia"/>
          <w:color w:val="auto"/>
        </w:rPr>
        <w:t>油机启动信号线由</w:t>
      </w:r>
      <w:r>
        <w:rPr>
          <w:rFonts w:hint="eastAsia" w:eastAsia="宋体"/>
          <w:color w:val="auto"/>
          <w:lang w:eastAsia="zh-CN"/>
        </w:rPr>
        <w:t>投标人</w:t>
      </w:r>
      <w:r>
        <w:rPr>
          <w:rFonts w:hint="eastAsia"/>
          <w:color w:val="auto"/>
        </w:rPr>
        <w:t>负责接入油机控制系统中，材料由</w:t>
      </w:r>
      <w:r>
        <w:rPr>
          <w:rFonts w:hint="eastAsia" w:eastAsia="宋体"/>
          <w:color w:val="auto"/>
          <w:lang w:eastAsia="zh-CN"/>
        </w:rPr>
        <w:t>投标人</w:t>
      </w:r>
      <w:r>
        <w:rPr>
          <w:rFonts w:hint="eastAsia"/>
          <w:color w:val="auto"/>
        </w:rPr>
        <w:t>负责。</w:t>
      </w:r>
    </w:p>
    <w:p>
      <w:pPr>
        <w:spacing w:line="360" w:lineRule="auto"/>
        <w:ind w:firstLine="449" w:firstLineChars="214"/>
        <w:rPr>
          <w:rFonts w:hint="eastAsia"/>
          <w:color w:val="auto"/>
        </w:rPr>
      </w:pPr>
      <w:r>
        <w:rPr>
          <w:rFonts w:hint="eastAsia"/>
          <w:color w:val="auto"/>
        </w:rPr>
        <w:t>4、自动停机</w:t>
      </w:r>
    </w:p>
    <w:p>
      <w:pPr>
        <w:spacing w:line="360" w:lineRule="auto"/>
        <w:ind w:firstLine="449" w:firstLineChars="214"/>
        <w:rPr>
          <w:rFonts w:hint="eastAsia"/>
          <w:color w:val="auto"/>
        </w:rPr>
      </w:pPr>
      <w:r>
        <w:rPr>
          <w:rFonts w:hint="eastAsia"/>
          <w:color w:val="auto"/>
        </w:rPr>
        <w:t>市电恢复正常时间达10～30秒后，自动将负载转回市电，机组继续空转运行，约5分钟（可调）后自动停机。</w:t>
      </w:r>
    </w:p>
    <w:p>
      <w:pPr>
        <w:spacing w:line="360" w:lineRule="auto"/>
        <w:ind w:firstLine="449" w:firstLineChars="214"/>
        <w:rPr>
          <w:rFonts w:hint="eastAsia"/>
          <w:color w:val="auto"/>
        </w:rPr>
      </w:pPr>
      <w:r>
        <w:rPr>
          <w:rFonts w:hint="eastAsia"/>
          <w:color w:val="auto"/>
        </w:rPr>
        <w:t>5、自动保护</w:t>
      </w:r>
    </w:p>
    <w:p>
      <w:pPr>
        <w:spacing w:line="360" w:lineRule="auto"/>
        <w:ind w:firstLine="449" w:firstLineChars="214"/>
        <w:rPr>
          <w:rFonts w:hint="eastAsia"/>
          <w:color w:val="auto"/>
        </w:rPr>
      </w:pPr>
      <w:r>
        <w:rPr>
          <w:rFonts w:hint="eastAsia"/>
          <w:color w:val="auto"/>
        </w:rPr>
        <w:t>5.1、机组出现下述故障时自动切断油路并给出声光告警：</w:t>
      </w:r>
    </w:p>
    <w:p>
      <w:pPr>
        <w:spacing w:line="360" w:lineRule="auto"/>
        <w:ind w:firstLine="449" w:firstLineChars="214"/>
        <w:rPr>
          <w:rFonts w:hint="eastAsia"/>
          <w:color w:val="auto"/>
        </w:rPr>
      </w:pPr>
      <w:r>
        <w:rPr>
          <w:rFonts w:hint="eastAsia"/>
          <w:color w:val="auto"/>
        </w:rPr>
        <w:t xml:space="preserve">    ·发电机电压异常（过高、过低）；</w:t>
      </w:r>
    </w:p>
    <w:p>
      <w:pPr>
        <w:spacing w:line="360" w:lineRule="auto"/>
        <w:ind w:firstLine="449" w:firstLineChars="214"/>
        <w:rPr>
          <w:rFonts w:hint="eastAsia"/>
          <w:color w:val="auto"/>
        </w:rPr>
      </w:pPr>
      <w:r>
        <w:rPr>
          <w:rFonts w:hint="eastAsia"/>
          <w:color w:val="auto"/>
        </w:rPr>
        <w:t xml:space="preserve">    ·机油压力低；</w:t>
      </w:r>
    </w:p>
    <w:p>
      <w:pPr>
        <w:spacing w:line="360" w:lineRule="auto"/>
        <w:ind w:firstLine="449" w:firstLineChars="214"/>
        <w:rPr>
          <w:rFonts w:hint="eastAsia"/>
          <w:color w:val="auto"/>
        </w:rPr>
      </w:pPr>
      <w:r>
        <w:rPr>
          <w:rFonts w:hint="eastAsia"/>
          <w:color w:val="auto"/>
        </w:rPr>
        <w:t xml:space="preserve">    ·超速；</w:t>
      </w:r>
    </w:p>
    <w:p>
      <w:pPr>
        <w:spacing w:line="360" w:lineRule="auto"/>
        <w:ind w:firstLine="449" w:firstLineChars="214"/>
        <w:rPr>
          <w:rFonts w:hint="eastAsia"/>
          <w:color w:val="auto"/>
        </w:rPr>
      </w:pPr>
      <w:r>
        <w:rPr>
          <w:rFonts w:hint="eastAsia"/>
          <w:color w:val="auto"/>
        </w:rPr>
        <w:t xml:space="preserve">    ·水温高（水冷机组）/缸温高（风冷机组）；</w:t>
      </w:r>
    </w:p>
    <w:p>
      <w:pPr>
        <w:spacing w:line="360" w:lineRule="auto"/>
        <w:ind w:firstLine="449" w:firstLineChars="214"/>
        <w:rPr>
          <w:rFonts w:hint="eastAsia"/>
          <w:color w:val="auto"/>
        </w:rPr>
      </w:pPr>
      <w:r>
        <w:rPr>
          <w:rFonts w:hint="eastAsia"/>
          <w:color w:val="auto"/>
        </w:rPr>
        <w:t xml:space="preserve">    ·皮带断裂（风冷机组）</w:t>
      </w:r>
    </w:p>
    <w:p>
      <w:pPr>
        <w:spacing w:line="360" w:lineRule="auto"/>
        <w:ind w:firstLine="865" w:firstLineChars="412"/>
        <w:rPr>
          <w:rFonts w:hint="eastAsia"/>
          <w:color w:val="auto"/>
        </w:rPr>
      </w:pPr>
      <w:r>
        <w:rPr>
          <w:rFonts w:hint="eastAsia"/>
          <w:color w:val="auto"/>
        </w:rPr>
        <w:t>·启动失败；</w:t>
      </w:r>
    </w:p>
    <w:p>
      <w:pPr>
        <w:spacing w:line="360" w:lineRule="auto"/>
        <w:ind w:firstLine="449" w:firstLineChars="214"/>
        <w:rPr>
          <w:rFonts w:hint="eastAsia"/>
          <w:color w:val="auto"/>
        </w:rPr>
      </w:pPr>
      <w:r>
        <w:rPr>
          <w:rFonts w:hint="eastAsia"/>
          <w:color w:val="auto"/>
        </w:rPr>
        <w:t>5.2、出现下列情况时，机组所带的输出保护开关应能自动跳闸。</w:t>
      </w:r>
    </w:p>
    <w:p>
      <w:pPr>
        <w:spacing w:line="360" w:lineRule="auto"/>
        <w:ind w:firstLine="865" w:firstLineChars="412"/>
        <w:rPr>
          <w:rFonts w:hint="eastAsia"/>
          <w:color w:val="auto"/>
        </w:rPr>
      </w:pPr>
      <w:r>
        <w:rPr>
          <w:rFonts w:hint="eastAsia"/>
          <w:color w:val="auto"/>
        </w:rPr>
        <w:t>·过载；</w:t>
      </w:r>
    </w:p>
    <w:p>
      <w:pPr>
        <w:spacing w:line="360" w:lineRule="auto"/>
        <w:ind w:firstLine="869" w:firstLineChars="414"/>
        <w:rPr>
          <w:rFonts w:hint="eastAsia"/>
          <w:color w:val="auto"/>
        </w:rPr>
      </w:pPr>
      <w:r>
        <w:rPr>
          <w:rFonts w:hint="eastAsia"/>
          <w:color w:val="auto"/>
        </w:rPr>
        <w:t>·负载短路；</w:t>
      </w:r>
    </w:p>
    <w:p>
      <w:pPr>
        <w:spacing w:line="360" w:lineRule="auto"/>
        <w:ind w:firstLine="449" w:firstLineChars="214"/>
        <w:rPr>
          <w:rFonts w:hint="eastAsia"/>
          <w:color w:val="auto"/>
        </w:rPr>
      </w:pPr>
      <w:r>
        <w:rPr>
          <w:rFonts w:hint="eastAsia"/>
          <w:color w:val="auto"/>
        </w:rPr>
        <w:t>6、机组应具有自动计时功能。</w:t>
      </w:r>
    </w:p>
    <w:p>
      <w:pPr>
        <w:spacing w:line="360" w:lineRule="auto"/>
        <w:ind w:firstLine="449" w:firstLineChars="214"/>
        <w:rPr>
          <w:rFonts w:hint="eastAsia"/>
          <w:color w:val="auto"/>
        </w:rPr>
      </w:pPr>
      <w:r>
        <w:rPr>
          <w:rFonts w:hint="eastAsia"/>
          <w:color w:val="auto"/>
        </w:rPr>
        <w:t>7、机组的遥控、遥信和遥测性能。</w:t>
      </w:r>
    </w:p>
    <w:p>
      <w:pPr>
        <w:spacing w:line="360" w:lineRule="auto"/>
        <w:ind w:firstLine="449" w:firstLineChars="214"/>
        <w:rPr>
          <w:rFonts w:hint="eastAsia"/>
          <w:color w:val="auto"/>
        </w:rPr>
      </w:pPr>
      <w:r>
        <w:rPr>
          <w:rFonts w:hint="eastAsia"/>
          <w:color w:val="auto"/>
        </w:rPr>
        <w:t>7.1、机组应能通过继电器干接点实现下列遥控、遥信功能</w:t>
      </w:r>
    </w:p>
    <w:p>
      <w:pPr>
        <w:spacing w:line="360" w:lineRule="auto"/>
        <w:ind w:firstLine="449" w:firstLineChars="214"/>
        <w:rPr>
          <w:rFonts w:hint="eastAsia"/>
          <w:color w:val="auto"/>
        </w:rPr>
      </w:pPr>
      <w:r>
        <w:rPr>
          <w:rFonts w:hint="eastAsia"/>
          <w:color w:val="auto"/>
        </w:rPr>
        <w:t>遥控项目：遥开机组；遥关机组。</w:t>
      </w:r>
    </w:p>
    <w:p>
      <w:pPr>
        <w:spacing w:line="360" w:lineRule="auto"/>
        <w:ind w:firstLine="449" w:firstLineChars="214"/>
        <w:rPr>
          <w:rFonts w:hint="eastAsia"/>
          <w:color w:val="auto"/>
        </w:rPr>
      </w:pPr>
      <w:r>
        <w:rPr>
          <w:rFonts w:hint="eastAsia"/>
          <w:color w:val="auto"/>
        </w:rPr>
        <w:t>遥信项目：市电中断、机组工作、机组故障、充电器故障。</w:t>
      </w:r>
    </w:p>
    <w:p>
      <w:pPr>
        <w:spacing w:line="360" w:lineRule="auto"/>
        <w:ind w:firstLine="449" w:firstLineChars="214"/>
        <w:rPr>
          <w:rFonts w:hint="eastAsia"/>
          <w:color w:val="auto"/>
        </w:rPr>
      </w:pPr>
      <w:r>
        <w:rPr>
          <w:rFonts w:hint="eastAsia"/>
          <w:color w:val="auto"/>
        </w:rPr>
        <w:t>遥信输出条件：</w:t>
      </w:r>
      <w:r>
        <w:rPr>
          <w:rFonts w:hint="eastAsia" w:eastAsia="宋体"/>
          <w:color w:val="auto"/>
          <w:lang w:eastAsia="zh-CN"/>
        </w:rPr>
        <w:t>投标人</w:t>
      </w:r>
      <w:r>
        <w:rPr>
          <w:rFonts w:hint="eastAsia"/>
          <w:color w:val="auto"/>
        </w:rPr>
        <w:t xml:space="preserve">设备提供485接口，以上状态发生时接点应闭合。 </w:t>
      </w:r>
    </w:p>
    <w:p>
      <w:pPr>
        <w:spacing w:line="360" w:lineRule="auto"/>
        <w:ind w:firstLine="449" w:firstLineChars="214"/>
        <w:rPr>
          <w:rFonts w:hint="eastAsia"/>
          <w:color w:val="auto"/>
        </w:rPr>
      </w:pPr>
      <w:r>
        <w:rPr>
          <w:rFonts w:hint="eastAsia"/>
          <w:color w:val="auto"/>
        </w:rPr>
        <w:t>设备的遥控、遥信和遥测性能应满足YD/T1363-2014《通信局(站)电源、空调及环境集中监控管理系统》的要求。</w:t>
      </w:r>
    </w:p>
    <w:p>
      <w:pPr>
        <w:keepNext w:val="0"/>
        <w:keepLines w:val="0"/>
        <w:widowControl w:val="0"/>
        <w:suppressLineNumbers w:val="0"/>
        <w:spacing w:before="0" w:beforeAutospacing="0" w:after="0" w:afterAutospacing="0" w:line="360" w:lineRule="auto"/>
        <w:ind w:left="0" w:right="0" w:firstLine="449" w:firstLineChars="214"/>
        <w:jc w:val="both"/>
        <w:rPr>
          <w:rFonts w:hint="eastAsia"/>
          <w:color w:val="auto"/>
          <w:lang w:val="en-US"/>
        </w:rPr>
      </w:pPr>
      <w:r>
        <w:rPr>
          <w:rFonts w:hint="eastAsia" w:ascii="Calibri" w:eastAsia="宋体"/>
          <w:color w:val="auto"/>
          <w:lang w:val="en-US" w:eastAsia="zh-CN"/>
        </w:rPr>
        <w:t>8、机组的并机功能。</w:t>
      </w:r>
    </w:p>
    <w:p>
      <w:pPr>
        <w:keepNext w:val="0"/>
        <w:keepLines w:val="0"/>
        <w:widowControl w:val="0"/>
        <w:suppressLineNumbers w:val="0"/>
        <w:spacing w:before="0" w:beforeAutospacing="0" w:after="0" w:afterAutospacing="0" w:line="360" w:lineRule="auto"/>
        <w:ind w:left="0" w:right="0" w:firstLine="449" w:firstLineChars="214"/>
        <w:jc w:val="both"/>
        <w:rPr>
          <w:rFonts w:hint="eastAsia"/>
          <w:color w:val="auto"/>
          <w:lang w:val="en-US" w:eastAsia="zh-CN"/>
        </w:rPr>
      </w:pPr>
      <w:r>
        <w:rPr>
          <w:rFonts w:hint="eastAsia" w:ascii="Calibri" w:eastAsia="宋体"/>
          <w:color w:val="auto"/>
          <w:lang w:val="en-US" w:eastAsia="zh-CN"/>
        </w:rPr>
        <w:t>8.1、机组控制器应具备并机功能：</w:t>
      </w:r>
    </w:p>
    <w:p>
      <w:pPr>
        <w:keepNext w:val="0"/>
        <w:keepLines w:val="0"/>
        <w:widowControl w:val="0"/>
        <w:suppressLineNumbers w:val="0"/>
        <w:spacing w:before="0" w:beforeAutospacing="0" w:after="0" w:afterAutospacing="0" w:line="360" w:lineRule="auto"/>
        <w:ind w:left="0" w:right="0" w:firstLine="449" w:firstLineChars="214"/>
        <w:jc w:val="both"/>
        <w:rPr>
          <w:rFonts w:hint="eastAsia"/>
          <w:color w:val="auto"/>
          <w:lang w:val="en-US" w:eastAsia="zh-CN"/>
        </w:rPr>
      </w:pPr>
      <w:r>
        <w:rPr>
          <w:rFonts w:hint="eastAsia" w:ascii="Calibri" w:eastAsia="宋体"/>
          <w:color w:val="auto"/>
          <w:lang w:val="en-US" w:eastAsia="zh-CN"/>
        </w:rPr>
        <w:t>性能不低于深海、科迈、丹控等品牌。后期应能与相同型号控制器组成并机控制系统，控制双机、多机的并机运行应能控制并机输出柜断路器的合闸及分闸满足多机并机运行的功率管理系统可处理发电机组之间的负载分配以及与负载相关的启动和停止</w:t>
      </w:r>
    </w:p>
    <w:p>
      <w:pPr>
        <w:pStyle w:val="5"/>
        <w:bidi w:val="0"/>
        <w:ind w:firstLine="118" w:firstLineChars="49"/>
        <w:outlineLvl w:val="3"/>
        <w:rPr>
          <w:rFonts w:hint="eastAsia" w:ascii="宋体" w:hAnsi="宋体" w:eastAsia="宋体" w:cs="宋体"/>
          <w:b w:val="0"/>
          <w:bCs/>
          <w:color w:val="auto"/>
          <w:szCs w:val="24"/>
          <w:lang w:val="en-US" w:eastAsia="zh-CN"/>
        </w:rPr>
      </w:pPr>
      <w:r>
        <w:rPr>
          <w:rFonts w:hint="eastAsia"/>
          <w:color w:val="auto"/>
          <w:lang w:val="en-US" w:eastAsia="zh-CN"/>
        </w:rPr>
        <w:t xml:space="preserve">13.2.5 带载性能 </w:t>
      </w:r>
    </w:p>
    <w:p>
      <w:pPr>
        <w:spacing w:line="360" w:lineRule="auto"/>
        <w:rPr>
          <w:rFonts w:hint="eastAsia"/>
          <w:color w:val="auto"/>
        </w:rPr>
      </w:pPr>
      <w:r>
        <w:rPr>
          <w:rFonts w:hint="eastAsia"/>
          <w:color w:val="auto"/>
        </w:rPr>
        <w:t>机组黑启动性能要求：</w:t>
      </w:r>
    </w:p>
    <w:p>
      <w:pPr>
        <w:spacing w:line="360" w:lineRule="auto"/>
        <w:ind w:firstLine="422"/>
        <w:rPr>
          <w:rFonts w:hint="eastAsia"/>
          <w:color w:val="auto"/>
        </w:rPr>
      </w:pPr>
      <w:r>
        <w:rPr>
          <w:rFonts w:hint="eastAsia"/>
          <w:color w:val="auto"/>
        </w:rPr>
        <w:t>黑启动：指冷机启动一次性加载不低于额定功率50%负载功率，具有一步加载达到100%额定负载能力。由于负载主要是通信电源设备，UPS、开关电源、大型空调等谐波干扰大的负载，需发电机组满足泰尔认证和国标GB/T 2820.5-2009的G3标准的瞬态响应条件下；提供数据参数，如加载曲线图和瞬态加载性能参数（电压降、频率降、恢复时间）。</w:t>
      </w:r>
    </w:p>
    <w:p>
      <w:pPr>
        <w:spacing w:line="360" w:lineRule="auto"/>
        <w:rPr>
          <w:rFonts w:hint="eastAsia"/>
          <w:color w:val="auto"/>
        </w:rPr>
      </w:pPr>
      <w:r>
        <w:rPr>
          <w:rFonts w:hint="eastAsia"/>
          <w:color w:val="auto"/>
        </w:rPr>
        <w:t>电压</w:t>
      </w:r>
    </w:p>
    <w:p>
      <w:pPr>
        <w:spacing w:line="360" w:lineRule="auto"/>
        <w:rPr>
          <w:rFonts w:hint="eastAsia"/>
          <w:color w:val="auto"/>
        </w:rPr>
      </w:pPr>
      <w:r>
        <w:rPr>
          <w:rFonts w:hint="eastAsia"/>
          <w:color w:val="auto"/>
        </w:rPr>
        <w:t>1、稳态电压偏差：≤±1%；</w:t>
      </w:r>
    </w:p>
    <w:p>
      <w:pPr>
        <w:spacing w:line="360" w:lineRule="auto"/>
        <w:rPr>
          <w:rFonts w:hint="eastAsia"/>
          <w:color w:val="auto"/>
        </w:rPr>
      </w:pPr>
      <w:r>
        <w:rPr>
          <w:rFonts w:hint="eastAsia"/>
          <w:color w:val="auto"/>
        </w:rPr>
        <w:t>2、瞬态电压偏差：由额定负载突减至空载，重复进行3次，偏差≤+25%；由空载突加至50%额定负载，重复进行3次，偏差≤-15%；</w:t>
      </w:r>
    </w:p>
    <w:p>
      <w:pPr>
        <w:spacing w:line="360" w:lineRule="auto"/>
        <w:rPr>
          <w:rFonts w:hint="eastAsia"/>
          <w:color w:val="auto"/>
        </w:rPr>
      </w:pPr>
      <w:r>
        <w:rPr>
          <w:rFonts w:hint="eastAsia"/>
          <w:color w:val="auto"/>
        </w:rPr>
        <w:t>3、电压恢复时间：≤4s；</w:t>
      </w:r>
    </w:p>
    <w:p>
      <w:pPr>
        <w:spacing w:line="360" w:lineRule="auto"/>
        <w:rPr>
          <w:rFonts w:hint="eastAsia"/>
          <w:color w:val="auto"/>
        </w:rPr>
      </w:pPr>
      <w:r>
        <w:rPr>
          <w:rFonts w:hint="eastAsia"/>
          <w:color w:val="auto"/>
        </w:rPr>
        <w:t>频率</w:t>
      </w:r>
    </w:p>
    <w:p>
      <w:pPr>
        <w:spacing w:line="360" w:lineRule="auto"/>
        <w:rPr>
          <w:rFonts w:hint="eastAsia"/>
          <w:color w:val="auto"/>
        </w:rPr>
      </w:pPr>
      <w:r>
        <w:rPr>
          <w:rFonts w:hint="eastAsia"/>
          <w:color w:val="auto"/>
        </w:rPr>
        <w:t>1、频率降：≤2%；</w:t>
      </w:r>
    </w:p>
    <w:p>
      <w:pPr>
        <w:spacing w:line="360" w:lineRule="auto"/>
        <w:rPr>
          <w:rFonts w:hint="eastAsia"/>
          <w:color w:val="auto"/>
        </w:rPr>
      </w:pPr>
      <w:r>
        <w:rPr>
          <w:rFonts w:hint="eastAsia"/>
          <w:color w:val="auto"/>
        </w:rPr>
        <w:t>2、稳定频率带：≤0.5%；</w:t>
      </w:r>
    </w:p>
    <w:p>
      <w:pPr>
        <w:spacing w:line="360" w:lineRule="auto"/>
        <w:rPr>
          <w:rFonts w:hint="eastAsia"/>
          <w:color w:val="auto"/>
        </w:rPr>
      </w:pPr>
      <w:r>
        <w:rPr>
          <w:rFonts w:hint="eastAsia"/>
          <w:color w:val="auto"/>
        </w:rPr>
        <w:t>3、瞬态频率偏差：由额定负载突减至空载，重复进行3次，偏差≤+10%；由空载突加至50%额定负载，重复进行3次，偏差≤-7%；</w:t>
      </w:r>
    </w:p>
    <w:p>
      <w:pPr>
        <w:spacing w:line="360" w:lineRule="auto"/>
        <w:rPr>
          <w:rFonts w:hint="eastAsia"/>
          <w:color w:val="auto"/>
        </w:rPr>
      </w:pPr>
      <w:r>
        <w:rPr>
          <w:rFonts w:hint="eastAsia"/>
          <w:color w:val="auto"/>
        </w:rPr>
        <w:t>4、频率恢复时间：≤5s</w:t>
      </w:r>
    </w:p>
    <w:p>
      <w:pPr>
        <w:pStyle w:val="5"/>
        <w:bidi w:val="0"/>
        <w:ind w:firstLine="118" w:firstLineChars="49"/>
        <w:outlineLvl w:val="3"/>
        <w:rPr>
          <w:rFonts w:hint="eastAsia" w:ascii="宋体" w:hAnsi="宋体" w:eastAsia="宋体" w:cs="宋体"/>
          <w:b w:val="0"/>
          <w:bCs/>
          <w:color w:val="auto"/>
          <w:szCs w:val="24"/>
          <w:lang w:val="en-US" w:eastAsia="zh-CN"/>
        </w:rPr>
      </w:pPr>
      <w:r>
        <w:rPr>
          <w:rFonts w:hint="eastAsia"/>
          <w:color w:val="auto"/>
          <w:lang w:val="en-US" w:eastAsia="zh-CN"/>
        </w:rPr>
        <w:t>13.2.6 柴油发动机部分</w:t>
      </w:r>
    </w:p>
    <w:p>
      <w:pPr>
        <w:ind w:firstLine="480"/>
        <w:rPr>
          <w:rFonts w:hint="eastAsia"/>
          <w:color w:val="auto"/>
        </w:rPr>
      </w:pPr>
      <w:r>
        <w:rPr>
          <w:rFonts w:hint="eastAsia"/>
          <w:color w:val="auto"/>
        </w:rPr>
        <w:t>1、柴油发动机选用性能良好的产品，发动机额定转速为1500r/min，正常旋转方向为逆时针旋转；</w:t>
      </w:r>
    </w:p>
    <w:p>
      <w:pPr>
        <w:spacing w:line="360" w:lineRule="auto"/>
        <w:ind w:firstLine="420" w:firstLineChars="200"/>
        <w:rPr>
          <w:rFonts w:hint="eastAsia"/>
          <w:color w:val="auto"/>
        </w:rPr>
      </w:pPr>
      <w:r>
        <w:rPr>
          <w:rFonts w:hint="eastAsia"/>
          <w:color w:val="auto"/>
        </w:rPr>
        <w:t>2、发动机燃油系统需为</w:t>
      </w:r>
      <w:r>
        <w:rPr>
          <w:rFonts w:hint="eastAsia" w:ascii="Calibri" w:eastAsia="宋体"/>
          <w:color w:val="auto"/>
          <w:lang w:val="en-US" w:eastAsia="zh-CN"/>
        </w:rPr>
        <w:t>电控</w:t>
      </w:r>
      <w:r>
        <w:rPr>
          <w:rFonts w:hint="eastAsia"/>
          <w:color w:val="auto"/>
        </w:rPr>
        <w:t>，并具备调速稳定装置，超速保护报警及停机；</w:t>
      </w:r>
    </w:p>
    <w:p>
      <w:pPr>
        <w:spacing w:line="360" w:lineRule="auto"/>
        <w:ind w:firstLine="420" w:firstLineChars="200"/>
        <w:rPr>
          <w:rFonts w:hint="eastAsia"/>
          <w:color w:val="auto"/>
        </w:rPr>
      </w:pPr>
      <w:r>
        <w:rPr>
          <w:rFonts w:hint="eastAsia"/>
          <w:color w:val="auto"/>
        </w:rPr>
        <w:t>3、发动机型式需为V型，1</w:t>
      </w:r>
      <w:r>
        <w:rPr>
          <w:rFonts w:hint="eastAsia" w:ascii="Calibri" w:eastAsia="宋体"/>
          <w:color w:val="auto"/>
          <w:lang w:val="en-US" w:eastAsia="zh-CN"/>
        </w:rPr>
        <w:t>6</w:t>
      </w:r>
      <w:r>
        <w:rPr>
          <w:rFonts w:hint="eastAsia"/>
          <w:color w:val="auto"/>
        </w:rPr>
        <w:t>缸；</w:t>
      </w:r>
    </w:p>
    <w:p>
      <w:pPr>
        <w:spacing w:line="360" w:lineRule="auto"/>
        <w:ind w:firstLine="420" w:firstLineChars="200"/>
        <w:rPr>
          <w:rFonts w:hint="eastAsia"/>
          <w:color w:val="auto"/>
        </w:rPr>
      </w:pPr>
      <w:r>
        <w:rPr>
          <w:rFonts w:hint="eastAsia"/>
          <w:color w:val="auto"/>
        </w:rPr>
        <w:t>4、要求发动机排量不小于</w:t>
      </w:r>
      <w:r>
        <w:rPr>
          <w:rFonts w:hint="eastAsia" w:ascii="Calibri" w:eastAsia="宋体"/>
          <w:color w:val="auto"/>
          <w:lang w:val="en-US" w:eastAsia="zh-CN"/>
        </w:rPr>
        <w:t>6</w:t>
      </w:r>
      <w:r>
        <w:rPr>
          <w:rFonts w:hint="eastAsia"/>
          <w:color w:val="auto"/>
        </w:rPr>
        <w:t>0L。</w:t>
      </w:r>
    </w:p>
    <w:p>
      <w:pPr>
        <w:ind w:firstLine="480"/>
        <w:rPr>
          <w:rFonts w:hint="eastAsia"/>
          <w:color w:val="auto"/>
        </w:rPr>
      </w:pPr>
      <w:r>
        <w:rPr>
          <w:rFonts w:hint="eastAsia"/>
          <w:color w:val="auto"/>
        </w:rPr>
        <w:t>5、发动机冷却系统采用强制闭式循环水冷；</w:t>
      </w:r>
    </w:p>
    <w:p>
      <w:pPr>
        <w:ind w:firstLine="480"/>
        <w:rPr>
          <w:rFonts w:hint="eastAsia"/>
          <w:color w:val="auto"/>
        </w:rPr>
      </w:pPr>
      <w:r>
        <w:rPr>
          <w:rFonts w:hint="eastAsia"/>
          <w:color w:val="auto"/>
        </w:rPr>
        <w:t>6、机组配置</w:t>
      </w:r>
      <w:r>
        <w:rPr>
          <w:rFonts w:hint="eastAsia" w:ascii="Calibri" w:eastAsia="宋体"/>
          <w:color w:val="auto"/>
          <w:lang w:val="en-US" w:eastAsia="zh-CN"/>
        </w:rPr>
        <w:t>2个50m³地埋油罐连接机组日用油箱；</w:t>
      </w:r>
      <w:r>
        <w:rPr>
          <w:rFonts w:hint="eastAsia"/>
          <w:color w:val="auto"/>
        </w:rPr>
        <w:t>满足机组满载8小时油箱一套，并设置卸油箱，快速加油口。</w:t>
      </w:r>
    </w:p>
    <w:p>
      <w:pPr>
        <w:ind w:firstLine="480"/>
        <w:rPr>
          <w:rFonts w:hint="eastAsia"/>
          <w:color w:val="auto"/>
        </w:rPr>
      </w:pPr>
      <w:r>
        <w:rPr>
          <w:rFonts w:hint="eastAsia"/>
          <w:color w:val="auto"/>
        </w:rPr>
        <w:t>7、发动机水套安装由恒温控制器控制的电加热器，保持水温38℃左右或按照制造厂商建议温度，以保证需要时，发动机易起动；当发动机投入运转后，加热器应立即被切断，控制屏上设有手动控制通断的开关。</w:t>
      </w:r>
    </w:p>
    <w:p>
      <w:pPr>
        <w:ind w:firstLine="480"/>
        <w:rPr>
          <w:rFonts w:hint="eastAsia"/>
          <w:color w:val="auto"/>
        </w:rPr>
      </w:pPr>
      <w:r>
        <w:rPr>
          <w:rFonts w:hint="eastAsia"/>
          <w:color w:val="auto"/>
        </w:rPr>
        <w:t>9、发动机必须具备以下最低限度的状态指示：油压、油温、发动机温度、运行时数、转速表、电池电压。</w:t>
      </w:r>
    </w:p>
    <w:p>
      <w:pPr>
        <w:ind w:firstLine="480"/>
        <w:rPr>
          <w:rFonts w:hint="eastAsia"/>
          <w:color w:val="auto"/>
        </w:rPr>
      </w:pPr>
      <w:r>
        <w:rPr>
          <w:rFonts w:hint="eastAsia"/>
          <w:color w:val="auto"/>
        </w:rPr>
        <w:t>10、需安装独立的油水分离器。</w:t>
      </w:r>
    </w:p>
    <w:p>
      <w:pPr>
        <w:pStyle w:val="5"/>
        <w:rPr>
          <w:rFonts w:hint="eastAsia" w:ascii="宋体" w:hAnsi="宋体" w:eastAsia="宋体" w:cs="宋体"/>
          <w:b w:val="0"/>
          <w:bCs/>
          <w:color w:val="auto"/>
          <w:szCs w:val="24"/>
          <w:lang w:val="en-US" w:eastAsia="zh-CN"/>
        </w:rPr>
      </w:pPr>
      <w:r>
        <w:rPr>
          <w:rFonts w:hint="eastAsia"/>
          <w:color w:val="auto"/>
          <w:lang w:val="en-US" w:eastAsia="zh-CN"/>
        </w:rPr>
        <w:t>13.2.7 机组控制系统</w:t>
      </w:r>
    </w:p>
    <w:p>
      <w:pPr>
        <w:spacing w:line="360" w:lineRule="auto"/>
        <w:ind w:firstLine="420" w:firstLineChars="200"/>
        <w:rPr>
          <w:rFonts w:hint="eastAsia"/>
          <w:color w:val="auto"/>
        </w:rPr>
      </w:pPr>
      <w:r>
        <w:rPr>
          <w:rFonts w:hint="eastAsia"/>
          <w:color w:val="auto"/>
        </w:rPr>
        <w:t>1、发电机组控制屏选用和机组匹配的同品牌原配控制屏，具备中文显示、三遥、并机功能。发电机组的控制屏应能满足机组运行的机械、电气、震动、电和热应力及在正常运行情况下可能遭受的湿度影响，并配有保护装置以避免控制电路短路所引起的后果。</w:t>
      </w:r>
    </w:p>
    <w:p>
      <w:pPr>
        <w:ind w:firstLine="480"/>
        <w:rPr>
          <w:rFonts w:hint="eastAsia"/>
          <w:color w:val="auto"/>
        </w:rPr>
      </w:pPr>
      <w:r>
        <w:rPr>
          <w:rFonts w:hint="eastAsia"/>
          <w:color w:val="auto"/>
        </w:rPr>
        <w:t>2、控制屏配置按钮：发动机起动按钮，发动机停止按钮，系统复位按钮，用以模拟主电源故障的按钮。</w:t>
      </w:r>
    </w:p>
    <w:p>
      <w:pPr>
        <w:spacing w:line="360" w:lineRule="auto"/>
        <w:ind w:firstLine="420" w:firstLineChars="200"/>
        <w:rPr>
          <w:rFonts w:hint="eastAsia"/>
          <w:color w:val="auto"/>
        </w:rPr>
      </w:pPr>
      <w:r>
        <w:rPr>
          <w:rFonts w:hint="eastAsia"/>
          <w:color w:val="auto"/>
        </w:rPr>
        <w:t>3、柴油发电机组输出柜采用三极空气断路器，带有可调节的发电机过电流保护装置、接地保护、控制和指示器。断路器的容量须与发动机容量相配合，且具备C.B.辅助触点。</w:t>
      </w:r>
    </w:p>
    <w:p>
      <w:pPr>
        <w:spacing w:line="360" w:lineRule="auto"/>
        <w:ind w:firstLine="420" w:firstLineChars="200"/>
        <w:rPr>
          <w:rFonts w:hint="eastAsia"/>
          <w:color w:val="auto"/>
        </w:rPr>
      </w:pPr>
      <w:r>
        <w:rPr>
          <w:rFonts w:hint="eastAsia"/>
          <w:color w:val="auto"/>
        </w:rPr>
        <w:t>4、报警指示灯</w:t>
      </w:r>
    </w:p>
    <w:p>
      <w:pPr>
        <w:ind w:firstLine="480"/>
        <w:rPr>
          <w:rFonts w:hint="eastAsia"/>
          <w:color w:val="auto"/>
        </w:rPr>
      </w:pPr>
      <w:r>
        <w:rPr>
          <w:rFonts w:hint="eastAsia"/>
          <w:color w:val="auto"/>
        </w:rPr>
        <w:t>空气断路器事故跳闸（含发电机过电流、供电母线短路、断相、电压过高、失压等故障）。冷却水温高，机油温度高，机油压力过高，机油压力过低，机油压力低，发动机超速，起动失败，电池系统故障等。</w:t>
      </w:r>
    </w:p>
    <w:p>
      <w:pPr>
        <w:ind w:firstLine="480"/>
        <w:rPr>
          <w:rFonts w:hint="eastAsia"/>
          <w:color w:val="auto"/>
        </w:rPr>
      </w:pPr>
      <w:r>
        <w:rPr>
          <w:rFonts w:hint="eastAsia"/>
          <w:color w:val="auto"/>
        </w:rPr>
        <w:t>5、运行指示灯：</w:t>
      </w:r>
    </w:p>
    <w:p>
      <w:pPr>
        <w:ind w:firstLine="480"/>
        <w:rPr>
          <w:rFonts w:hint="eastAsia"/>
          <w:color w:val="auto"/>
        </w:rPr>
      </w:pPr>
      <w:r>
        <w:rPr>
          <w:rFonts w:hint="eastAsia"/>
          <w:color w:val="auto"/>
        </w:rPr>
        <w:t>a）发动机手动控制运行。</w:t>
      </w:r>
    </w:p>
    <w:p>
      <w:pPr>
        <w:ind w:firstLine="480"/>
        <w:rPr>
          <w:rFonts w:hint="eastAsia"/>
          <w:color w:val="auto"/>
        </w:rPr>
      </w:pPr>
      <w:r>
        <w:rPr>
          <w:rFonts w:hint="eastAsia"/>
          <w:color w:val="auto"/>
        </w:rPr>
        <w:t>b）电池放电。</w:t>
      </w:r>
    </w:p>
    <w:p>
      <w:pPr>
        <w:ind w:firstLine="480"/>
        <w:rPr>
          <w:rFonts w:hint="eastAsia"/>
          <w:color w:val="auto"/>
        </w:rPr>
      </w:pPr>
      <w:r>
        <w:rPr>
          <w:rFonts w:hint="eastAsia"/>
          <w:color w:val="auto"/>
        </w:rPr>
        <w:t>c）空气断路器断开。</w:t>
      </w:r>
    </w:p>
    <w:p>
      <w:pPr>
        <w:ind w:firstLine="480"/>
        <w:rPr>
          <w:rFonts w:hint="eastAsia"/>
          <w:color w:val="auto"/>
        </w:rPr>
      </w:pPr>
      <w:r>
        <w:rPr>
          <w:rFonts w:hint="eastAsia"/>
          <w:color w:val="auto"/>
        </w:rPr>
        <w:t>d）发动机手动控制运行。</w:t>
      </w:r>
    </w:p>
    <w:p>
      <w:pPr>
        <w:ind w:firstLine="480"/>
        <w:rPr>
          <w:rFonts w:hint="eastAsia"/>
          <w:color w:val="auto"/>
        </w:rPr>
      </w:pPr>
      <w:r>
        <w:rPr>
          <w:rFonts w:hint="eastAsia"/>
          <w:color w:val="auto"/>
        </w:rPr>
        <w:t>e）发电机带负载运行。</w:t>
      </w:r>
    </w:p>
    <w:p>
      <w:pPr>
        <w:ind w:firstLine="480"/>
        <w:rPr>
          <w:rFonts w:hint="eastAsia"/>
          <w:color w:val="auto"/>
        </w:rPr>
      </w:pPr>
      <w:r>
        <w:rPr>
          <w:rFonts w:hint="eastAsia"/>
          <w:color w:val="auto"/>
        </w:rPr>
        <w:t>f）主电源供电正常。</w:t>
      </w:r>
    </w:p>
    <w:p>
      <w:pPr>
        <w:ind w:firstLine="480"/>
        <w:rPr>
          <w:rFonts w:hint="eastAsia"/>
          <w:color w:val="auto"/>
        </w:rPr>
      </w:pPr>
      <w:r>
        <w:rPr>
          <w:rFonts w:hint="eastAsia"/>
          <w:color w:val="auto"/>
        </w:rPr>
        <w:t>g）空气断路器主回路正常。</w:t>
      </w:r>
    </w:p>
    <w:p>
      <w:pPr>
        <w:pStyle w:val="4"/>
        <w:bidi w:val="0"/>
        <w:ind w:firstLine="138" w:firstLineChars="49"/>
        <w:outlineLvl w:val="2"/>
        <w:rPr>
          <w:rFonts w:hint="eastAsia" w:ascii="宋体" w:hAnsi="宋体" w:eastAsia="宋体" w:cs="宋体"/>
          <w:color w:val="auto"/>
          <w:szCs w:val="24"/>
          <w:lang w:val="en-US" w:eastAsia="zh-CN"/>
        </w:rPr>
      </w:pPr>
      <w:bookmarkStart w:id="379" w:name="_Toc2997"/>
      <w:bookmarkStart w:id="380" w:name="_Toc30181"/>
      <w:bookmarkStart w:id="381" w:name="_Toc7949"/>
      <w:bookmarkStart w:id="382" w:name="_Toc13671"/>
      <w:r>
        <w:rPr>
          <w:rFonts w:hint="eastAsia"/>
          <w:color w:val="auto"/>
          <w:lang w:val="en-US" w:eastAsia="zh-CN"/>
        </w:rPr>
        <w:t>13.3 柴油发电机组安装及相关配套技术要求</w:t>
      </w:r>
      <w:bookmarkEnd w:id="379"/>
      <w:bookmarkEnd w:id="380"/>
      <w:bookmarkEnd w:id="381"/>
      <w:bookmarkEnd w:id="382"/>
    </w:p>
    <w:p>
      <w:pPr>
        <w:pStyle w:val="5"/>
        <w:bidi w:val="0"/>
        <w:ind w:firstLine="118" w:firstLineChars="49"/>
        <w:outlineLvl w:val="3"/>
        <w:rPr>
          <w:rFonts w:hint="eastAsia" w:ascii="宋体" w:hAnsi="宋体" w:eastAsia="宋体" w:cs="宋体"/>
          <w:b w:val="0"/>
          <w:bCs/>
          <w:color w:val="auto"/>
          <w:szCs w:val="24"/>
          <w:lang w:val="en-US" w:eastAsia="zh-CN"/>
        </w:rPr>
      </w:pPr>
      <w:bookmarkStart w:id="383" w:name="_Toc20305"/>
      <w:r>
        <w:rPr>
          <w:rFonts w:hint="eastAsia"/>
          <w:color w:val="auto"/>
          <w:lang w:val="en-US" w:eastAsia="zh-CN"/>
        </w:rPr>
        <w:t>13.3.1 总体要求</w:t>
      </w:r>
      <w:bookmarkEnd w:id="383"/>
    </w:p>
    <w:p>
      <w:pPr>
        <w:spacing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eastAsia="zh-CN"/>
        </w:rPr>
        <w:t>投标人</w:t>
      </w:r>
      <w:r>
        <w:rPr>
          <w:rFonts w:hint="eastAsia" w:ascii="宋体" w:hAnsi="宋体" w:eastAsia="宋体" w:cs="宋体"/>
          <w:color w:val="auto"/>
          <w:kern w:val="0"/>
          <w:sz w:val="24"/>
          <w:szCs w:val="24"/>
          <w:highlight w:val="none"/>
        </w:rPr>
        <w:t>需提供柴发区域（进风、排风、住宅型消音器、排烟、机房降噪、油罐及供油系统、燃油控制系统等）各子系统的深化设计，深化设计图纸。</w:t>
      </w:r>
    </w:p>
    <w:p>
      <w:pPr>
        <w:spacing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1.1柴油发电机组噪声应达到国家标准《</w:t>
      </w:r>
      <w:r>
        <w:rPr>
          <w:rFonts w:hint="eastAsia" w:ascii="宋体" w:hAnsi="宋体" w:eastAsia="宋体" w:cs="宋体"/>
          <w:color w:val="auto"/>
          <w:sz w:val="24"/>
          <w:szCs w:val="24"/>
          <w:highlight w:val="none"/>
        </w:rPr>
        <w:t>声环境质量标准</w:t>
      </w:r>
      <w:r>
        <w:rPr>
          <w:rFonts w:hint="eastAsia" w:ascii="宋体" w:hAnsi="宋体" w:eastAsia="宋体" w:cs="宋体"/>
          <w:color w:val="auto"/>
          <w:kern w:val="0"/>
          <w:sz w:val="24"/>
          <w:szCs w:val="24"/>
          <w:highlight w:val="none"/>
        </w:rPr>
        <w:t>》（</w:t>
      </w:r>
      <w:r>
        <w:rPr>
          <w:rFonts w:hint="eastAsia" w:ascii="宋体" w:hAnsi="宋体" w:eastAsia="宋体" w:cs="宋体"/>
          <w:color w:val="auto"/>
          <w:sz w:val="24"/>
          <w:szCs w:val="24"/>
          <w:highlight w:val="none"/>
        </w:rPr>
        <w:t>GB 3096-2008</w:t>
      </w:r>
      <w:r>
        <w:rPr>
          <w:rFonts w:hint="eastAsia" w:ascii="宋体" w:hAnsi="宋体" w:eastAsia="宋体" w:cs="宋体"/>
          <w:color w:val="auto"/>
          <w:kern w:val="0"/>
          <w:sz w:val="24"/>
          <w:szCs w:val="24"/>
          <w:highlight w:val="none"/>
        </w:rPr>
        <w:t>）中所在区域类别相应的噪声排放标准。</w:t>
      </w:r>
    </w:p>
    <w:p>
      <w:pPr>
        <w:widowControl/>
        <w:spacing w:line="360" w:lineRule="auto"/>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xml:space="preserve">                    环境噪声限值            单位：dB（A） </w:t>
      </w:r>
    </w:p>
    <w:tbl>
      <w:tblPr>
        <w:tblStyle w:val="22"/>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818"/>
        <w:gridCol w:w="1037"/>
        <w:gridCol w:w="993"/>
        <w:gridCol w:w="4631"/>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818" w:type="dxa"/>
            <w:vAlign w:val="center"/>
          </w:tcPr>
          <w:p>
            <w:pPr>
              <w:keepNext w:val="0"/>
              <w:keepLines w:val="0"/>
              <w:widowControl/>
              <w:suppressLineNumbers w:val="0"/>
              <w:spacing w:before="0" w:beforeAutospacing="0" w:after="0" w:afterAutospacing="0" w:line="240" w:lineRule="auto"/>
              <w:ind w:left="0" w:right="0"/>
              <w:jc w:val="center"/>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类别</w:t>
            </w:r>
          </w:p>
        </w:tc>
        <w:tc>
          <w:tcPr>
            <w:tcW w:w="1037" w:type="dxa"/>
            <w:vAlign w:val="center"/>
          </w:tcPr>
          <w:p>
            <w:pPr>
              <w:keepNext w:val="0"/>
              <w:keepLines w:val="0"/>
              <w:widowControl/>
              <w:suppressLineNumbers w:val="0"/>
              <w:spacing w:before="0" w:beforeAutospacing="0" w:after="0" w:afterAutospacing="0" w:line="240" w:lineRule="auto"/>
              <w:ind w:left="0" w:right="0"/>
              <w:jc w:val="center"/>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昼间</w:t>
            </w:r>
          </w:p>
        </w:tc>
        <w:tc>
          <w:tcPr>
            <w:tcW w:w="993" w:type="dxa"/>
            <w:vAlign w:val="center"/>
          </w:tcPr>
          <w:p>
            <w:pPr>
              <w:keepNext w:val="0"/>
              <w:keepLines w:val="0"/>
              <w:widowControl/>
              <w:suppressLineNumbers w:val="0"/>
              <w:spacing w:before="0" w:beforeAutospacing="0" w:after="0" w:afterAutospacing="0" w:line="240" w:lineRule="auto"/>
              <w:ind w:left="0" w:right="0"/>
              <w:jc w:val="center"/>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夜间</w:t>
            </w:r>
          </w:p>
        </w:tc>
        <w:tc>
          <w:tcPr>
            <w:tcW w:w="4631" w:type="dxa"/>
          </w:tcPr>
          <w:p>
            <w:pPr>
              <w:keepNext w:val="0"/>
              <w:keepLines w:val="0"/>
              <w:widowControl/>
              <w:suppressLineNumbers w:val="0"/>
              <w:spacing w:before="0" w:beforeAutospacing="0" w:after="0" w:afterAutospacing="0" w:line="240" w:lineRule="auto"/>
              <w:ind w:left="0" w:right="0"/>
              <w:jc w:val="left"/>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适用范围</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818" w:type="dxa"/>
            <w:vAlign w:val="center"/>
          </w:tcPr>
          <w:p>
            <w:pPr>
              <w:keepNext w:val="0"/>
              <w:keepLines w:val="0"/>
              <w:widowControl/>
              <w:suppressLineNumbers w:val="0"/>
              <w:spacing w:before="0" w:beforeAutospacing="0" w:after="0" w:afterAutospacing="0" w:line="240" w:lineRule="auto"/>
              <w:ind w:left="0" w:right="0"/>
              <w:jc w:val="center"/>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0</w:t>
            </w:r>
          </w:p>
        </w:tc>
        <w:tc>
          <w:tcPr>
            <w:tcW w:w="1037" w:type="dxa"/>
            <w:vAlign w:val="center"/>
          </w:tcPr>
          <w:p>
            <w:pPr>
              <w:keepNext w:val="0"/>
              <w:keepLines w:val="0"/>
              <w:widowControl/>
              <w:suppressLineNumbers w:val="0"/>
              <w:spacing w:before="0" w:beforeAutospacing="0" w:after="0" w:afterAutospacing="0" w:line="240" w:lineRule="auto"/>
              <w:ind w:left="0" w:right="0"/>
              <w:jc w:val="center"/>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50</w:t>
            </w:r>
          </w:p>
        </w:tc>
        <w:tc>
          <w:tcPr>
            <w:tcW w:w="993" w:type="dxa"/>
            <w:vAlign w:val="center"/>
          </w:tcPr>
          <w:p>
            <w:pPr>
              <w:keepNext w:val="0"/>
              <w:keepLines w:val="0"/>
              <w:widowControl/>
              <w:suppressLineNumbers w:val="0"/>
              <w:spacing w:before="0" w:beforeAutospacing="0" w:after="0" w:afterAutospacing="0" w:line="240" w:lineRule="auto"/>
              <w:ind w:left="0" w:right="0"/>
              <w:jc w:val="center"/>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40</w:t>
            </w:r>
          </w:p>
        </w:tc>
        <w:tc>
          <w:tcPr>
            <w:tcW w:w="4631" w:type="dxa"/>
          </w:tcPr>
          <w:p>
            <w:pPr>
              <w:keepNext w:val="0"/>
              <w:keepLines w:val="0"/>
              <w:widowControl/>
              <w:suppressLineNumbers w:val="0"/>
              <w:spacing w:before="0" w:beforeAutospacing="0" w:after="0" w:afterAutospacing="0" w:line="240" w:lineRule="auto"/>
              <w:ind w:left="0" w:right="0"/>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疗养区、高级别墅区、高级宾馆区</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818" w:type="dxa"/>
            <w:vAlign w:val="center"/>
          </w:tcPr>
          <w:p>
            <w:pPr>
              <w:keepNext w:val="0"/>
              <w:keepLines w:val="0"/>
              <w:widowControl/>
              <w:suppressLineNumbers w:val="0"/>
              <w:spacing w:before="0" w:beforeAutospacing="0" w:after="0" w:afterAutospacing="0" w:line="240" w:lineRule="auto"/>
              <w:ind w:left="0" w:right="0"/>
              <w:jc w:val="center"/>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1</w:t>
            </w:r>
          </w:p>
        </w:tc>
        <w:tc>
          <w:tcPr>
            <w:tcW w:w="1037" w:type="dxa"/>
            <w:vAlign w:val="center"/>
          </w:tcPr>
          <w:p>
            <w:pPr>
              <w:keepNext w:val="0"/>
              <w:keepLines w:val="0"/>
              <w:widowControl/>
              <w:suppressLineNumbers w:val="0"/>
              <w:spacing w:before="0" w:beforeAutospacing="0" w:after="0" w:afterAutospacing="0" w:line="240" w:lineRule="auto"/>
              <w:ind w:left="0" w:right="0"/>
              <w:jc w:val="center"/>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55</w:t>
            </w:r>
          </w:p>
        </w:tc>
        <w:tc>
          <w:tcPr>
            <w:tcW w:w="993" w:type="dxa"/>
            <w:vAlign w:val="center"/>
          </w:tcPr>
          <w:p>
            <w:pPr>
              <w:keepNext w:val="0"/>
              <w:keepLines w:val="0"/>
              <w:widowControl/>
              <w:suppressLineNumbers w:val="0"/>
              <w:spacing w:before="0" w:beforeAutospacing="0" w:after="0" w:afterAutospacing="0" w:line="240" w:lineRule="auto"/>
              <w:ind w:left="0" w:right="0"/>
              <w:jc w:val="center"/>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45</w:t>
            </w:r>
          </w:p>
        </w:tc>
        <w:tc>
          <w:tcPr>
            <w:tcW w:w="4631" w:type="dxa"/>
          </w:tcPr>
          <w:p>
            <w:pPr>
              <w:keepNext w:val="0"/>
              <w:keepLines w:val="0"/>
              <w:widowControl/>
              <w:suppressLineNumbers w:val="0"/>
              <w:spacing w:before="0" w:beforeAutospacing="0" w:after="0" w:afterAutospacing="0" w:line="240" w:lineRule="auto"/>
              <w:ind w:left="0" w:right="0"/>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以居住、文教机关为主的区域</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818" w:type="dxa"/>
            <w:vAlign w:val="center"/>
          </w:tcPr>
          <w:p>
            <w:pPr>
              <w:keepNext w:val="0"/>
              <w:keepLines w:val="0"/>
              <w:widowControl/>
              <w:suppressLineNumbers w:val="0"/>
              <w:spacing w:before="0" w:beforeAutospacing="0" w:after="0" w:afterAutospacing="0" w:line="240" w:lineRule="auto"/>
              <w:ind w:left="0" w:right="0"/>
              <w:jc w:val="center"/>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2</w:t>
            </w:r>
          </w:p>
        </w:tc>
        <w:tc>
          <w:tcPr>
            <w:tcW w:w="1037" w:type="dxa"/>
            <w:vAlign w:val="center"/>
          </w:tcPr>
          <w:p>
            <w:pPr>
              <w:keepNext w:val="0"/>
              <w:keepLines w:val="0"/>
              <w:widowControl/>
              <w:suppressLineNumbers w:val="0"/>
              <w:spacing w:before="0" w:beforeAutospacing="0" w:after="0" w:afterAutospacing="0" w:line="240" w:lineRule="auto"/>
              <w:ind w:left="0" w:right="0"/>
              <w:jc w:val="center"/>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60</w:t>
            </w:r>
          </w:p>
        </w:tc>
        <w:tc>
          <w:tcPr>
            <w:tcW w:w="993" w:type="dxa"/>
            <w:vAlign w:val="center"/>
          </w:tcPr>
          <w:p>
            <w:pPr>
              <w:keepNext w:val="0"/>
              <w:keepLines w:val="0"/>
              <w:widowControl/>
              <w:suppressLineNumbers w:val="0"/>
              <w:spacing w:before="0" w:beforeAutospacing="0" w:after="0" w:afterAutospacing="0" w:line="240" w:lineRule="auto"/>
              <w:ind w:left="0" w:right="0"/>
              <w:jc w:val="center"/>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50</w:t>
            </w:r>
          </w:p>
        </w:tc>
        <w:tc>
          <w:tcPr>
            <w:tcW w:w="4631" w:type="dxa"/>
          </w:tcPr>
          <w:p>
            <w:pPr>
              <w:keepNext w:val="0"/>
              <w:keepLines w:val="0"/>
              <w:widowControl/>
              <w:suppressLineNumbers w:val="0"/>
              <w:spacing w:before="0" w:beforeAutospacing="0" w:after="0" w:afterAutospacing="0" w:line="240" w:lineRule="auto"/>
              <w:ind w:left="0" w:right="0"/>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居住、商业、工业混杂区及商业中心区</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818" w:type="dxa"/>
            <w:vAlign w:val="center"/>
          </w:tcPr>
          <w:p>
            <w:pPr>
              <w:keepNext w:val="0"/>
              <w:keepLines w:val="0"/>
              <w:widowControl/>
              <w:suppressLineNumbers w:val="0"/>
              <w:spacing w:before="0" w:beforeAutospacing="0" w:after="0" w:afterAutospacing="0" w:line="240" w:lineRule="auto"/>
              <w:ind w:left="0" w:right="0"/>
              <w:jc w:val="center"/>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3</w:t>
            </w:r>
          </w:p>
        </w:tc>
        <w:tc>
          <w:tcPr>
            <w:tcW w:w="1037" w:type="dxa"/>
            <w:vAlign w:val="center"/>
          </w:tcPr>
          <w:p>
            <w:pPr>
              <w:keepNext w:val="0"/>
              <w:keepLines w:val="0"/>
              <w:widowControl/>
              <w:suppressLineNumbers w:val="0"/>
              <w:spacing w:before="0" w:beforeAutospacing="0" w:after="0" w:afterAutospacing="0" w:line="240" w:lineRule="auto"/>
              <w:ind w:left="0" w:right="0"/>
              <w:jc w:val="center"/>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65</w:t>
            </w:r>
          </w:p>
        </w:tc>
        <w:tc>
          <w:tcPr>
            <w:tcW w:w="993" w:type="dxa"/>
            <w:vAlign w:val="center"/>
          </w:tcPr>
          <w:p>
            <w:pPr>
              <w:keepNext w:val="0"/>
              <w:keepLines w:val="0"/>
              <w:widowControl/>
              <w:suppressLineNumbers w:val="0"/>
              <w:spacing w:before="0" w:beforeAutospacing="0" w:after="0" w:afterAutospacing="0" w:line="240" w:lineRule="auto"/>
              <w:ind w:left="0" w:right="0"/>
              <w:jc w:val="center"/>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55</w:t>
            </w:r>
          </w:p>
        </w:tc>
        <w:tc>
          <w:tcPr>
            <w:tcW w:w="4631" w:type="dxa"/>
          </w:tcPr>
          <w:p>
            <w:pPr>
              <w:keepNext w:val="0"/>
              <w:keepLines w:val="0"/>
              <w:widowControl/>
              <w:suppressLineNumbers w:val="0"/>
              <w:spacing w:before="0" w:beforeAutospacing="0" w:after="0" w:afterAutospacing="0" w:line="240" w:lineRule="auto"/>
              <w:ind w:left="0" w:right="0"/>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工业区</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818" w:type="dxa"/>
            <w:vAlign w:val="center"/>
          </w:tcPr>
          <w:p>
            <w:pPr>
              <w:keepNext w:val="0"/>
              <w:keepLines w:val="0"/>
              <w:widowControl/>
              <w:suppressLineNumbers w:val="0"/>
              <w:spacing w:before="0" w:beforeAutospacing="0" w:after="0" w:afterAutospacing="0" w:line="240" w:lineRule="auto"/>
              <w:ind w:left="0" w:right="0"/>
              <w:jc w:val="center"/>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4a</w:t>
            </w:r>
          </w:p>
        </w:tc>
        <w:tc>
          <w:tcPr>
            <w:tcW w:w="1037" w:type="dxa"/>
            <w:vAlign w:val="center"/>
          </w:tcPr>
          <w:p>
            <w:pPr>
              <w:keepNext w:val="0"/>
              <w:keepLines w:val="0"/>
              <w:widowControl/>
              <w:suppressLineNumbers w:val="0"/>
              <w:spacing w:before="0" w:beforeAutospacing="0" w:after="0" w:afterAutospacing="0" w:line="240" w:lineRule="auto"/>
              <w:ind w:left="0" w:right="0"/>
              <w:jc w:val="center"/>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70</w:t>
            </w:r>
          </w:p>
        </w:tc>
        <w:tc>
          <w:tcPr>
            <w:tcW w:w="993" w:type="dxa"/>
            <w:vAlign w:val="center"/>
          </w:tcPr>
          <w:p>
            <w:pPr>
              <w:keepNext w:val="0"/>
              <w:keepLines w:val="0"/>
              <w:widowControl/>
              <w:suppressLineNumbers w:val="0"/>
              <w:spacing w:before="0" w:beforeAutospacing="0" w:after="0" w:afterAutospacing="0" w:line="240" w:lineRule="auto"/>
              <w:ind w:left="0" w:right="0"/>
              <w:jc w:val="center"/>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55</w:t>
            </w:r>
          </w:p>
        </w:tc>
        <w:tc>
          <w:tcPr>
            <w:tcW w:w="4631" w:type="dxa"/>
          </w:tcPr>
          <w:p>
            <w:pPr>
              <w:keepNext w:val="0"/>
              <w:keepLines w:val="0"/>
              <w:widowControl/>
              <w:suppressLineNumbers w:val="0"/>
              <w:spacing w:before="0" w:beforeAutospacing="0" w:after="0" w:afterAutospacing="0" w:line="240" w:lineRule="auto"/>
              <w:ind w:left="0" w:right="0"/>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公路、快速路等交通干线道路两侧区域</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818" w:type="dxa"/>
            <w:vAlign w:val="center"/>
          </w:tcPr>
          <w:p>
            <w:pPr>
              <w:keepNext w:val="0"/>
              <w:keepLines w:val="0"/>
              <w:widowControl/>
              <w:suppressLineNumbers w:val="0"/>
              <w:spacing w:before="0" w:beforeAutospacing="0" w:after="0" w:afterAutospacing="0" w:line="240" w:lineRule="auto"/>
              <w:ind w:left="0" w:right="0"/>
              <w:jc w:val="center"/>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4b</w:t>
            </w:r>
          </w:p>
        </w:tc>
        <w:tc>
          <w:tcPr>
            <w:tcW w:w="1037" w:type="dxa"/>
            <w:vAlign w:val="center"/>
          </w:tcPr>
          <w:p>
            <w:pPr>
              <w:keepNext w:val="0"/>
              <w:keepLines w:val="0"/>
              <w:widowControl/>
              <w:suppressLineNumbers w:val="0"/>
              <w:spacing w:before="0" w:beforeAutospacing="0" w:after="0" w:afterAutospacing="0" w:line="240" w:lineRule="auto"/>
              <w:ind w:left="0" w:right="0"/>
              <w:jc w:val="center"/>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70</w:t>
            </w:r>
          </w:p>
        </w:tc>
        <w:tc>
          <w:tcPr>
            <w:tcW w:w="993" w:type="dxa"/>
            <w:vAlign w:val="center"/>
          </w:tcPr>
          <w:p>
            <w:pPr>
              <w:keepNext w:val="0"/>
              <w:keepLines w:val="0"/>
              <w:widowControl/>
              <w:suppressLineNumbers w:val="0"/>
              <w:spacing w:before="0" w:beforeAutospacing="0" w:after="0" w:afterAutospacing="0" w:line="240" w:lineRule="auto"/>
              <w:ind w:left="0" w:right="0"/>
              <w:jc w:val="center"/>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60</w:t>
            </w:r>
          </w:p>
        </w:tc>
        <w:tc>
          <w:tcPr>
            <w:tcW w:w="4631" w:type="dxa"/>
          </w:tcPr>
          <w:p>
            <w:pPr>
              <w:keepNext w:val="0"/>
              <w:keepLines w:val="0"/>
              <w:widowControl/>
              <w:suppressLineNumbers w:val="0"/>
              <w:spacing w:before="0" w:beforeAutospacing="0" w:after="0" w:afterAutospacing="0" w:line="240" w:lineRule="auto"/>
              <w:ind w:left="0" w:right="0"/>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铁路干线两侧区域</w:t>
            </w:r>
          </w:p>
        </w:tc>
      </w:tr>
    </w:tbl>
    <w:p>
      <w:pPr>
        <w:widowControl/>
        <w:spacing w:line="360" w:lineRule="auto"/>
        <w:ind w:firstLine="360" w:firstLineChars="15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噪声应满足2类，在工程建设中需贯彻“三同时”原则，即要求一切新建、扩建、改建工程的防治污染措施必须与主体工程同时设计、同时施工、同时投产，将噪声治理作为工程建设项目的一部分。</w:t>
      </w:r>
    </w:p>
    <w:p>
      <w:pPr>
        <w:widowControl/>
        <w:snapToGrid/>
        <w:spacing w:line="360" w:lineRule="auto"/>
        <w:ind w:firstLine="360" w:firstLineChars="15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1.2应根据实际情况确定柴油发电机噪声处理、排烟治理工程的处理规模和处理工艺，做到保护环境、经济合理、技术可靠。</w:t>
      </w:r>
    </w:p>
    <w:p>
      <w:pPr>
        <w:widowControl/>
        <w:snapToGrid/>
        <w:spacing w:line="360" w:lineRule="auto"/>
        <w:ind w:firstLine="360" w:firstLineChars="15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1.3处理工程技术方案的选择应符合环境影响评价报告书批复文件的要求，柴油发电机噪声、排烟处理后应能达到有关国家和地方排放标准的规定。</w:t>
      </w:r>
    </w:p>
    <w:p>
      <w:pPr>
        <w:widowControl/>
        <w:snapToGrid/>
        <w:spacing w:line="360" w:lineRule="auto"/>
        <w:ind w:firstLine="360" w:firstLineChars="15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1.4工程中采用的设备和材料必须是环保及阻燃或不燃产品，满足消防安全要求。</w:t>
      </w:r>
    </w:p>
    <w:p>
      <w:pPr>
        <w:widowControl/>
        <w:snapToGrid/>
        <w:spacing w:line="360" w:lineRule="auto"/>
        <w:ind w:firstLine="360" w:firstLineChars="15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1.5通信用柴油发电机组消噪音工程必须贯彻国家技术政策，合理利用资源，执行国家防空、抗震、消防和环境保护等有关标准的规定。</w:t>
      </w:r>
    </w:p>
    <w:p>
      <w:pPr>
        <w:widowControl/>
        <w:snapToGrid/>
        <w:spacing w:line="360" w:lineRule="auto"/>
        <w:ind w:firstLine="360" w:firstLineChars="15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1.6机组因消除噪音而引起的功率损失不得超过该机组额定功率的5%。</w:t>
      </w:r>
    </w:p>
    <w:p>
      <w:pPr>
        <w:widowControl/>
        <w:snapToGrid/>
        <w:spacing w:line="360" w:lineRule="auto"/>
        <w:ind w:firstLine="360" w:firstLineChars="15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1.7设计总体方案、设备选型等近期建设规模应与远期发展规划相结合，同时根据建设和发展情况、经济效果、使用寿命、扩建可能等因素，进行多方案技术经济比较，选择可靠性高、工程造价和维护成本低的方案。设计应做到切合实际、经济合理、安全适用。</w:t>
      </w:r>
    </w:p>
    <w:p>
      <w:pPr>
        <w:widowControl/>
        <w:snapToGrid/>
        <w:spacing w:line="360" w:lineRule="auto"/>
        <w:ind w:firstLine="360" w:firstLineChars="15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1.8设备在选型时应采用国家环保部门认可的检测机构鉴定合格的产品。</w:t>
      </w:r>
    </w:p>
    <w:p>
      <w:pPr>
        <w:widowControl/>
        <w:snapToGrid/>
        <w:spacing w:line="360" w:lineRule="auto"/>
        <w:ind w:firstLine="360" w:firstLineChars="15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1.9本规定与国家有关标准和规范有矛盾时，应以国家标准和规范为准。</w:t>
      </w:r>
    </w:p>
    <w:p>
      <w:pPr>
        <w:widowControl/>
        <w:snapToGrid/>
        <w:spacing w:line="360" w:lineRule="auto"/>
        <w:ind w:firstLine="360" w:firstLineChars="15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1.10要求百叶窗自动开启，具备手动打开功能。</w:t>
      </w:r>
    </w:p>
    <w:p>
      <w:pPr>
        <w:widowControl/>
        <w:snapToGrid/>
        <w:spacing w:line="360" w:lineRule="auto"/>
        <w:ind w:firstLine="360" w:firstLineChars="15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1</w:t>
      </w:r>
      <w:r>
        <w:rPr>
          <w:rFonts w:hint="eastAsia" w:ascii="宋体" w:hAnsi="宋体" w:eastAsia="宋体" w:cs="宋体"/>
          <w:color w:val="auto"/>
          <w:kern w:val="0"/>
          <w:sz w:val="24"/>
          <w:szCs w:val="24"/>
          <w:highlight w:val="none"/>
          <w:lang w:val="en-US" w:eastAsia="zh-CN"/>
        </w:rPr>
        <w:t>.11</w:t>
      </w:r>
      <w:r>
        <w:rPr>
          <w:rFonts w:hint="eastAsia" w:ascii="宋体" w:hAnsi="宋体" w:eastAsia="宋体" w:cs="宋体"/>
          <w:color w:val="auto"/>
          <w:kern w:val="0"/>
          <w:sz w:val="24"/>
          <w:szCs w:val="24"/>
          <w:highlight w:val="none"/>
        </w:rPr>
        <w:t>油机并机及控制系统技术要求</w:t>
      </w:r>
    </w:p>
    <w:p>
      <w:pPr>
        <w:widowControl/>
        <w:snapToGrid/>
        <w:spacing w:line="360" w:lineRule="auto"/>
        <w:ind w:firstLine="360" w:firstLineChars="15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油机启动信号由高压柜厂家根据油机厂家及建设单位控制逻辑要求给出，即：高压柜厂家给出接口，信号线缆敷设由油机厂家完成。</w:t>
      </w:r>
    </w:p>
    <w:p>
      <w:pPr>
        <w:widowControl/>
        <w:snapToGrid/>
        <w:spacing w:line="360" w:lineRule="auto"/>
        <w:ind w:firstLine="360" w:firstLineChars="15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10kV油机并机模块由油机厂家提供。</w:t>
      </w:r>
    </w:p>
    <w:p>
      <w:pPr>
        <w:pStyle w:val="5"/>
        <w:rPr>
          <w:rFonts w:hint="eastAsia" w:ascii="宋体" w:hAnsi="宋体" w:eastAsia="宋体" w:cs="宋体"/>
          <w:color w:val="auto"/>
          <w:szCs w:val="24"/>
          <w:highlight w:val="none"/>
          <w:lang w:val="en-US" w:eastAsia="zh-CN"/>
        </w:rPr>
      </w:pPr>
      <w:r>
        <w:rPr>
          <w:rFonts w:hint="default"/>
          <w:color w:val="auto"/>
          <w:lang w:val="en-US" w:eastAsia="zh-CN"/>
        </w:rPr>
        <w:t>1</w:t>
      </w:r>
      <w:r>
        <w:rPr>
          <w:rFonts w:hint="eastAsia"/>
          <w:color w:val="auto"/>
          <w:lang w:val="en-US" w:eastAsia="zh-CN"/>
        </w:rPr>
        <w:t>3.</w:t>
      </w:r>
      <w:r>
        <w:rPr>
          <w:rFonts w:hint="default"/>
          <w:color w:val="auto"/>
          <w:lang w:val="en-US" w:eastAsia="zh-CN"/>
        </w:rPr>
        <w:t>3.2 燃油系统</w:t>
      </w:r>
    </w:p>
    <w:p>
      <w:pPr>
        <w:spacing w:line="360" w:lineRule="auto"/>
        <w:rPr>
          <w:rFonts w:hint="eastAsia"/>
          <w:color w:val="auto"/>
        </w:rPr>
      </w:pPr>
      <w:r>
        <w:rPr>
          <w:rFonts w:hint="eastAsia" w:ascii="Calibri" w:eastAsia="宋体"/>
          <w:color w:val="auto"/>
          <w:lang w:val="en-US" w:eastAsia="zh-CN"/>
        </w:rPr>
        <w:t xml:space="preserve">13.3.2.1 </w:t>
      </w:r>
      <w:r>
        <w:rPr>
          <w:rFonts w:hint="eastAsia"/>
          <w:color w:val="auto"/>
        </w:rPr>
        <w:t>地埋油罐要求：</w:t>
      </w:r>
    </w:p>
    <w:p>
      <w:pPr>
        <w:spacing w:line="360" w:lineRule="auto"/>
        <w:rPr>
          <w:rFonts w:hint="eastAsia"/>
          <w:color w:val="auto"/>
        </w:rPr>
      </w:pPr>
      <w:r>
        <w:rPr>
          <w:rFonts w:hint="eastAsia"/>
          <w:color w:val="auto"/>
        </w:rPr>
        <w:t>1</w:t>
      </w:r>
      <w:r>
        <w:rPr>
          <w:rFonts w:hint="eastAsia" w:ascii="Calibri" w:eastAsia="宋体"/>
          <w:color w:val="auto"/>
          <w:lang w:val="en-US" w:eastAsia="zh-CN"/>
        </w:rPr>
        <w:t xml:space="preserve">. </w:t>
      </w:r>
      <w:r>
        <w:rPr>
          <w:rFonts w:hint="eastAsia"/>
          <w:color w:val="auto"/>
        </w:rPr>
        <w:t>油罐需使用优质钢板，需要埋地防腐处理，及配液位计。埋地油罐设置在园区指定地点，满足消防、环保的相关规范要求。</w:t>
      </w:r>
      <w:r>
        <w:rPr>
          <w:rFonts w:hint="eastAsia" w:ascii="Calibri" w:eastAsia="宋体"/>
          <w:color w:val="auto"/>
          <w:lang w:val="en-US" w:eastAsia="zh-CN"/>
        </w:rPr>
        <w:t>其设计、加工技术标准参照《小型立、卧式油罐图集》（02R111）</w:t>
      </w:r>
      <w:r>
        <w:rPr>
          <w:rFonts w:hint="eastAsia" w:eastAsia="宋体"/>
          <w:color w:val="auto"/>
          <w:lang w:eastAsia="zh-CN"/>
        </w:rPr>
        <w:t>。</w:t>
      </w:r>
    </w:p>
    <w:p>
      <w:pPr>
        <w:rPr>
          <w:rFonts w:hint="eastAsia"/>
          <w:color w:val="auto"/>
        </w:rPr>
      </w:pPr>
      <w:r>
        <w:rPr>
          <w:rFonts w:hint="eastAsia"/>
          <w:color w:val="auto"/>
        </w:rPr>
        <w:t>2</w:t>
      </w:r>
      <w:r>
        <w:rPr>
          <w:rFonts w:hint="eastAsia" w:ascii="Calibri" w:eastAsia="宋体"/>
          <w:color w:val="auto"/>
          <w:lang w:val="en-US" w:eastAsia="zh-CN"/>
        </w:rPr>
        <w:t xml:space="preserve">. </w:t>
      </w:r>
      <w:r>
        <w:rPr>
          <w:rFonts w:hint="eastAsia"/>
          <w:color w:val="auto"/>
        </w:rPr>
        <w:t>埋地罐体应进行防腐处理。防腐前应对金属表面进行彻底除锈。罐体防腐应满足《石油化工设备和管道涂料防腐蚀技术规范》要求。防腐等级为特加强级防腐处理。使用寿命应达到15年以上。</w:t>
      </w:r>
    </w:p>
    <w:p>
      <w:pPr>
        <w:spacing w:line="360" w:lineRule="auto"/>
        <w:rPr>
          <w:rFonts w:hint="eastAsia"/>
          <w:color w:val="auto"/>
        </w:rPr>
      </w:pPr>
      <w:r>
        <w:rPr>
          <w:rFonts w:hint="eastAsia"/>
          <w:color w:val="auto"/>
        </w:rPr>
        <w:t>3</w:t>
      </w:r>
      <w:r>
        <w:rPr>
          <w:rFonts w:hint="eastAsia" w:ascii="Calibri" w:eastAsia="宋体"/>
          <w:color w:val="auto"/>
          <w:lang w:val="en-US" w:eastAsia="zh-CN"/>
        </w:rPr>
        <w:t xml:space="preserve">. </w:t>
      </w:r>
      <w:r>
        <w:rPr>
          <w:rFonts w:hint="eastAsia"/>
          <w:color w:val="auto"/>
        </w:rPr>
        <w:t>埋地罐安装完毕后应进行严密性和强度试验。</w:t>
      </w:r>
    </w:p>
    <w:p>
      <w:pPr>
        <w:spacing w:line="360" w:lineRule="auto"/>
        <w:rPr>
          <w:rFonts w:hint="eastAsia"/>
          <w:color w:val="auto"/>
        </w:rPr>
      </w:pPr>
      <w:r>
        <w:rPr>
          <w:rFonts w:hint="eastAsia"/>
          <w:color w:val="auto"/>
        </w:rPr>
        <w:t>4</w:t>
      </w:r>
      <w:r>
        <w:rPr>
          <w:rFonts w:hint="eastAsia" w:ascii="Calibri" w:eastAsia="宋体"/>
          <w:color w:val="auto"/>
          <w:lang w:val="en-US" w:eastAsia="zh-CN"/>
        </w:rPr>
        <w:t xml:space="preserve">. </w:t>
      </w:r>
      <w:r>
        <w:rPr>
          <w:rFonts w:hint="eastAsia"/>
          <w:color w:val="auto"/>
        </w:rPr>
        <w:t>油泵及控制箱应选择防爆型产品。</w:t>
      </w:r>
      <w:r>
        <w:rPr>
          <w:rFonts w:hint="eastAsia"/>
          <w:color w:val="auto"/>
        </w:rPr>
        <w:tab/>
      </w:r>
    </w:p>
    <w:p>
      <w:pPr>
        <w:spacing w:line="360" w:lineRule="auto"/>
        <w:rPr>
          <w:rFonts w:hint="eastAsia"/>
          <w:color w:val="auto"/>
        </w:rPr>
      </w:pPr>
      <w:r>
        <w:rPr>
          <w:rFonts w:hint="eastAsia"/>
          <w:color w:val="auto"/>
        </w:rPr>
        <w:t>5</w:t>
      </w:r>
      <w:r>
        <w:rPr>
          <w:rFonts w:hint="eastAsia" w:ascii="Calibri" w:eastAsia="宋体"/>
          <w:color w:val="auto"/>
          <w:lang w:val="en-US" w:eastAsia="zh-CN"/>
        </w:rPr>
        <w:t xml:space="preserve">. </w:t>
      </w:r>
      <w:r>
        <w:rPr>
          <w:rFonts w:hint="eastAsia"/>
          <w:color w:val="auto"/>
        </w:rPr>
        <w:t>地下油罐的储油量应能满足柴油发电机同时以持续运行</w:t>
      </w:r>
      <w:r>
        <w:rPr>
          <w:rFonts w:hint="eastAsia" w:ascii="Calibri" w:eastAsia="宋体"/>
          <w:color w:val="auto"/>
          <w:lang w:val="en-US" w:eastAsia="zh-CN"/>
        </w:rPr>
        <w:t>72</w:t>
      </w:r>
      <w:r>
        <w:rPr>
          <w:rFonts w:hint="eastAsia"/>
          <w:color w:val="auto"/>
        </w:rPr>
        <w:t>小时的燃油量需求；设置</w:t>
      </w:r>
      <w:r>
        <w:rPr>
          <w:rFonts w:hint="eastAsia" w:ascii="Calibri" w:eastAsia="宋体"/>
          <w:color w:val="auto"/>
          <w:lang w:val="en-US" w:eastAsia="zh-CN"/>
        </w:rPr>
        <w:t>2</w:t>
      </w:r>
      <w:r>
        <w:rPr>
          <w:rFonts w:hint="eastAsia"/>
          <w:color w:val="auto"/>
        </w:rPr>
        <w:t>个</w:t>
      </w:r>
      <w:r>
        <w:rPr>
          <w:rFonts w:hint="eastAsia" w:ascii="Calibri" w:eastAsia="宋体"/>
          <w:color w:val="auto"/>
          <w:lang w:val="en-US" w:eastAsia="zh-CN"/>
        </w:rPr>
        <w:t>5</w:t>
      </w:r>
      <w:r>
        <w:rPr>
          <w:rFonts w:hint="eastAsia"/>
          <w:color w:val="auto"/>
        </w:rPr>
        <w:t>0m³储油罐</w:t>
      </w:r>
      <w:r>
        <w:rPr>
          <w:rFonts w:hint="eastAsia" w:eastAsia="宋体"/>
          <w:color w:val="auto"/>
          <w:lang w:eastAsia="zh-CN"/>
        </w:rPr>
        <w:t>（</w:t>
      </w:r>
      <w:r>
        <w:rPr>
          <w:rFonts w:hint="eastAsia"/>
          <w:color w:val="auto"/>
        </w:rPr>
        <w:t>室外供油系统的设计需考虑后续工程的油机的供油，预留接口</w:t>
      </w:r>
      <w:r>
        <w:rPr>
          <w:rFonts w:hint="eastAsia" w:eastAsia="宋体"/>
          <w:color w:val="auto"/>
          <w:lang w:eastAsia="zh-CN"/>
        </w:rPr>
        <w:t>）</w:t>
      </w:r>
      <w:r>
        <w:rPr>
          <w:rFonts w:hint="eastAsia"/>
          <w:color w:val="auto"/>
        </w:rPr>
        <w:t>。</w:t>
      </w:r>
    </w:p>
    <w:p>
      <w:pPr>
        <w:spacing w:line="360" w:lineRule="auto"/>
        <w:rPr>
          <w:rFonts w:hint="eastAsia"/>
          <w:color w:val="auto"/>
        </w:rPr>
      </w:pPr>
      <w:r>
        <w:rPr>
          <w:rFonts w:hint="eastAsia" w:ascii="Calibri" w:eastAsia="宋体"/>
          <w:color w:val="auto"/>
          <w:lang w:val="en-US" w:eastAsia="zh-CN"/>
        </w:rPr>
        <w:t xml:space="preserve">13.3.2.2 </w:t>
      </w:r>
      <w:r>
        <w:rPr>
          <w:rFonts w:hint="eastAsia"/>
          <w:color w:val="auto"/>
        </w:rPr>
        <w:t>日用油箱要求</w:t>
      </w:r>
    </w:p>
    <w:p>
      <w:pPr>
        <w:bidi w:val="0"/>
        <w:spacing w:line="360" w:lineRule="auto"/>
        <w:rPr>
          <w:rFonts w:hint="eastAsia"/>
          <w:color w:val="auto"/>
        </w:rPr>
      </w:pPr>
      <w:r>
        <w:rPr>
          <w:rFonts w:hint="eastAsia"/>
          <w:color w:val="auto"/>
        </w:rPr>
        <w:t>1</w:t>
      </w:r>
      <w:r>
        <w:rPr>
          <w:rFonts w:hint="eastAsia" w:ascii="Calibri" w:eastAsia="宋体"/>
          <w:color w:val="auto"/>
          <w:lang w:val="en-US" w:eastAsia="zh-CN"/>
        </w:rPr>
        <w:t xml:space="preserve">. </w:t>
      </w:r>
      <w:r>
        <w:rPr>
          <w:rFonts w:hint="eastAsia" w:eastAsia="宋体"/>
          <w:color w:val="auto"/>
          <w:lang w:eastAsia="zh-CN"/>
        </w:rPr>
        <w:t>投标人</w:t>
      </w:r>
      <w:r>
        <w:rPr>
          <w:rFonts w:hint="eastAsia"/>
          <w:color w:val="auto"/>
        </w:rPr>
        <w:t>负责提供日用油箱等保证整个系统正常运行的油路系统以及深化设计。</w:t>
      </w:r>
    </w:p>
    <w:p>
      <w:pPr>
        <w:bidi w:val="0"/>
        <w:spacing w:line="360" w:lineRule="auto"/>
        <w:rPr>
          <w:rFonts w:hint="eastAsia"/>
          <w:color w:val="auto"/>
        </w:rPr>
      </w:pPr>
      <w:r>
        <w:rPr>
          <w:rFonts w:hint="eastAsia"/>
          <w:color w:val="auto"/>
        </w:rPr>
        <w:t>2</w:t>
      </w:r>
      <w:r>
        <w:rPr>
          <w:rFonts w:hint="eastAsia" w:ascii="Calibri" w:eastAsia="宋体"/>
          <w:color w:val="auto"/>
          <w:lang w:val="en-US" w:eastAsia="zh-CN"/>
        </w:rPr>
        <w:t xml:space="preserve">. </w:t>
      </w:r>
      <w:r>
        <w:rPr>
          <w:rFonts w:hint="eastAsia"/>
          <w:color w:val="auto"/>
        </w:rPr>
        <w:t>日用油箱用5毫米厚钢板制作，然后涂上两层红丹及沥青油的保护层，外加支架，端部成盘形或凸缘形，全部采用电焊。安装前，应去除表面的锈和油渍。</w:t>
      </w:r>
    </w:p>
    <w:p>
      <w:pPr>
        <w:bidi w:val="0"/>
        <w:spacing w:line="360" w:lineRule="auto"/>
        <w:rPr>
          <w:rFonts w:hint="eastAsia"/>
          <w:color w:val="auto"/>
        </w:rPr>
      </w:pPr>
      <w:r>
        <w:rPr>
          <w:rFonts w:hint="eastAsia"/>
          <w:color w:val="auto"/>
        </w:rPr>
        <w:t>3</w:t>
      </w:r>
      <w:r>
        <w:rPr>
          <w:rFonts w:hint="eastAsia" w:ascii="Calibri" w:eastAsia="宋体"/>
          <w:color w:val="auto"/>
          <w:lang w:val="en-US" w:eastAsia="zh-CN"/>
        </w:rPr>
        <w:t xml:space="preserve">. </w:t>
      </w:r>
      <w:r>
        <w:rPr>
          <w:rFonts w:hint="eastAsia"/>
          <w:color w:val="auto"/>
        </w:rPr>
        <w:t>日用油箱备有检查孔盖，通风孔，存燃料盘等．透气管须离地5米并远离窗门及其它进风口达至2 米．透气管顶部有阻火器及防虫网，防上鸟类，昆虫，树叶等的进入。</w:t>
      </w:r>
    </w:p>
    <w:p>
      <w:pPr>
        <w:bidi w:val="0"/>
        <w:spacing w:line="360" w:lineRule="auto"/>
        <w:rPr>
          <w:rFonts w:hint="eastAsia"/>
          <w:color w:val="auto"/>
        </w:rPr>
      </w:pPr>
      <w:r>
        <w:rPr>
          <w:rFonts w:hint="eastAsia" w:ascii="Calibri" w:eastAsia="宋体"/>
          <w:color w:val="auto"/>
          <w:lang w:val="en-US" w:eastAsia="zh-CN"/>
        </w:rPr>
        <w:t xml:space="preserve">4. </w:t>
      </w:r>
      <w:r>
        <w:rPr>
          <w:rFonts w:hint="eastAsia"/>
          <w:color w:val="auto"/>
        </w:rPr>
        <w:t>不超过120 网孔形过滤器接在外接线路上。</w:t>
      </w:r>
    </w:p>
    <w:p>
      <w:pPr>
        <w:bidi w:val="0"/>
        <w:spacing w:line="360" w:lineRule="auto"/>
        <w:rPr>
          <w:rFonts w:hint="eastAsia"/>
          <w:color w:val="auto"/>
        </w:rPr>
      </w:pPr>
      <w:r>
        <w:rPr>
          <w:rFonts w:hint="eastAsia" w:ascii="Calibri" w:eastAsia="宋体"/>
          <w:color w:val="auto"/>
          <w:lang w:val="en-US" w:eastAsia="zh-CN"/>
        </w:rPr>
        <w:t xml:space="preserve">5. </w:t>
      </w:r>
      <w:r>
        <w:rPr>
          <w:rFonts w:hint="eastAsia"/>
          <w:color w:val="auto"/>
        </w:rPr>
        <w:t>在日用油箱至发电机之间，燃料供应线路上配有手动关闭阀，以便紧急时关闭设备之用．而该手动拉柄应设于油箱房门外旁之墙上。</w:t>
      </w:r>
    </w:p>
    <w:p>
      <w:pPr>
        <w:bidi w:val="0"/>
        <w:spacing w:line="360" w:lineRule="auto"/>
        <w:rPr>
          <w:rFonts w:hint="eastAsia"/>
          <w:color w:val="auto"/>
        </w:rPr>
      </w:pPr>
      <w:r>
        <w:rPr>
          <w:rFonts w:hint="eastAsia" w:ascii="Calibri" w:eastAsia="宋体"/>
          <w:color w:val="auto"/>
          <w:lang w:val="en-US" w:eastAsia="zh-CN"/>
        </w:rPr>
        <w:t xml:space="preserve">6. </w:t>
      </w:r>
      <w:r>
        <w:rPr>
          <w:rFonts w:hint="eastAsia"/>
          <w:color w:val="auto"/>
        </w:rPr>
        <w:t>各燃油箱应装有低油位开关及两级警报，能分别在燃料容量下降至50％和20％时发出警报。日用燃油箱应设有通气管连阻火器连接至室外及油箱房外手动排油阀排油至室外储油箱作紧急时用。</w:t>
      </w:r>
    </w:p>
    <w:p>
      <w:pPr>
        <w:bidi w:val="0"/>
        <w:spacing w:line="360" w:lineRule="auto"/>
        <w:rPr>
          <w:rFonts w:hint="eastAsia"/>
          <w:color w:val="auto"/>
        </w:rPr>
      </w:pPr>
      <w:r>
        <w:rPr>
          <w:rFonts w:hint="eastAsia" w:ascii="Calibri" w:eastAsia="宋体"/>
          <w:color w:val="auto"/>
          <w:lang w:val="en-US" w:eastAsia="zh-CN"/>
        </w:rPr>
        <w:t xml:space="preserve">7. </w:t>
      </w:r>
      <w:r>
        <w:rPr>
          <w:rFonts w:hint="eastAsia"/>
          <w:color w:val="auto"/>
        </w:rPr>
        <w:t>供油和回油管道系统应安装在离温度超过200℃ 的表而至少50mm 的地方。如采用软油管，所选材料应能耐250℃ 之高温。</w:t>
      </w:r>
    </w:p>
    <w:p>
      <w:pPr>
        <w:bidi w:val="0"/>
        <w:spacing w:line="360" w:lineRule="auto"/>
        <w:rPr>
          <w:rFonts w:hint="eastAsia"/>
          <w:color w:val="auto"/>
        </w:rPr>
      </w:pPr>
      <w:r>
        <w:rPr>
          <w:rFonts w:hint="eastAsia" w:ascii="Calibri" w:eastAsia="宋体"/>
          <w:color w:val="auto"/>
          <w:lang w:val="en-US" w:eastAsia="zh-CN"/>
        </w:rPr>
        <w:t xml:space="preserve">8. </w:t>
      </w:r>
      <w:r>
        <w:rPr>
          <w:rFonts w:hint="eastAsia"/>
          <w:color w:val="auto"/>
        </w:rPr>
        <w:t>所有直径不足150mm 或150mm 的钢管都应符合BS1387 的重型质量标准。直径为200mm 或以上的导管应符合BS3601第410级。</w:t>
      </w:r>
    </w:p>
    <w:p>
      <w:pPr>
        <w:bidi w:val="0"/>
        <w:spacing w:line="360" w:lineRule="auto"/>
        <w:rPr>
          <w:rFonts w:hint="eastAsia"/>
          <w:color w:val="auto"/>
        </w:rPr>
      </w:pPr>
      <w:r>
        <w:rPr>
          <w:rFonts w:hint="eastAsia" w:ascii="Calibri" w:eastAsia="宋体"/>
          <w:color w:val="auto"/>
          <w:lang w:val="en-US" w:eastAsia="zh-CN"/>
        </w:rPr>
        <w:t xml:space="preserve">9. </w:t>
      </w:r>
      <w:r>
        <w:rPr>
          <w:rFonts w:hint="eastAsia"/>
          <w:color w:val="auto"/>
        </w:rPr>
        <w:t>对于管道系统和配件的要求如下：</w:t>
      </w:r>
    </w:p>
    <w:p>
      <w:pPr>
        <w:bidi w:val="0"/>
        <w:spacing w:line="360" w:lineRule="auto"/>
        <w:rPr>
          <w:rFonts w:hint="eastAsia"/>
          <w:color w:val="auto"/>
        </w:rPr>
      </w:pPr>
      <w:r>
        <w:rPr>
          <w:rFonts w:hint="eastAsia"/>
          <w:color w:val="auto"/>
        </w:rPr>
        <w:t>（1）法兰应是平焊式，同BS1560中第二部分的第150类相一致。螺旋配件应用展性铁制成，而螺纹应符合BS21标准。</w:t>
      </w:r>
    </w:p>
    <w:p>
      <w:pPr>
        <w:bidi w:val="0"/>
        <w:spacing w:line="360" w:lineRule="auto"/>
        <w:rPr>
          <w:rFonts w:hint="eastAsia"/>
          <w:color w:val="auto"/>
        </w:rPr>
      </w:pPr>
      <w:r>
        <w:rPr>
          <w:rFonts w:hint="eastAsia"/>
          <w:color w:val="auto"/>
        </w:rPr>
        <w:t>（2）所有螺纹接头都应清理干净，刻螺纹并拧紧。用于各汽油或柴油的所有接合材料都应是耐汽油和耐柴油的，不应使用由橡胶或压缩石棉纤维做成的垫圈。</w:t>
      </w:r>
    </w:p>
    <w:p>
      <w:pPr>
        <w:bidi w:val="0"/>
        <w:spacing w:line="360" w:lineRule="auto"/>
        <w:rPr>
          <w:rFonts w:hint="eastAsia"/>
          <w:color w:val="auto"/>
        </w:rPr>
      </w:pPr>
      <w:r>
        <w:rPr>
          <w:rFonts w:hint="eastAsia"/>
          <w:color w:val="auto"/>
        </w:rPr>
        <w:t>（3）应特别注意确保所有导管和配件都仔细扩孔以保证导管的整个孔径都维持良好，如有需要则在安装前先清理干净。</w:t>
      </w:r>
    </w:p>
    <w:p>
      <w:pPr>
        <w:bidi w:val="0"/>
        <w:spacing w:line="360" w:lineRule="auto"/>
        <w:rPr>
          <w:rFonts w:hint="eastAsia"/>
          <w:color w:val="auto"/>
        </w:rPr>
      </w:pPr>
      <w:r>
        <w:rPr>
          <w:rFonts w:hint="eastAsia"/>
          <w:color w:val="auto"/>
        </w:rPr>
        <w:t>（4）不应使用直角弯管，长半径弯头应优先于圆角弯头使用。</w:t>
      </w:r>
    </w:p>
    <w:p>
      <w:pPr>
        <w:bidi w:val="0"/>
        <w:spacing w:line="360" w:lineRule="auto"/>
        <w:rPr>
          <w:rFonts w:hint="eastAsia"/>
          <w:color w:val="auto"/>
        </w:rPr>
      </w:pPr>
      <w:r>
        <w:rPr>
          <w:rFonts w:hint="eastAsia"/>
          <w:color w:val="auto"/>
        </w:rPr>
        <w:t>（5）供应及安装所需的所有阀。阀应是“全程”式以允许燃油的自由流动。</w:t>
      </w:r>
    </w:p>
    <w:p>
      <w:pPr>
        <w:bidi w:val="0"/>
        <w:spacing w:line="360" w:lineRule="auto"/>
        <w:rPr>
          <w:rFonts w:hint="eastAsia"/>
          <w:color w:val="auto"/>
        </w:rPr>
      </w:pPr>
      <w:r>
        <w:rPr>
          <w:rFonts w:hint="eastAsia"/>
          <w:color w:val="auto"/>
        </w:rPr>
        <w:t>（6）必须的圆形管道系统管道系统支架和紧固件应根据工程師的指示装在适当位置，用以增强牢固性以减少由地面不稳带来的应力。</w:t>
      </w:r>
    </w:p>
    <w:p>
      <w:pPr>
        <w:bidi w:val="0"/>
        <w:spacing w:line="360" w:lineRule="auto"/>
        <w:rPr>
          <w:rFonts w:hint="eastAsia"/>
          <w:color w:val="auto"/>
        </w:rPr>
      </w:pPr>
      <w:r>
        <w:rPr>
          <w:rFonts w:hint="eastAsia"/>
          <w:color w:val="auto"/>
        </w:rPr>
        <w:t>（7）接合材料应是耐柴油的。</w:t>
      </w:r>
    </w:p>
    <w:p>
      <w:pPr>
        <w:bidi w:val="0"/>
        <w:spacing w:line="360" w:lineRule="auto"/>
        <w:rPr>
          <w:rFonts w:hint="eastAsia"/>
          <w:color w:val="auto"/>
        </w:rPr>
      </w:pPr>
      <w:r>
        <w:rPr>
          <w:rFonts w:hint="eastAsia" w:ascii="Calibri" w:eastAsia="宋体"/>
          <w:color w:val="auto"/>
          <w:lang w:val="en-US" w:eastAsia="zh-CN"/>
        </w:rPr>
        <w:t xml:space="preserve">10. </w:t>
      </w:r>
      <w:r>
        <w:rPr>
          <w:rFonts w:hint="eastAsia"/>
          <w:color w:val="auto"/>
        </w:rPr>
        <w:t>所有管道系统在安装后应立即涂一层红丹涂层或等效物以及两层优质涂料面漆。输油管路必须有保温处理，以确保冬季启动时可以随时供油启动。输油管道必须采用无缝钢管材料。</w:t>
      </w:r>
    </w:p>
    <w:p>
      <w:pPr>
        <w:bidi w:val="0"/>
        <w:spacing w:line="360" w:lineRule="auto"/>
        <w:rPr>
          <w:rFonts w:hint="eastAsia"/>
          <w:color w:val="auto"/>
        </w:rPr>
      </w:pPr>
      <w:r>
        <w:rPr>
          <w:rFonts w:hint="eastAsia" w:ascii="Calibri" w:eastAsia="宋体"/>
          <w:color w:val="auto"/>
          <w:lang w:val="en-US" w:eastAsia="zh-CN"/>
        </w:rPr>
        <w:t xml:space="preserve">11. </w:t>
      </w:r>
      <w:r>
        <w:rPr>
          <w:rFonts w:hint="eastAsia"/>
          <w:color w:val="auto"/>
        </w:rPr>
        <w:t>提供1000L的日用油箱，尺寸与油箱结构由</w:t>
      </w:r>
      <w:r>
        <w:rPr>
          <w:rFonts w:hint="eastAsia" w:eastAsia="宋体"/>
          <w:color w:val="auto"/>
          <w:lang w:eastAsia="zh-CN"/>
        </w:rPr>
        <w:t>投标人</w:t>
      </w:r>
      <w:r>
        <w:rPr>
          <w:rFonts w:hint="eastAsia"/>
          <w:color w:val="auto"/>
        </w:rPr>
        <w:t>自行设计，在满足维护间距的基础上，应满足现场安装条件。</w:t>
      </w:r>
    </w:p>
    <w:p>
      <w:pPr>
        <w:bidi w:val="0"/>
        <w:spacing w:line="360" w:lineRule="auto"/>
        <w:rPr>
          <w:rFonts w:hint="eastAsia"/>
          <w:color w:val="auto"/>
        </w:rPr>
      </w:pPr>
      <w:r>
        <w:rPr>
          <w:rFonts w:hint="eastAsia" w:ascii="Calibri" w:eastAsia="宋体"/>
          <w:color w:val="auto"/>
          <w:lang w:val="en-US" w:eastAsia="zh-CN"/>
        </w:rPr>
        <w:t xml:space="preserve">12. </w:t>
      </w:r>
      <w:r>
        <w:rPr>
          <w:rFonts w:hint="eastAsia"/>
          <w:color w:val="auto"/>
        </w:rPr>
        <w:t>日用油箱的防护与安装设计</w:t>
      </w:r>
    </w:p>
    <w:p>
      <w:pPr>
        <w:bidi w:val="0"/>
        <w:spacing w:line="360" w:lineRule="auto"/>
        <w:rPr>
          <w:rFonts w:hint="eastAsia"/>
          <w:color w:val="auto"/>
        </w:rPr>
      </w:pPr>
      <w:r>
        <w:rPr>
          <w:rFonts w:hint="eastAsia"/>
          <w:color w:val="auto"/>
        </w:rPr>
        <w:t xml:space="preserve">   在日用油箱设计方面，除却正常的燃油系统进回油管路、与大型储油罐的进油管路、快速卸油管路、排泄孔等传统设计外；还必须满足以下要求：</w:t>
      </w:r>
    </w:p>
    <w:p>
      <w:pPr>
        <w:bidi w:val="0"/>
        <w:spacing w:line="360" w:lineRule="auto"/>
        <w:rPr>
          <w:rFonts w:hint="eastAsia"/>
          <w:color w:val="auto"/>
        </w:rPr>
      </w:pPr>
      <w:r>
        <w:rPr>
          <w:rFonts w:hint="eastAsia"/>
          <w:color w:val="auto"/>
        </w:rPr>
        <w:t>（1）自动液位控制，油箱设置就地液位显示和高低液位开关及进油管电磁阀，高低液位开关连锁闭合及断开电磁阀，实现由油库向油箱自动注油。当处于安全高油位的时候，应能够自动停止从油库进油，当处于安全低油位时，应能够自动从油库进油。</w:t>
      </w:r>
    </w:p>
    <w:p>
      <w:pPr>
        <w:bidi w:val="0"/>
        <w:spacing w:line="360" w:lineRule="auto"/>
        <w:rPr>
          <w:rFonts w:hint="eastAsia"/>
          <w:color w:val="auto"/>
        </w:rPr>
      </w:pPr>
      <w:r>
        <w:rPr>
          <w:rFonts w:hint="eastAsia"/>
          <w:color w:val="auto"/>
        </w:rPr>
        <w:t>（2）箱体需要保留有人工加油或者清理、更换日用油箱的足够空间与通道；</w:t>
      </w:r>
    </w:p>
    <w:p>
      <w:pPr>
        <w:bidi w:val="0"/>
        <w:spacing w:line="360" w:lineRule="auto"/>
        <w:rPr>
          <w:rFonts w:hint="eastAsia" w:ascii="宋体" w:hAnsi="宋体" w:eastAsia="宋体" w:cs="宋体"/>
          <w:color w:val="auto"/>
          <w:szCs w:val="24"/>
        </w:rPr>
      </w:pPr>
      <w:r>
        <w:rPr>
          <w:rFonts w:hint="eastAsia"/>
          <w:color w:val="auto"/>
        </w:rPr>
        <w:t>（3）投标人提供日用油箱进出油电动球阀、就地、远程液位计和温度传感器，电动球阀应采用</w:t>
      </w:r>
      <w:r>
        <w:rPr>
          <w:rFonts w:hint="eastAsia" w:eastAsia="宋体"/>
          <w:color w:val="auto"/>
          <w:lang w:eastAsia="zh-CN"/>
        </w:rPr>
        <w:t>招标人</w:t>
      </w:r>
      <w:r>
        <w:rPr>
          <w:rFonts w:hint="eastAsia"/>
          <w:color w:val="auto"/>
        </w:rPr>
        <w:t>认可的国内外知名品牌。</w:t>
      </w:r>
    </w:p>
    <w:p>
      <w:pPr>
        <w:pStyle w:val="10"/>
        <w:bidi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r>
        <w:rPr>
          <w:rFonts w:hint="eastAsia" w:ascii="宋体" w:hAnsi="宋体" w:cs="宋体"/>
          <w:color w:val="auto"/>
          <w:sz w:val="24"/>
          <w:szCs w:val="24"/>
          <w:lang w:val="en-US" w:eastAsia="zh-CN"/>
        </w:rPr>
        <w:t>3</w:t>
      </w:r>
      <w:r>
        <w:rPr>
          <w:rFonts w:hint="eastAsia" w:ascii="宋体" w:hAnsi="宋体" w:eastAsia="宋体" w:cs="宋体"/>
          <w:color w:val="auto"/>
          <w:sz w:val="24"/>
          <w:szCs w:val="24"/>
          <w:lang w:val="en-US" w:eastAsia="zh-CN"/>
        </w:rPr>
        <w:t>.3.3 供油系统控制要求：</w:t>
      </w:r>
    </w:p>
    <w:p>
      <w:pPr>
        <w:pStyle w:val="1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 </w:t>
      </w:r>
      <w:r>
        <w:rPr>
          <w:rFonts w:hint="eastAsia" w:ascii="宋体" w:hAnsi="宋体" w:eastAsia="宋体" w:cs="宋体"/>
          <w:color w:val="auto"/>
          <w:sz w:val="24"/>
          <w:szCs w:val="24"/>
        </w:rPr>
        <w:t>总体要求：供油系统应包括燃油控制箱（控制油泵启停、油位显示及告警）、日用燃油箱、配套电动油泵和电磁阀、上述箱体之间的油管、日用油箱至油机的输回油管、地下油罐等配套设施。供油系统及其监控由</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根据设计原理图自行设计，设计方案应能满足</w:t>
      </w:r>
      <w:r>
        <w:rPr>
          <w:rFonts w:hint="eastAsia" w:ascii="宋体" w:hAnsi="宋体" w:eastAsia="宋体" w:cs="宋体"/>
          <w:color w:val="auto"/>
          <w:sz w:val="24"/>
          <w:szCs w:val="24"/>
          <w:lang w:eastAsia="zh-CN"/>
        </w:rPr>
        <w:t>招标人</w:t>
      </w:r>
      <w:r>
        <w:rPr>
          <w:rFonts w:hint="eastAsia" w:ascii="宋体" w:hAnsi="宋体" w:eastAsia="宋体" w:cs="宋体"/>
          <w:color w:val="auto"/>
          <w:sz w:val="24"/>
          <w:szCs w:val="24"/>
        </w:rPr>
        <w:t>的要求，日用油箱的供油、回油、溢油管路、管路材料及保温等应能满足国家及地方规范、施工标准及现场环境安装要求，保证供油系统的安全、稳定、可靠使用。在投标文件中需要对整个燃料储存和输送系统之供应和安装详加说明，按本节之说明提供设计完整的燃料储存和分配系统。</w:t>
      </w:r>
    </w:p>
    <w:p>
      <w:pPr>
        <w:pStyle w:val="1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 </w:t>
      </w:r>
      <w:r>
        <w:rPr>
          <w:rFonts w:hint="eastAsia" w:ascii="宋体" w:hAnsi="宋体" w:eastAsia="宋体" w:cs="宋体"/>
          <w:color w:val="auto"/>
          <w:sz w:val="24"/>
          <w:szCs w:val="24"/>
        </w:rPr>
        <w:t>柴发系统运行监测系统功能要求：包括但不限于柴油发电机组、油路系统、油位、配电开关状态、电力运行状态等柴发系统设备范围内的监控信号集中于</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提供的控制柜内。监控系统满足电力监控系统及BMS系统间数据传输采集。</w:t>
      </w:r>
    </w:p>
    <w:p>
      <w:pPr>
        <w:pStyle w:val="1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 </w:t>
      </w:r>
      <w:r>
        <w:rPr>
          <w:rFonts w:hint="eastAsia" w:ascii="宋体" w:hAnsi="宋体" w:eastAsia="宋体" w:cs="宋体"/>
          <w:color w:val="auto"/>
          <w:sz w:val="24"/>
          <w:szCs w:val="24"/>
        </w:rPr>
        <w:t>监控电缆（柴油发电机并机系统内部的监控电缆，柴发系统监控统一接口至电力和数据中心电力监控系统的监控电缆）由</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完成；</w:t>
      </w:r>
    </w:p>
    <w:p>
      <w:pPr>
        <w:pStyle w:val="1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 </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负责柴油发电机内的通讯电缆、并机电缆等柴油发电机电缆控制电缆的供应、敷设、端接等工作。</w:t>
      </w:r>
    </w:p>
    <w:p>
      <w:pPr>
        <w:pStyle w:val="10"/>
        <w:bidi w:val="0"/>
        <w:spacing w:line="360" w:lineRule="auto"/>
        <w:rPr>
          <w:rFonts w:hint="eastAsia" w:ascii="宋体" w:hAnsi="宋体" w:eastAsia="宋体" w:cs="宋体"/>
          <w:color w:val="auto"/>
          <w:sz w:val="24"/>
          <w:szCs w:val="24"/>
        </w:rPr>
      </w:pPr>
      <w:bookmarkStart w:id="384" w:name="_Toc754"/>
      <w:r>
        <w:rPr>
          <w:rFonts w:hint="eastAsia" w:ascii="宋体" w:hAnsi="宋体" w:eastAsia="宋体" w:cs="宋体"/>
          <w:color w:val="auto"/>
          <w:sz w:val="24"/>
          <w:szCs w:val="24"/>
          <w:lang w:val="en-US" w:eastAsia="zh-CN"/>
        </w:rPr>
        <w:t xml:space="preserve">5. </w:t>
      </w:r>
      <w:r>
        <w:rPr>
          <w:rFonts w:hint="eastAsia" w:ascii="宋体" w:hAnsi="宋体" w:eastAsia="宋体" w:cs="宋体"/>
          <w:color w:val="auto"/>
          <w:sz w:val="24"/>
          <w:szCs w:val="24"/>
        </w:rPr>
        <w:t>日用油箱高、低油位控制进油管电动球阀的关、开，供油泵与电动球阀连锁，任何一电动球阀打开，供油泵启动，全部电动球阀关闭，供油泵停止。</w:t>
      </w:r>
    </w:p>
    <w:p>
      <w:pPr>
        <w:pStyle w:val="1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 </w:t>
      </w:r>
      <w:r>
        <w:rPr>
          <w:rFonts w:hint="eastAsia" w:ascii="宋体" w:hAnsi="宋体" w:eastAsia="宋体" w:cs="宋体"/>
          <w:color w:val="auto"/>
          <w:sz w:val="24"/>
          <w:szCs w:val="24"/>
        </w:rPr>
        <w:t>日用油箱配置就地、远程液位计和温度传感器。日用油箱油位显示、液位报警和油温状态、供油泵工作和故障状态等信息均可远传至燃油监控系统。</w:t>
      </w:r>
    </w:p>
    <w:p>
      <w:pPr>
        <w:pStyle w:val="1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7. </w:t>
      </w:r>
      <w:r>
        <w:rPr>
          <w:rFonts w:hint="eastAsia" w:ascii="宋体" w:hAnsi="宋体" w:eastAsia="宋体" w:cs="宋体"/>
          <w:color w:val="auto"/>
          <w:sz w:val="24"/>
          <w:szCs w:val="24"/>
        </w:rPr>
        <w:t>供油系统工作方式：</w:t>
      </w:r>
    </w:p>
    <w:p>
      <w:pPr>
        <w:pStyle w:val="1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（1）供油系统中设置油泵，负责将储油罐内燃油送至油机房储油间内的日用燃油箱内。每个储油罐至少应配置1主1备两个燃油泵。</w:t>
      </w:r>
    </w:p>
    <w:p>
      <w:pPr>
        <w:pStyle w:val="1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供油系统应自带RS485接口，并免费提供监控协议，方便监控系统采集油位、油温、燃油流量，油泵工作状态等燃油供给系统监控数据。可实现自动和手动控制转换，在自动方式情况下，油位在低位时，自动启动油泵工作，油位到达高位时自动停止油泵工作。在手动方式情况下，通过操作启停按钮控制油泵的工作和停止。</w:t>
      </w:r>
    </w:p>
    <w:p>
      <w:pPr>
        <w:pStyle w:val="1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（3）燃油箱进出油口处应有柴油过滤和油水分离器。燃油箱应带液位显示，以便维护人员随时掌握油量情况。</w:t>
      </w:r>
    </w:p>
    <w:p>
      <w:pPr>
        <w:pStyle w:val="1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（4）</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根据油机设备安装环境及机房情况，对燃油供给系统进行深化设计，满足整套柴油发电机组系统正常运行的需求。</w:t>
      </w:r>
    </w:p>
    <w:p>
      <w:pPr>
        <w:pStyle w:val="10"/>
        <w:bidi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r>
        <w:rPr>
          <w:rFonts w:hint="eastAsia" w:ascii="宋体" w:hAnsi="宋体" w:cs="宋体"/>
          <w:color w:val="auto"/>
          <w:sz w:val="24"/>
          <w:szCs w:val="24"/>
          <w:lang w:val="en-US" w:eastAsia="zh-CN"/>
        </w:rPr>
        <w:t>3</w:t>
      </w:r>
      <w:r>
        <w:rPr>
          <w:rFonts w:hint="eastAsia" w:ascii="宋体" w:hAnsi="宋体" w:eastAsia="宋体" w:cs="宋体"/>
          <w:color w:val="auto"/>
          <w:sz w:val="24"/>
          <w:szCs w:val="24"/>
          <w:lang w:val="en-US" w:eastAsia="zh-CN"/>
        </w:rPr>
        <w:t>.3.4 柴油发电机组噪声处理</w:t>
      </w:r>
      <w:bookmarkEnd w:id="384"/>
    </w:p>
    <w:p>
      <w:pPr>
        <w:pStyle w:val="1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柴油发电机噪声治理包括进风、排风、燃气排气通道的消声处理,以下为本项目噪声处理的基本要求及建议，</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应根据实际情况作出详细的深化设计以及技术建议，根据技术建议进行报价。</w:t>
      </w:r>
    </w:p>
    <w:p>
      <w:pPr>
        <w:pStyle w:val="10"/>
        <w:bidi w:val="0"/>
        <w:spacing w:line="360" w:lineRule="auto"/>
        <w:rPr>
          <w:rFonts w:hint="eastAsia" w:ascii="宋体" w:hAnsi="宋体" w:eastAsia="宋体" w:cs="宋体"/>
          <w:color w:val="auto"/>
          <w:sz w:val="24"/>
          <w:szCs w:val="24"/>
          <w:lang w:val="en-US" w:eastAsia="zh-CN"/>
        </w:rPr>
      </w:pPr>
      <w:bookmarkStart w:id="385" w:name="_Toc6594"/>
      <w:r>
        <w:rPr>
          <w:rFonts w:hint="eastAsia" w:ascii="宋体" w:hAnsi="宋体" w:eastAsia="宋体" w:cs="宋体"/>
          <w:color w:val="auto"/>
          <w:sz w:val="24"/>
          <w:szCs w:val="24"/>
          <w:lang w:val="en-US" w:eastAsia="zh-CN"/>
        </w:rPr>
        <w:t>排气</w:t>
      </w:r>
      <w:r>
        <w:rPr>
          <w:rFonts w:hint="eastAsia" w:ascii="宋体" w:hAnsi="宋体" w:eastAsia="宋体" w:cs="宋体"/>
          <w:color w:val="auto"/>
          <w:sz w:val="24"/>
          <w:szCs w:val="24"/>
          <w:lang w:val="en-US" w:eastAsia="zh-CN"/>
        </w:rPr>
        <w:fldChar w:fldCharType="begin"/>
      </w:r>
      <w:r>
        <w:rPr>
          <w:rFonts w:hint="eastAsia" w:ascii="宋体" w:hAnsi="宋体" w:eastAsia="宋体" w:cs="宋体"/>
          <w:color w:val="auto"/>
          <w:sz w:val="24"/>
          <w:szCs w:val="24"/>
          <w:lang w:val="en-US" w:eastAsia="zh-CN"/>
        </w:rPr>
        <w:instrText xml:space="preserve"> HYPERLINK "http://www.eepc.cn/epr/ShowClass.asp?ClassID=31" </w:instrText>
      </w:r>
      <w:r>
        <w:rPr>
          <w:rFonts w:hint="eastAsia" w:ascii="宋体" w:hAnsi="宋体" w:eastAsia="宋体" w:cs="宋体"/>
          <w:color w:val="auto"/>
          <w:sz w:val="24"/>
          <w:szCs w:val="24"/>
          <w:lang w:val="en-US" w:eastAsia="zh-CN"/>
        </w:rPr>
        <w:fldChar w:fldCharType="separate"/>
      </w:r>
      <w:r>
        <w:rPr>
          <w:rFonts w:hint="eastAsia" w:ascii="宋体" w:hAnsi="宋体" w:eastAsia="宋体" w:cs="宋体"/>
          <w:color w:val="auto"/>
          <w:sz w:val="24"/>
          <w:szCs w:val="24"/>
          <w:lang w:val="en-US" w:eastAsia="zh-CN"/>
        </w:rPr>
        <w:t>噪声</w:t>
      </w:r>
      <w:r>
        <w:rPr>
          <w:rFonts w:hint="eastAsia" w:ascii="宋体" w:hAnsi="宋体" w:eastAsia="宋体" w:cs="宋体"/>
          <w:color w:val="auto"/>
          <w:sz w:val="24"/>
          <w:szCs w:val="24"/>
          <w:lang w:val="en-US" w:eastAsia="zh-CN"/>
        </w:rPr>
        <w:fldChar w:fldCharType="end"/>
      </w:r>
      <w:r>
        <w:rPr>
          <w:rFonts w:hint="eastAsia" w:ascii="宋体" w:hAnsi="宋体" w:eastAsia="宋体" w:cs="宋体"/>
          <w:color w:val="auto"/>
          <w:sz w:val="24"/>
          <w:szCs w:val="24"/>
          <w:lang w:val="en-US" w:eastAsia="zh-CN"/>
        </w:rPr>
        <w:t>的处理</w:t>
      </w:r>
      <w:bookmarkEnd w:id="385"/>
    </w:p>
    <w:p>
      <w:pPr>
        <w:pStyle w:val="1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机组排气系统的降噪处理：一般利用一个波纹减震节、一个住宅型消声器的组合，有效地隔断了排气震动和排气</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"http://www.eepc.cn/epr/ShowClass.asp?ClassID=31"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噪声</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的传播。同时，对排气管道进行隔热隔音包扎，也能改善机组的运行环境和由排气管引起的</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"http://www.eepc.cn/epr/ShowClass.asp?ClassID=31"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噪声</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 </w:t>
      </w:r>
    </w:p>
    <w:p>
      <w:pPr>
        <w:pStyle w:val="10"/>
        <w:bidi w:val="0"/>
        <w:spacing w:line="360" w:lineRule="auto"/>
        <w:rPr>
          <w:rFonts w:hint="eastAsia" w:ascii="宋体" w:hAnsi="宋体" w:eastAsia="宋体" w:cs="宋体"/>
          <w:color w:val="auto"/>
          <w:sz w:val="24"/>
          <w:szCs w:val="24"/>
          <w:lang w:val="en-US" w:eastAsia="zh-CN"/>
        </w:rPr>
      </w:pPr>
      <w:bookmarkStart w:id="386" w:name="_Toc20842"/>
      <w:r>
        <w:rPr>
          <w:rFonts w:hint="eastAsia" w:ascii="宋体" w:hAnsi="宋体" w:eastAsia="宋体" w:cs="宋体"/>
          <w:color w:val="auto"/>
          <w:sz w:val="24"/>
          <w:szCs w:val="24"/>
          <w:lang w:val="en-US" w:eastAsia="zh-CN"/>
        </w:rPr>
        <w:t>机械</w:t>
      </w:r>
      <w:r>
        <w:rPr>
          <w:rFonts w:hint="eastAsia" w:ascii="宋体" w:hAnsi="宋体" w:eastAsia="宋体" w:cs="宋体"/>
          <w:color w:val="auto"/>
          <w:sz w:val="24"/>
          <w:szCs w:val="24"/>
          <w:lang w:val="en-US" w:eastAsia="zh-CN"/>
        </w:rPr>
        <w:fldChar w:fldCharType="begin"/>
      </w:r>
      <w:r>
        <w:rPr>
          <w:rFonts w:hint="eastAsia" w:ascii="宋体" w:hAnsi="宋体" w:eastAsia="宋体" w:cs="宋体"/>
          <w:color w:val="auto"/>
          <w:sz w:val="24"/>
          <w:szCs w:val="24"/>
          <w:lang w:val="en-US" w:eastAsia="zh-CN"/>
        </w:rPr>
        <w:instrText xml:space="preserve"> HYPERLINK "http://www.eepc.cn/epr/ShowClass.asp?ClassID=31" </w:instrText>
      </w:r>
      <w:r>
        <w:rPr>
          <w:rFonts w:hint="eastAsia" w:ascii="宋体" w:hAnsi="宋体" w:eastAsia="宋体" w:cs="宋体"/>
          <w:color w:val="auto"/>
          <w:sz w:val="24"/>
          <w:szCs w:val="24"/>
          <w:lang w:val="en-US" w:eastAsia="zh-CN"/>
        </w:rPr>
        <w:fldChar w:fldCharType="separate"/>
      </w:r>
      <w:r>
        <w:rPr>
          <w:rFonts w:hint="eastAsia" w:ascii="宋体" w:hAnsi="宋体" w:eastAsia="宋体" w:cs="宋体"/>
          <w:color w:val="auto"/>
          <w:sz w:val="24"/>
          <w:szCs w:val="24"/>
          <w:lang w:val="en-US" w:eastAsia="zh-CN"/>
        </w:rPr>
        <w:t>噪声</w:t>
      </w:r>
      <w:r>
        <w:rPr>
          <w:rFonts w:hint="eastAsia" w:ascii="宋体" w:hAnsi="宋体" w:eastAsia="宋体" w:cs="宋体"/>
          <w:color w:val="auto"/>
          <w:sz w:val="24"/>
          <w:szCs w:val="24"/>
          <w:lang w:val="en-US" w:eastAsia="zh-CN"/>
        </w:rPr>
        <w:fldChar w:fldCharType="end"/>
      </w:r>
      <w:r>
        <w:rPr>
          <w:rFonts w:hint="eastAsia" w:ascii="宋体" w:hAnsi="宋体" w:eastAsia="宋体" w:cs="宋体"/>
          <w:color w:val="auto"/>
          <w:sz w:val="24"/>
          <w:szCs w:val="24"/>
          <w:lang w:val="en-US" w:eastAsia="zh-CN"/>
        </w:rPr>
        <w:t>和燃烧</w:t>
      </w:r>
      <w:r>
        <w:rPr>
          <w:rFonts w:hint="eastAsia" w:ascii="宋体" w:hAnsi="宋体" w:eastAsia="宋体" w:cs="宋体"/>
          <w:color w:val="auto"/>
          <w:sz w:val="24"/>
          <w:szCs w:val="24"/>
          <w:lang w:val="en-US" w:eastAsia="zh-CN"/>
        </w:rPr>
        <w:fldChar w:fldCharType="begin"/>
      </w:r>
      <w:r>
        <w:rPr>
          <w:rFonts w:hint="eastAsia" w:ascii="宋体" w:hAnsi="宋体" w:eastAsia="宋体" w:cs="宋体"/>
          <w:color w:val="auto"/>
          <w:sz w:val="24"/>
          <w:szCs w:val="24"/>
          <w:lang w:val="en-US" w:eastAsia="zh-CN"/>
        </w:rPr>
        <w:instrText xml:space="preserve"> HYPERLINK "http://www.eepc.cn/epr/ShowClass.asp?ClassID=31" </w:instrText>
      </w:r>
      <w:r>
        <w:rPr>
          <w:rFonts w:hint="eastAsia" w:ascii="宋体" w:hAnsi="宋体" w:eastAsia="宋体" w:cs="宋体"/>
          <w:color w:val="auto"/>
          <w:sz w:val="24"/>
          <w:szCs w:val="24"/>
          <w:lang w:val="en-US" w:eastAsia="zh-CN"/>
        </w:rPr>
        <w:fldChar w:fldCharType="separate"/>
      </w:r>
      <w:r>
        <w:rPr>
          <w:rFonts w:hint="eastAsia" w:ascii="宋体" w:hAnsi="宋体" w:eastAsia="宋体" w:cs="宋体"/>
          <w:color w:val="auto"/>
          <w:sz w:val="24"/>
          <w:szCs w:val="24"/>
          <w:lang w:val="en-US" w:eastAsia="zh-CN"/>
        </w:rPr>
        <w:t>噪声</w:t>
      </w:r>
      <w:r>
        <w:rPr>
          <w:rFonts w:hint="eastAsia" w:ascii="宋体" w:hAnsi="宋体" w:eastAsia="宋体" w:cs="宋体"/>
          <w:color w:val="auto"/>
          <w:sz w:val="24"/>
          <w:szCs w:val="24"/>
          <w:lang w:val="en-US" w:eastAsia="zh-CN"/>
        </w:rPr>
        <w:fldChar w:fldCharType="end"/>
      </w:r>
      <w:r>
        <w:rPr>
          <w:rFonts w:hint="eastAsia" w:ascii="宋体" w:hAnsi="宋体" w:eastAsia="宋体" w:cs="宋体"/>
          <w:color w:val="auto"/>
          <w:sz w:val="24"/>
          <w:szCs w:val="24"/>
          <w:lang w:val="en-US" w:eastAsia="zh-CN"/>
        </w:rPr>
        <w:t>的处理</w:t>
      </w:r>
      <w:bookmarkEnd w:id="386"/>
      <w:r>
        <w:rPr>
          <w:rFonts w:hint="eastAsia" w:ascii="宋体" w:hAnsi="宋体" w:eastAsia="宋体" w:cs="宋体"/>
          <w:color w:val="auto"/>
          <w:sz w:val="24"/>
          <w:szCs w:val="24"/>
          <w:lang w:val="en-US" w:eastAsia="zh-CN"/>
        </w:rPr>
        <w:t xml:space="preserve"> </w:t>
      </w:r>
    </w:p>
    <w:p>
      <w:pPr>
        <w:pStyle w:val="1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对机组进行隔震处理，机组的隔震一般采用高效减震胶垫，现在这一部分技术已经非常成熟。经过隔震处理，机组表面的震动被有效隔断。 </w:t>
      </w:r>
    </w:p>
    <w:p>
      <w:pPr>
        <w:pStyle w:val="10"/>
        <w:bidi w:val="0"/>
        <w:spacing w:line="360" w:lineRule="auto"/>
        <w:rPr>
          <w:rFonts w:hint="eastAsia" w:ascii="宋体" w:hAnsi="宋体" w:eastAsia="宋体" w:cs="宋体"/>
          <w:color w:val="auto"/>
          <w:sz w:val="24"/>
          <w:szCs w:val="24"/>
        </w:rPr>
      </w:pPr>
      <w:bookmarkStart w:id="387" w:name="_Toc17049"/>
      <w:r>
        <w:rPr>
          <w:rFonts w:hint="eastAsia" w:ascii="宋体" w:hAnsi="宋体" w:eastAsia="宋体" w:cs="宋体"/>
          <w:color w:val="auto"/>
          <w:sz w:val="24"/>
          <w:szCs w:val="24"/>
        </w:rPr>
        <w:t>冷却风扇和排风通道</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"http://www.eepc.cn/epr/ShowClass.asp?ClassID=31"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噪声</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的处理</w:t>
      </w:r>
      <w:bookmarkEnd w:id="387"/>
    </w:p>
    <w:p>
      <w:pPr>
        <w:pStyle w:val="1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控制风扇和排风通道</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"http://www.eepc.cn/epr/ShowClass.asp?ClassID=31"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噪声</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的手段，主要是设计一个好的排风吸音通道，这个吸音通道可由导风槽和排风降噪箱组成，也可由导风槽和一至几组的吸音挡板组成。排风降噪箱的工作原理，类似于阻性消声器。可通过更换吸音材料（改变材料的吸音系数），改变吸音材料的厚度、排风通道的长度、宽度等参数来提高吸音效果。在设计排风吸音通道时，要特别注意排风口的有效面积必须满足机组散热的需要，以免排风口风阻增大而致排风</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"http://www.eepc.cn/epr/ShowClass.asp?ClassID=31"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噪声</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增大和机组高水温停机。</w:t>
      </w:r>
    </w:p>
    <w:p>
      <w:pPr>
        <w:pStyle w:val="10"/>
        <w:bidi w:val="0"/>
        <w:spacing w:line="360" w:lineRule="auto"/>
        <w:rPr>
          <w:rFonts w:hint="eastAsia" w:ascii="宋体" w:hAnsi="宋体" w:eastAsia="宋体" w:cs="宋体"/>
          <w:color w:val="auto"/>
          <w:sz w:val="24"/>
          <w:szCs w:val="24"/>
        </w:rPr>
      </w:pPr>
      <w:bookmarkStart w:id="388" w:name="_Toc16712"/>
      <w:r>
        <w:rPr>
          <w:rFonts w:hint="eastAsia" w:ascii="宋体" w:hAnsi="宋体" w:eastAsia="宋体" w:cs="宋体"/>
          <w:color w:val="auto"/>
          <w:sz w:val="24"/>
          <w:szCs w:val="24"/>
        </w:rPr>
        <w:t>进气</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"http://www.eepc.cn/epr/ShowClass.asp?ClassID=31"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噪声</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的处理</w:t>
      </w:r>
      <w:bookmarkEnd w:id="388"/>
      <w:r>
        <w:rPr>
          <w:rFonts w:hint="eastAsia" w:ascii="宋体" w:hAnsi="宋体" w:eastAsia="宋体" w:cs="宋体"/>
          <w:color w:val="auto"/>
          <w:sz w:val="24"/>
          <w:szCs w:val="24"/>
        </w:rPr>
        <w:t xml:space="preserve"> </w:t>
      </w:r>
    </w:p>
    <w:p>
      <w:pPr>
        <w:pStyle w:val="1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对机组的进气通道，则要从风道的设计，隔音材料的选用等方面进行综合控制。其基本思路是：（1）进风净面积符合设计规范，以保证发动机的进气系统和机组的冷却系统有足够的新鲜空气吸入；（2）进风通道需经吸声处理，一般采用进风百叶窗 + 导风槽 + 消声挡板的组合。 </w:t>
      </w:r>
    </w:p>
    <w:p>
      <w:pPr>
        <w:pStyle w:val="10"/>
        <w:bidi w:val="0"/>
        <w:spacing w:line="360" w:lineRule="auto"/>
        <w:rPr>
          <w:rFonts w:hint="eastAsia" w:ascii="宋体" w:hAnsi="宋体" w:eastAsia="宋体" w:cs="宋体"/>
          <w:color w:val="auto"/>
          <w:sz w:val="24"/>
          <w:szCs w:val="24"/>
        </w:rPr>
      </w:pPr>
      <w:bookmarkStart w:id="389" w:name="_Toc15991"/>
      <w:r>
        <w:rPr>
          <w:rFonts w:hint="eastAsia" w:ascii="宋体" w:hAnsi="宋体" w:eastAsia="宋体" w:cs="宋体"/>
          <w:color w:val="auto"/>
          <w:sz w:val="24"/>
          <w:szCs w:val="24"/>
        </w:rPr>
        <w:t>进排风口面积</w:t>
      </w:r>
      <w:bookmarkEnd w:id="389"/>
      <w:r>
        <w:rPr>
          <w:rFonts w:hint="eastAsia" w:ascii="宋体" w:hAnsi="宋体" w:eastAsia="宋体" w:cs="宋体"/>
          <w:color w:val="auto"/>
          <w:sz w:val="24"/>
          <w:szCs w:val="24"/>
        </w:rPr>
        <w:t xml:space="preserve">    </w:t>
      </w:r>
    </w:p>
    <w:p>
      <w:pPr>
        <w:pStyle w:val="1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柴油发电机组排风口的面积应略大于水箱的有效面积，从降低风阻考虑，排风口离前面障碍物的距离应大于等于600-2000，机组进风量应大于机组的排风量和燃气量的总和，其客观效果是机组在运行时机房内不能产生负压。在满足机组排风量要求的前提下，正确选用进排风通道消声箱的</w:t>
      </w:r>
      <w:bookmarkStart w:id="390" w:name="_Toc8237"/>
      <w:r>
        <w:rPr>
          <w:rFonts w:hint="eastAsia" w:ascii="宋体" w:hAnsi="宋体" w:eastAsia="宋体" w:cs="宋体"/>
          <w:color w:val="auto"/>
          <w:sz w:val="24"/>
          <w:szCs w:val="24"/>
        </w:rPr>
        <w:t>面积。</w:t>
      </w:r>
    </w:p>
    <w:p>
      <w:pPr>
        <w:pStyle w:val="1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进排风降噪材料</w:t>
      </w:r>
      <w:bookmarkEnd w:id="390"/>
    </w:p>
    <w:p>
      <w:pPr>
        <w:pStyle w:val="1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对于不同容量的机组或同一机组在不同的安装环境下，对进排风所采用的降噪形式是不尽相同的，影响最为主要的是根据周围环境、机房空间及油机摆放位置等因素，应根据现场实际情况设计合理的降噪方案。进排风降噪所涉及的材料，包括离心玻璃棉、穿孔板、丝网、轻钢龙骨、C型钢、玻璃丝棉布、镀锌板、钢板、百叶窗等。</w:t>
      </w:r>
    </w:p>
    <w:p>
      <w:pPr>
        <w:pStyle w:val="1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柴油发电机组排烟治理</w:t>
      </w:r>
    </w:p>
    <w:p>
      <w:pPr>
        <w:pStyle w:val="1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排烟管由投标单位根据现场实际情况进行深化。从对于机组的排烟，</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应负责采取排烟治理措施以满足当地及国家环保部门要求。</w:t>
      </w:r>
    </w:p>
    <w:p>
      <w:pPr>
        <w:pStyle w:val="10"/>
        <w:bidi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投标人需负责提供为使设备达到安全可靠的运行，所有必需的配件及辅助设施、并保证设备在各方面均能达到正常运行的要求；</w:t>
      </w:r>
    </w:p>
    <w:p>
      <w:pPr>
        <w:pStyle w:val="10"/>
        <w:bidi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尾气净化器的外形尺寸、颜色应按照要求尺寸加工生产必须结合现场实际安装位置的要求进行配置；必须结合安装位置完善布局所需的其他装饰。</w:t>
      </w:r>
    </w:p>
    <w:p>
      <w:pPr>
        <w:pStyle w:val="10"/>
        <w:bidi w:val="0"/>
        <w:spacing w:line="360" w:lineRule="auto"/>
        <w:rPr>
          <w:rFonts w:hint="eastAsia" w:ascii="宋体" w:hAnsi="宋体" w:eastAsia="宋体" w:cs="宋体"/>
          <w:color w:val="auto"/>
          <w:sz w:val="24"/>
          <w:szCs w:val="24"/>
          <w:lang w:val="zh-CN"/>
        </w:rPr>
      </w:pPr>
      <w:r>
        <w:rPr>
          <w:rFonts w:hint="eastAsia" w:ascii="宋体" w:hAnsi="宋体" w:cs="宋体"/>
          <w:color w:val="auto"/>
          <w:sz w:val="24"/>
          <w:szCs w:val="24"/>
          <w:lang w:val="en-US" w:eastAsia="zh-CN"/>
        </w:rPr>
        <w:t>满足</w:t>
      </w:r>
      <w:r>
        <w:rPr>
          <w:rFonts w:hint="eastAsia" w:ascii="宋体" w:hAnsi="宋体" w:eastAsia="宋体" w:cs="宋体"/>
          <w:color w:val="auto"/>
          <w:sz w:val="24"/>
          <w:szCs w:val="24"/>
          <w:lang w:val="zh-CN"/>
        </w:rPr>
        <w:t>最新《非道路柴油移动机械排气烟度限值》（GB 36886-2018 Stage Ⅳ）。尾气处理系统要求，满足NOx≤0.4 g/kWh、PM≤0.025 g/kWh（海南地方标准，2026年实施）</w:t>
      </w:r>
    </w:p>
    <w:p>
      <w:pPr>
        <w:pStyle w:val="10"/>
        <w:bidi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滤芯参数不得低于招标文件的要求；</w:t>
      </w:r>
    </w:p>
    <w:p>
      <w:pPr>
        <w:pStyle w:val="10"/>
        <w:bidi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设备的结构设计应确保便于操作、运行安全可靠、维修和便于日常检查；</w:t>
      </w:r>
    </w:p>
    <w:p>
      <w:pPr>
        <w:pStyle w:val="1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zh-CN"/>
        </w:rPr>
        <w:t>设备及其附属部件、涂覆层、标志、饰物等均应采用难燃或不燃材料；</w:t>
      </w:r>
    </w:p>
    <w:p>
      <w:pPr>
        <w:pStyle w:val="10"/>
        <w:bidi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颗粒捕集器滤芯应采用316L金属丝制作而成的金属毡过滤材料，根据内燃机尾气特性，要求采用模块化、定制化设计，专业流体力学设计（尾气可360度穿过滤芯）的DPF过滤载体。柴油机尾气颗粒捕集器是由多组并联的DPF过滤载体而组成。颗粒捕集应具备横截面积大、初始背压小、背压上升缓慢。每个单元应便捷拆卸，可清洗再利用灵活抽出水洗再生，运行使用中日常维护达到方便快捷。</w:t>
      </w:r>
    </w:p>
    <w:p>
      <w:pPr>
        <w:pStyle w:val="10"/>
        <w:bidi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颗粒捕集器箱体应采用室内碳钢或者室外不锈钢材质，延长使用寿命，同时应具有10-15分贝的降噪功能。尾气中的黑烟、PM颗粒物处理效率应在90%-98%。并应设置有安全旁路，当烟尘过滤装置堵塞造成高背压报警时可自动打开旁路通道，确保发电机正常安全使用运行。</w:t>
      </w:r>
    </w:p>
    <w:p>
      <w:pPr>
        <w:pStyle w:val="10"/>
        <w:bidi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产品安装完后，柴油发电机组尾气排放应达到国家大气污染物排放标准要求如下排放要</w:t>
      </w:r>
      <w:r>
        <w:rPr>
          <w:rFonts w:hint="eastAsia" w:ascii="宋体" w:hAnsi="宋体" w:eastAsia="宋体" w:cs="宋体"/>
          <w:color w:val="auto"/>
          <w:sz w:val="24"/>
          <w:szCs w:val="24"/>
        </w:rPr>
        <w:t>求</w:t>
      </w:r>
      <w:r>
        <w:rPr>
          <w:rFonts w:hint="eastAsia" w:ascii="宋体" w:hAnsi="宋体" w:eastAsia="宋体" w:cs="宋体"/>
          <w:color w:val="auto"/>
          <w:sz w:val="24"/>
          <w:szCs w:val="24"/>
          <w:lang w:val="zh-CN"/>
        </w:rPr>
        <w:t>，其它按照双方约定的技术规范和要求。</w:t>
      </w:r>
    </w:p>
    <w:tbl>
      <w:tblPr>
        <w:tblStyle w:val="22"/>
        <w:tblW w:w="83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754"/>
        <w:gridCol w:w="1965"/>
        <w:gridCol w:w="2298"/>
        <w:gridCol w:w="23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jc w:val="center"/>
        </w:trPr>
        <w:tc>
          <w:tcPr>
            <w:tcW w:w="1754" w:type="dxa"/>
            <w:tcBorders>
              <w:top w:val="single" w:color="auto" w:sz="4" w:space="0"/>
              <w:left w:val="single" w:color="auto" w:sz="4" w:space="0"/>
              <w:bottom w:val="single" w:color="auto" w:sz="4" w:space="0"/>
              <w:right w:val="single" w:color="auto" w:sz="4" w:space="0"/>
            </w:tcBorders>
            <w:vAlign w:val="center"/>
          </w:tcPr>
          <w:p>
            <w:pPr>
              <w:pStyle w:val="10"/>
              <w:bidi w:val="0"/>
              <w:spacing w:line="24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来源</w:t>
            </w:r>
          </w:p>
        </w:tc>
        <w:tc>
          <w:tcPr>
            <w:tcW w:w="1965" w:type="dxa"/>
            <w:tcBorders>
              <w:top w:val="single" w:color="auto" w:sz="4" w:space="0"/>
              <w:left w:val="single" w:color="auto" w:sz="4" w:space="0"/>
              <w:bottom w:val="single" w:color="auto" w:sz="4" w:space="0"/>
              <w:right w:val="single" w:color="auto" w:sz="4" w:space="0"/>
            </w:tcBorders>
            <w:vAlign w:val="center"/>
          </w:tcPr>
          <w:p>
            <w:pPr>
              <w:pStyle w:val="10"/>
              <w:bidi w:val="0"/>
              <w:spacing w:line="24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污染物</w:t>
            </w:r>
          </w:p>
        </w:tc>
        <w:tc>
          <w:tcPr>
            <w:tcW w:w="2298" w:type="dxa"/>
            <w:tcBorders>
              <w:top w:val="single" w:color="auto" w:sz="4" w:space="0"/>
              <w:left w:val="single" w:color="auto" w:sz="4" w:space="0"/>
              <w:bottom w:val="single" w:color="auto" w:sz="4" w:space="0"/>
              <w:right w:val="single" w:color="auto" w:sz="4" w:space="0"/>
            </w:tcBorders>
            <w:vAlign w:val="center"/>
          </w:tcPr>
          <w:p>
            <w:pPr>
              <w:pStyle w:val="10"/>
              <w:bidi w:val="0"/>
              <w:spacing w:line="24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排放限值（mg/m3）</w:t>
            </w:r>
          </w:p>
        </w:tc>
        <w:tc>
          <w:tcPr>
            <w:tcW w:w="2328" w:type="dxa"/>
            <w:tcBorders>
              <w:top w:val="single" w:color="auto" w:sz="4" w:space="0"/>
              <w:left w:val="single" w:color="auto" w:sz="4" w:space="0"/>
              <w:bottom w:val="single" w:color="auto" w:sz="4" w:space="0"/>
              <w:right w:val="single" w:color="auto" w:sz="4" w:space="0"/>
            </w:tcBorders>
            <w:vAlign w:val="center"/>
          </w:tcPr>
          <w:p>
            <w:pPr>
              <w:pStyle w:val="10"/>
              <w:bidi w:val="0"/>
              <w:spacing w:line="24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标准来源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1754" w:type="dxa"/>
            <w:vMerge w:val="restart"/>
            <w:tcBorders>
              <w:top w:val="single" w:color="auto" w:sz="4" w:space="0"/>
              <w:left w:val="single" w:color="auto" w:sz="4" w:space="0"/>
              <w:right w:val="single" w:color="auto" w:sz="4" w:space="0"/>
            </w:tcBorders>
            <w:vAlign w:val="center"/>
          </w:tcPr>
          <w:p>
            <w:pPr>
              <w:pStyle w:val="10"/>
              <w:bidi w:val="0"/>
              <w:spacing w:line="24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内燃机发电烟气</w:t>
            </w:r>
          </w:p>
        </w:tc>
        <w:tc>
          <w:tcPr>
            <w:tcW w:w="1965" w:type="dxa"/>
            <w:tcBorders>
              <w:top w:val="single" w:color="auto" w:sz="4" w:space="0"/>
              <w:left w:val="single" w:color="auto" w:sz="4" w:space="0"/>
              <w:bottom w:val="single" w:color="auto" w:sz="4" w:space="0"/>
              <w:right w:val="single" w:color="auto" w:sz="4" w:space="0"/>
            </w:tcBorders>
            <w:vAlign w:val="center"/>
          </w:tcPr>
          <w:p>
            <w:pPr>
              <w:pStyle w:val="10"/>
              <w:bidi w:val="0"/>
              <w:spacing w:line="24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烟尘</w:t>
            </w:r>
          </w:p>
        </w:tc>
        <w:tc>
          <w:tcPr>
            <w:tcW w:w="2298" w:type="dxa"/>
            <w:tcBorders>
              <w:top w:val="single" w:color="auto" w:sz="4" w:space="0"/>
              <w:left w:val="single" w:color="auto" w:sz="4" w:space="0"/>
              <w:bottom w:val="single" w:color="auto" w:sz="4" w:space="0"/>
              <w:right w:val="single" w:color="auto" w:sz="4" w:space="0"/>
            </w:tcBorders>
            <w:vAlign w:val="center"/>
          </w:tcPr>
          <w:p>
            <w:pPr>
              <w:pStyle w:val="10"/>
              <w:bidi w:val="0"/>
              <w:spacing w:line="24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120</w:t>
            </w:r>
          </w:p>
        </w:tc>
        <w:tc>
          <w:tcPr>
            <w:tcW w:w="2328" w:type="dxa"/>
            <w:vMerge w:val="restart"/>
            <w:tcBorders>
              <w:top w:val="single" w:color="auto" w:sz="4" w:space="0"/>
              <w:left w:val="single" w:color="auto" w:sz="4" w:space="0"/>
              <w:bottom w:val="single" w:color="auto" w:sz="4" w:space="0"/>
              <w:right w:val="single" w:color="auto" w:sz="4" w:space="0"/>
            </w:tcBorders>
            <w:vAlign w:val="center"/>
          </w:tcPr>
          <w:p>
            <w:pPr>
              <w:pStyle w:val="10"/>
              <w:bidi w:val="0"/>
              <w:spacing w:line="24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GB 16297大气污染物综合排放标准中表2特别排放限值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1754" w:type="dxa"/>
            <w:vMerge w:val="continue"/>
            <w:tcBorders>
              <w:left w:val="single" w:color="auto" w:sz="4" w:space="0"/>
              <w:right w:val="single" w:color="auto" w:sz="4" w:space="0"/>
            </w:tcBorders>
            <w:vAlign w:val="center"/>
          </w:tcPr>
          <w:p>
            <w:pPr>
              <w:pStyle w:val="10"/>
              <w:bidi w:val="0"/>
              <w:spacing w:line="240" w:lineRule="auto"/>
              <w:rPr>
                <w:rFonts w:hint="eastAsia" w:ascii="宋体" w:hAnsi="宋体" w:eastAsia="宋体" w:cs="宋体"/>
                <w:color w:val="auto"/>
                <w:sz w:val="21"/>
                <w:szCs w:val="21"/>
                <w:lang w:val="zh-CN"/>
              </w:rPr>
            </w:pPr>
          </w:p>
        </w:tc>
        <w:tc>
          <w:tcPr>
            <w:tcW w:w="1965" w:type="dxa"/>
            <w:tcBorders>
              <w:top w:val="single" w:color="auto" w:sz="4" w:space="0"/>
              <w:left w:val="single" w:color="auto" w:sz="4" w:space="0"/>
              <w:bottom w:val="single" w:color="auto" w:sz="4" w:space="0"/>
              <w:right w:val="single" w:color="auto" w:sz="4" w:space="0"/>
            </w:tcBorders>
            <w:vAlign w:val="center"/>
          </w:tcPr>
          <w:p>
            <w:pPr>
              <w:pStyle w:val="10"/>
              <w:bidi w:val="0"/>
              <w:spacing w:line="24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烟气黑度</w:t>
            </w:r>
          </w:p>
        </w:tc>
        <w:tc>
          <w:tcPr>
            <w:tcW w:w="2298" w:type="dxa"/>
            <w:tcBorders>
              <w:top w:val="single" w:color="auto" w:sz="4" w:space="0"/>
              <w:left w:val="single" w:color="auto" w:sz="4" w:space="0"/>
              <w:bottom w:val="single" w:color="auto" w:sz="4" w:space="0"/>
              <w:right w:val="single" w:color="auto" w:sz="4" w:space="0"/>
            </w:tcBorders>
            <w:vAlign w:val="center"/>
          </w:tcPr>
          <w:p>
            <w:pPr>
              <w:pStyle w:val="10"/>
              <w:bidi w:val="0"/>
              <w:spacing w:line="24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≤1级</w:t>
            </w:r>
          </w:p>
        </w:tc>
        <w:tc>
          <w:tcPr>
            <w:tcW w:w="2328" w:type="dxa"/>
            <w:vMerge w:val="continue"/>
            <w:tcBorders>
              <w:top w:val="single" w:color="auto" w:sz="4" w:space="0"/>
              <w:left w:val="single" w:color="auto" w:sz="4" w:space="0"/>
              <w:bottom w:val="single" w:color="auto" w:sz="4" w:space="0"/>
              <w:right w:val="single" w:color="auto" w:sz="4" w:space="0"/>
            </w:tcBorders>
            <w:vAlign w:val="center"/>
          </w:tcPr>
          <w:p>
            <w:pPr>
              <w:pStyle w:val="10"/>
              <w:bidi w:val="0"/>
              <w:spacing w:line="240" w:lineRule="auto"/>
              <w:rPr>
                <w:rFonts w:hint="eastAsia" w:ascii="宋体" w:hAnsi="宋体" w:eastAsia="宋体" w:cs="宋体"/>
                <w:color w:val="auto"/>
                <w:sz w:val="21"/>
                <w:szCs w:val="21"/>
                <w:lang w:val="zh-CN"/>
              </w:rPr>
            </w:pPr>
          </w:p>
        </w:tc>
      </w:tr>
    </w:tbl>
    <w:p>
      <w:pPr>
        <w:pStyle w:val="1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其他</w:t>
      </w:r>
    </w:p>
    <w:p>
      <w:pPr>
        <w:pStyle w:val="1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提供柴油发电机系统钢制排烟管道的制作、连接、排烟管道保温、支架等材料、设备及安装。</w:t>
      </w:r>
    </w:p>
    <w:p>
      <w:pPr>
        <w:pStyle w:val="1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xml:space="preserve"> 柴油发电机房及并机控制系统安装场地内的接地系统；</w:t>
      </w:r>
    </w:p>
    <w:p>
      <w:pPr>
        <w:pStyle w:val="1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提供柴油发电机系统建筑进排风风口、排风筒、消声器等材料、设备及安装。</w:t>
      </w:r>
    </w:p>
    <w:p>
      <w:pPr>
        <w:pStyle w:val="1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负责根据柴发系统提供直流系统，</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负责柴发系统直流电缆提供及施工、调试等工作。</w:t>
      </w:r>
    </w:p>
    <w:p>
      <w:pPr>
        <w:pStyle w:val="1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负责并机控制、燃油监控等控制电源线、信号线、线管的提供及施工，信号线采用铠装阻燃屏蔽线缆，具体由</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进行深化。</w:t>
      </w:r>
    </w:p>
    <w:p>
      <w:pPr>
        <w:pStyle w:val="1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负责环保工程方案的报建、方案批准及验收工作（包括安装、调试、验收等），负责办理并确保项目通过国家及地方部门的环保、烟气及噪声检测。</w:t>
      </w:r>
    </w:p>
    <w:p>
      <w:pPr>
        <w:pStyle w:val="1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xml:space="preserve"> 合同、图纸和保证系统运行所包含的全部设备及工程。</w:t>
      </w:r>
    </w:p>
    <w:p>
      <w:pPr>
        <w:pStyle w:val="1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在现场实施阶段负责对发电机系统及配套工程技术内容、详细设计及已完成土建部分偏差内容进行修正及施工完成均属</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项目范围内工作。</w:t>
      </w:r>
    </w:p>
    <w:p>
      <w:pPr>
        <w:pStyle w:val="1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需提供具备安装条件的全新发电机组，配合经</w:t>
      </w:r>
      <w:r>
        <w:rPr>
          <w:rFonts w:hint="eastAsia" w:ascii="宋体" w:hAnsi="宋体" w:eastAsia="宋体" w:cs="宋体"/>
          <w:color w:val="auto"/>
          <w:sz w:val="24"/>
          <w:szCs w:val="24"/>
          <w:lang w:eastAsia="zh-CN"/>
        </w:rPr>
        <w:t>招标人</w:t>
      </w:r>
      <w:r>
        <w:rPr>
          <w:rFonts w:hint="eastAsia" w:ascii="宋体" w:hAnsi="宋体" w:eastAsia="宋体" w:cs="宋体"/>
          <w:color w:val="auto"/>
          <w:sz w:val="24"/>
          <w:szCs w:val="24"/>
        </w:rPr>
        <w:t>提出的各项检测项目（如出厂检验、设备性能及功能检测、最终联合测试等），测试结果需要符合</w:t>
      </w:r>
      <w:r>
        <w:rPr>
          <w:rFonts w:hint="eastAsia" w:ascii="宋体" w:hAnsi="宋体" w:eastAsia="宋体" w:cs="宋体"/>
          <w:color w:val="auto"/>
          <w:sz w:val="24"/>
          <w:szCs w:val="24"/>
          <w:lang w:eastAsia="zh-CN"/>
        </w:rPr>
        <w:t>招标人</w:t>
      </w:r>
      <w:r>
        <w:rPr>
          <w:rFonts w:hint="eastAsia" w:ascii="宋体" w:hAnsi="宋体" w:eastAsia="宋体" w:cs="宋体"/>
          <w:color w:val="auto"/>
          <w:sz w:val="24"/>
          <w:szCs w:val="24"/>
        </w:rPr>
        <w:t>或检测公司规定的测试指标；</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还需提供相关检验及测试过程中所需要的消耗品及相关测试工具。</w:t>
      </w:r>
    </w:p>
    <w:p>
      <w:pPr>
        <w:pStyle w:val="1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xml:space="preserve"> 完成相关政府或主管部门要求的全部检测及工作，最终通过项目的政府或主管部门审批。</w:t>
      </w:r>
    </w:p>
    <w:p>
      <w:pPr>
        <w:pStyle w:val="1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xml:space="preserve"> 接受</w:t>
      </w:r>
      <w:r>
        <w:rPr>
          <w:rFonts w:hint="eastAsia" w:ascii="宋体" w:hAnsi="宋体" w:eastAsia="宋体" w:cs="宋体"/>
          <w:color w:val="auto"/>
          <w:sz w:val="24"/>
          <w:szCs w:val="24"/>
          <w:lang w:eastAsia="zh-CN"/>
        </w:rPr>
        <w:t>招标人</w:t>
      </w:r>
      <w:r>
        <w:rPr>
          <w:rFonts w:hint="eastAsia" w:ascii="宋体" w:hAnsi="宋体" w:eastAsia="宋体" w:cs="宋体"/>
          <w:color w:val="auto"/>
          <w:sz w:val="24"/>
          <w:szCs w:val="24"/>
        </w:rPr>
        <w:t>指定的管理单位的统一管理。</w:t>
      </w:r>
    </w:p>
    <w:p>
      <w:pPr>
        <w:pStyle w:val="1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xml:space="preserve"> 油机、供油及配套系统的深化设计及安装应满足15D202-2《柴油发电机组设计与安装》国家图集相关要求。</w:t>
      </w:r>
    </w:p>
    <w:p>
      <w:pPr>
        <w:pStyle w:val="4"/>
        <w:rPr>
          <w:rFonts w:hint="eastAsia" w:ascii="宋体" w:hAnsi="宋体" w:eastAsia="宋体" w:cs="宋体"/>
          <w:color w:val="auto"/>
          <w:szCs w:val="24"/>
          <w:lang w:val="en-US" w:eastAsia="zh-CN"/>
        </w:rPr>
      </w:pPr>
      <w:bookmarkStart w:id="391" w:name="_Toc4403"/>
      <w:bookmarkStart w:id="392" w:name="_Toc20119"/>
      <w:bookmarkStart w:id="393" w:name="_Toc11678"/>
      <w:r>
        <w:rPr>
          <w:rFonts w:hint="eastAsia"/>
          <w:color w:val="auto"/>
          <w:lang w:val="en-US" w:eastAsia="zh-CN"/>
        </w:rPr>
        <w:t>13.4 保修内容</w:t>
      </w:r>
      <w:bookmarkEnd w:id="391"/>
      <w:bookmarkEnd w:id="392"/>
      <w:bookmarkEnd w:id="393"/>
    </w:p>
    <w:p>
      <w:pPr>
        <w:spacing w:line="360" w:lineRule="auto"/>
        <w:ind w:left="0" w:leftChars="0" w:firstLine="420" w:firstLineChars="200"/>
        <w:rPr>
          <w:rFonts w:hint="eastAsia"/>
          <w:color w:val="auto"/>
        </w:rPr>
      </w:pPr>
      <w:r>
        <w:rPr>
          <w:rFonts w:hint="eastAsia"/>
          <w:color w:val="auto"/>
        </w:rPr>
        <w:t>1、在质保期内，如因噪音超标扰民或影响正常办公，参选人必须予以及时（48小时内）、免费修缮。</w:t>
      </w:r>
    </w:p>
    <w:p>
      <w:pPr>
        <w:spacing w:line="360" w:lineRule="auto"/>
        <w:ind w:left="0" w:leftChars="0" w:firstLine="420" w:firstLineChars="200"/>
        <w:rPr>
          <w:rFonts w:hint="eastAsia"/>
          <w:color w:val="auto"/>
        </w:rPr>
      </w:pPr>
      <w:r>
        <w:rPr>
          <w:rFonts w:hint="eastAsia"/>
          <w:color w:val="auto"/>
        </w:rPr>
        <w:t>2、确保箱内配电、照明系统的完好；</w:t>
      </w:r>
    </w:p>
    <w:p>
      <w:pPr>
        <w:spacing w:line="360" w:lineRule="auto"/>
        <w:ind w:left="0" w:leftChars="0" w:firstLine="420" w:firstLineChars="200"/>
        <w:rPr>
          <w:rFonts w:hint="eastAsia"/>
          <w:color w:val="auto"/>
        </w:rPr>
      </w:pPr>
      <w:r>
        <w:rPr>
          <w:rFonts w:hint="eastAsia"/>
          <w:color w:val="auto"/>
        </w:rPr>
        <w:t>3、确保进、排风消音片物理外观保持完整、性能指标符合要求；</w:t>
      </w:r>
    </w:p>
    <w:p>
      <w:pPr>
        <w:ind w:firstLine="420" w:firstLineChars="200"/>
        <w:rPr>
          <w:rFonts w:hint="eastAsia"/>
          <w:color w:val="auto"/>
        </w:rPr>
      </w:pPr>
      <w:r>
        <w:rPr>
          <w:rFonts w:hint="eastAsia"/>
          <w:color w:val="auto"/>
        </w:rPr>
        <w:t>确保墙面、天棚吸音、降噪系统外观的完整性以及性能指标符合要求；</w:t>
      </w:r>
    </w:p>
    <w:p>
      <w:pPr>
        <w:spacing w:line="360" w:lineRule="auto"/>
        <w:ind w:left="0" w:firstLine="480"/>
        <w:rPr>
          <w:rFonts w:hint="eastAsia"/>
          <w:color w:val="auto"/>
        </w:rPr>
      </w:pPr>
      <w:r>
        <w:rPr>
          <w:rFonts w:hint="eastAsia"/>
          <w:color w:val="auto"/>
        </w:rPr>
        <w:t>5、确保供回油管路的密闭性，畅通性，以避免供回油不足，引发的供电安全隐患；</w:t>
      </w:r>
    </w:p>
    <w:p>
      <w:pPr>
        <w:spacing w:line="360" w:lineRule="auto"/>
        <w:ind w:left="0" w:firstLine="480"/>
        <w:rPr>
          <w:rFonts w:hint="eastAsia"/>
          <w:color w:val="auto"/>
        </w:rPr>
      </w:pPr>
      <w:r>
        <w:rPr>
          <w:rFonts w:hint="eastAsia"/>
          <w:color w:val="auto"/>
        </w:rPr>
        <w:t>6、确保机组连接部位的紧密性，不得有破损、开缝等现象。</w:t>
      </w:r>
    </w:p>
    <w:p>
      <w:pPr>
        <w:spacing w:line="360" w:lineRule="auto"/>
        <w:ind w:left="0" w:firstLine="420" w:firstLineChars="200"/>
        <w:rPr>
          <w:rFonts w:hint="eastAsia" w:ascii="宋体" w:hAnsi="宋体" w:eastAsia="宋体" w:cs="宋体"/>
          <w:color w:val="auto"/>
          <w:szCs w:val="24"/>
          <w:highlight w:val="none"/>
        </w:rPr>
      </w:pPr>
      <w:r>
        <w:rPr>
          <w:rFonts w:hint="eastAsia"/>
          <w:color w:val="auto"/>
        </w:rPr>
        <w:t>7、保修期外，发生任何质量和安装责任问题时，接到联通方通知后12小时内派人到达现场检查、维修、有偿更换</w:t>
      </w:r>
      <w:r>
        <w:rPr>
          <w:rFonts w:hint="eastAsia" w:ascii="宋体" w:hAnsi="宋体" w:eastAsia="宋体" w:cs="宋体"/>
          <w:color w:val="auto"/>
          <w:szCs w:val="24"/>
          <w:highlight w:val="none"/>
        </w:rPr>
        <w:t>。</w:t>
      </w:r>
    </w:p>
    <w:p>
      <w:pPr>
        <w:pStyle w:val="4"/>
        <w:rPr>
          <w:rFonts w:hint="eastAsia" w:ascii="宋体" w:hAnsi="宋体" w:eastAsia="宋体" w:cs="宋体"/>
          <w:color w:val="auto"/>
          <w:szCs w:val="24"/>
          <w:lang w:val="en-US" w:eastAsia="zh-CN"/>
        </w:rPr>
      </w:pPr>
      <w:bookmarkStart w:id="394" w:name="_Toc485844921"/>
      <w:bookmarkEnd w:id="394"/>
      <w:bookmarkStart w:id="395" w:name="_Toc13747"/>
      <w:bookmarkStart w:id="396" w:name="_Toc23467"/>
      <w:bookmarkStart w:id="397" w:name="_Toc250627762"/>
      <w:bookmarkStart w:id="398" w:name="_Toc27186"/>
      <w:bookmarkStart w:id="399" w:name="_Toc18423"/>
      <w:r>
        <w:rPr>
          <w:rFonts w:hint="eastAsia"/>
          <w:color w:val="auto"/>
          <w:lang w:val="en-US" w:eastAsia="zh-CN"/>
        </w:rPr>
        <w:t>13.5 测试及验收</w:t>
      </w:r>
      <w:bookmarkEnd w:id="395"/>
      <w:bookmarkEnd w:id="396"/>
      <w:bookmarkEnd w:id="397"/>
      <w:bookmarkEnd w:id="398"/>
      <w:bookmarkEnd w:id="399"/>
    </w:p>
    <w:p>
      <w:pPr>
        <w:spacing w:line="360" w:lineRule="auto"/>
        <w:ind w:firstLine="480" w:firstLineChars="200"/>
        <w:rPr>
          <w:rFonts w:hint="eastAsia" w:ascii="宋体" w:hAnsi="宋体" w:eastAsia="宋体" w:cs="宋体"/>
          <w:color w:val="auto"/>
          <w:sz w:val="24"/>
          <w:szCs w:val="24"/>
          <w:highlight w:val="none"/>
        </w:rPr>
      </w:pPr>
      <w:bookmarkStart w:id="400" w:name="_Toc35077707"/>
      <w:bookmarkEnd w:id="400"/>
      <w:bookmarkStart w:id="401" w:name="_Toc485844922"/>
      <w:bookmarkEnd w:id="401"/>
      <w:bookmarkStart w:id="402" w:name="_Toc250627763"/>
      <w:r>
        <w:rPr>
          <w:rFonts w:hint="eastAsia" w:ascii="宋体" w:hAnsi="宋体" w:eastAsia="宋体" w:cs="宋体"/>
          <w:color w:val="auto"/>
          <w:sz w:val="24"/>
          <w:szCs w:val="24"/>
          <w:highlight w:val="none"/>
        </w:rPr>
        <w:t>1、验收目的</w:t>
      </w:r>
      <w:bookmarkEnd w:id="402"/>
    </w:p>
    <w:p>
      <w:pPr>
        <w:pStyle w:val="5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检验柴油发电机组、控制装置以及配套设施是否满足本技术规格的要求及投标人在投标文件中承诺的其投标产品所能达到的各项技术性能指标。</w:t>
      </w:r>
      <w:bookmarkStart w:id="403" w:name="_Toc35077708"/>
      <w:bookmarkEnd w:id="403"/>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2、验收条件</w:t>
      </w:r>
    </w:p>
    <w:p>
      <w:pPr>
        <w:pStyle w:val="5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2.1、验收工作将在柴油发电机组及其附属装置工厂生产完成和机组在现场安装、调试和试验结束后进行。在正式开始验收之前，投标人应先完成自检，保证所交验的设备已经达到了预期状态。</w:t>
      </w:r>
    </w:p>
    <w:p>
      <w:pPr>
        <w:pStyle w:val="5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2.2、整个验收工作分为工厂验收和现场验收。验收以</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为主导，验收项目由</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在标书中具体表述，同时提供验收所需的专用仪器和仪表，以满足设备的验收标准。</w:t>
      </w:r>
    </w:p>
    <w:p>
      <w:pPr>
        <w:pStyle w:val="54"/>
        <w:spacing w:line="360" w:lineRule="auto"/>
        <w:rPr>
          <w:rFonts w:hint="eastAsia" w:ascii="宋体" w:hAnsi="宋体" w:eastAsia="宋体" w:cs="宋体"/>
          <w:color w:val="auto"/>
          <w:sz w:val="24"/>
          <w:szCs w:val="24"/>
          <w:highlight w:val="none"/>
        </w:rPr>
      </w:pPr>
      <w:bookmarkStart w:id="404" w:name="_Toc35077709"/>
      <w:bookmarkEnd w:id="404"/>
      <w:r>
        <w:rPr>
          <w:rFonts w:hint="eastAsia" w:ascii="宋体" w:hAnsi="宋体" w:eastAsia="宋体" w:cs="宋体"/>
          <w:color w:val="auto"/>
          <w:sz w:val="24"/>
          <w:szCs w:val="24"/>
          <w:highlight w:val="none"/>
        </w:rPr>
        <w:t>2.3、验收地点:工厂验收地点为中标方工厂，现场验收地点为项目现场。</w:t>
      </w:r>
    </w:p>
    <w:p>
      <w:pPr>
        <w:pStyle w:val="54"/>
        <w:spacing w:line="360" w:lineRule="auto"/>
        <w:rPr>
          <w:rFonts w:hint="eastAsia" w:ascii="宋体" w:hAnsi="宋体" w:eastAsia="宋体" w:cs="宋体"/>
          <w:color w:val="auto"/>
          <w:sz w:val="24"/>
          <w:szCs w:val="24"/>
          <w:highlight w:val="none"/>
        </w:rPr>
      </w:pPr>
      <w:bookmarkStart w:id="405" w:name="_Toc35077710"/>
      <w:bookmarkEnd w:id="405"/>
      <w:r>
        <w:rPr>
          <w:rFonts w:hint="eastAsia" w:ascii="宋体" w:hAnsi="宋体" w:eastAsia="宋体" w:cs="宋体"/>
          <w:color w:val="auto"/>
          <w:sz w:val="24"/>
          <w:szCs w:val="24"/>
          <w:highlight w:val="none"/>
        </w:rPr>
        <w:t>2.4、验收方法</w:t>
      </w:r>
    </w:p>
    <w:p>
      <w:pPr>
        <w:pStyle w:val="5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投标人在投标文件中提供柴油发电机组的验收大纲。在该验收大纲中必须说明其投标产品的主要技术性能指标、验收方法及合格判据，验收内容不得少于一下工作内容：</w:t>
      </w:r>
    </w:p>
    <w:p>
      <w:pPr>
        <w:pStyle w:val="5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A、工厂验收阶段，机组应按设计参数完成工厂验收。</w:t>
      </w:r>
    </w:p>
    <w:p>
      <w:pPr>
        <w:pStyle w:val="5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应测试发电机组的各项功能,在25%,50%,75%负载各运行2小时，100%常用功率运行24小时,超载10%(即备用功率)运行1小时，</w:t>
      </w:r>
      <w:bookmarkStart w:id="406" w:name="_Hlk18596730"/>
      <w:r>
        <w:rPr>
          <w:rFonts w:hint="eastAsia" w:ascii="宋体" w:hAnsi="宋体" w:eastAsia="宋体" w:cs="宋体"/>
          <w:color w:val="auto"/>
          <w:sz w:val="24"/>
          <w:szCs w:val="24"/>
          <w:highlight w:val="none"/>
        </w:rPr>
        <w:t>加载试验若有电力输出中断或停机之情形，则重新计时。</w:t>
      </w:r>
      <w:bookmarkEnd w:id="406"/>
    </w:p>
    <w:p>
      <w:pPr>
        <w:pStyle w:val="5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1电压整定范围：在输出功率因数、频率为额定值时，机组从空载到额定负载，发电机输出电压可调节范围不小于±5%额定电压。</w:t>
      </w:r>
    </w:p>
    <w:p>
      <w:pPr>
        <w:pStyle w:val="5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2稳态电压偏差：从空载逐渐加载至额定负载的25%、50%、75%、100%，再将负载按此等级由100%逐渐减至空载，各级负载下的频率和功率因数均为额定值，稳态电压偏差应≤±1%。</w:t>
      </w:r>
    </w:p>
    <w:p>
      <w:pPr>
        <w:pStyle w:val="5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瞬态电压偏差：由额定负载突减至空载，重复进行3次，偏差≤+25%；由空载突加至50%额定负载，重复进行3次，偏差≤-15%；</w:t>
      </w:r>
    </w:p>
    <w:p>
      <w:pPr>
        <w:pStyle w:val="5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 电压恢复时间：≤4s；</w:t>
      </w:r>
    </w:p>
    <w:p>
      <w:pPr>
        <w:pStyle w:val="5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 电压不平衡度：输出电压和频率为额定值，在空载状态下，电压不平衡度≤±1%；</w:t>
      </w:r>
    </w:p>
    <w:p>
      <w:pPr>
        <w:pStyle w:val="5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6频率降：≤2%；</w:t>
      </w:r>
    </w:p>
    <w:p>
      <w:pPr>
        <w:pStyle w:val="5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 稳定频率带：≤0.5%；</w:t>
      </w:r>
    </w:p>
    <w:p>
      <w:pPr>
        <w:pStyle w:val="5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 瞬态频率偏差：由额定负载突减至空载，重复进行3次，偏差≤+10%；由空载突加至50%额定负载，重复进行3次，偏差≤-7%；</w:t>
      </w:r>
    </w:p>
    <w:p>
      <w:pPr>
        <w:pStyle w:val="5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 频率恢复时间：≤5s</w:t>
      </w:r>
    </w:p>
    <w:p>
      <w:pPr>
        <w:pStyle w:val="5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 冷热态电压变化：在输出电压、频率、功率为额定值时，从冷态到热态的电压变化应不超过+2%额定电压。</w:t>
      </w:r>
    </w:p>
    <w:p>
      <w:pPr>
        <w:pStyle w:val="5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线电压波形正弦性畸变率：在输出电压、频率为额定值时，输出空载时，线电压波形正弦性畸变率≤5%</w:t>
      </w:r>
    </w:p>
    <w:p>
      <w:pPr>
        <w:pStyle w:val="54"/>
        <w:numPr>
          <w:ilvl w:val="0"/>
          <w:numId w:val="20"/>
        </w:numPr>
        <w:autoSpaceDE w:val="0"/>
        <w:autoSpaceDN w:val="0"/>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现场验收：</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供货材料验收，按照提供的供货方案进行货物清点。</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对机组控制系统及远程启停模拟测试验收</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对机组带载切换送电验收</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以上验收必须满足招标技术要求</w:t>
      </w:r>
    </w:p>
    <w:p>
      <w:pPr>
        <w:pStyle w:val="5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投标人应负担调试运行的油料及零配件。</w:t>
      </w:r>
      <w:bookmarkStart w:id="407" w:name="_Toc35077711"/>
      <w:bookmarkEnd w:id="407"/>
    </w:p>
    <w:p>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12、测试与验收报告</w:t>
      </w:r>
    </w:p>
    <w:p>
      <w:pPr>
        <w:pStyle w:val="54"/>
        <w:spacing w:line="360" w:lineRule="auto"/>
        <w:ind w:firstLine="42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柴油发电机应提供出厂检测报告和现场测试报告，并提供通过当地环保部门按照相关规范进行验收的验收证明，验收工作结束后，投标人应负责起草验收报告。验收报告的内容应至少包括：合同名称、验收目的、验收时间、参验人员、验收项目及验收情况。其中验收情况应实事求是，并附有实测的数据记录。</w:t>
      </w:r>
    </w:p>
    <w:p>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投标人提交的验收报告将作为招标人支付有关合同价款（验收付款）的依据之一。</w:t>
      </w:r>
    </w:p>
    <w:p>
      <w:pPr>
        <w:pStyle w:val="4"/>
        <w:bidi w:val="0"/>
        <w:ind w:firstLine="138" w:firstLineChars="49"/>
        <w:outlineLvl w:val="2"/>
        <w:rPr>
          <w:rFonts w:hint="eastAsia" w:ascii="宋体" w:hAnsi="宋体" w:eastAsia="宋体" w:cs="宋体"/>
          <w:color w:val="auto"/>
          <w:szCs w:val="24"/>
          <w:lang w:val="en-US" w:eastAsia="zh-CN"/>
        </w:rPr>
      </w:pPr>
      <w:bookmarkStart w:id="408" w:name="_Toc25383"/>
      <w:bookmarkStart w:id="409" w:name="_Toc15625"/>
      <w:bookmarkStart w:id="410" w:name="_Toc25140"/>
      <w:bookmarkStart w:id="411" w:name="_Toc27938"/>
      <w:r>
        <w:rPr>
          <w:rFonts w:hint="eastAsia"/>
          <w:color w:val="auto"/>
          <w:lang w:val="en-US" w:eastAsia="zh-CN"/>
        </w:rPr>
        <w:t>13.6 售后服务</w:t>
      </w:r>
      <w:bookmarkEnd w:id="408"/>
      <w:bookmarkEnd w:id="409"/>
      <w:bookmarkEnd w:id="410"/>
      <w:bookmarkEnd w:id="411"/>
    </w:p>
    <w:p>
      <w:pPr>
        <w:ind w:firstLine="480"/>
        <w:rPr>
          <w:rFonts w:hint="eastAsia"/>
          <w:color w:val="auto"/>
        </w:rPr>
      </w:pPr>
      <w:r>
        <w:rPr>
          <w:rFonts w:hint="eastAsia"/>
          <w:color w:val="auto"/>
        </w:rPr>
        <w:t>1、投标人应有相应的技术支持及售后服务网点（须提供网点地址信息），确保用户能够得到及时优质的售后服务。投标人的服务应包括产品提供、配套设备提供、配合设备调试、保修及保修期外的有偿维护。</w:t>
      </w:r>
    </w:p>
    <w:p>
      <w:pPr>
        <w:ind w:firstLine="480"/>
        <w:rPr>
          <w:rFonts w:hint="eastAsia"/>
          <w:color w:val="auto"/>
        </w:rPr>
      </w:pPr>
      <w:r>
        <w:rPr>
          <w:rFonts w:hint="eastAsia"/>
          <w:color w:val="auto"/>
        </w:rPr>
        <w:t>2、投标人须明确售后服务承诺、现场响应承诺、维护检测承诺、服务水平承诺以及服务级别承诺，</w:t>
      </w:r>
    </w:p>
    <w:p>
      <w:pPr>
        <w:spacing w:line="360" w:lineRule="auto"/>
        <w:ind w:firstLine="420" w:firstLineChars="200"/>
        <w:rPr>
          <w:rFonts w:hint="eastAsia"/>
          <w:color w:val="auto"/>
        </w:rPr>
      </w:pPr>
      <w:r>
        <w:rPr>
          <w:rFonts w:hint="eastAsia"/>
          <w:color w:val="auto"/>
        </w:rPr>
        <w:t>3、考虑通信设备的重要性，为确保设备的安全运行，现场响应时间为2小时内。</w:t>
      </w:r>
    </w:p>
    <w:p>
      <w:pPr>
        <w:spacing w:line="360" w:lineRule="auto"/>
        <w:ind w:firstLine="420" w:firstLineChars="200"/>
        <w:rPr>
          <w:rFonts w:hint="eastAsia"/>
          <w:color w:val="auto"/>
        </w:rPr>
      </w:pPr>
      <w:r>
        <w:rPr>
          <w:rFonts w:hint="eastAsia"/>
          <w:color w:val="auto"/>
        </w:rPr>
        <w:t>4、质量保证</w:t>
      </w:r>
    </w:p>
    <w:p>
      <w:pPr>
        <w:ind w:firstLine="480"/>
        <w:rPr>
          <w:rFonts w:hint="eastAsia"/>
          <w:color w:val="auto"/>
        </w:rPr>
      </w:pPr>
      <w:r>
        <w:rPr>
          <w:rFonts w:hint="eastAsia"/>
          <w:color w:val="auto"/>
        </w:rPr>
        <w:t>柴油发电机组以及配套产品的质量保证期为通过竣工验收后的2年（是指从</w:t>
      </w:r>
      <w:r>
        <w:rPr>
          <w:rFonts w:hint="eastAsia" w:eastAsia="宋体"/>
          <w:color w:val="auto"/>
          <w:lang w:eastAsia="zh-CN"/>
        </w:rPr>
        <w:t>招标人</w:t>
      </w:r>
      <w:r>
        <w:rPr>
          <w:rFonts w:hint="eastAsia"/>
          <w:color w:val="auto"/>
        </w:rPr>
        <w:t>正式验收合格之日起计算）。在此质量保证期内发生的任何故障，投标人均应负责免费修复更换。同时在质保期内提供机组检测服务，机组检测服务包括提供对机组带载测试，性能参数指标检测的服务，定期巡检。维护保养以及机组检测服务同时包含应急响应维修服务费用，但不包含所更换的零备件。维护保养以及机组检测服务按照设备制造商对柴油发电机组年度维护的要求。</w:t>
      </w:r>
    </w:p>
    <w:p>
      <w:pPr>
        <w:spacing w:line="360" w:lineRule="auto"/>
        <w:ind w:firstLine="420" w:firstLineChars="200"/>
        <w:rPr>
          <w:rFonts w:hint="eastAsia" w:ascii="宋体" w:hAnsi="宋体" w:eastAsia="宋体" w:cs="宋体"/>
          <w:color w:val="auto"/>
          <w:szCs w:val="24"/>
          <w:highlight w:val="none"/>
        </w:rPr>
      </w:pPr>
      <w:bookmarkStart w:id="412" w:name="_Toc35077718"/>
      <w:bookmarkEnd w:id="412"/>
      <w:r>
        <w:rPr>
          <w:rFonts w:hint="eastAsia"/>
          <w:color w:val="auto"/>
        </w:rPr>
        <w:t>投标人还需承诺柴油发电机组安装验收后定期的现场免费巡防次数（每年一次）和方案（含巡视内容以及除巡视外涉及设备维护的费用）。</w:t>
      </w:r>
    </w:p>
    <w:p>
      <w:pPr>
        <w:spacing w:line="360" w:lineRule="auto"/>
        <w:ind w:firstLine="420" w:firstLineChars="200"/>
        <w:rPr>
          <w:rFonts w:hint="eastAsia"/>
          <w:color w:val="auto"/>
        </w:rPr>
      </w:pPr>
      <w:r>
        <w:rPr>
          <w:rFonts w:hint="eastAsia"/>
          <w:color w:val="auto"/>
        </w:rPr>
        <w:t>投标人应在设备寿命期间免费及时地处理设备的设计和制造缺陷部分，包括但不限于更换故障印刷电路、部件及软件。</w:t>
      </w:r>
    </w:p>
    <w:p>
      <w:pPr>
        <w:ind w:firstLine="420" w:firstLineChars="200"/>
        <w:rPr>
          <w:rFonts w:hint="eastAsia"/>
          <w:color w:val="auto"/>
        </w:rPr>
      </w:pPr>
      <w:r>
        <w:rPr>
          <w:rFonts w:hint="eastAsia"/>
          <w:color w:val="auto"/>
        </w:rPr>
        <w:t>在保修期内，</w:t>
      </w:r>
      <w:r>
        <w:rPr>
          <w:rFonts w:hint="eastAsia" w:eastAsia="宋体"/>
          <w:color w:val="auto"/>
          <w:lang w:eastAsia="zh-CN"/>
        </w:rPr>
        <w:t>投标人</w:t>
      </w:r>
      <w:r>
        <w:rPr>
          <w:rFonts w:hint="eastAsia"/>
          <w:color w:val="auto"/>
        </w:rPr>
        <w:t>应提供以下服务：</w:t>
      </w:r>
    </w:p>
    <w:p>
      <w:pPr>
        <w:ind w:firstLine="420" w:firstLineChars="200"/>
        <w:rPr>
          <w:rFonts w:hint="eastAsia"/>
          <w:color w:val="auto"/>
        </w:rPr>
      </w:pPr>
      <w:r>
        <w:rPr>
          <w:rFonts w:hint="eastAsia"/>
          <w:color w:val="auto"/>
        </w:rPr>
        <w:t>（1）提供7*24小时电话故障诊断服务；</w:t>
      </w:r>
    </w:p>
    <w:p>
      <w:pPr>
        <w:ind w:firstLine="420" w:firstLineChars="200"/>
        <w:rPr>
          <w:rFonts w:hint="eastAsia"/>
          <w:color w:val="auto"/>
        </w:rPr>
      </w:pPr>
      <w:r>
        <w:rPr>
          <w:rFonts w:hint="eastAsia"/>
          <w:color w:val="auto"/>
        </w:rPr>
        <w:t>（2）现场故障排除服务；</w:t>
      </w:r>
    </w:p>
    <w:p>
      <w:pPr>
        <w:ind w:firstLine="420" w:firstLineChars="200"/>
        <w:rPr>
          <w:rFonts w:hint="eastAsia"/>
          <w:color w:val="auto"/>
        </w:rPr>
      </w:pPr>
      <w:r>
        <w:rPr>
          <w:rFonts w:hint="eastAsia"/>
          <w:color w:val="auto"/>
        </w:rPr>
        <w:t>（3）生产厂家应提供相关资料共享；</w:t>
      </w:r>
    </w:p>
    <w:p>
      <w:pPr>
        <w:ind w:firstLine="420" w:firstLineChars="200"/>
        <w:rPr>
          <w:rFonts w:hint="eastAsia"/>
          <w:color w:val="auto"/>
        </w:rPr>
      </w:pPr>
      <w:r>
        <w:rPr>
          <w:rFonts w:hint="eastAsia"/>
          <w:color w:val="auto"/>
        </w:rPr>
        <w:t>（4）定期设备质量巡检，巡检数量按供货量的10％，巡检次数要求1次/年；</w:t>
      </w:r>
    </w:p>
    <w:p>
      <w:pPr>
        <w:ind w:firstLine="420" w:firstLineChars="200"/>
        <w:rPr>
          <w:rFonts w:hint="eastAsia"/>
          <w:color w:val="auto"/>
        </w:rPr>
      </w:pPr>
      <w:r>
        <w:rPr>
          <w:rFonts w:hint="eastAsia"/>
          <w:color w:val="auto"/>
        </w:rPr>
        <w:t>（5）由于设备本身的原因造成的故障，</w:t>
      </w:r>
      <w:r>
        <w:rPr>
          <w:rFonts w:hint="eastAsia" w:eastAsia="宋体"/>
          <w:color w:val="auto"/>
          <w:lang w:eastAsia="zh-CN"/>
        </w:rPr>
        <w:t>投标人</w:t>
      </w:r>
      <w:r>
        <w:rPr>
          <w:rFonts w:hint="eastAsia"/>
          <w:color w:val="auto"/>
        </w:rPr>
        <w:t>应迅速给予解决并不得另行收取任何费用。</w:t>
      </w:r>
    </w:p>
    <w:p>
      <w:pPr>
        <w:ind w:firstLine="420" w:firstLineChars="200"/>
        <w:rPr>
          <w:rFonts w:hint="eastAsia"/>
          <w:color w:val="auto"/>
        </w:rPr>
      </w:pPr>
      <w:r>
        <w:rPr>
          <w:rFonts w:hint="eastAsia"/>
          <w:color w:val="auto"/>
        </w:rPr>
        <w:t>在保修期外，</w:t>
      </w:r>
      <w:r>
        <w:rPr>
          <w:rFonts w:hint="eastAsia" w:eastAsia="宋体"/>
          <w:color w:val="auto"/>
          <w:lang w:eastAsia="zh-CN"/>
        </w:rPr>
        <w:t>投标人</w:t>
      </w:r>
      <w:r>
        <w:rPr>
          <w:rFonts w:hint="eastAsia"/>
          <w:color w:val="auto"/>
        </w:rPr>
        <w:t>应提供保修期内的前四项服务。</w:t>
      </w:r>
    </w:p>
    <w:p>
      <w:pPr>
        <w:spacing w:line="360" w:lineRule="auto"/>
        <w:ind w:firstLine="420" w:firstLineChars="200"/>
        <w:rPr>
          <w:rFonts w:hint="eastAsia"/>
          <w:color w:val="auto"/>
        </w:rPr>
      </w:pPr>
      <w:r>
        <w:rPr>
          <w:rFonts w:hint="eastAsia"/>
          <w:color w:val="auto"/>
        </w:rPr>
        <w:t>5、维修响应的及时性</w:t>
      </w:r>
    </w:p>
    <w:p>
      <w:pPr>
        <w:ind w:firstLine="480"/>
        <w:rPr>
          <w:rFonts w:hint="eastAsia"/>
          <w:color w:val="auto"/>
        </w:rPr>
      </w:pPr>
      <w:r>
        <w:rPr>
          <w:rFonts w:hint="eastAsia"/>
          <w:color w:val="auto"/>
        </w:rPr>
        <w:t>投标人应在湖北省内设有公司或常驻办事处，有具有相应维护资质工程师，收到招标人的报修电话后，投标人应在2小时内派遣有经验的维修工程师赴现场提供免费维修服务。维修工程师赴现场后应及时对故障进行检修，对于一般故障应在24小时内修复；对于重大故障应在72小时内修复。</w:t>
      </w:r>
      <w:bookmarkStart w:id="413" w:name="_Toc35077719"/>
      <w:bookmarkEnd w:id="413"/>
    </w:p>
    <w:p>
      <w:pPr>
        <w:spacing w:line="360" w:lineRule="auto"/>
        <w:ind w:firstLine="420" w:firstLineChars="200"/>
        <w:rPr>
          <w:rFonts w:hint="eastAsia"/>
          <w:color w:val="auto"/>
        </w:rPr>
      </w:pPr>
      <w:r>
        <w:rPr>
          <w:rFonts w:hint="eastAsia"/>
          <w:color w:val="auto"/>
        </w:rPr>
        <w:t>6、备品、备件供应保障</w:t>
      </w:r>
    </w:p>
    <w:p>
      <w:pPr>
        <w:ind w:firstLine="480"/>
        <w:rPr>
          <w:rFonts w:hint="eastAsia"/>
          <w:color w:val="auto"/>
        </w:rPr>
      </w:pPr>
      <w:r>
        <w:rPr>
          <w:rFonts w:hint="eastAsia"/>
          <w:color w:val="auto"/>
        </w:rPr>
        <w:t>投标人提供固定的备品备件供应渠道，并提供易损易耗的备品备件的价格清单。在质量保证期结束后，投标人承诺未来十年内应以不高于向其他客户的供货价格向招标人提供所需的备品、备件或向招标人提供备品、备件可靠的供货渠道。</w:t>
      </w:r>
    </w:p>
    <w:p>
      <w:pPr>
        <w:ind w:firstLine="480"/>
        <w:rPr>
          <w:rFonts w:hint="eastAsia"/>
          <w:color w:val="auto"/>
        </w:rPr>
      </w:pPr>
      <w:r>
        <w:rPr>
          <w:rFonts w:hint="eastAsia"/>
          <w:color w:val="auto"/>
        </w:rPr>
        <w:t>当获知某一备品、备件将停止生产时，投标人应及时向招标人通报，并提供解决方案，以便招标人采取相应的对策。</w:t>
      </w:r>
    </w:p>
    <w:p>
      <w:pPr>
        <w:spacing w:line="360" w:lineRule="auto"/>
        <w:ind w:firstLine="420" w:firstLineChars="200"/>
        <w:rPr>
          <w:rFonts w:hint="eastAsia"/>
          <w:color w:val="auto"/>
        </w:rPr>
      </w:pPr>
      <w:r>
        <w:rPr>
          <w:rFonts w:hint="eastAsia"/>
          <w:color w:val="auto"/>
        </w:rPr>
        <w:t>7、技术培训</w:t>
      </w:r>
    </w:p>
    <w:p>
      <w:pPr>
        <w:ind w:firstLine="480"/>
        <w:rPr>
          <w:rFonts w:hint="eastAsia"/>
          <w:color w:val="auto"/>
        </w:rPr>
      </w:pPr>
      <w:r>
        <w:rPr>
          <w:rFonts w:hint="eastAsia"/>
          <w:color w:val="auto"/>
        </w:rPr>
        <w:t>签订现场调试验收合格证书前，应提供相应人员的设备技术培训（要求有培训大纲），并直至培训人员达到培训的要求。培训的内容应包括但不限于：让接受培训人员熟练操作发电机组，掌握柴油发电机组的原理，掌握日常如何维护及能判断发电机组的一般故障以及维修等。</w:t>
      </w:r>
    </w:p>
    <w:p>
      <w:pPr>
        <w:ind w:firstLine="480"/>
        <w:rPr>
          <w:rFonts w:hint="eastAsia"/>
          <w:color w:val="auto"/>
        </w:rPr>
      </w:pPr>
      <w:r>
        <w:rPr>
          <w:rFonts w:hint="eastAsia"/>
          <w:color w:val="auto"/>
        </w:rPr>
        <w:t>投标人同时提供现场培训，要求派出的培训人员，应在所提供的设备上具有五年以上的维修经验，培训人员的简历连同培训计划提交业主，业主认为培训人员不合格可要求更换。</w:t>
      </w:r>
    </w:p>
    <w:p>
      <w:pPr>
        <w:pStyle w:val="4"/>
        <w:rPr>
          <w:rFonts w:hint="eastAsia" w:ascii="宋体" w:hAnsi="宋体" w:eastAsia="宋体" w:cs="宋体"/>
          <w:color w:val="auto"/>
          <w:szCs w:val="24"/>
        </w:rPr>
      </w:pPr>
      <w:bookmarkStart w:id="414" w:name="_Toc30107"/>
      <w:bookmarkStart w:id="415" w:name="_Toc20604"/>
      <w:bookmarkStart w:id="416" w:name="_Toc19770"/>
      <w:bookmarkStart w:id="417" w:name="_Toc26988"/>
      <w:r>
        <w:rPr>
          <w:rFonts w:hint="eastAsia"/>
          <w:color w:val="auto"/>
          <w:lang w:val="en-US" w:eastAsia="zh-CN"/>
        </w:rPr>
        <w:t xml:space="preserve">13.7 </w:t>
      </w:r>
      <w:r>
        <w:rPr>
          <w:rFonts w:hint="eastAsia"/>
          <w:color w:val="auto"/>
        </w:rPr>
        <w:t>其他说明</w:t>
      </w:r>
      <w:bookmarkEnd w:id="414"/>
      <w:bookmarkEnd w:id="415"/>
      <w:bookmarkEnd w:id="416"/>
      <w:bookmarkEnd w:id="417"/>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提供的设备应具备技术规范所要求的所有功能，如果</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提供的设备不具备技术要求的全部的功能，技术偏离部分必须在投标文件中明确。填写投标设备的技术偏离表，并写出具体技术数据和指标。</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2、投标设备及主要部件必须明确制造商、产地、使用寿命。</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提供的设备具备本技术要求中没有提到的其它功能和其它附件，或者</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有新的更合理的建议，</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应作为附件提供。</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提供的设备应技术先进、成熟、具有高可靠性的产品，并应以国家标准或国际标准进行设计、制造、校准和检验，指标参数以标准高的为准。</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提供</w:t>
      </w:r>
      <w:r>
        <w:rPr>
          <w:rFonts w:hint="eastAsia" w:ascii="宋体" w:hAnsi="宋体" w:eastAsia="宋体" w:cs="宋体"/>
          <w:color w:val="auto"/>
          <w:sz w:val="24"/>
          <w:szCs w:val="24"/>
          <w:highlight w:val="none"/>
          <w:lang w:val="en-US" w:eastAsia="zh-CN"/>
        </w:rPr>
        <w:t>的投标方案</w:t>
      </w:r>
      <w:r>
        <w:rPr>
          <w:rFonts w:hint="eastAsia" w:ascii="宋体" w:hAnsi="宋体" w:eastAsia="宋体" w:cs="宋体"/>
          <w:color w:val="auto"/>
          <w:sz w:val="24"/>
          <w:szCs w:val="24"/>
          <w:highlight w:val="none"/>
        </w:rPr>
        <w:t>应保证设备摆放合理、走线规范、符合</w:t>
      </w:r>
      <w:r>
        <w:rPr>
          <w:rFonts w:hint="eastAsia" w:ascii="宋体" w:hAnsi="宋体" w:eastAsia="宋体" w:cs="宋体"/>
          <w:color w:val="auto"/>
          <w:sz w:val="24"/>
          <w:szCs w:val="24"/>
          <w:highlight w:val="none"/>
          <w:lang w:val="en-US" w:eastAsia="zh-CN"/>
        </w:rPr>
        <w:t>相关</w:t>
      </w:r>
      <w:r>
        <w:rPr>
          <w:rFonts w:hint="eastAsia" w:ascii="宋体" w:hAnsi="宋体" w:eastAsia="宋体" w:cs="宋体"/>
          <w:color w:val="auto"/>
          <w:sz w:val="24"/>
          <w:szCs w:val="24"/>
          <w:highlight w:val="none"/>
        </w:rPr>
        <w:t>行业规范及设计要求。</w:t>
      </w:r>
    </w:p>
    <w:p>
      <w:pPr>
        <w:pStyle w:val="3"/>
        <w:rPr>
          <w:rFonts w:hint="eastAsia" w:ascii="宋体" w:hAnsi="宋体" w:eastAsia="宋体" w:cs="宋体"/>
          <w:b/>
          <w:bCs w:val="0"/>
          <w:color w:val="auto"/>
          <w:szCs w:val="24"/>
          <w:highlight w:val="none"/>
          <w:lang w:val="en-US" w:eastAsia="zh-CN"/>
        </w:rPr>
      </w:pPr>
      <w:bookmarkStart w:id="418" w:name="_Toc7029"/>
      <w:bookmarkStart w:id="419" w:name="_Toc6112"/>
      <w:bookmarkStart w:id="420" w:name="_Toc26912"/>
      <w:bookmarkStart w:id="421" w:name="_Toc21883"/>
      <w:r>
        <w:rPr>
          <w:rFonts w:hint="eastAsia"/>
          <w:color w:val="auto"/>
          <w:lang w:val="en-US" w:eastAsia="zh-CN"/>
        </w:rPr>
        <w:t>14. 微电网智慧平台技术要求</w:t>
      </w:r>
      <w:bookmarkEnd w:id="418"/>
      <w:bookmarkEnd w:id="419"/>
      <w:bookmarkEnd w:id="420"/>
      <w:bookmarkEnd w:id="421"/>
    </w:p>
    <w:p>
      <w:pPr>
        <w:pStyle w:val="4"/>
        <w:rPr>
          <w:rFonts w:hint="eastAsia" w:ascii="宋体" w:hAnsi="宋体" w:eastAsia="宋体" w:cs="宋体"/>
          <w:b/>
          <w:bCs w:val="0"/>
          <w:color w:val="auto"/>
          <w:kern w:val="2"/>
          <w:szCs w:val="24"/>
          <w:highlight w:val="none"/>
          <w:lang w:val="en-US" w:eastAsia="zh-CN" w:bidi="ar-SA"/>
        </w:rPr>
      </w:pPr>
      <w:bookmarkStart w:id="422" w:name="_Toc7085"/>
      <w:bookmarkStart w:id="423" w:name="_Toc20461"/>
      <w:bookmarkStart w:id="424" w:name="_Toc11900"/>
      <w:r>
        <w:rPr>
          <w:rFonts w:hint="eastAsia"/>
          <w:color w:val="auto"/>
          <w:lang w:val="en-US" w:eastAsia="zh-CN"/>
        </w:rPr>
        <w:t>14.1 总体功能要求</w:t>
      </w:r>
      <w:bookmarkEnd w:id="422"/>
      <w:bookmarkEnd w:id="423"/>
      <w:bookmarkEnd w:id="424"/>
    </w:p>
    <w:p>
      <w:pPr>
        <w:spacing w:line="360" w:lineRule="auto"/>
        <w:ind w:firstLine="420" w:firstLineChars="200"/>
        <w:rPr>
          <w:rFonts w:hint="eastAsia"/>
          <w:color w:val="auto"/>
        </w:rPr>
      </w:pPr>
      <w:r>
        <w:rPr>
          <w:rFonts w:hint="eastAsia" w:ascii="Calibri" w:eastAsia="宋体"/>
          <w:color w:val="auto"/>
          <w:lang w:val="en-US" w:eastAsia="zh-CN"/>
        </w:rPr>
        <w:t>商业航天发射场</w:t>
      </w:r>
      <w:r>
        <w:rPr>
          <w:rFonts w:hint="eastAsia" w:eastAsia="宋体"/>
          <w:color w:val="auto"/>
          <w:lang w:eastAsia="zh-CN"/>
        </w:rPr>
        <w:t>微电网</w:t>
      </w:r>
      <w:r>
        <w:rPr>
          <w:rFonts w:hint="eastAsia"/>
          <w:color w:val="auto"/>
        </w:rPr>
        <w:t>项目总体功能要求包括：一是实现项目关键设施的高效监测与运行管理；二是与</w:t>
      </w:r>
      <w:r>
        <w:rPr>
          <w:rFonts w:hint="eastAsia" w:ascii="Calibri" w:eastAsia="宋体"/>
          <w:color w:val="auto"/>
          <w:lang w:val="en-US" w:eastAsia="zh-CN"/>
        </w:rPr>
        <w:t>商发原有电能质量监测</w:t>
      </w:r>
      <w:r>
        <w:rPr>
          <w:rFonts w:hint="eastAsia"/>
          <w:color w:val="auto"/>
        </w:rPr>
        <w:t>平台</w:t>
      </w:r>
      <w:r>
        <w:rPr>
          <w:rFonts w:hint="eastAsia" w:ascii="Calibri" w:eastAsia="宋体"/>
          <w:color w:val="auto"/>
          <w:lang w:val="en-US" w:eastAsia="zh-CN"/>
        </w:rPr>
        <w:t>之间的数据交互</w:t>
      </w:r>
      <w:r>
        <w:rPr>
          <w:rFonts w:hint="eastAsia"/>
          <w:color w:val="auto"/>
        </w:rPr>
        <w:t>；三是具备实现电网友好运行</w:t>
      </w:r>
      <w:r>
        <w:rPr>
          <w:rFonts w:hint="eastAsia" w:eastAsia="宋体"/>
          <w:color w:val="auto"/>
          <w:lang w:eastAsia="zh-CN"/>
        </w:rPr>
        <w:t>；</w:t>
      </w:r>
      <w:r>
        <w:rPr>
          <w:rFonts w:hint="eastAsia" w:ascii="Calibri" w:eastAsia="宋体"/>
          <w:color w:val="auto"/>
          <w:lang w:val="en-US" w:eastAsia="zh-CN"/>
        </w:rPr>
        <w:t>四</w:t>
      </w:r>
      <w:r>
        <w:rPr>
          <w:rFonts w:hint="eastAsia"/>
          <w:color w:val="auto"/>
        </w:rPr>
        <w:t>是支撑</w:t>
      </w:r>
      <w:r>
        <w:rPr>
          <w:rFonts w:hint="eastAsia" w:ascii="Calibri" w:eastAsia="宋体"/>
          <w:color w:val="auto"/>
          <w:lang w:val="en-US" w:eastAsia="zh-CN"/>
        </w:rPr>
        <w:t>商业航天发射场</w:t>
      </w:r>
      <w:r>
        <w:rPr>
          <w:rFonts w:hint="eastAsia"/>
          <w:color w:val="auto"/>
        </w:rPr>
        <w:t>打造绿色低碳、安全可靠、经济高效的微电网示范，实现微电网协同优化控制、安全可靠供电运行。通过</w:t>
      </w:r>
      <w:r>
        <w:rPr>
          <w:rFonts w:hint="eastAsia" w:eastAsia="宋体"/>
          <w:color w:val="auto"/>
          <w:lang w:eastAsia="zh-CN"/>
        </w:rPr>
        <w:t>微电网</w:t>
      </w:r>
      <w:r>
        <w:rPr>
          <w:rFonts w:hint="eastAsia"/>
          <w:color w:val="auto"/>
        </w:rPr>
        <w:t>智慧</w:t>
      </w:r>
      <w:r>
        <w:rPr>
          <w:rFonts w:hint="eastAsia" w:ascii="Calibri" w:eastAsia="宋体"/>
          <w:color w:val="auto"/>
          <w:lang w:val="en-US" w:eastAsia="zh-CN"/>
        </w:rPr>
        <w:t>平台</w:t>
      </w:r>
      <w:r>
        <w:rPr>
          <w:rFonts w:hint="eastAsia"/>
          <w:color w:val="auto"/>
        </w:rPr>
        <w:t>，提升项目的供电可靠性、</w:t>
      </w:r>
      <w:r>
        <w:rPr>
          <w:rFonts w:hint="eastAsia" w:eastAsia="宋体"/>
          <w:color w:val="auto"/>
          <w:lang w:eastAsia="zh-CN"/>
        </w:rPr>
        <w:t>微电网</w:t>
      </w:r>
      <w:r>
        <w:rPr>
          <w:rFonts w:hint="eastAsia"/>
          <w:color w:val="auto"/>
        </w:rPr>
        <w:t>友好互动能力，最大化提升项目的经济效益。</w:t>
      </w:r>
    </w:p>
    <w:p>
      <w:pPr>
        <w:spacing w:line="360" w:lineRule="auto"/>
        <w:ind w:firstLine="420" w:firstLineChars="200"/>
        <w:rPr>
          <w:rFonts w:hint="eastAsia"/>
          <w:color w:val="auto"/>
          <w:lang w:val="en-US" w:eastAsia="zh-CN"/>
        </w:rPr>
      </w:pPr>
      <w:r>
        <w:rPr>
          <w:rFonts w:hint="eastAsia" w:ascii="Calibri" w:eastAsia="宋体"/>
          <w:color w:val="auto"/>
          <w:lang w:val="en-US" w:eastAsia="zh-CN"/>
        </w:rPr>
        <w:t>系统应采用国际标准开发，所有功能模块之间的接口标准应统一，支持方便地实现与其他系统间的接口，系统提供标准的数据库访问接口；基于标准的图形用户编辑、生成工具及访问接口；标准的网络通信应用层协议、应用基本函数及调用接口；系统软件运行任务调用接口。系统平台应具备安全性、稳定性、可扩展性等能力。</w:t>
      </w:r>
    </w:p>
    <w:p>
      <w:pPr>
        <w:pStyle w:val="4"/>
        <w:rPr>
          <w:rFonts w:hint="eastAsia" w:ascii="宋体" w:hAnsi="宋体" w:eastAsia="宋体" w:cs="宋体"/>
          <w:b/>
          <w:bCs w:val="0"/>
          <w:color w:val="auto"/>
          <w:szCs w:val="24"/>
          <w:highlight w:val="none"/>
          <w:lang w:val="en-US" w:eastAsia="zh-CN"/>
        </w:rPr>
      </w:pPr>
      <w:bookmarkStart w:id="425" w:name="_Toc12595"/>
      <w:bookmarkStart w:id="426" w:name="_Toc22985"/>
      <w:bookmarkStart w:id="427" w:name="_Toc8430"/>
      <w:bookmarkStart w:id="428" w:name="_Toc11752"/>
      <w:r>
        <w:rPr>
          <w:rFonts w:hint="eastAsia"/>
          <w:color w:val="auto"/>
          <w:lang w:val="en-US" w:eastAsia="zh-CN"/>
        </w:rPr>
        <w:t>14.2 设计目标</w:t>
      </w:r>
      <w:bookmarkEnd w:id="425"/>
      <w:bookmarkEnd w:id="426"/>
      <w:bookmarkEnd w:id="427"/>
      <w:bookmarkEnd w:id="428"/>
    </w:p>
    <w:p>
      <w:pPr>
        <w:spacing w:line="360" w:lineRule="auto"/>
        <w:ind w:firstLine="420" w:firstLineChars="200"/>
        <w:rPr>
          <w:rFonts w:hint="eastAsia"/>
          <w:color w:val="auto"/>
          <w:lang w:val="en-US" w:eastAsia="zh-CN"/>
        </w:rPr>
      </w:pPr>
      <w:r>
        <w:rPr>
          <w:rFonts w:hint="eastAsia" w:ascii="Calibri" w:eastAsia="宋体"/>
          <w:color w:val="auto"/>
          <w:lang w:val="en-US" w:eastAsia="zh-CN"/>
        </w:rPr>
        <w:t>1.并网运行模式，储能实现经济性</w:t>
      </w:r>
      <w:r>
        <w:rPr>
          <w:rFonts w:hint="eastAsia"/>
          <w:color w:val="auto"/>
        </w:rPr>
        <w:t>策略运行。</w:t>
      </w:r>
    </w:p>
    <w:p>
      <w:pPr>
        <w:spacing w:line="360" w:lineRule="auto"/>
        <w:ind w:firstLine="420" w:firstLineChars="200"/>
        <w:rPr>
          <w:rFonts w:hint="eastAsia"/>
          <w:color w:val="auto"/>
          <w:lang w:val="en-US" w:eastAsia="zh-CN"/>
        </w:rPr>
      </w:pPr>
      <w:r>
        <w:rPr>
          <w:rFonts w:hint="eastAsia" w:ascii="Calibri" w:eastAsia="宋体"/>
          <w:color w:val="auto"/>
          <w:lang w:val="en-US" w:eastAsia="zh-CN"/>
        </w:rPr>
        <w:t>2.离网运行模式以安全性和稳定性最优为目标进行控制，协调控制储能、柴发和负荷保证微网系统内能量平衡实现离网模式稳定运行。</w:t>
      </w:r>
    </w:p>
    <w:p>
      <w:pPr>
        <w:spacing w:line="360" w:lineRule="auto"/>
        <w:ind w:firstLine="420" w:firstLineChars="200"/>
        <w:rPr>
          <w:rFonts w:hint="eastAsia"/>
          <w:color w:val="auto"/>
          <w:lang w:val="en-US" w:eastAsia="zh-CN"/>
        </w:rPr>
      </w:pPr>
      <w:r>
        <w:rPr>
          <w:rFonts w:hint="eastAsia" w:ascii="Calibri" w:eastAsia="宋体"/>
          <w:color w:val="auto"/>
          <w:lang w:val="en-US" w:eastAsia="zh-CN"/>
        </w:rPr>
        <w:t>3.实现并离网切换，其中计划性离网要求无缝切换，非计划离网实现稳压源切换，如果系统完全停电，</w:t>
      </w:r>
      <w:r>
        <w:rPr>
          <w:rFonts w:hint="eastAsia"/>
          <w:color w:val="auto"/>
        </w:rPr>
        <w:t>需要</w:t>
      </w:r>
      <w:r>
        <w:rPr>
          <w:rFonts w:hint="eastAsia" w:ascii="Calibri" w:eastAsia="宋体"/>
          <w:color w:val="auto"/>
          <w:lang w:val="en-US" w:eastAsia="zh-CN"/>
        </w:rPr>
        <w:t>具备</w:t>
      </w:r>
      <w:r>
        <w:rPr>
          <w:rFonts w:hint="eastAsia"/>
          <w:color w:val="auto"/>
        </w:rPr>
        <w:t>黑启动</w:t>
      </w:r>
      <w:r>
        <w:rPr>
          <w:rFonts w:hint="eastAsia" w:ascii="Calibri" w:eastAsia="宋体"/>
          <w:color w:val="auto"/>
          <w:lang w:val="en-US" w:eastAsia="zh-CN"/>
        </w:rPr>
        <w:t>功能。</w:t>
      </w:r>
    </w:p>
    <w:p>
      <w:pPr>
        <w:spacing w:line="360" w:lineRule="auto"/>
        <w:ind w:firstLine="420" w:firstLineChars="200"/>
        <w:rPr>
          <w:rFonts w:hint="eastAsia"/>
          <w:color w:val="auto"/>
          <w:lang w:val="en-US" w:eastAsia="zh-CN"/>
        </w:rPr>
      </w:pPr>
      <w:r>
        <w:rPr>
          <w:rFonts w:hint="eastAsia" w:ascii="Calibri" w:eastAsia="宋体"/>
          <w:color w:val="auto"/>
          <w:lang w:val="en-US" w:eastAsia="zh-CN"/>
        </w:rPr>
        <w:t>4.搭建智能微网平台，实时监控储柴等设备的运行状态，同时具备负荷预测、关键线路故障诊断等高级应用功能，自主优化控制策略，实现整个微网系统的稳定安全运行。</w:t>
      </w:r>
    </w:p>
    <w:p>
      <w:pPr>
        <w:spacing w:line="360" w:lineRule="auto"/>
        <w:ind w:firstLine="420" w:firstLineChars="200"/>
        <w:rPr>
          <w:rFonts w:hint="eastAsia"/>
          <w:color w:val="auto"/>
          <w:lang w:val="en-US" w:eastAsia="zh-CN"/>
        </w:rPr>
      </w:pPr>
      <w:r>
        <w:rPr>
          <w:rFonts w:hint="eastAsia" w:ascii="Calibri" w:eastAsia="宋体"/>
          <w:color w:val="auto"/>
          <w:lang w:val="en-US" w:eastAsia="zh-CN"/>
        </w:rPr>
        <w:t>5.平台接入电能质量要求：在接入原有低压侧的电能质量系基础上，在并网口及10kV总降各配置电能质量监测，实现全厂电能质量监控。</w:t>
      </w:r>
    </w:p>
    <w:p>
      <w:pPr>
        <w:spacing w:line="360" w:lineRule="auto"/>
        <w:ind w:firstLine="420" w:firstLineChars="200"/>
        <w:rPr>
          <w:rFonts w:hint="eastAsia"/>
          <w:color w:val="auto"/>
        </w:rPr>
      </w:pPr>
      <w:r>
        <w:rPr>
          <w:rFonts w:hint="eastAsia" w:ascii="Calibri" w:eastAsia="宋体"/>
          <w:color w:val="auto"/>
          <w:lang w:val="en-US" w:eastAsia="zh-CN"/>
        </w:rPr>
        <w:t>6.预留全厂电力系统包括开闭所及各分配电房等监控接口，预留一二期开闭所遥控、遥信功能接入。</w:t>
      </w:r>
    </w:p>
    <w:p>
      <w:pPr>
        <w:pStyle w:val="4"/>
        <w:keepNext/>
        <w:keepLines/>
        <w:widowControl w:val="0"/>
        <w:numPr>
          <w:ilvl w:val="2"/>
          <w:numId w:val="0"/>
        </w:numPr>
        <w:adjustRightInd w:val="0"/>
        <w:snapToGrid w:val="0"/>
        <w:spacing w:before="120" w:beforeLines="50" w:after="120" w:afterLines="50" w:line="360" w:lineRule="auto"/>
        <w:ind w:firstLineChars="0"/>
        <w:jc w:val="both"/>
        <w:outlineLvl w:val="2"/>
        <w:rPr>
          <w:rFonts w:hint="eastAsia" w:ascii="宋体" w:hAnsi="宋体" w:eastAsia="宋体" w:cs="宋体"/>
          <w:b/>
          <w:bCs w:val="0"/>
          <w:color w:val="auto"/>
          <w:kern w:val="2"/>
          <w:sz w:val="28"/>
          <w:szCs w:val="24"/>
          <w:highlight w:val="none"/>
          <w:lang w:val="en-US" w:eastAsia="zh-CN" w:bidi="ar-SA"/>
        </w:rPr>
      </w:pPr>
      <w:bookmarkStart w:id="429" w:name="_Toc22325"/>
      <w:bookmarkStart w:id="430" w:name="_Toc31894"/>
      <w:bookmarkStart w:id="431" w:name="_Toc19693"/>
      <w:bookmarkStart w:id="432" w:name="_Toc4666"/>
      <w:r>
        <w:rPr>
          <w:rFonts w:hint="eastAsia" w:ascii="宋体" w:hAnsi="宋体" w:eastAsia="宋体" w:cs="黑体"/>
          <w:b/>
          <w:color w:val="auto"/>
          <w:kern w:val="2"/>
          <w:sz w:val="28"/>
          <w:szCs w:val="28"/>
          <w:lang w:val="en-US" w:eastAsia="zh-CN" w:bidi="ar-SA"/>
        </w:rPr>
        <w:t>14.3  控制系统技术要求</w:t>
      </w:r>
      <w:bookmarkEnd w:id="429"/>
      <w:bookmarkEnd w:id="430"/>
      <w:bookmarkEnd w:id="431"/>
      <w:bookmarkEnd w:id="432"/>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控制系统采用分层分级控制拓扑结构，上层监控平台+本地智能控制终端以及相关执行机构，实现微网的并网、离网和并离网切换控制，控制系统支持IEC61850、Modbus TCP/RTU、GOOSE、干接点等方式进行通讯或者控制，实现整个微网控制系统的快速响应。</w:t>
      </w:r>
    </w:p>
    <w:p>
      <w:pPr>
        <w:pStyle w:val="4"/>
        <w:keepNext/>
        <w:keepLines/>
        <w:widowControl w:val="0"/>
        <w:numPr>
          <w:ilvl w:val="2"/>
          <w:numId w:val="0"/>
        </w:numPr>
        <w:adjustRightInd w:val="0"/>
        <w:snapToGrid w:val="0"/>
        <w:spacing w:before="120" w:beforeLines="50" w:after="120" w:afterLines="50" w:line="360" w:lineRule="auto"/>
        <w:ind w:firstLineChars="0"/>
        <w:jc w:val="both"/>
        <w:outlineLvl w:val="2"/>
        <w:rPr>
          <w:rFonts w:hint="eastAsia" w:ascii="宋体" w:hAnsi="宋体" w:eastAsia="宋体" w:cs="宋体"/>
          <w:b/>
          <w:bCs w:val="0"/>
          <w:color w:val="auto"/>
          <w:kern w:val="2"/>
          <w:sz w:val="28"/>
          <w:szCs w:val="24"/>
          <w:highlight w:val="none"/>
          <w:lang w:val="en-US" w:eastAsia="zh-CN" w:bidi="ar-SA"/>
        </w:rPr>
      </w:pPr>
      <w:bookmarkStart w:id="433" w:name="_Toc25116"/>
      <w:bookmarkStart w:id="434" w:name="_Toc18530"/>
      <w:bookmarkStart w:id="435" w:name="_Toc8571"/>
      <w:bookmarkStart w:id="436" w:name="_Toc20487"/>
      <w:r>
        <w:rPr>
          <w:rFonts w:hint="eastAsia" w:ascii="宋体" w:hAnsi="宋体" w:eastAsia="宋体" w:cs="黑体"/>
          <w:b/>
          <w:color w:val="auto"/>
          <w:kern w:val="2"/>
          <w:sz w:val="28"/>
          <w:szCs w:val="28"/>
          <w:lang w:val="en-US" w:eastAsia="zh-CN" w:bidi="ar-SA"/>
        </w:rPr>
        <w:t>14.4 平台系统技术要求</w:t>
      </w:r>
      <w:bookmarkEnd w:id="433"/>
      <w:bookmarkEnd w:id="434"/>
      <w:bookmarkEnd w:id="435"/>
      <w:bookmarkEnd w:id="436"/>
    </w:p>
    <w:p>
      <w:pPr>
        <w:pStyle w:val="5"/>
        <w:bidi w:val="0"/>
        <w:spacing w:line="360" w:lineRule="auto"/>
        <w:rPr>
          <w:rFonts w:hint="eastAsia" w:ascii="宋体" w:hAnsi="宋体" w:eastAsia="宋体" w:cs="宋体"/>
          <w:b w:val="0"/>
          <w:bCs/>
          <w:color w:val="auto"/>
          <w:szCs w:val="24"/>
          <w:lang w:val="en-US" w:eastAsia="zh-CN"/>
        </w:rPr>
      </w:pPr>
      <w:r>
        <w:rPr>
          <w:rFonts w:hint="eastAsia"/>
          <w:color w:val="auto"/>
          <w:lang w:val="en-US" w:eastAsia="zh-CN"/>
        </w:rPr>
        <w:t>14.4.1 平台搭建要求</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系统应采用国际标准开发，所有功能模块之间的接口标准应统一，系统平台应具备安全性、稳定性、可扩展性等能力。</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系统宜采用多层架构模式搭建，包括底层数据源，边缘物联感知层，数据中台，高级应用和可视化互动等，实现终端数据采集到网络通信传输再到平台应用服务，并支撑数据监测、运行调度、预测分析、故障诊断等相关功能。</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服务器参数要求：CPU 主频≥2.6GHz，核数≥24核，运行内存:≥64GB，服务器硬盘:≥</w:t>
      </w:r>
      <w:r>
        <w:rPr>
          <w:rFonts w:hint="eastAsia" w:ascii="宋体" w:hAnsi="宋体" w:cs="宋体"/>
          <w:bCs/>
          <w:color w:val="auto"/>
          <w:sz w:val="24"/>
          <w:szCs w:val="24"/>
          <w:highlight w:val="none"/>
          <w:lang w:val="en-US" w:eastAsia="zh-CN"/>
        </w:rPr>
        <w:t>4</w:t>
      </w:r>
      <w:r>
        <w:rPr>
          <w:rFonts w:hint="eastAsia" w:ascii="宋体" w:hAnsi="宋体" w:eastAsia="宋体" w:cs="宋体"/>
          <w:bCs/>
          <w:color w:val="auto"/>
          <w:sz w:val="24"/>
          <w:szCs w:val="24"/>
          <w:highlight w:val="none"/>
          <w:lang w:val="en-US" w:eastAsia="zh-CN"/>
        </w:rPr>
        <w:t>T；机架式安装，国产操作系统</w:t>
      </w:r>
    </w:p>
    <w:p>
      <w:pPr>
        <w:pStyle w:val="5"/>
        <w:bidi w:val="0"/>
        <w:spacing w:line="360" w:lineRule="auto"/>
        <w:rPr>
          <w:rFonts w:hint="eastAsia" w:ascii="宋体" w:hAnsi="宋体" w:eastAsia="宋体" w:cs="宋体"/>
          <w:b w:val="0"/>
          <w:bCs/>
          <w:color w:val="auto"/>
          <w:szCs w:val="24"/>
          <w:lang w:val="en-US" w:eastAsia="zh-CN"/>
        </w:rPr>
      </w:pPr>
      <w:r>
        <w:rPr>
          <w:rFonts w:hint="eastAsia"/>
          <w:color w:val="auto"/>
          <w:lang w:val="en-US" w:eastAsia="zh-CN"/>
        </w:rPr>
        <w:t>14.4.2 数据采集与存储</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（1）自动采集可通过各类协议如Modbus、IEC61850等经数据采集器完成数据的采集；同时，系统支持三方系统通讯接口程序的开发，确保数据的完整采集。</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（3）采集数据存储</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实现微网系统的实时监视和分析，对于不同数据类型支持不采集和存储间隔，系统提供专门的数据库维护工具，支持数据的备份/还原、导入/导出、手动清除等操作，支持设置定时任务计划，自动按计划周期完成数据的备份。</w:t>
      </w:r>
    </w:p>
    <w:p>
      <w:pPr>
        <w:pStyle w:val="4"/>
        <w:rPr>
          <w:rFonts w:hint="eastAsia" w:ascii="宋体" w:hAnsi="宋体" w:eastAsia="宋体" w:cs="宋体"/>
          <w:b/>
          <w:bCs w:val="0"/>
          <w:color w:val="auto"/>
          <w:szCs w:val="24"/>
          <w:highlight w:val="none"/>
          <w:lang w:val="en-US" w:eastAsia="zh-CN"/>
        </w:rPr>
      </w:pPr>
      <w:bookmarkStart w:id="437" w:name="_Toc3093"/>
      <w:bookmarkStart w:id="438" w:name="_Toc19992"/>
      <w:bookmarkStart w:id="439" w:name="_Toc23770"/>
      <w:bookmarkStart w:id="440" w:name="_Toc19852"/>
      <w:r>
        <w:rPr>
          <w:rFonts w:hint="eastAsia"/>
          <w:color w:val="auto"/>
          <w:lang w:val="en-US" w:eastAsia="zh-CN"/>
        </w:rPr>
        <w:t>14.4 基础硬件配置及要求</w:t>
      </w:r>
      <w:bookmarkEnd w:id="437"/>
      <w:bookmarkEnd w:id="438"/>
      <w:bookmarkEnd w:id="439"/>
      <w:bookmarkEnd w:id="440"/>
    </w:p>
    <w:p>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微电网</w:t>
      </w:r>
      <w:r>
        <w:rPr>
          <w:rFonts w:hint="eastAsia" w:ascii="宋体" w:hAnsi="宋体" w:eastAsia="宋体" w:cs="宋体"/>
          <w:bCs/>
          <w:color w:val="auto"/>
          <w:sz w:val="24"/>
          <w:szCs w:val="24"/>
          <w:highlight w:val="none"/>
        </w:rPr>
        <w:t>智慧运营系统的基础硬件配置，应按照电力二次系统安全防护的“安全分区、网络专用、横向隔离、纵向认证”总体原则，满足电力监控安全防护相关规定。相关技术要求如下，</w:t>
      </w:r>
      <w:r>
        <w:rPr>
          <w:rFonts w:hint="eastAsia" w:ascii="宋体" w:hAnsi="宋体" w:eastAsia="宋体" w:cs="宋体"/>
          <w:bCs/>
          <w:color w:val="auto"/>
          <w:sz w:val="24"/>
          <w:szCs w:val="24"/>
          <w:highlight w:val="none"/>
          <w:lang w:eastAsia="zh-CN"/>
        </w:rPr>
        <w:t>投标人</w:t>
      </w:r>
      <w:r>
        <w:rPr>
          <w:rFonts w:hint="eastAsia" w:ascii="宋体" w:hAnsi="宋体" w:eastAsia="宋体" w:cs="宋体"/>
          <w:bCs/>
          <w:color w:val="auto"/>
          <w:sz w:val="24"/>
          <w:szCs w:val="24"/>
          <w:highlight w:val="none"/>
        </w:rPr>
        <w:t>可在提高系统可靠性及先进性的基础上不限于此，应根据系统功能要求合理设计方案，确定所需硬件设备的技术参数及数量。</w:t>
      </w:r>
    </w:p>
    <w:p>
      <w:pPr>
        <w:spacing w:line="360" w:lineRule="auto"/>
        <w:jc w:val="center"/>
        <w:rPr>
          <w:rFonts w:hint="eastAsia" w:ascii="宋体" w:hAnsi="宋体" w:cs="宋体"/>
          <w:bCs/>
          <w:color w:val="auto"/>
          <w:sz w:val="24"/>
        </w:rPr>
      </w:pPr>
      <w:r>
        <w:rPr>
          <w:rFonts w:hint="eastAsia" w:ascii="宋体" w:hAnsi="宋体" w:cs="宋体"/>
          <w:bCs/>
          <w:color w:val="auto"/>
          <w:sz w:val="24"/>
        </w:rPr>
        <w:t>表1</w:t>
      </w:r>
      <w:r>
        <w:rPr>
          <w:rFonts w:hint="eastAsia" w:ascii="宋体" w:hAnsi="宋体" w:cs="宋体"/>
          <w:bCs/>
          <w:color w:val="auto"/>
          <w:sz w:val="24"/>
          <w:lang w:val="en-US" w:eastAsia="zh-CN"/>
        </w:rPr>
        <w:t>4</w:t>
      </w:r>
      <w:r>
        <w:rPr>
          <w:rFonts w:hint="eastAsia" w:ascii="宋体" w:hAnsi="宋体" w:cs="宋体"/>
          <w:bCs/>
          <w:color w:val="auto"/>
          <w:sz w:val="24"/>
        </w:rPr>
        <w:t>-1 微电网智慧运营系统基础硬件配置及技术要求</w:t>
      </w:r>
    </w:p>
    <w:tbl>
      <w:tblPr>
        <w:tblStyle w:val="22"/>
        <w:tblW w:w="51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
        <w:gridCol w:w="1518"/>
        <w:gridCol w:w="67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70" w:type="pct"/>
            <w:noWrap w:val="0"/>
            <w:vAlign w:val="center"/>
          </w:tcPr>
          <w:p>
            <w:pPr>
              <w:pStyle w:val="55"/>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序号</w:t>
            </w:r>
          </w:p>
        </w:tc>
        <w:tc>
          <w:tcPr>
            <w:tcW w:w="870" w:type="pct"/>
            <w:noWrap w:val="0"/>
            <w:vAlign w:val="center"/>
          </w:tcPr>
          <w:p>
            <w:pPr>
              <w:pStyle w:val="55"/>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设备</w:t>
            </w:r>
          </w:p>
        </w:tc>
        <w:tc>
          <w:tcPr>
            <w:tcW w:w="3858" w:type="pct"/>
            <w:noWrap w:val="0"/>
            <w:vAlign w:val="center"/>
          </w:tcPr>
          <w:p>
            <w:pPr>
              <w:pStyle w:val="55"/>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70" w:type="pct"/>
            <w:noWrap w:val="0"/>
            <w:vAlign w:val="center"/>
          </w:tcPr>
          <w:p>
            <w:pPr>
              <w:pStyle w:val="55"/>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870" w:type="pct"/>
            <w:noWrap w:val="0"/>
            <w:vAlign w:val="center"/>
          </w:tcPr>
          <w:p>
            <w:pPr>
              <w:pStyle w:val="55"/>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服务器</w:t>
            </w:r>
          </w:p>
        </w:tc>
        <w:tc>
          <w:tcPr>
            <w:tcW w:w="3858" w:type="pct"/>
            <w:noWrap w:val="0"/>
            <w:vAlign w:val="center"/>
          </w:tcPr>
          <w:p>
            <w:pPr>
              <w:pStyle w:val="55"/>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在安全I区、安全II区、安全III区建设相关应用功能，满足电力监控系统安全防护规定；在安全I区配置数据采集服务器、历史服务器、应用服务器，其中数据采集服务器、历史服务器采用冗余配置，避免单点硬件故障导致系统瘫痪；在安全II区配置通信服务器；在安全III区配置历史服务器、通信服务器、应用服务器，其中历史服务器采用冗余配置；</w:t>
            </w:r>
          </w:p>
          <w:p>
            <w:pPr>
              <w:pStyle w:val="55"/>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2.含机架导轨配件等；</w:t>
            </w:r>
          </w:p>
          <w:p>
            <w:pPr>
              <w:pStyle w:val="55"/>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3.国产原厂商产品，非OEM品牌，投标时须提供原厂商针对本项目的授权书，供货时需提供原厂商针对本项目的服务承诺函；为方便管理和维护，要求服务器、工作站同一品牌同一供货商。</w:t>
            </w:r>
          </w:p>
          <w:p>
            <w:pPr>
              <w:pStyle w:val="55"/>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4.服务器参数要求：CPU 主频≥2.6GHz，核数≥24核，运行内存:≥64GB，服务器硬盘:≥</w:t>
            </w:r>
            <w:r>
              <w:rPr>
                <w:rFonts w:hint="eastAsia" w:ascii="宋体" w:hAnsi="宋体" w:cs="宋体"/>
                <w:bCs/>
                <w:color w:val="auto"/>
                <w:sz w:val="21"/>
                <w:szCs w:val="21"/>
                <w:highlight w:val="none"/>
                <w:lang w:val="en-US" w:eastAsia="zh-CN"/>
              </w:rPr>
              <w:t>4</w:t>
            </w:r>
            <w:r>
              <w:rPr>
                <w:rFonts w:hint="eastAsia" w:ascii="宋体" w:hAnsi="宋体" w:eastAsia="宋体" w:cs="宋体"/>
                <w:bCs/>
                <w:color w:val="auto"/>
                <w:sz w:val="21"/>
                <w:szCs w:val="21"/>
                <w:highlight w:val="none"/>
                <w:lang w:val="en-US" w:eastAsia="zh-CN"/>
              </w:rPr>
              <w:t>T；机架式安装，国产操作系统。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70" w:type="pct"/>
            <w:noWrap w:val="0"/>
            <w:vAlign w:val="center"/>
          </w:tcPr>
          <w:p>
            <w:pPr>
              <w:pStyle w:val="55"/>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870" w:type="pct"/>
            <w:noWrap w:val="0"/>
            <w:vAlign w:val="center"/>
          </w:tcPr>
          <w:p>
            <w:pPr>
              <w:pStyle w:val="55"/>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工作站</w:t>
            </w:r>
          </w:p>
        </w:tc>
        <w:tc>
          <w:tcPr>
            <w:tcW w:w="3858" w:type="pct"/>
            <w:noWrap w:val="0"/>
            <w:vAlign w:val="center"/>
          </w:tcPr>
          <w:p>
            <w:pPr>
              <w:pStyle w:val="55"/>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1.设置可视化工作站，满足系统可视化维护与展示需求；在安全I区、安全III区设置工程师工作站，满足系统功能及权限维护、数据库维护、各种数据或界面绘制及修改、报表生成及维护、资料录入及管理等需求；</w:t>
            </w:r>
          </w:p>
          <w:p>
            <w:pPr>
              <w:pStyle w:val="55"/>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2.含显示器、鼠标、键盘、音响等；</w:t>
            </w:r>
          </w:p>
          <w:p>
            <w:pPr>
              <w:pStyle w:val="55"/>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企业级国产塔式工作站，原厂商产品，非OEM或者贴牌；投标时须提供原厂商针对本项目的授权书；供货时需提供原厂商针对本项目的服务承诺函；为方便管理和维护，要求工作站和服务器为同一品牌同一供货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70" w:type="pct"/>
            <w:noWrap w:val="0"/>
            <w:vAlign w:val="center"/>
          </w:tcPr>
          <w:p>
            <w:pPr>
              <w:pStyle w:val="55"/>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w:t>
            </w:r>
          </w:p>
        </w:tc>
        <w:tc>
          <w:tcPr>
            <w:tcW w:w="870" w:type="pct"/>
            <w:noWrap w:val="0"/>
            <w:vAlign w:val="center"/>
          </w:tcPr>
          <w:p>
            <w:pPr>
              <w:pStyle w:val="55"/>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kV</w:t>
            </w:r>
            <w:r>
              <w:rPr>
                <w:rFonts w:hint="eastAsia" w:ascii="宋体" w:hAnsi="宋体" w:eastAsia="宋体" w:cs="宋体"/>
                <w:bCs/>
                <w:color w:val="auto"/>
                <w:sz w:val="21"/>
                <w:szCs w:val="21"/>
                <w:highlight w:val="none"/>
              </w:rPr>
              <w:t>M延长器</w:t>
            </w:r>
          </w:p>
        </w:tc>
        <w:tc>
          <w:tcPr>
            <w:tcW w:w="3858" w:type="pct"/>
            <w:noWrap w:val="0"/>
            <w:vAlign w:val="center"/>
          </w:tcPr>
          <w:p>
            <w:pPr>
              <w:pStyle w:val="55"/>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用于连接分开放置的工作站主机与显示器、鼠标、键盘，含发送端和接收端。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70" w:type="pct"/>
            <w:noWrap w:val="0"/>
            <w:vAlign w:val="center"/>
          </w:tcPr>
          <w:p>
            <w:pPr>
              <w:pStyle w:val="55"/>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w:t>
            </w:r>
          </w:p>
        </w:tc>
        <w:tc>
          <w:tcPr>
            <w:tcW w:w="870" w:type="pct"/>
            <w:noWrap w:val="0"/>
            <w:vAlign w:val="center"/>
          </w:tcPr>
          <w:p>
            <w:pPr>
              <w:pStyle w:val="55"/>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屏幕控制计算机</w:t>
            </w:r>
          </w:p>
        </w:tc>
        <w:tc>
          <w:tcPr>
            <w:tcW w:w="3858" w:type="pct"/>
            <w:noWrap w:val="0"/>
            <w:vAlign w:val="center"/>
          </w:tcPr>
          <w:p>
            <w:pPr>
              <w:pStyle w:val="55"/>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含操作系统；含显示器、鼠标、键盘、音响等。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70" w:type="pct"/>
            <w:noWrap w:val="0"/>
            <w:vAlign w:val="center"/>
          </w:tcPr>
          <w:p>
            <w:pPr>
              <w:pStyle w:val="55"/>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w:t>
            </w:r>
          </w:p>
        </w:tc>
        <w:tc>
          <w:tcPr>
            <w:tcW w:w="870" w:type="pct"/>
            <w:noWrap w:val="0"/>
            <w:vAlign w:val="center"/>
          </w:tcPr>
          <w:p>
            <w:pPr>
              <w:pStyle w:val="55"/>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一体机</w:t>
            </w:r>
          </w:p>
        </w:tc>
        <w:tc>
          <w:tcPr>
            <w:tcW w:w="3858" w:type="pct"/>
            <w:noWrap w:val="0"/>
            <w:vAlign w:val="center"/>
          </w:tcPr>
          <w:p>
            <w:pPr>
              <w:pStyle w:val="55"/>
              <w:spacing w:line="240" w:lineRule="auto"/>
              <w:jc w:val="left"/>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1.满足系统服务器显示需要；</w:t>
            </w:r>
          </w:p>
          <w:p>
            <w:pPr>
              <w:pStyle w:val="55"/>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 17寸及以上LCD操作一体机。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70" w:type="pct"/>
            <w:noWrap w:val="0"/>
            <w:vAlign w:val="center"/>
          </w:tcPr>
          <w:p>
            <w:pPr>
              <w:pStyle w:val="55"/>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w:t>
            </w:r>
          </w:p>
        </w:tc>
        <w:tc>
          <w:tcPr>
            <w:tcW w:w="870" w:type="pct"/>
            <w:noWrap w:val="0"/>
            <w:vAlign w:val="center"/>
          </w:tcPr>
          <w:p>
            <w:pPr>
              <w:pStyle w:val="55"/>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交换机</w:t>
            </w:r>
          </w:p>
        </w:tc>
        <w:tc>
          <w:tcPr>
            <w:tcW w:w="3858" w:type="pct"/>
            <w:noWrap w:val="0"/>
            <w:vAlign w:val="center"/>
          </w:tcPr>
          <w:p>
            <w:pPr>
              <w:pStyle w:val="55"/>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满足系统的安全I区、安全II区、安全III区内各设备之间进行信息交换的需求。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70" w:type="pct"/>
            <w:noWrap w:val="0"/>
            <w:vAlign w:val="center"/>
          </w:tcPr>
          <w:p>
            <w:pPr>
              <w:pStyle w:val="55"/>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7</w:t>
            </w:r>
          </w:p>
        </w:tc>
        <w:tc>
          <w:tcPr>
            <w:tcW w:w="870" w:type="pct"/>
            <w:noWrap w:val="0"/>
            <w:vAlign w:val="center"/>
          </w:tcPr>
          <w:p>
            <w:pPr>
              <w:pStyle w:val="55"/>
              <w:spacing w:line="24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反</w:t>
            </w:r>
            <w:r>
              <w:rPr>
                <w:rFonts w:hint="eastAsia" w:ascii="宋体" w:hAnsi="宋体" w:eastAsia="宋体" w:cs="宋体"/>
                <w:bCs/>
                <w:color w:val="auto"/>
                <w:sz w:val="21"/>
                <w:szCs w:val="21"/>
                <w:highlight w:val="none"/>
              </w:rPr>
              <w:t>向隔离装置</w:t>
            </w:r>
          </w:p>
        </w:tc>
        <w:tc>
          <w:tcPr>
            <w:tcW w:w="3858" w:type="pct"/>
            <w:noWrap w:val="0"/>
            <w:vAlign w:val="center"/>
          </w:tcPr>
          <w:p>
            <w:pPr>
              <w:pStyle w:val="55"/>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系统安全I、III区之间应部署经国家指定部门检测认证的</w:t>
            </w:r>
            <w:r>
              <w:rPr>
                <w:rFonts w:hint="eastAsia" w:ascii="宋体" w:hAnsi="宋体" w:cs="宋体"/>
                <w:bCs/>
                <w:color w:val="auto"/>
                <w:sz w:val="21"/>
                <w:szCs w:val="21"/>
                <w:highlight w:val="none"/>
                <w:lang w:val="en-US" w:eastAsia="zh-CN"/>
              </w:rPr>
              <w:t>反</w:t>
            </w:r>
            <w:r>
              <w:rPr>
                <w:rFonts w:hint="eastAsia" w:ascii="宋体" w:hAnsi="宋体" w:eastAsia="宋体" w:cs="宋体"/>
                <w:bCs/>
                <w:color w:val="auto"/>
                <w:sz w:val="21"/>
                <w:szCs w:val="21"/>
                <w:highlight w:val="none"/>
              </w:rPr>
              <w:t>向隔离装置，隔离强度应接近或达到物理隔离。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70" w:type="pct"/>
            <w:noWrap w:val="0"/>
            <w:vAlign w:val="center"/>
          </w:tcPr>
          <w:p>
            <w:pPr>
              <w:pStyle w:val="55"/>
              <w:spacing w:line="240" w:lineRule="auto"/>
              <w:rPr>
                <w:rFonts w:hint="eastAsia" w:ascii="宋体" w:hAnsi="宋体" w:eastAsia="宋体" w:cs="宋体"/>
                <w:bCs/>
                <w:color w:val="auto"/>
                <w:kern w:val="2"/>
                <w:sz w:val="21"/>
                <w:szCs w:val="21"/>
                <w:highlight w:val="none"/>
                <w:lang w:val="en-US" w:eastAsia="zh-CN" w:bidi="ar-SA"/>
              </w:rPr>
            </w:pPr>
            <w:r>
              <w:rPr>
                <w:rFonts w:hint="eastAsia" w:ascii="宋体" w:hAnsi="宋体" w:cs="宋体"/>
                <w:bCs/>
                <w:color w:val="auto"/>
                <w:sz w:val="21"/>
                <w:szCs w:val="21"/>
                <w:highlight w:val="none"/>
                <w:lang w:val="en-US" w:eastAsia="zh-CN"/>
              </w:rPr>
              <w:t>8</w:t>
            </w:r>
          </w:p>
        </w:tc>
        <w:tc>
          <w:tcPr>
            <w:tcW w:w="870" w:type="pct"/>
            <w:noWrap w:val="0"/>
            <w:vAlign w:val="center"/>
          </w:tcPr>
          <w:p>
            <w:pPr>
              <w:pStyle w:val="55"/>
              <w:spacing w:line="240" w:lineRule="auto"/>
              <w:rPr>
                <w:rFonts w:hint="default"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机柜</w:t>
            </w:r>
          </w:p>
        </w:tc>
        <w:tc>
          <w:tcPr>
            <w:tcW w:w="3858" w:type="pct"/>
            <w:noWrap w:val="0"/>
            <w:vAlign w:val="center"/>
          </w:tcPr>
          <w:p>
            <w:pPr>
              <w:pStyle w:val="55"/>
              <w:spacing w:line="240" w:lineRule="auto"/>
              <w:jc w:val="left"/>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标准服务器机柜。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70" w:type="pct"/>
            <w:noWrap w:val="0"/>
            <w:vAlign w:val="center"/>
          </w:tcPr>
          <w:p>
            <w:pPr>
              <w:pStyle w:val="55"/>
              <w:rPr>
                <w:rFonts w:hint="eastAsia" w:ascii="宋体" w:hAnsi="宋体" w:eastAsia="宋体" w:cs="宋体"/>
                <w:bCs/>
                <w:color w:val="auto"/>
                <w:kern w:val="2"/>
                <w:sz w:val="21"/>
                <w:szCs w:val="21"/>
                <w:lang w:val="en-US" w:eastAsia="zh-CN" w:bidi="ar-SA"/>
              </w:rPr>
            </w:pPr>
            <w:r>
              <w:rPr>
                <w:rFonts w:hint="eastAsia" w:ascii="宋体" w:hAnsi="宋体" w:cs="宋体"/>
                <w:bCs/>
                <w:color w:val="auto"/>
                <w:szCs w:val="21"/>
                <w:lang w:val="en-US" w:eastAsia="zh-CN"/>
              </w:rPr>
              <w:t>9</w:t>
            </w:r>
          </w:p>
        </w:tc>
        <w:tc>
          <w:tcPr>
            <w:tcW w:w="870" w:type="pct"/>
            <w:noWrap w:val="0"/>
            <w:vAlign w:val="center"/>
          </w:tcPr>
          <w:p>
            <w:pPr>
              <w:pStyle w:val="55"/>
              <w:rPr>
                <w:rFonts w:hint="eastAsia" w:ascii="宋体" w:hAnsi="宋体" w:eastAsia="宋体" w:cs="宋体"/>
                <w:bCs/>
                <w:color w:val="auto"/>
                <w:kern w:val="2"/>
                <w:sz w:val="21"/>
                <w:szCs w:val="21"/>
                <w:lang w:val="en-US" w:eastAsia="zh-CN" w:bidi="ar-SA"/>
              </w:rPr>
            </w:pPr>
            <w:r>
              <w:rPr>
                <w:rFonts w:hint="eastAsia" w:ascii="宋体" w:hAnsi="宋体" w:cs="宋体"/>
                <w:bCs/>
                <w:color w:val="auto"/>
                <w:szCs w:val="21"/>
              </w:rPr>
              <w:t>对时</w:t>
            </w:r>
          </w:p>
        </w:tc>
        <w:tc>
          <w:tcPr>
            <w:tcW w:w="3858" w:type="pct"/>
            <w:noWrap w:val="0"/>
            <w:vAlign w:val="center"/>
          </w:tcPr>
          <w:p>
            <w:pPr>
              <w:pStyle w:val="55"/>
              <w:jc w:val="left"/>
              <w:rPr>
                <w:rFonts w:hint="eastAsia" w:ascii="宋体" w:hAnsi="宋体" w:cs="宋体"/>
                <w:bCs/>
                <w:color w:val="auto"/>
                <w:szCs w:val="21"/>
              </w:rPr>
            </w:pPr>
            <w:r>
              <w:rPr>
                <w:rFonts w:hint="eastAsia" w:ascii="宋体" w:hAnsi="宋体" w:cs="宋体"/>
                <w:bCs/>
                <w:color w:val="auto"/>
                <w:szCs w:val="21"/>
              </w:rPr>
              <w:t>1.系统内时钟误差应小于1.0×10-6秒/天；</w:t>
            </w:r>
          </w:p>
          <w:p>
            <w:pPr>
              <w:pStyle w:val="55"/>
              <w:jc w:val="left"/>
              <w:rPr>
                <w:rFonts w:hint="eastAsia" w:ascii="宋体" w:hAnsi="宋体" w:cs="宋体"/>
                <w:bCs/>
                <w:color w:val="auto"/>
                <w:szCs w:val="21"/>
              </w:rPr>
            </w:pPr>
            <w:r>
              <w:rPr>
                <w:rFonts w:hint="eastAsia" w:ascii="宋体" w:hAnsi="宋体" w:cs="宋体"/>
                <w:bCs/>
                <w:color w:val="auto"/>
                <w:szCs w:val="21"/>
              </w:rPr>
              <w:t>2.具备网络对时功能，支持NTP/SNTP 时钟同步协议。</w:t>
            </w:r>
          </w:p>
          <w:p>
            <w:pPr>
              <w:pStyle w:val="55"/>
              <w:jc w:val="left"/>
              <w:rPr>
                <w:rFonts w:hint="eastAsia" w:ascii="宋体" w:hAnsi="宋体" w:eastAsia="宋体" w:cs="宋体"/>
                <w:bCs/>
                <w:color w:val="auto"/>
                <w:szCs w:val="21"/>
                <w:lang w:val="en-US" w:eastAsia="zh-CN"/>
              </w:rPr>
            </w:pPr>
            <w:r>
              <w:rPr>
                <w:rFonts w:hint="eastAsia" w:ascii="宋体" w:hAnsi="宋体" w:cs="宋体"/>
                <w:bCs/>
                <w:color w:val="auto"/>
                <w:szCs w:val="21"/>
                <w:lang w:eastAsia="zh-CN"/>
              </w:rPr>
              <w:t>（</w:t>
            </w:r>
            <w:r>
              <w:rPr>
                <w:rFonts w:hint="eastAsia" w:ascii="宋体" w:hAnsi="宋体" w:cs="宋体"/>
                <w:bCs/>
                <w:color w:val="auto"/>
                <w:szCs w:val="21"/>
                <w:lang w:val="en-US" w:eastAsia="zh-CN"/>
              </w:rPr>
              <w:t>利用110kV变电站已有对时装置</w:t>
            </w:r>
            <w:r>
              <w:rPr>
                <w:rFonts w:hint="eastAsia" w:ascii="宋体" w:hAnsi="宋体" w:cs="宋体"/>
                <w:bCs/>
                <w:color w:val="auto"/>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70" w:type="pct"/>
            <w:noWrap w:val="0"/>
            <w:vAlign w:val="center"/>
          </w:tcPr>
          <w:p>
            <w:pPr>
              <w:pStyle w:val="55"/>
              <w:spacing w:line="240" w:lineRule="auto"/>
              <w:rPr>
                <w:rFonts w:hint="default" w:ascii="宋体" w:hAnsi="宋体" w:eastAsia="宋体" w:cs="宋体"/>
                <w:bCs/>
                <w:color w:val="auto"/>
                <w:kern w:val="2"/>
                <w:sz w:val="21"/>
                <w:szCs w:val="21"/>
                <w:highlight w:val="none"/>
                <w:lang w:val="en-US" w:eastAsia="zh-CN" w:bidi="ar-SA"/>
              </w:rPr>
            </w:pPr>
            <w:r>
              <w:rPr>
                <w:rFonts w:hint="eastAsia" w:ascii="宋体" w:hAnsi="宋体" w:cs="宋体"/>
                <w:bCs/>
                <w:color w:val="auto"/>
                <w:sz w:val="21"/>
                <w:szCs w:val="21"/>
                <w:highlight w:val="none"/>
                <w:lang w:val="en-US" w:eastAsia="zh-CN"/>
              </w:rPr>
              <w:t>10</w:t>
            </w:r>
          </w:p>
        </w:tc>
        <w:tc>
          <w:tcPr>
            <w:tcW w:w="870" w:type="pct"/>
            <w:noWrap w:val="0"/>
            <w:vAlign w:val="center"/>
          </w:tcPr>
          <w:p>
            <w:pPr>
              <w:pStyle w:val="55"/>
              <w:spacing w:line="240" w:lineRule="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屏柜安装工具及材料</w:t>
            </w:r>
          </w:p>
        </w:tc>
        <w:tc>
          <w:tcPr>
            <w:tcW w:w="3858" w:type="pct"/>
            <w:noWrap w:val="0"/>
            <w:vAlign w:val="center"/>
          </w:tcPr>
          <w:p>
            <w:pPr>
              <w:pStyle w:val="55"/>
              <w:spacing w:line="240" w:lineRule="auto"/>
              <w:jc w:val="left"/>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用于硬件设备安装和连接，包括安装工具和安装材料，质量符合相关标准要求。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70" w:type="pct"/>
            <w:noWrap w:val="0"/>
            <w:vAlign w:val="center"/>
          </w:tcPr>
          <w:p>
            <w:pPr>
              <w:pStyle w:val="55"/>
              <w:spacing w:line="240" w:lineRule="auto"/>
              <w:rPr>
                <w:rFonts w:hint="default" w:ascii="宋体" w:hAnsi="宋体" w:eastAsia="宋体" w:cs="宋体"/>
                <w:bCs/>
                <w:color w:val="auto"/>
                <w:kern w:val="2"/>
                <w:sz w:val="21"/>
                <w:szCs w:val="21"/>
                <w:highlight w:val="none"/>
                <w:lang w:val="en-US" w:eastAsia="zh-CN" w:bidi="ar-SA"/>
              </w:rPr>
            </w:pPr>
            <w:r>
              <w:rPr>
                <w:rFonts w:hint="eastAsia" w:ascii="宋体" w:hAnsi="宋体" w:cs="宋体"/>
                <w:bCs/>
                <w:color w:val="auto"/>
                <w:sz w:val="21"/>
                <w:szCs w:val="21"/>
                <w:highlight w:val="none"/>
                <w:lang w:val="en-US" w:eastAsia="zh-CN"/>
              </w:rPr>
              <w:t>11</w:t>
            </w:r>
          </w:p>
        </w:tc>
        <w:tc>
          <w:tcPr>
            <w:tcW w:w="870" w:type="pct"/>
            <w:noWrap w:val="0"/>
            <w:vAlign w:val="center"/>
          </w:tcPr>
          <w:p>
            <w:pPr>
              <w:pStyle w:val="55"/>
              <w:spacing w:line="240" w:lineRule="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lang w:val="en-US" w:eastAsia="zh-CN"/>
              </w:rPr>
              <w:t>数据通道</w:t>
            </w:r>
          </w:p>
        </w:tc>
        <w:tc>
          <w:tcPr>
            <w:tcW w:w="3858" w:type="pct"/>
            <w:noWrap w:val="0"/>
            <w:vAlign w:val="center"/>
          </w:tcPr>
          <w:p>
            <w:pPr>
              <w:pStyle w:val="55"/>
              <w:spacing w:line="240" w:lineRule="auto"/>
              <w:jc w:val="left"/>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lang w:val="en-US" w:eastAsia="zh-CN"/>
              </w:rPr>
              <w:t>根据商发园区现有条件设置与集控中心、测控大楼、储能、柴发各控制展示模块间的数据通道。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70" w:type="pct"/>
            <w:noWrap w:val="0"/>
            <w:vAlign w:val="center"/>
          </w:tcPr>
          <w:p>
            <w:pPr>
              <w:pStyle w:val="55"/>
              <w:jc w:val="left"/>
              <w:rPr>
                <w:rFonts w:hint="eastAsia" w:ascii="宋体" w:hAnsi="宋体" w:eastAsia="宋体" w:cs="宋体"/>
                <w:bCs/>
                <w:color w:val="auto"/>
                <w:kern w:val="2"/>
                <w:sz w:val="21"/>
                <w:szCs w:val="21"/>
                <w:lang w:val="en-US" w:eastAsia="zh-CN" w:bidi="ar-SA"/>
              </w:rPr>
            </w:pPr>
            <w:r>
              <w:rPr>
                <w:rFonts w:hint="eastAsia" w:ascii="宋体" w:hAnsi="宋体" w:cs="宋体"/>
                <w:bCs/>
                <w:color w:val="auto"/>
                <w:szCs w:val="21"/>
                <w:lang w:val="en-US" w:eastAsia="zh-CN"/>
              </w:rPr>
              <w:t>12</w:t>
            </w:r>
          </w:p>
        </w:tc>
        <w:tc>
          <w:tcPr>
            <w:tcW w:w="870" w:type="pct"/>
            <w:noWrap w:val="0"/>
            <w:vAlign w:val="center"/>
          </w:tcPr>
          <w:p>
            <w:pPr>
              <w:pStyle w:val="55"/>
              <w:jc w:val="left"/>
              <w:rPr>
                <w:rFonts w:hint="eastAsia" w:ascii="宋体" w:hAnsi="宋体" w:eastAsia="宋体" w:cs="宋体"/>
                <w:bCs/>
                <w:color w:val="auto"/>
                <w:kern w:val="2"/>
                <w:sz w:val="21"/>
                <w:szCs w:val="21"/>
                <w:lang w:val="en-US" w:eastAsia="zh-CN" w:bidi="ar-SA"/>
              </w:rPr>
            </w:pPr>
            <w:r>
              <w:rPr>
                <w:rFonts w:hint="eastAsia" w:ascii="宋体" w:hAnsi="宋体" w:cs="宋体"/>
                <w:bCs/>
                <w:color w:val="auto"/>
                <w:sz w:val="21"/>
                <w:szCs w:val="21"/>
              </w:rPr>
              <w:t>微网协调控制器</w:t>
            </w:r>
          </w:p>
        </w:tc>
        <w:tc>
          <w:tcPr>
            <w:tcW w:w="3858" w:type="pct"/>
            <w:noWrap w:val="0"/>
            <w:vAlign w:val="center"/>
          </w:tcPr>
          <w:p>
            <w:pPr>
              <w:pStyle w:val="55"/>
              <w:jc w:val="left"/>
              <w:rPr>
                <w:rFonts w:hint="eastAsia" w:ascii="宋体" w:hAnsi="宋体" w:eastAsia="宋体" w:cs="宋体"/>
                <w:bCs/>
                <w:color w:val="auto"/>
                <w:kern w:val="2"/>
                <w:sz w:val="21"/>
                <w:szCs w:val="21"/>
                <w:lang w:val="en-US" w:eastAsia="zh-CN" w:bidi="ar-SA"/>
              </w:rPr>
            </w:pPr>
            <w:r>
              <w:rPr>
                <w:rFonts w:hint="eastAsia" w:ascii="宋体" w:hAnsi="宋体" w:cs="宋体"/>
                <w:bCs/>
                <w:color w:val="auto"/>
                <w:sz w:val="21"/>
                <w:szCs w:val="21"/>
              </w:rPr>
              <w:t>支持联动控制策略，实现并离网运行模式下储能</w:t>
            </w:r>
            <w:r>
              <w:rPr>
                <w:rFonts w:hint="eastAsia" w:ascii="宋体" w:hAnsi="宋体" w:cs="宋体"/>
                <w:bCs/>
                <w:color w:val="auto"/>
                <w:sz w:val="21"/>
                <w:szCs w:val="21"/>
                <w:lang w:val="en-US" w:eastAsia="zh-CN"/>
              </w:rPr>
              <w:t>经济运行</w:t>
            </w:r>
            <w:r>
              <w:rPr>
                <w:rFonts w:hint="eastAsia" w:ascii="宋体" w:hAnsi="宋体" w:cs="宋体"/>
                <w:bCs/>
                <w:color w:val="auto"/>
                <w:sz w:val="21"/>
                <w:szCs w:val="21"/>
              </w:rPr>
              <w:t>出力控制</w:t>
            </w:r>
            <w:r>
              <w:rPr>
                <w:rFonts w:hint="eastAsia" w:ascii="宋体" w:hAnsi="宋体" w:cs="宋体"/>
                <w:bCs/>
                <w:color w:val="auto"/>
                <w:sz w:val="21"/>
                <w:szCs w:val="21"/>
                <w:lang w:eastAsia="zh-CN"/>
              </w:rPr>
              <w:t>，</w:t>
            </w:r>
            <w:r>
              <w:rPr>
                <w:rFonts w:hint="eastAsia" w:ascii="宋体" w:hAnsi="宋体" w:cs="宋体"/>
                <w:bCs/>
                <w:color w:val="auto"/>
                <w:sz w:val="21"/>
                <w:szCs w:val="21"/>
                <w:lang w:val="en-US" w:eastAsia="zh-CN"/>
              </w:rPr>
              <w:t>稳定安全运行控制</w:t>
            </w:r>
            <w:r>
              <w:rPr>
                <w:rFonts w:hint="eastAsia" w:ascii="宋体" w:hAnsi="宋体" w:cs="宋体"/>
                <w:bCs/>
                <w:color w:val="auto"/>
                <w:sz w:val="21"/>
                <w:szCs w:val="21"/>
                <w:lang w:eastAsia="zh-CN"/>
              </w:rPr>
              <w:t>，</w:t>
            </w:r>
            <w:r>
              <w:rPr>
                <w:rFonts w:hint="eastAsia" w:ascii="宋体" w:hAnsi="宋体" w:cs="宋体"/>
                <w:bCs/>
                <w:color w:val="auto"/>
                <w:sz w:val="21"/>
                <w:szCs w:val="21"/>
              </w:rPr>
              <w:t>支持防逆流，调压调频控制，黑启动</w:t>
            </w:r>
            <w:r>
              <w:rPr>
                <w:rFonts w:hint="eastAsia" w:ascii="宋体" w:hAnsi="宋体" w:cs="宋体"/>
                <w:bCs/>
                <w:color w:val="auto"/>
                <w:sz w:val="21"/>
                <w:szCs w:val="21"/>
                <w:lang w:val="en-US" w:eastAsia="zh-CN"/>
              </w:rPr>
              <w:t>等</w:t>
            </w:r>
            <w:r>
              <w:rPr>
                <w:rFonts w:hint="eastAsia" w:ascii="宋体" w:hAnsi="宋体" w:cs="宋体"/>
                <w:bCs/>
                <w:color w:val="auto"/>
                <w:sz w:val="21"/>
                <w:szCs w:val="21"/>
              </w:rPr>
              <w:t>控制功能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70" w:type="pct"/>
            <w:noWrap w:val="0"/>
            <w:vAlign w:val="center"/>
          </w:tcPr>
          <w:p>
            <w:pPr>
              <w:pStyle w:val="55"/>
              <w:jc w:val="left"/>
              <w:rPr>
                <w:rFonts w:hint="eastAsia" w:ascii="宋体" w:hAnsi="宋体" w:eastAsia="宋体" w:cs="宋体"/>
                <w:bCs/>
                <w:color w:val="auto"/>
                <w:kern w:val="2"/>
                <w:sz w:val="21"/>
                <w:szCs w:val="21"/>
                <w:lang w:val="en-US" w:eastAsia="zh-CN" w:bidi="ar-SA"/>
              </w:rPr>
            </w:pPr>
            <w:r>
              <w:rPr>
                <w:rFonts w:hint="eastAsia" w:ascii="宋体" w:hAnsi="宋体" w:cs="宋体"/>
                <w:bCs/>
                <w:color w:val="auto"/>
                <w:szCs w:val="21"/>
                <w:lang w:val="en-US" w:eastAsia="zh-CN"/>
              </w:rPr>
              <w:t>13</w:t>
            </w:r>
          </w:p>
        </w:tc>
        <w:tc>
          <w:tcPr>
            <w:tcW w:w="870" w:type="pct"/>
            <w:noWrap w:val="0"/>
            <w:vAlign w:val="center"/>
          </w:tcPr>
          <w:p>
            <w:pPr>
              <w:pStyle w:val="55"/>
              <w:jc w:val="left"/>
              <w:rPr>
                <w:rFonts w:hint="eastAsia" w:ascii="宋体" w:hAnsi="宋体" w:eastAsia="宋体" w:cs="宋体"/>
                <w:bCs/>
                <w:color w:val="auto"/>
                <w:kern w:val="2"/>
                <w:sz w:val="21"/>
                <w:szCs w:val="21"/>
                <w:lang w:val="en-US" w:eastAsia="zh-CN" w:bidi="ar-SA"/>
              </w:rPr>
            </w:pPr>
            <w:r>
              <w:rPr>
                <w:rFonts w:hint="eastAsia" w:ascii="宋体" w:hAnsi="宋体" w:cs="宋体"/>
                <w:bCs/>
                <w:color w:val="auto"/>
                <w:sz w:val="21"/>
                <w:szCs w:val="21"/>
              </w:rPr>
              <w:t>自动控制装置</w:t>
            </w:r>
          </w:p>
        </w:tc>
        <w:tc>
          <w:tcPr>
            <w:tcW w:w="3858" w:type="pct"/>
            <w:noWrap w:val="0"/>
            <w:vAlign w:val="center"/>
          </w:tcPr>
          <w:p>
            <w:pPr>
              <w:pStyle w:val="55"/>
              <w:jc w:val="left"/>
              <w:rPr>
                <w:rFonts w:hint="eastAsia" w:ascii="宋体" w:hAnsi="宋体" w:eastAsia="宋体" w:cs="宋体"/>
                <w:bCs/>
                <w:color w:val="auto"/>
                <w:kern w:val="2"/>
                <w:sz w:val="21"/>
                <w:szCs w:val="21"/>
                <w:lang w:val="en-US" w:eastAsia="zh-CN" w:bidi="ar-SA"/>
              </w:rPr>
            </w:pPr>
            <w:r>
              <w:rPr>
                <w:rFonts w:hint="eastAsia" w:ascii="宋体" w:hAnsi="宋体" w:cs="宋体"/>
                <w:bCs/>
                <w:color w:val="auto"/>
                <w:sz w:val="21"/>
                <w:szCs w:val="21"/>
                <w:lang w:val="en-US" w:eastAsia="zh-CN"/>
              </w:rPr>
              <w:t>实现开闭所</w:t>
            </w:r>
            <w:r>
              <w:rPr>
                <w:rFonts w:hint="eastAsia" w:ascii="宋体" w:hAnsi="宋体" w:cs="宋体"/>
                <w:bCs/>
                <w:color w:val="auto"/>
                <w:sz w:val="21"/>
                <w:szCs w:val="21"/>
              </w:rPr>
              <w:t>备自投、智能联切、负荷联切</w:t>
            </w:r>
            <w:r>
              <w:rPr>
                <w:rFonts w:hint="eastAsia" w:ascii="宋体" w:hAnsi="宋体" w:cs="宋体"/>
                <w:bCs/>
                <w:color w:val="auto"/>
                <w:sz w:val="21"/>
                <w:szCs w:val="21"/>
                <w:lang w:eastAsia="zh-CN"/>
              </w:rPr>
              <w:t>、</w:t>
            </w:r>
            <w:r>
              <w:rPr>
                <w:rFonts w:hint="eastAsia" w:ascii="宋体" w:hAnsi="宋体" w:cs="宋体"/>
                <w:bCs/>
                <w:color w:val="auto"/>
                <w:sz w:val="21"/>
                <w:szCs w:val="21"/>
                <w:lang w:val="en-US" w:eastAsia="zh-CN"/>
              </w:rPr>
              <w:t>储能运行模式切换</w:t>
            </w:r>
            <w:r>
              <w:rPr>
                <w:rFonts w:hint="eastAsia" w:ascii="宋体" w:hAnsi="宋体" w:cs="宋体"/>
                <w:bCs/>
                <w:color w:val="auto"/>
                <w:sz w:val="21"/>
                <w:szCs w:val="21"/>
              </w:rPr>
              <w:t>等逻辑功能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70" w:type="pct"/>
            <w:noWrap w:val="0"/>
            <w:vAlign w:val="center"/>
          </w:tcPr>
          <w:p>
            <w:pPr>
              <w:pStyle w:val="55"/>
              <w:jc w:val="left"/>
              <w:rPr>
                <w:rFonts w:hint="eastAsia" w:ascii="宋体" w:hAnsi="宋体" w:eastAsia="宋体" w:cs="宋体"/>
                <w:bCs/>
                <w:color w:val="auto"/>
                <w:kern w:val="2"/>
                <w:sz w:val="21"/>
                <w:szCs w:val="21"/>
                <w:lang w:val="en-US" w:eastAsia="zh-CN" w:bidi="ar-SA"/>
              </w:rPr>
            </w:pPr>
            <w:r>
              <w:rPr>
                <w:rFonts w:hint="eastAsia" w:ascii="宋体" w:hAnsi="宋体" w:cs="宋体"/>
                <w:bCs/>
                <w:color w:val="auto"/>
                <w:szCs w:val="21"/>
                <w:lang w:val="en-US" w:eastAsia="zh-CN"/>
              </w:rPr>
              <w:t>14</w:t>
            </w:r>
          </w:p>
        </w:tc>
        <w:tc>
          <w:tcPr>
            <w:tcW w:w="870" w:type="pct"/>
            <w:noWrap w:val="0"/>
            <w:vAlign w:val="center"/>
          </w:tcPr>
          <w:p>
            <w:pPr>
              <w:pStyle w:val="55"/>
              <w:jc w:val="left"/>
              <w:rPr>
                <w:rFonts w:hint="eastAsia" w:ascii="宋体" w:hAnsi="宋体" w:eastAsia="宋体" w:cs="宋体"/>
                <w:bCs/>
                <w:color w:val="auto"/>
                <w:kern w:val="2"/>
                <w:sz w:val="21"/>
                <w:szCs w:val="21"/>
                <w:lang w:val="en-US" w:eastAsia="zh-CN" w:bidi="ar-SA"/>
              </w:rPr>
            </w:pPr>
            <w:r>
              <w:rPr>
                <w:rFonts w:hint="eastAsia" w:ascii="宋体" w:hAnsi="宋体" w:cs="宋体"/>
                <w:bCs/>
                <w:color w:val="auto"/>
                <w:sz w:val="21"/>
                <w:szCs w:val="21"/>
              </w:rPr>
              <w:t>智能I/O 装置</w:t>
            </w:r>
          </w:p>
        </w:tc>
        <w:tc>
          <w:tcPr>
            <w:tcW w:w="3858" w:type="pct"/>
            <w:noWrap w:val="0"/>
            <w:vAlign w:val="center"/>
          </w:tcPr>
          <w:p>
            <w:pPr>
              <w:pStyle w:val="55"/>
              <w:jc w:val="left"/>
              <w:rPr>
                <w:rFonts w:hint="eastAsia" w:ascii="宋体" w:hAnsi="宋体" w:eastAsia="宋体" w:cs="宋体"/>
                <w:bCs/>
                <w:color w:val="auto"/>
                <w:kern w:val="2"/>
                <w:sz w:val="21"/>
                <w:szCs w:val="21"/>
                <w:lang w:val="en-US" w:eastAsia="zh-CN" w:bidi="ar-SA"/>
              </w:rPr>
            </w:pPr>
            <w:r>
              <w:rPr>
                <w:rFonts w:hint="eastAsia" w:ascii="宋体" w:hAnsi="宋体" w:cs="宋体"/>
                <w:bCs/>
                <w:color w:val="auto"/>
                <w:szCs w:val="21"/>
                <w:lang w:val="en-US" w:eastAsia="zh-CN"/>
              </w:rPr>
              <w:t>和自动控制装置联动I/O控制，实现联切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70" w:type="pct"/>
            <w:noWrap w:val="0"/>
            <w:vAlign w:val="center"/>
          </w:tcPr>
          <w:p>
            <w:pPr>
              <w:pStyle w:val="55"/>
              <w:jc w:val="left"/>
              <w:rPr>
                <w:rFonts w:hint="eastAsia" w:ascii="宋体" w:hAnsi="宋体" w:cs="宋体"/>
                <w:bCs/>
                <w:color w:val="auto"/>
                <w:sz w:val="21"/>
                <w:szCs w:val="21"/>
                <w:highlight w:val="none"/>
                <w:lang w:val="en-US" w:eastAsia="zh-CN"/>
              </w:rPr>
            </w:pPr>
            <w:r>
              <w:rPr>
                <w:rFonts w:hint="eastAsia" w:ascii="宋体" w:hAnsi="宋体" w:cs="宋体"/>
                <w:bCs/>
                <w:color w:val="auto"/>
                <w:szCs w:val="21"/>
                <w:lang w:val="en-US" w:eastAsia="zh-CN"/>
              </w:rPr>
              <w:t>15</w:t>
            </w:r>
          </w:p>
        </w:tc>
        <w:tc>
          <w:tcPr>
            <w:tcW w:w="870" w:type="pct"/>
            <w:noWrap w:val="0"/>
            <w:vAlign w:val="center"/>
          </w:tcPr>
          <w:p>
            <w:pPr>
              <w:pStyle w:val="55"/>
              <w:jc w:val="left"/>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rPr>
              <w:t>数据采集装置</w:t>
            </w:r>
          </w:p>
        </w:tc>
        <w:tc>
          <w:tcPr>
            <w:tcW w:w="3858" w:type="pct"/>
            <w:noWrap w:val="0"/>
            <w:vAlign w:val="center"/>
          </w:tcPr>
          <w:p>
            <w:pPr>
              <w:pStyle w:val="55"/>
              <w:jc w:val="left"/>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rPr>
              <w:t>各类协议如Modbus、IEC61850等数据采集器完成数据的采集</w:t>
            </w:r>
          </w:p>
        </w:tc>
      </w:tr>
    </w:tbl>
    <w:p>
      <w:pPr>
        <w:pStyle w:val="4"/>
        <w:rPr>
          <w:rFonts w:hint="eastAsia" w:ascii="宋体" w:hAnsi="宋体" w:eastAsia="宋体" w:cs="宋体"/>
          <w:b/>
          <w:bCs w:val="0"/>
          <w:color w:val="auto"/>
          <w:szCs w:val="24"/>
          <w:highlight w:val="none"/>
          <w:lang w:val="en-US" w:eastAsia="zh-CN"/>
        </w:rPr>
      </w:pPr>
      <w:bookmarkStart w:id="441" w:name="_Toc30407"/>
      <w:bookmarkStart w:id="442" w:name="_Toc25199"/>
      <w:bookmarkStart w:id="443" w:name="_Toc27936"/>
      <w:bookmarkStart w:id="444" w:name="_Toc5712"/>
      <w:r>
        <w:rPr>
          <w:rFonts w:hint="eastAsia"/>
          <w:color w:val="auto"/>
          <w:lang w:val="en-US" w:eastAsia="zh-CN"/>
        </w:rPr>
        <w:t>14.5 控制器技术参数</w:t>
      </w:r>
      <w:bookmarkEnd w:id="441"/>
      <w:bookmarkEnd w:id="442"/>
      <w:bookmarkEnd w:id="443"/>
      <w:bookmarkEnd w:id="444"/>
    </w:p>
    <w:p>
      <w:pPr>
        <w:spacing w:line="360" w:lineRule="auto"/>
        <w:ind w:firstLine="420" w:firstLineChars="200"/>
        <w:rPr>
          <w:rFonts w:hint="eastAsia"/>
          <w:color w:val="auto"/>
          <w:lang w:val="en-US" w:eastAsia="zh-CN"/>
        </w:rPr>
      </w:pPr>
      <w:r>
        <w:rPr>
          <w:rFonts w:hint="eastAsia" w:ascii="Calibri" w:eastAsia="宋体"/>
          <w:color w:val="auto"/>
          <w:lang w:val="en-US" w:eastAsia="zh-CN"/>
        </w:rPr>
        <w:t>（1）微网协调控制器</w:t>
      </w:r>
    </w:p>
    <w:p>
      <w:pPr>
        <w:spacing w:line="360" w:lineRule="auto"/>
        <w:ind w:firstLine="420" w:firstLineChars="200"/>
        <w:rPr>
          <w:rFonts w:hint="eastAsia"/>
          <w:color w:val="auto"/>
          <w:lang w:val="en-US" w:eastAsia="zh-CN"/>
        </w:rPr>
      </w:pPr>
      <w:r>
        <w:rPr>
          <w:rFonts w:hint="eastAsia" w:ascii="Calibri" w:eastAsia="宋体"/>
          <w:color w:val="auto"/>
          <w:lang w:val="en-US" w:eastAsia="zh-CN"/>
        </w:rPr>
        <w:t>1）满足恶劣的温度、湿度和电磁⼲扰环境下的⽹络通信需求。⽀持⼀⽹多发，既能配合本地监控系统⾃动下发调控命令，⼜能接受上级调度的指令下发调控命令；</w:t>
      </w:r>
    </w:p>
    <w:p>
      <w:pPr>
        <w:spacing w:line="360" w:lineRule="auto"/>
        <w:ind w:firstLine="420" w:firstLineChars="200"/>
        <w:rPr>
          <w:rFonts w:hint="eastAsia"/>
          <w:color w:val="auto"/>
          <w:lang w:val="en-US" w:eastAsia="zh-CN"/>
        </w:rPr>
      </w:pPr>
      <w:r>
        <w:rPr>
          <w:rFonts w:hint="eastAsia" w:ascii="Calibri" w:eastAsia="宋体"/>
          <w:color w:val="auto"/>
          <w:lang w:val="en-US" w:eastAsia="zh-CN"/>
        </w:rPr>
        <w:t>2）支持联动控制策略，实现并离网运行模式下储能经济运行出力控制，稳定安全运行控制，支持防逆流，调压调频控制，黑启动等控制功能。</w:t>
      </w:r>
    </w:p>
    <w:p>
      <w:pPr>
        <w:spacing w:line="360" w:lineRule="auto"/>
        <w:ind w:firstLine="420" w:firstLineChars="200"/>
        <w:rPr>
          <w:rFonts w:hint="eastAsia"/>
          <w:color w:val="auto"/>
          <w:lang w:val="en-US" w:eastAsia="zh-CN"/>
        </w:rPr>
      </w:pPr>
      <w:r>
        <w:rPr>
          <w:rFonts w:hint="eastAsia" w:ascii="Calibri" w:eastAsia="宋体"/>
          <w:color w:val="auto"/>
          <w:lang w:val="en-US" w:eastAsia="zh-CN"/>
        </w:rPr>
        <w:t>3）采集协议支持Modbus TCP、Modbus RTU、IEC101/103/104、DNP3.0、CDT、DL/T645、CJ/T188、Anypolling、IEC61850。</w:t>
      </w:r>
    </w:p>
    <w:p>
      <w:pPr>
        <w:spacing w:line="360" w:lineRule="auto"/>
        <w:ind w:firstLine="420" w:firstLineChars="200"/>
        <w:rPr>
          <w:rFonts w:hint="eastAsia"/>
          <w:color w:val="auto"/>
          <w:lang w:val="en-US" w:eastAsia="zh-CN"/>
        </w:rPr>
      </w:pPr>
      <w:r>
        <w:rPr>
          <w:rFonts w:hint="eastAsia" w:ascii="Calibri" w:eastAsia="宋体"/>
          <w:color w:val="auto"/>
          <w:lang w:val="en-US" w:eastAsia="zh-CN"/>
        </w:rPr>
        <w:t>4）支持本地文件存储，同时支持数据存储；本地文件支持循环存储。</w:t>
      </w:r>
    </w:p>
    <w:p>
      <w:pPr>
        <w:spacing w:line="360" w:lineRule="auto"/>
        <w:ind w:firstLine="420" w:firstLineChars="200"/>
        <w:rPr>
          <w:rFonts w:hint="eastAsia"/>
          <w:color w:val="auto"/>
          <w:lang w:val="en-US" w:eastAsia="zh-CN"/>
        </w:rPr>
      </w:pPr>
      <w:r>
        <w:rPr>
          <w:rFonts w:hint="eastAsia" w:ascii="Calibri" w:eastAsia="宋体"/>
          <w:color w:val="auto"/>
          <w:lang w:val="en-US" w:eastAsia="zh-CN"/>
        </w:rPr>
        <w:t>（2）自动控制装置</w:t>
      </w:r>
    </w:p>
    <w:p>
      <w:pPr>
        <w:spacing w:line="360" w:lineRule="auto"/>
        <w:ind w:firstLine="420" w:firstLineChars="200"/>
        <w:rPr>
          <w:rFonts w:hint="eastAsia"/>
          <w:color w:val="auto"/>
          <w:lang w:val="en-US" w:eastAsia="zh-CN"/>
        </w:rPr>
      </w:pPr>
      <w:r>
        <w:rPr>
          <w:rFonts w:hint="eastAsia" w:ascii="Calibri" w:eastAsia="宋体"/>
          <w:color w:val="auto"/>
          <w:lang w:val="en-US" w:eastAsia="zh-CN"/>
        </w:rPr>
        <w:t>1）满足主频≥600MHz，32位双核处理器以上。</w:t>
      </w:r>
    </w:p>
    <w:p>
      <w:pPr>
        <w:spacing w:line="360" w:lineRule="auto"/>
        <w:ind w:firstLine="420" w:firstLineChars="200"/>
        <w:rPr>
          <w:rFonts w:hint="eastAsia"/>
          <w:color w:val="auto"/>
          <w:lang w:val="en-US" w:eastAsia="zh-CN"/>
        </w:rPr>
      </w:pPr>
      <w:r>
        <w:rPr>
          <w:rFonts w:hint="eastAsia" w:ascii="Calibri" w:eastAsia="宋体"/>
          <w:color w:val="auto"/>
          <w:lang w:val="en-US" w:eastAsia="zh-CN"/>
        </w:rPr>
        <w:t>2）支持逻辑可编程语言，内置丰富的逻辑功能块，可以方便地实现各种复杂的备自投、智能联切、负荷联切等逻辑功能。</w:t>
      </w:r>
    </w:p>
    <w:p>
      <w:pPr>
        <w:spacing w:line="360" w:lineRule="auto"/>
        <w:ind w:firstLine="420" w:firstLineChars="200"/>
        <w:rPr>
          <w:rFonts w:hint="eastAsia"/>
          <w:color w:val="auto"/>
          <w:lang w:val="en-US" w:eastAsia="zh-CN"/>
        </w:rPr>
      </w:pPr>
      <w:r>
        <w:rPr>
          <w:rFonts w:hint="eastAsia" w:ascii="Calibri" w:eastAsia="宋体"/>
          <w:color w:val="auto"/>
          <w:lang w:val="en-US" w:eastAsia="zh-CN"/>
        </w:rPr>
        <w:t>3）具备内置丰富的保护功能元件，性能可靠、动作快速，用于故障诊断；</w:t>
      </w:r>
    </w:p>
    <w:p>
      <w:pPr>
        <w:spacing w:line="360" w:lineRule="auto"/>
        <w:ind w:firstLine="420" w:firstLineChars="200"/>
        <w:rPr>
          <w:rFonts w:hint="eastAsia"/>
          <w:color w:val="auto"/>
          <w:lang w:val="en-US" w:eastAsia="zh-CN"/>
        </w:rPr>
      </w:pPr>
      <w:r>
        <w:rPr>
          <w:rFonts w:hint="eastAsia" w:ascii="Calibri" w:eastAsia="宋体"/>
          <w:color w:val="auto"/>
          <w:lang w:val="en-US" w:eastAsia="zh-CN"/>
        </w:rPr>
        <w:t>4）支持IEC 61850 MMS、IEC 61850 GOOSE、Modbus-TCP/RTU、Modbus-TCP Client等多种通信协议；</w:t>
      </w:r>
    </w:p>
    <w:p>
      <w:pPr>
        <w:spacing w:line="360" w:lineRule="auto"/>
        <w:ind w:firstLine="420" w:firstLineChars="200"/>
        <w:rPr>
          <w:rFonts w:hint="eastAsia"/>
          <w:color w:val="auto"/>
          <w:lang w:val="en-US" w:eastAsia="zh-CN"/>
        </w:rPr>
      </w:pPr>
      <w:r>
        <w:rPr>
          <w:rFonts w:hint="eastAsia" w:ascii="Calibri" w:eastAsia="宋体"/>
          <w:color w:val="auto"/>
          <w:lang w:val="en-US" w:eastAsia="zh-CN"/>
        </w:rPr>
        <w:t>5）支持分类查询2048条事件记录(分辨率1ms)；</w:t>
      </w:r>
    </w:p>
    <w:p>
      <w:pPr>
        <w:spacing w:line="360" w:lineRule="auto"/>
        <w:ind w:firstLine="420" w:firstLineChars="200"/>
        <w:rPr>
          <w:rFonts w:hint="eastAsia"/>
          <w:color w:val="auto"/>
          <w:lang w:val="en-US" w:eastAsia="zh-CN"/>
        </w:rPr>
      </w:pPr>
      <w:r>
        <w:rPr>
          <w:rFonts w:hint="eastAsia" w:ascii="Calibri" w:eastAsia="宋体"/>
          <w:color w:val="auto"/>
          <w:lang w:val="en-US" w:eastAsia="zh-CN"/>
        </w:rPr>
        <w:t>6）长时间故障录波(掉电可保持10年以上)；</w:t>
      </w:r>
    </w:p>
    <w:p>
      <w:pPr>
        <w:spacing w:line="360" w:lineRule="auto"/>
        <w:ind w:firstLine="420" w:firstLineChars="200"/>
        <w:rPr>
          <w:rFonts w:hint="eastAsia"/>
          <w:color w:val="auto"/>
          <w:lang w:val="en-US" w:eastAsia="zh-CN"/>
        </w:rPr>
      </w:pPr>
      <w:r>
        <w:rPr>
          <w:rFonts w:hint="eastAsia" w:ascii="Calibri" w:eastAsia="宋体"/>
          <w:color w:val="auto"/>
          <w:lang w:val="en-US" w:eastAsia="zh-CN"/>
        </w:rPr>
        <w:t>（3）智能I/O 装置</w:t>
      </w:r>
    </w:p>
    <w:p>
      <w:pPr>
        <w:spacing w:line="360" w:lineRule="auto"/>
        <w:ind w:firstLine="420" w:firstLineChars="200"/>
        <w:rPr>
          <w:rFonts w:hint="eastAsia"/>
          <w:color w:val="auto"/>
          <w:lang w:val="en-US" w:eastAsia="zh-CN"/>
        </w:rPr>
      </w:pPr>
      <w:r>
        <w:rPr>
          <w:rFonts w:hint="eastAsia" w:ascii="Calibri" w:eastAsia="宋体"/>
          <w:color w:val="auto"/>
          <w:lang w:val="en-US" w:eastAsia="zh-CN"/>
        </w:rPr>
        <w:t>1）支持MODBUS-TCP/RTU通信协议，支持IEC61850 的GOOSE协议；</w:t>
      </w:r>
    </w:p>
    <w:p>
      <w:pPr>
        <w:spacing w:line="360" w:lineRule="auto"/>
        <w:ind w:firstLine="420" w:firstLineChars="200"/>
        <w:rPr>
          <w:rFonts w:hint="eastAsia"/>
          <w:color w:val="auto"/>
          <w:lang w:val="en-US" w:eastAsia="zh-CN"/>
        </w:rPr>
      </w:pPr>
      <w:r>
        <w:rPr>
          <w:rFonts w:hint="eastAsia" w:ascii="Calibri" w:eastAsia="宋体"/>
          <w:color w:val="auto"/>
          <w:lang w:val="en-US" w:eastAsia="zh-CN"/>
        </w:rPr>
        <w:t>3）支持逻辑可编程语言，实现丰富、贴合现场实际需求的自定义逻辑功能；</w:t>
      </w:r>
    </w:p>
    <w:p>
      <w:pPr>
        <w:spacing w:line="360" w:lineRule="auto"/>
        <w:ind w:firstLine="420" w:firstLineChars="200"/>
        <w:rPr>
          <w:rFonts w:hint="eastAsia"/>
          <w:color w:val="auto"/>
          <w:lang w:val="en-US" w:eastAsia="zh-CN"/>
        </w:rPr>
      </w:pPr>
      <w:r>
        <w:rPr>
          <w:rFonts w:hint="eastAsia" w:ascii="Calibri" w:eastAsia="宋体"/>
          <w:color w:val="auto"/>
          <w:lang w:val="en-US" w:eastAsia="zh-CN"/>
        </w:rPr>
        <w:t>4）支持分类查询的SOE功能；</w:t>
      </w:r>
    </w:p>
    <w:p>
      <w:pPr>
        <w:spacing w:line="360" w:lineRule="auto"/>
        <w:ind w:firstLine="420" w:firstLineChars="200"/>
        <w:rPr>
          <w:rFonts w:hint="eastAsia"/>
          <w:color w:val="auto"/>
          <w:lang w:val="en-US" w:eastAsia="zh-CN"/>
        </w:rPr>
      </w:pPr>
      <w:r>
        <w:rPr>
          <w:rFonts w:hint="eastAsia" w:ascii="Calibri" w:eastAsia="宋体"/>
          <w:color w:val="auto"/>
          <w:lang w:val="en-US" w:eastAsia="zh-CN"/>
        </w:rPr>
        <w:t xml:space="preserve">（4）数据采集装置 </w:t>
      </w:r>
    </w:p>
    <w:p>
      <w:pPr>
        <w:spacing w:line="360" w:lineRule="auto"/>
        <w:ind w:firstLine="420" w:firstLineChars="200"/>
        <w:rPr>
          <w:rFonts w:hint="eastAsia"/>
          <w:color w:val="auto"/>
          <w:lang w:val="en-US" w:eastAsia="zh-CN"/>
        </w:rPr>
      </w:pPr>
      <w:r>
        <w:rPr>
          <w:rFonts w:hint="eastAsia" w:ascii="Calibri" w:eastAsia="宋体"/>
          <w:color w:val="auto"/>
          <w:lang w:val="en-US" w:eastAsia="zh-CN"/>
        </w:rPr>
        <w:t>1）同时支持以太网、串口、Lora、4G等通讯方式</w:t>
      </w:r>
    </w:p>
    <w:p>
      <w:pPr>
        <w:spacing w:line="360" w:lineRule="auto"/>
        <w:ind w:firstLine="420" w:firstLineChars="200"/>
        <w:rPr>
          <w:rFonts w:hint="eastAsia"/>
          <w:color w:val="auto"/>
          <w:lang w:val="en-US" w:eastAsia="zh-CN"/>
        </w:rPr>
      </w:pPr>
      <w:r>
        <w:rPr>
          <w:rFonts w:hint="eastAsia" w:ascii="Calibri" w:eastAsia="宋体"/>
          <w:color w:val="auto"/>
          <w:lang w:val="en-US" w:eastAsia="zh-CN"/>
        </w:rPr>
        <w:t>2）采集协议支持ModbusRTU、ModbusTCP、IEC101/103/104、DL/T645、DLT698，支持协议扩展</w:t>
      </w:r>
    </w:p>
    <w:p>
      <w:pPr>
        <w:spacing w:line="360" w:lineRule="auto"/>
        <w:ind w:firstLine="420" w:firstLineChars="200"/>
        <w:rPr>
          <w:rFonts w:hint="eastAsia"/>
          <w:color w:val="auto"/>
          <w:lang w:val="en-US" w:eastAsia="zh-CN"/>
        </w:rPr>
      </w:pPr>
      <w:r>
        <w:rPr>
          <w:rFonts w:hint="eastAsia" w:ascii="Calibri" w:eastAsia="宋体"/>
          <w:color w:val="auto"/>
          <w:lang w:val="en-US" w:eastAsia="zh-CN"/>
        </w:rPr>
        <w:t>3）支持断点续传、一机多发等功能</w:t>
      </w:r>
    </w:p>
    <w:p>
      <w:pPr>
        <w:spacing w:line="360" w:lineRule="auto"/>
        <w:ind w:firstLine="420" w:firstLineChars="200"/>
        <w:rPr>
          <w:rFonts w:hint="eastAsia"/>
          <w:color w:val="auto"/>
          <w:lang w:val="en-US" w:eastAsia="zh-CN"/>
        </w:rPr>
      </w:pPr>
      <w:r>
        <w:rPr>
          <w:rFonts w:hint="eastAsia" w:ascii="Calibri" w:eastAsia="宋体"/>
          <w:color w:val="auto"/>
          <w:lang w:val="en-US" w:eastAsia="zh-CN"/>
        </w:rPr>
        <w:t>4）具备边缘计算能力，支持≥20种运算符，≥40逻辑控件，≥2000个虚拟测点，组合复杂控制，联动告警逻辑</w:t>
      </w:r>
    </w:p>
    <w:p>
      <w:pPr>
        <w:spacing w:line="360" w:lineRule="auto"/>
        <w:ind w:firstLine="420" w:firstLineChars="200"/>
        <w:rPr>
          <w:rFonts w:hint="eastAsia"/>
          <w:color w:val="auto"/>
          <w:lang w:val="en-US" w:eastAsia="zh-CN"/>
        </w:rPr>
      </w:pPr>
      <w:r>
        <w:rPr>
          <w:rFonts w:hint="eastAsia" w:ascii="Calibri" w:eastAsia="宋体"/>
          <w:color w:val="auto"/>
          <w:lang w:val="en-US" w:eastAsia="zh-CN"/>
        </w:rPr>
        <w:t>5）内置PLC功能模块图，灵活编写本地控制逻辑</w:t>
      </w:r>
    </w:p>
    <w:p>
      <w:pPr>
        <w:pStyle w:val="4"/>
        <w:rPr>
          <w:rFonts w:hint="eastAsia" w:ascii="宋体" w:hAnsi="宋体" w:eastAsia="宋体" w:cs="宋体"/>
          <w:b/>
          <w:bCs w:val="0"/>
          <w:color w:val="auto"/>
          <w:szCs w:val="24"/>
          <w:highlight w:val="none"/>
          <w:lang w:val="en-US" w:eastAsia="zh-CN"/>
        </w:rPr>
      </w:pPr>
      <w:bookmarkStart w:id="445" w:name="_Toc9811"/>
      <w:bookmarkStart w:id="446" w:name="_Toc26272"/>
      <w:bookmarkStart w:id="447" w:name="_Toc6899"/>
      <w:bookmarkStart w:id="448" w:name="_Toc27"/>
      <w:r>
        <w:rPr>
          <w:rFonts w:hint="eastAsia"/>
          <w:color w:val="auto"/>
          <w:lang w:val="en-US" w:eastAsia="zh-CN"/>
        </w:rPr>
        <w:t>14.6 数据采集与存储</w:t>
      </w:r>
      <w:bookmarkEnd w:id="445"/>
      <w:bookmarkEnd w:id="446"/>
      <w:bookmarkEnd w:id="447"/>
      <w:bookmarkEnd w:id="448"/>
    </w:p>
    <w:p>
      <w:pPr>
        <w:spacing w:line="360" w:lineRule="auto"/>
        <w:ind w:firstLine="420" w:firstLineChars="200"/>
        <w:rPr>
          <w:rFonts w:hint="eastAsia"/>
          <w:color w:val="auto"/>
          <w:lang w:eastAsia="zh-CN"/>
        </w:rPr>
      </w:pPr>
      <w:r>
        <w:rPr>
          <w:rFonts w:hint="eastAsia" w:eastAsia="宋体"/>
          <w:color w:val="auto"/>
          <w:lang w:eastAsia="zh-CN"/>
        </w:rPr>
        <w:t>（</w:t>
      </w:r>
      <w:r>
        <w:rPr>
          <w:rFonts w:hint="eastAsia" w:ascii="Calibri" w:eastAsia="宋体"/>
          <w:color w:val="auto"/>
          <w:lang w:val="en-US" w:eastAsia="zh-CN"/>
        </w:rPr>
        <w:t>1</w:t>
      </w:r>
      <w:r>
        <w:rPr>
          <w:rFonts w:hint="eastAsia" w:eastAsia="宋体"/>
          <w:color w:val="auto"/>
          <w:lang w:eastAsia="zh-CN"/>
        </w:rPr>
        <w:t>）数据采集方式支持人工采集方式和自动采集方式，原则上全部采用自动采集。</w:t>
      </w:r>
    </w:p>
    <w:p>
      <w:pPr>
        <w:spacing w:line="360" w:lineRule="auto"/>
        <w:ind w:firstLine="420" w:firstLineChars="200"/>
        <w:rPr>
          <w:rFonts w:hint="eastAsia"/>
          <w:color w:val="auto"/>
          <w:lang w:eastAsia="zh-CN"/>
        </w:rPr>
      </w:pPr>
      <w:r>
        <w:rPr>
          <w:rFonts w:hint="eastAsia" w:eastAsia="宋体"/>
          <w:color w:val="auto"/>
          <w:lang w:eastAsia="zh-CN"/>
        </w:rPr>
        <w:t>（</w:t>
      </w:r>
      <w:r>
        <w:rPr>
          <w:rFonts w:hint="eastAsia" w:ascii="Calibri" w:eastAsia="宋体"/>
          <w:color w:val="auto"/>
          <w:lang w:val="en-US" w:eastAsia="zh-CN"/>
        </w:rPr>
        <w:t>2</w:t>
      </w:r>
      <w:r>
        <w:rPr>
          <w:rFonts w:hint="eastAsia" w:eastAsia="宋体"/>
          <w:color w:val="auto"/>
          <w:lang w:eastAsia="zh-CN"/>
        </w:rPr>
        <w:t>）自动采集可通过各类协议如</w:t>
      </w:r>
      <w:r>
        <w:rPr>
          <w:rFonts w:hint="eastAsia" w:ascii="Calibri" w:eastAsia="宋体"/>
          <w:color w:val="auto"/>
          <w:lang w:val="en-US" w:eastAsia="zh-CN"/>
        </w:rPr>
        <w:t>M</w:t>
      </w:r>
      <w:r>
        <w:rPr>
          <w:rFonts w:hint="eastAsia" w:eastAsia="宋体"/>
          <w:color w:val="auto"/>
          <w:lang w:eastAsia="zh-CN"/>
        </w:rPr>
        <w:t>odbus、</w:t>
      </w:r>
      <w:r>
        <w:rPr>
          <w:rFonts w:hint="eastAsia" w:ascii="Calibri" w:eastAsia="宋体"/>
          <w:color w:val="auto"/>
          <w:lang w:val="en-US" w:eastAsia="zh-CN"/>
        </w:rPr>
        <w:t>IEC</w:t>
      </w:r>
      <w:r>
        <w:rPr>
          <w:rFonts w:hint="eastAsia" w:eastAsia="宋体"/>
          <w:color w:val="auto"/>
          <w:lang w:eastAsia="zh-CN"/>
        </w:rPr>
        <w:t>61850等经数据采集器完成数据的采集；同时，系统针对采用非标准规约的仪表或第三方系统支持通讯接口程序的开发，确保数据的完整采集。</w:t>
      </w:r>
    </w:p>
    <w:p>
      <w:pPr>
        <w:spacing w:line="360" w:lineRule="auto"/>
        <w:ind w:firstLine="420" w:firstLineChars="200"/>
        <w:rPr>
          <w:rFonts w:hint="eastAsia"/>
          <w:color w:val="auto"/>
          <w:lang w:eastAsia="zh-CN"/>
        </w:rPr>
      </w:pPr>
      <w:r>
        <w:rPr>
          <w:rFonts w:hint="eastAsia" w:eastAsia="宋体"/>
          <w:color w:val="auto"/>
          <w:lang w:eastAsia="zh-CN"/>
        </w:rPr>
        <w:t>（</w:t>
      </w:r>
      <w:r>
        <w:rPr>
          <w:rFonts w:hint="eastAsia" w:ascii="Calibri" w:eastAsia="宋体"/>
          <w:color w:val="auto"/>
          <w:lang w:val="en-US" w:eastAsia="zh-CN"/>
        </w:rPr>
        <w:t>3</w:t>
      </w:r>
      <w:r>
        <w:rPr>
          <w:rFonts w:hint="eastAsia" w:eastAsia="宋体"/>
          <w:color w:val="auto"/>
          <w:lang w:eastAsia="zh-CN"/>
        </w:rPr>
        <w:t>）采集数据存储</w:t>
      </w:r>
    </w:p>
    <w:p>
      <w:pPr>
        <w:spacing w:line="360" w:lineRule="auto"/>
        <w:ind w:firstLine="420" w:firstLineChars="200"/>
        <w:rPr>
          <w:rFonts w:hint="eastAsia"/>
          <w:color w:val="auto"/>
          <w:lang w:eastAsia="zh-CN"/>
        </w:rPr>
      </w:pPr>
      <w:r>
        <w:rPr>
          <w:rFonts w:hint="eastAsia" w:eastAsia="宋体"/>
          <w:color w:val="auto"/>
          <w:lang w:eastAsia="zh-CN"/>
        </w:rPr>
        <w:t>实现</w:t>
      </w:r>
      <w:r>
        <w:rPr>
          <w:rFonts w:hint="eastAsia" w:ascii="Calibri" w:eastAsia="宋体"/>
          <w:color w:val="auto"/>
          <w:lang w:val="en-US" w:eastAsia="zh-CN"/>
        </w:rPr>
        <w:t>微网系统</w:t>
      </w:r>
      <w:r>
        <w:rPr>
          <w:rFonts w:hint="eastAsia" w:eastAsia="宋体"/>
          <w:color w:val="auto"/>
          <w:lang w:eastAsia="zh-CN"/>
        </w:rPr>
        <w:t>的实时监视和分析，系统实现对微网运行参数、能源累计量数据、等进行实时采集和存储，</w:t>
      </w:r>
      <w:r>
        <w:rPr>
          <w:rFonts w:hint="eastAsia" w:ascii="Calibri" w:eastAsia="宋体"/>
          <w:color w:val="auto"/>
          <w:lang w:val="en-US" w:eastAsia="zh-CN"/>
        </w:rPr>
        <w:t>对于不同数据类型支持不采集和存储间隔，</w:t>
      </w:r>
      <w:r>
        <w:rPr>
          <w:rFonts w:hint="eastAsia" w:eastAsia="宋体"/>
          <w:color w:val="auto"/>
          <w:lang w:eastAsia="zh-CN"/>
        </w:rPr>
        <w:t>系统提供专门的数据库维护工具，支持数据的备份/还原、导入/导出、手动清除等操作，支持设置定时任务计划，自动按计划周期完成数据的备份。</w:t>
      </w:r>
    </w:p>
    <w:p>
      <w:pPr>
        <w:pStyle w:val="4"/>
        <w:rPr>
          <w:rFonts w:hint="eastAsia" w:ascii="宋体" w:hAnsi="宋体" w:eastAsia="宋体" w:cs="宋体"/>
          <w:b/>
          <w:bCs w:val="0"/>
          <w:color w:val="auto"/>
          <w:szCs w:val="24"/>
          <w:highlight w:val="none"/>
          <w:lang w:val="en-US" w:eastAsia="zh-CN"/>
        </w:rPr>
      </w:pPr>
      <w:bookmarkStart w:id="449" w:name="_Toc27163"/>
      <w:bookmarkStart w:id="450" w:name="_Toc15205"/>
      <w:bookmarkStart w:id="451" w:name="_Toc27545"/>
      <w:bookmarkStart w:id="452" w:name="_Toc13621"/>
      <w:r>
        <w:rPr>
          <w:rFonts w:hint="eastAsia"/>
          <w:color w:val="auto"/>
          <w:lang w:val="en-US" w:eastAsia="zh-CN"/>
        </w:rPr>
        <w:t>14.7 基础软件配置及要求</w:t>
      </w:r>
      <w:bookmarkEnd w:id="449"/>
      <w:bookmarkEnd w:id="450"/>
      <w:bookmarkEnd w:id="451"/>
      <w:bookmarkEnd w:id="452"/>
    </w:p>
    <w:p>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微电网</w:t>
      </w:r>
      <w:r>
        <w:rPr>
          <w:rFonts w:hint="eastAsia" w:ascii="宋体" w:hAnsi="宋体" w:eastAsia="宋体" w:cs="宋体"/>
          <w:bCs/>
          <w:color w:val="auto"/>
          <w:sz w:val="24"/>
          <w:szCs w:val="24"/>
          <w:highlight w:val="none"/>
        </w:rPr>
        <w:t>智慧运营系统的基础软件配置，应满足系统的功能要求。相关技术要求如下，</w:t>
      </w:r>
      <w:r>
        <w:rPr>
          <w:rFonts w:hint="eastAsia" w:ascii="宋体" w:hAnsi="宋体" w:eastAsia="宋体" w:cs="宋体"/>
          <w:bCs/>
          <w:color w:val="auto"/>
          <w:sz w:val="24"/>
          <w:szCs w:val="24"/>
          <w:highlight w:val="none"/>
          <w:lang w:eastAsia="zh-CN"/>
        </w:rPr>
        <w:t>投标人</w:t>
      </w:r>
      <w:r>
        <w:rPr>
          <w:rFonts w:hint="eastAsia" w:ascii="宋体" w:hAnsi="宋体" w:eastAsia="宋体" w:cs="宋体"/>
          <w:bCs/>
          <w:color w:val="auto"/>
          <w:sz w:val="24"/>
          <w:szCs w:val="24"/>
          <w:highlight w:val="none"/>
        </w:rPr>
        <w:t>可在提高系统可靠性及先进性的基础上不限于此，应根据系统功能要求合理设计方案，确定所需基础软件的技术参数及数量。</w:t>
      </w:r>
    </w:p>
    <w:p>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表</w:t>
      </w:r>
      <w:r>
        <w:rPr>
          <w:rFonts w:hint="eastAsia" w:ascii="宋体" w:hAnsi="宋体" w:eastAsia="宋体" w:cs="宋体"/>
          <w:bCs/>
          <w:color w:val="auto"/>
          <w:sz w:val="24"/>
          <w:szCs w:val="24"/>
          <w:highlight w:val="none"/>
          <w:lang w:val="en-US" w:eastAsia="zh-CN"/>
        </w:rPr>
        <w:t>1</w:t>
      </w:r>
      <w:r>
        <w:rPr>
          <w:rFonts w:hint="eastAsia" w:ascii="宋体" w:hAnsi="宋体" w:cs="宋体"/>
          <w:bCs/>
          <w:color w:val="auto"/>
          <w:sz w:val="24"/>
          <w:szCs w:val="24"/>
          <w:highlight w:val="none"/>
          <w:lang w:val="en-US" w:eastAsia="zh-CN"/>
        </w:rPr>
        <w:t>4</w:t>
      </w:r>
      <w:r>
        <w:rPr>
          <w:rFonts w:hint="eastAsia" w:ascii="宋体" w:hAnsi="宋体" w:eastAsia="宋体" w:cs="宋体"/>
          <w:bCs/>
          <w:color w:val="auto"/>
          <w:sz w:val="24"/>
          <w:szCs w:val="24"/>
          <w:highlight w:val="none"/>
        </w:rPr>
        <w:t xml:space="preserve">-2 </w:t>
      </w:r>
      <w:r>
        <w:rPr>
          <w:rFonts w:hint="eastAsia" w:ascii="宋体" w:hAnsi="宋体" w:eastAsia="宋体" w:cs="宋体"/>
          <w:bCs/>
          <w:color w:val="auto"/>
          <w:sz w:val="24"/>
          <w:szCs w:val="24"/>
          <w:highlight w:val="none"/>
          <w:lang w:eastAsia="zh-CN"/>
        </w:rPr>
        <w:t>微电网</w:t>
      </w:r>
      <w:r>
        <w:rPr>
          <w:rFonts w:hint="eastAsia" w:ascii="宋体" w:hAnsi="宋体" w:eastAsia="宋体" w:cs="宋体"/>
          <w:bCs/>
          <w:color w:val="auto"/>
          <w:sz w:val="24"/>
          <w:szCs w:val="24"/>
          <w:highlight w:val="none"/>
        </w:rPr>
        <w:t>智慧运营系统基础软件配置及技术要求</w:t>
      </w:r>
    </w:p>
    <w:tbl>
      <w:tblPr>
        <w:tblStyle w:val="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7"/>
        <w:gridCol w:w="1398"/>
        <w:gridCol w:w="64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0" w:type="pct"/>
            <w:noWrap w:val="0"/>
            <w:vAlign w:val="top"/>
          </w:tcPr>
          <w:p>
            <w:pPr>
              <w:spacing w:line="360" w:lineRule="auto"/>
              <w:ind w:firstLine="0" w:firstLineChars="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序号</w:t>
            </w:r>
          </w:p>
        </w:tc>
        <w:tc>
          <w:tcPr>
            <w:tcW w:w="820" w:type="pct"/>
            <w:noWrap w:val="0"/>
            <w:vAlign w:val="top"/>
          </w:tcPr>
          <w:p>
            <w:pPr>
              <w:spacing w:line="360" w:lineRule="auto"/>
              <w:ind w:firstLine="0" w:firstLineChars="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设备</w:t>
            </w:r>
          </w:p>
        </w:tc>
        <w:tc>
          <w:tcPr>
            <w:tcW w:w="3800" w:type="pct"/>
            <w:noWrap w:val="0"/>
            <w:vAlign w:val="top"/>
          </w:tcPr>
          <w:p>
            <w:pPr>
              <w:spacing w:line="360" w:lineRule="auto"/>
              <w:ind w:firstLine="0" w:firstLineChars="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0" w:type="pct"/>
            <w:noWrap w:val="0"/>
            <w:vAlign w:val="center"/>
          </w:tcPr>
          <w:p>
            <w:pPr>
              <w:spacing w:line="360" w:lineRule="auto"/>
              <w:ind w:firstLine="0" w:firstLineChars="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p>
        </w:tc>
        <w:tc>
          <w:tcPr>
            <w:tcW w:w="820" w:type="pct"/>
            <w:noWrap w:val="0"/>
            <w:vAlign w:val="center"/>
          </w:tcPr>
          <w:p>
            <w:pPr>
              <w:spacing w:line="360" w:lineRule="auto"/>
              <w:ind w:firstLine="0" w:firstLineChars="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操作系统</w:t>
            </w:r>
          </w:p>
        </w:tc>
        <w:tc>
          <w:tcPr>
            <w:tcW w:w="3800" w:type="pct"/>
            <w:noWrap w:val="0"/>
            <w:vAlign w:val="center"/>
          </w:tcPr>
          <w:p>
            <w:pPr>
              <w:spacing w:line="360" w:lineRule="auto"/>
              <w:ind w:firstLine="0" w:firstLineChars="0"/>
              <w:jc w:val="lef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1.采用符合开放系统互联标准的UNIX操作系统、LINUX操作系统，或其它类型的符合开放系统标准的带中文支持的多任务多用户操作系统，配置网络安全检测探针软件；</w:t>
            </w:r>
          </w:p>
          <w:p>
            <w:pPr>
              <w:spacing w:line="360" w:lineRule="auto"/>
              <w:ind w:firstLine="0" w:firstLineChars="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2.采用国产操作系统。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0" w:type="pct"/>
            <w:noWrap w:val="0"/>
            <w:vAlign w:val="center"/>
          </w:tcPr>
          <w:p>
            <w:pPr>
              <w:spacing w:line="360" w:lineRule="auto"/>
              <w:ind w:firstLine="0" w:firstLineChars="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p>
        </w:tc>
        <w:tc>
          <w:tcPr>
            <w:tcW w:w="820" w:type="pct"/>
            <w:noWrap w:val="0"/>
            <w:vAlign w:val="center"/>
          </w:tcPr>
          <w:p>
            <w:pPr>
              <w:spacing w:line="360" w:lineRule="auto"/>
              <w:ind w:firstLine="0" w:firstLineChars="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数据库</w:t>
            </w:r>
          </w:p>
        </w:tc>
        <w:tc>
          <w:tcPr>
            <w:tcW w:w="3800" w:type="pct"/>
            <w:noWrap w:val="0"/>
            <w:vAlign w:val="center"/>
          </w:tcPr>
          <w:p>
            <w:pPr>
              <w:spacing w:line="360" w:lineRule="auto"/>
              <w:ind w:firstLine="0" w:firstLineChars="0"/>
              <w:jc w:val="lef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1.满足系统存放数据结构、数据定义及描述、历史数据、实时数据库采样数据、警报信息以及其它管理信息等要求；</w:t>
            </w:r>
          </w:p>
          <w:p>
            <w:pPr>
              <w:spacing w:line="360" w:lineRule="auto"/>
              <w:ind w:firstLine="0" w:firstLineChars="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2.采用国产数据库。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0" w:type="pct"/>
            <w:noWrap w:val="0"/>
            <w:vAlign w:val="center"/>
          </w:tcPr>
          <w:p>
            <w:pPr>
              <w:spacing w:line="360" w:lineRule="auto"/>
              <w:ind w:firstLine="0" w:firstLineChars="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p>
        </w:tc>
        <w:tc>
          <w:tcPr>
            <w:tcW w:w="820" w:type="pct"/>
            <w:noWrap w:val="0"/>
            <w:vAlign w:val="center"/>
          </w:tcPr>
          <w:p>
            <w:pPr>
              <w:spacing w:line="360" w:lineRule="auto"/>
              <w:ind w:firstLine="0" w:firstLineChars="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系统接口及支撑软件</w:t>
            </w:r>
          </w:p>
        </w:tc>
        <w:tc>
          <w:tcPr>
            <w:tcW w:w="3800" w:type="pct"/>
            <w:noWrap w:val="0"/>
            <w:vAlign w:val="center"/>
          </w:tcPr>
          <w:p>
            <w:pPr>
              <w:spacing w:line="360" w:lineRule="auto"/>
              <w:ind w:firstLine="0" w:firstLineChars="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提供以下支撑服务：系统接口、实时数据采集、数据处理、数据库管理、历史数据管理、权限管理、计算服务、网络拓扑分析、系统安全服务、报表服务。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0" w:type="pct"/>
            <w:noWrap w:val="0"/>
            <w:vAlign w:val="center"/>
          </w:tcPr>
          <w:p>
            <w:pPr>
              <w:spacing w:line="360" w:lineRule="auto"/>
              <w:ind w:firstLine="0" w:firstLineChars="0"/>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w:t>
            </w:r>
          </w:p>
        </w:tc>
        <w:tc>
          <w:tcPr>
            <w:tcW w:w="820" w:type="pct"/>
            <w:noWrap w:val="0"/>
            <w:vAlign w:val="center"/>
          </w:tcPr>
          <w:p>
            <w:pPr>
              <w:spacing w:line="360" w:lineRule="auto"/>
              <w:ind w:firstLine="0" w:firstLineChars="0"/>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操作（展示）界面</w:t>
            </w:r>
          </w:p>
        </w:tc>
        <w:tc>
          <w:tcPr>
            <w:tcW w:w="3800" w:type="pct"/>
            <w:noWrap w:val="0"/>
            <w:vAlign w:val="center"/>
          </w:tcPr>
          <w:p>
            <w:pPr>
              <w:spacing w:line="360" w:lineRule="auto"/>
              <w:ind w:firstLine="0" w:firstLineChars="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展示界面</w:t>
            </w:r>
            <w:r>
              <w:rPr>
                <w:rFonts w:hint="eastAsia" w:ascii="宋体" w:hAnsi="宋体" w:eastAsia="宋体" w:cs="宋体"/>
                <w:bCs/>
                <w:color w:val="auto"/>
                <w:sz w:val="24"/>
                <w:szCs w:val="24"/>
                <w:highlight w:val="none"/>
              </w:rPr>
              <w:t>包括</w:t>
            </w:r>
            <w:r>
              <w:rPr>
                <w:rFonts w:hint="eastAsia" w:ascii="宋体" w:hAnsi="宋体" w:eastAsia="宋体" w:cs="宋体"/>
                <w:bCs/>
                <w:color w:val="auto"/>
                <w:sz w:val="24"/>
                <w:szCs w:val="24"/>
                <w:highlight w:val="none"/>
                <w:lang w:val="en-US" w:eastAsia="zh-CN"/>
              </w:rPr>
              <w:t>储、柴等</w:t>
            </w:r>
            <w:r>
              <w:rPr>
                <w:rFonts w:hint="eastAsia" w:ascii="宋体" w:hAnsi="宋体" w:eastAsia="宋体" w:cs="宋体"/>
                <w:bCs/>
                <w:color w:val="auto"/>
                <w:sz w:val="24"/>
                <w:szCs w:val="24"/>
                <w:highlight w:val="none"/>
              </w:rPr>
              <w:t>系统实时运行工况一览，如收益统计、电量统计、实时功率、发电量、功率曲线趋势等，同时具备场站设备数量查询以及系统接线图。</w:t>
            </w:r>
          </w:p>
          <w:p>
            <w:pPr>
              <w:spacing w:line="360" w:lineRule="auto"/>
              <w:ind w:firstLine="0" w:firstLineChars="0"/>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根据现场实际运行情况展示一次接线图，并展示实际开关、保护装置、储柴设备运行状态，电压、电流、温度、功率等关键遥测数据，并且支持进行模式切换、开关开闭等控制功能。</w:t>
            </w:r>
          </w:p>
          <w:p>
            <w:pPr>
              <w:spacing w:line="360" w:lineRule="auto"/>
              <w:ind w:firstLine="0" w:firstLineChars="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项目要求对业务所在区域进行数字化建模，通过可视化方式对智能微网的运行状态进行直观展示，并且可以跳转至储、</w:t>
            </w:r>
            <w:r>
              <w:rPr>
                <w:rFonts w:hint="eastAsia" w:ascii="宋体" w:hAnsi="宋体" w:cs="宋体"/>
                <w:bCs/>
                <w:color w:val="auto"/>
                <w:sz w:val="24"/>
                <w:szCs w:val="24"/>
                <w:highlight w:val="none"/>
                <w:lang w:val="en-US" w:eastAsia="zh-CN"/>
              </w:rPr>
              <w:t>柴</w:t>
            </w:r>
            <w:r>
              <w:rPr>
                <w:rFonts w:hint="eastAsia" w:ascii="宋体" w:hAnsi="宋体" w:eastAsia="宋体" w:cs="宋体"/>
                <w:bCs/>
                <w:color w:val="auto"/>
                <w:sz w:val="24"/>
                <w:szCs w:val="24"/>
                <w:highlight w:val="none"/>
                <w:lang w:val="en-US" w:eastAsia="zh-CN"/>
              </w:rPr>
              <w:t>、核心电力监控等。</w:t>
            </w:r>
          </w:p>
        </w:tc>
      </w:tr>
    </w:tbl>
    <w:p>
      <w:pPr>
        <w:pStyle w:val="4"/>
        <w:keepNext/>
        <w:keepLines/>
        <w:widowControl w:val="0"/>
        <w:numPr>
          <w:ilvl w:val="2"/>
          <w:numId w:val="0"/>
        </w:numPr>
        <w:adjustRightInd w:val="0"/>
        <w:snapToGrid w:val="0"/>
        <w:spacing w:before="120" w:beforeLines="50" w:after="120" w:afterLines="50" w:line="360" w:lineRule="auto"/>
        <w:jc w:val="both"/>
        <w:outlineLvl w:val="2"/>
        <w:rPr>
          <w:rFonts w:hint="eastAsia" w:ascii="宋体" w:hAnsi="宋体" w:eastAsia="宋体" w:cs="宋体"/>
          <w:b/>
          <w:bCs w:val="0"/>
          <w:color w:val="auto"/>
          <w:kern w:val="2"/>
          <w:sz w:val="28"/>
          <w:szCs w:val="24"/>
          <w:highlight w:val="none"/>
          <w:lang w:val="en-US" w:eastAsia="zh-CN" w:bidi="ar-SA"/>
        </w:rPr>
      </w:pPr>
      <w:bookmarkStart w:id="453" w:name="_Toc32252"/>
      <w:bookmarkStart w:id="454" w:name="_Toc32279"/>
      <w:bookmarkStart w:id="455" w:name="_Toc16950"/>
      <w:bookmarkStart w:id="456" w:name="_Toc16975"/>
      <w:r>
        <w:rPr>
          <w:rFonts w:hint="eastAsia" w:ascii="宋体" w:hAnsi="宋体" w:eastAsia="宋体" w:cs="黑体"/>
          <w:b/>
          <w:color w:val="auto"/>
          <w:kern w:val="2"/>
          <w:sz w:val="28"/>
          <w:szCs w:val="28"/>
          <w:lang w:val="en-US" w:eastAsia="zh-CN" w:bidi="ar-SA"/>
        </w:rPr>
        <w:t>14.8 功能软件配置及要求</w:t>
      </w:r>
      <w:bookmarkEnd w:id="453"/>
      <w:bookmarkEnd w:id="454"/>
      <w:bookmarkEnd w:id="455"/>
      <w:bookmarkEnd w:id="456"/>
    </w:p>
    <w:p>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微电网</w:t>
      </w:r>
      <w:r>
        <w:rPr>
          <w:rFonts w:hint="eastAsia" w:ascii="宋体" w:hAnsi="宋体" w:eastAsia="宋体" w:cs="宋体"/>
          <w:bCs/>
          <w:color w:val="auto"/>
          <w:sz w:val="24"/>
          <w:szCs w:val="24"/>
          <w:highlight w:val="none"/>
        </w:rPr>
        <w:t>智慧运营系统的功能软件配置，应满足如下要求</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平台展示界面应美观、大方，本技术规范仅为最低基础，投标人可在此基础上尽可能</w:t>
      </w:r>
      <w:r>
        <w:rPr>
          <w:rFonts w:hint="eastAsia" w:ascii="宋体" w:hAnsi="宋体" w:eastAsia="宋体" w:cs="宋体"/>
          <w:bCs/>
          <w:color w:val="auto"/>
          <w:sz w:val="24"/>
          <w:szCs w:val="24"/>
          <w:highlight w:val="none"/>
        </w:rPr>
        <w:t>提高系统可靠性及先进性</w:t>
      </w:r>
      <w:r>
        <w:rPr>
          <w:rFonts w:hint="eastAsia" w:ascii="宋体" w:hAnsi="宋体" w:eastAsia="宋体" w:cs="宋体"/>
          <w:bCs/>
          <w:color w:val="auto"/>
          <w:sz w:val="24"/>
          <w:szCs w:val="24"/>
          <w:highlight w:val="none"/>
          <w:lang w:val="en-US" w:eastAsia="zh-CN"/>
        </w:rPr>
        <w:t>并拿出相应方案</w:t>
      </w:r>
      <w:r>
        <w:rPr>
          <w:rFonts w:hint="eastAsia" w:ascii="宋体" w:hAnsi="宋体" w:eastAsia="宋体" w:cs="宋体"/>
          <w:bCs/>
          <w:color w:val="auto"/>
          <w:sz w:val="24"/>
          <w:szCs w:val="24"/>
          <w:highlight w:val="none"/>
        </w:rPr>
        <w:t>，应根据系统功能要求合理设计方案，确定所需功能软件的技术方案。</w:t>
      </w:r>
    </w:p>
    <w:p>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表</w:t>
      </w:r>
      <w:r>
        <w:rPr>
          <w:rFonts w:hint="eastAsia" w:ascii="宋体" w:hAnsi="宋体" w:eastAsia="宋体" w:cs="宋体"/>
          <w:bCs/>
          <w:color w:val="auto"/>
          <w:sz w:val="24"/>
          <w:szCs w:val="24"/>
          <w:highlight w:val="none"/>
          <w:lang w:val="en-US" w:eastAsia="zh-CN"/>
        </w:rPr>
        <w:t>14</w:t>
      </w:r>
      <w:r>
        <w:rPr>
          <w:rFonts w:hint="eastAsia" w:ascii="宋体" w:hAnsi="宋体" w:eastAsia="宋体" w:cs="宋体"/>
          <w:bCs/>
          <w:color w:val="auto"/>
          <w:sz w:val="24"/>
          <w:szCs w:val="24"/>
          <w:highlight w:val="none"/>
        </w:rPr>
        <w:t xml:space="preserve">-3 </w:t>
      </w:r>
      <w:r>
        <w:rPr>
          <w:rFonts w:hint="eastAsia" w:ascii="宋体" w:hAnsi="宋体" w:eastAsia="宋体" w:cs="宋体"/>
          <w:bCs/>
          <w:color w:val="auto"/>
          <w:sz w:val="24"/>
          <w:szCs w:val="24"/>
          <w:highlight w:val="none"/>
          <w:lang w:val="en-US" w:eastAsia="zh-CN"/>
        </w:rPr>
        <w:t>海南商发微电网平台</w:t>
      </w:r>
      <w:r>
        <w:rPr>
          <w:rFonts w:hint="eastAsia" w:ascii="宋体" w:hAnsi="宋体" w:eastAsia="宋体" w:cs="宋体"/>
          <w:bCs/>
          <w:color w:val="auto"/>
          <w:sz w:val="24"/>
          <w:szCs w:val="24"/>
          <w:highlight w:val="none"/>
        </w:rPr>
        <w:t>功能软件配置及技术要求</w:t>
      </w:r>
    </w:p>
    <w:tbl>
      <w:tblPr>
        <w:tblStyle w:val="22"/>
        <w:tblW w:w="5363"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2354"/>
        <w:gridCol w:w="658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4" w:hRule="atLeast"/>
          <w:jc w:val="center"/>
        </w:trPr>
        <w:tc>
          <w:tcPr>
            <w:tcW w:w="1317"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spacing w:line="240" w:lineRule="auto"/>
              <w:ind w:firstLine="0" w:firstLineChars="0"/>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系统定制化功能模块</w:t>
            </w:r>
          </w:p>
        </w:tc>
        <w:tc>
          <w:tcPr>
            <w:tcW w:w="3682"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spacing w:line="240" w:lineRule="auto"/>
              <w:ind w:firstLine="0" w:firstLineChars="0"/>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功能需求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739" w:hRule="atLeast"/>
          <w:jc w:val="center"/>
        </w:trPr>
        <w:tc>
          <w:tcPr>
            <w:tcW w:w="1317"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spacing w:line="240" w:lineRule="auto"/>
              <w:ind w:firstLine="0" w:firstLineChars="0"/>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监测感知与运行管理模块</w:t>
            </w:r>
          </w:p>
        </w:tc>
        <w:tc>
          <w:tcPr>
            <w:tcW w:w="3682"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spacing w:line="240" w:lineRule="auto"/>
              <w:ind w:firstLine="0" w:firstLineChars="0"/>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能够为集控中心与测控大楼的展示大屏提供数字化视频信号，并完成相关的数据通道，为监控视频展示提供画面窗口。</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075" w:hRule="atLeast"/>
          <w:jc w:val="center"/>
        </w:trPr>
        <w:tc>
          <w:tcPr>
            <w:tcW w:w="1317" w:type="pct"/>
            <w:vMerge w:val="restart"/>
            <w:tcBorders>
              <w:top w:val="single" w:color="auto" w:sz="4" w:space="0"/>
              <w:left w:val="single" w:color="auto" w:sz="4" w:space="0"/>
              <w:right w:val="single" w:color="auto" w:sz="4" w:space="0"/>
            </w:tcBorders>
            <w:shd w:val="clear" w:color="auto" w:fill="auto"/>
            <w:tcMar>
              <w:top w:w="12" w:type="dxa"/>
              <w:left w:w="12" w:type="dxa"/>
              <w:right w:w="12" w:type="dxa"/>
            </w:tcMar>
            <w:vAlign w:val="center"/>
          </w:tcPr>
          <w:p>
            <w:pPr>
              <w:spacing w:line="240" w:lineRule="auto"/>
              <w:ind w:firstLine="0" w:firstLineChars="0"/>
              <w:jc w:val="left"/>
              <w:rPr>
                <w:rFonts w:hint="eastAsia" w:ascii="宋体" w:hAnsi="宋体" w:eastAsia="宋体" w:cs="宋体"/>
                <w:bCs/>
                <w:color w:val="auto"/>
                <w:sz w:val="24"/>
                <w:szCs w:val="24"/>
                <w:highlight w:val="none"/>
                <w:lang w:val="en-US" w:eastAsia="zh-CN"/>
              </w:rPr>
            </w:pPr>
          </w:p>
        </w:tc>
        <w:tc>
          <w:tcPr>
            <w:tcW w:w="3682"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spacing w:line="240" w:lineRule="auto"/>
              <w:ind w:firstLine="0" w:firstLineChars="0"/>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系统为接收项目关键设施发送的设备运行状态和运行参数提供网络数据接口，为监测信息展示提供可视化图表。（与航天发射场以建设的电能质量监控平台实现数据交互，并完成相关图表统计与展示）</w:t>
            </w:r>
            <w:r>
              <w:rPr>
                <w:rFonts w:hint="eastAsia" w:ascii="宋体" w:hAnsi="宋体" w:eastAsia="宋体" w:cs="宋体"/>
                <w:snapToGrid/>
                <w:color w:val="auto"/>
                <w:kern w:val="0"/>
                <w:sz w:val="24"/>
                <w:szCs w:val="24"/>
                <w:highlight w:val="none"/>
                <w:lang w:val="en-US" w:eastAsia="zh-CN" w:bidi="ar"/>
              </w:rPr>
              <w:t>（</w:t>
            </w:r>
            <w:r>
              <w:rPr>
                <w:rFonts w:hint="eastAsia" w:ascii="宋体" w:hAnsi="宋体" w:cs="宋体"/>
                <w:snapToGrid/>
                <w:color w:val="auto"/>
                <w:kern w:val="0"/>
                <w:sz w:val="24"/>
                <w:szCs w:val="24"/>
                <w:highlight w:val="none"/>
                <w:lang w:val="en-US" w:eastAsia="zh-CN" w:bidi="ar"/>
              </w:rPr>
              <w:t>包括</w:t>
            </w:r>
            <w:r>
              <w:rPr>
                <w:rFonts w:hint="eastAsia" w:ascii="宋体" w:hAnsi="宋体" w:eastAsia="宋体" w:cs="宋体"/>
                <w:snapToGrid/>
                <w:color w:val="auto"/>
                <w:kern w:val="0"/>
                <w:sz w:val="24"/>
                <w:szCs w:val="24"/>
                <w:highlight w:val="none"/>
                <w:lang w:val="en-US" w:eastAsia="zh-CN" w:bidi="ar"/>
              </w:rPr>
              <w:t>配电房的断路器状态、回路电压、电流监测</w:t>
            </w:r>
            <w:r>
              <w:rPr>
                <w:rFonts w:hint="eastAsia" w:ascii="宋体" w:hAnsi="宋体" w:cs="宋体"/>
                <w:snapToGrid/>
                <w:color w:val="auto"/>
                <w:kern w:val="0"/>
                <w:sz w:val="24"/>
                <w:szCs w:val="24"/>
                <w:highlight w:val="none"/>
                <w:lang w:val="en-US" w:eastAsia="zh-CN" w:bidi="ar"/>
              </w:rPr>
              <w:t>等</w:t>
            </w:r>
            <w:r>
              <w:rPr>
                <w:rFonts w:hint="eastAsia" w:ascii="宋体" w:hAnsi="宋体" w:eastAsia="宋体" w:cs="宋体"/>
                <w:snapToGrid/>
                <w:color w:val="auto"/>
                <w:kern w:val="0"/>
                <w:sz w:val="24"/>
                <w:szCs w:val="24"/>
                <w:highlight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739" w:hRule="atLeast"/>
          <w:jc w:val="center"/>
        </w:trPr>
        <w:tc>
          <w:tcPr>
            <w:tcW w:w="1317" w:type="pct"/>
            <w:vMerge w:val="continue"/>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spacing w:line="240" w:lineRule="auto"/>
              <w:ind w:firstLine="0" w:firstLineChars="0"/>
              <w:jc w:val="left"/>
              <w:rPr>
                <w:rFonts w:hint="eastAsia" w:ascii="宋体" w:hAnsi="宋体" w:eastAsia="宋体" w:cs="宋体"/>
                <w:bCs/>
                <w:color w:val="auto"/>
                <w:sz w:val="24"/>
                <w:szCs w:val="24"/>
                <w:highlight w:val="none"/>
                <w:lang w:val="en-US" w:eastAsia="zh-CN"/>
              </w:rPr>
            </w:pPr>
          </w:p>
        </w:tc>
        <w:tc>
          <w:tcPr>
            <w:tcW w:w="3682"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spacing w:line="240" w:lineRule="auto"/>
              <w:ind w:firstLine="0" w:firstLineChars="0"/>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系统展示柴发、储能出力信息以及配电网供给侧需求预测信息，并予以匹配拟合，进而控制调整储、柴的运行策略。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739" w:hRule="atLeast"/>
          <w:jc w:val="center"/>
        </w:trPr>
        <w:tc>
          <w:tcPr>
            <w:tcW w:w="1317" w:type="pct"/>
            <w:vMerge w:val="continue"/>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spacing w:line="240" w:lineRule="auto"/>
              <w:ind w:firstLine="0" w:firstLineChars="0"/>
              <w:jc w:val="left"/>
              <w:rPr>
                <w:rFonts w:hint="eastAsia" w:ascii="宋体" w:hAnsi="宋体" w:eastAsia="宋体" w:cs="宋体"/>
                <w:bCs/>
                <w:color w:val="auto"/>
                <w:sz w:val="24"/>
                <w:szCs w:val="24"/>
                <w:highlight w:val="none"/>
                <w:lang w:val="en-US" w:eastAsia="zh-CN"/>
              </w:rPr>
            </w:pPr>
          </w:p>
        </w:tc>
        <w:tc>
          <w:tcPr>
            <w:tcW w:w="3682"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spacing w:line="240" w:lineRule="auto"/>
              <w:ind w:firstLine="0" w:firstLineChars="0"/>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系统为接收项目关键设施发送的设备故障、保护动作信号、环境监测信号提供数据接口，能够生成告警日志与巡检提示。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6" w:hRule="atLeast"/>
          <w:jc w:val="center"/>
        </w:trPr>
        <w:tc>
          <w:tcPr>
            <w:tcW w:w="1317" w:type="pct"/>
            <w:vMerge w:val="continue"/>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spacing w:line="240" w:lineRule="auto"/>
              <w:ind w:firstLine="0" w:firstLineChars="0"/>
              <w:jc w:val="left"/>
              <w:rPr>
                <w:rFonts w:hint="eastAsia" w:ascii="宋体" w:hAnsi="宋体" w:eastAsia="宋体" w:cs="宋体"/>
                <w:bCs/>
                <w:color w:val="auto"/>
                <w:sz w:val="24"/>
                <w:szCs w:val="24"/>
                <w:highlight w:val="none"/>
                <w:lang w:val="en-US" w:eastAsia="zh-CN"/>
              </w:rPr>
            </w:pPr>
          </w:p>
        </w:tc>
        <w:tc>
          <w:tcPr>
            <w:tcW w:w="3682"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spacing w:line="240" w:lineRule="auto"/>
              <w:ind w:firstLine="0" w:firstLineChars="0"/>
              <w:jc w:val="left"/>
              <w:rPr>
                <w:rFonts w:hint="eastAsia" w:ascii="宋体" w:hAnsi="宋体" w:eastAsia="宋体" w:cs="宋体"/>
                <w:bCs/>
                <w:color w:val="auto"/>
                <w:sz w:val="24"/>
                <w:szCs w:val="24"/>
                <w:highlight w:val="none"/>
                <w:lang w:val="en-US" w:eastAsia="zh-CN"/>
              </w:rPr>
            </w:pPr>
            <w:r>
              <w:rPr>
                <w:rFonts w:hint="eastAsia" w:ascii="宋体" w:hAnsi="宋体" w:cs="宋体"/>
                <w:bCs/>
                <w:color w:val="auto"/>
                <w:highlight w:val="none"/>
              </w:rPr>
              <w:t>系统能够对用户进行短信告警。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16" w:hRule="atLeast"/>
          <w:jc w:val="center"/>
        </w:trPr>
        <w:tc>
          <w:tcPr>
            <w:tcW w:w="1317"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spacing w:line="240" w:lineRule="auto"/>
              <w:ind w:firstLine="0" w:firstLineChars="0"/>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微电网运行策略优化模块</w:t>
            </w:r>
          </w:p>
        </w:tc>
        <w:tc>
          <w:tcPr>
            <w:tcW w:w="3682"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spacing w:line="240" w:lineRule="auto"/>
              <w:ind w:firstLine="0" w:firstLineChars="0"/>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系统能够以运行经济性最优为目标，优化制定运行策略。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1317" w:type="pct"/>
            <w:vMerge w:val="restart"/>
            <w:tcBorders>
              <w:top w:val="single" w:color="auto" w:sz="4" w:space="0"/>
              <w:left w:val="single" w:color="auto" w:sz="4" w:space="0"/>
              <w:right w:val="single" w:color="auto" w:sz="4" w:space="0"/>
            </w:tcBorders>
            <w:shd w:val="clear" w:color="auto" w:fill="auto"/>
            <w:tcMar>
              <w:top w:w="12" w:type="dxa"/>
              <w:left w:w="12" w:type="dxa"/>
              <w:right w:w="12" w:type="dxa"/>
            </w:tcMar>
            <w:vAlign w:val="center"/>
          </w:tcPr>
          <w:p>
            <w:pPr>
              <w:spacing w:line="240" w:lineRule="auto"/>
              <w:ind w:firstLine="0" w:firstLineChars="0"/>
              <w:jc w:val="left"/>
              <w:rPr>
                <w:rFonts w:hint="eastAsia" w:ascii="宋体" w:hAnsi="宋体" w:eastAsia="宋体" w:cs="宋体"/>
                <w:bCs/>
                <w:color w:val="auto"/>
                <w:sz w:val="24"/>
                <w:szCs w:val="24"/>
                <w:highlight w:val="none"/>
                <w:lang w:val="en-US" w:eastAsia="zh-CN"/>
              </w:rPr>
            </w:pPr>
          </w:p>
        </w:tc>
        <w:tc>
          <w:tcPr>
            <w:tcW w:w="3682"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spacing w:line="240" w:lineRule="auto"/>
              <w:ind w:firstLine="0" w:firstLineChars="0"/>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系统能够以园区供电稳定性最高为目标，优化制定运行策略。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739" w:hRule="atLeast"/>
          <w:jc w:val="center"/>
        </w:trPr>
        <w:tc>
          <w:tcPr>
            <w:tcW w:w="1317" w:type="pct"/>
            <w:vMerge w:val="restar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spacing w:line="240" w:lineRule="auto"/>
              <w:ind w:firstLine="0" w:firstLineChars="0"/>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微电网安全可靠供电模块</w:t>
            </w:r>
          </w:p>
        </w:tc>
        <w:tc>
          <w:tcPr>
            <w:tcW w:w="3682"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spacing w:line="240" w:lineRule="auto"/>
              <w:ind w:firstLine="0" w:firstLineChars="0"/>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在内部设备常规故障情况下，系统能够以维持重要负荷一段时间正常电力供应为目标，优化制定运行策略。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71" w:hRule="atLeast"/>
          <w:jc w:val="center"/>
        </w:trPr>
        <w:tc>
          <w:tcPr>
            <w:tcW w:w="1317" w:type="pct"/>
            <w:vMerge w:val="continue"/>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spacing w:line="240" w:lineRule="auto"/>
              <w:ind w:firstLine="0" w:firstLineChars="0"/>
              <w:jc w:val="left"/>
              <w:rPr>
                <w:rFonts w:hint="eastAsia" w:ascii="宋体" w:hAnsi="宋体" w:eastAsia="宋体" w:cs="宋体"/>
                <w:bCs/>
                <w:color w:val="auto"/>
                <w:sz w:val="24"/>
                <w:szCs w:val="24"/>
                <w:highlight w:val="none"/>
                <w:lang w:val="en-US" w:eastAsia="zh-CN"/>
              </w:rPr>
            </w:pPr>
          </w:p>
        </w:tc>
        <w:tc>
          <w:tcPr>
            <w:tcW w:w="3682"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spacing w:line="240" w:lineRule="auto"/>
              <w:ind w:firstLine="0" w:firstLineChars="0"/>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在外部大电网因故障断电时，系统能够以维持正常电力供应并系统稳定可靠，优化制定运行策略。</w:t>
            </w:r>
          </w:p>
        </w:tc>
      </w:tr>
    </w:tbl>
    <w:p>
      <w:pPr>
        <w:pStyle w:val="4"/>
        <w:rPr>
          <w:rFonts w:hint="eastAsia" w:ascii="宋体" w:hAnsi="宋体" w:eastAsia="宋体" w:cs="宋体"/>
          <w:b/>
          <w:bCs w:val="0"/>
          <w:color w:val="auto"/>
          <w:szCs w:val="24"/>
          <w:highlight w:val="none"/>
          <w:lang w:val="en-US" w:eastAsia="zh-CN"/>
        </w:rPr>
      </w:pPr>
      <w:bookmarkStart w:id="457" w:name="_Toc10755"/>
      <w:bookmarkStart w:id="458" w:name="_Toc13255"/>
      <w:bookmarkStart w:id="459" w:name="_Toc29800"/>
      <w:bookmarkStart w:id="460" w:name="_Toc29428"/>
      <w:r>
        <w:rPr>
          <w:rFonts w:hint="eastAsia"/>
          <w:color w:val="auto"/>
          <w:lang w:val="en-US" w:eastAsia="zh-CN"/>
        </w:rPr>
        <w:t>14.9 控制策略要求</w:t>
      </w:r>
      <w:bookmarkEnd w:id="457"/>
      <w:bookmarkEnd w:id="458"/>
      <w:bookmarkEnd w:id="459"/>
      <w:bookmarkEnd w:id="460"/>
    </w:p>
    <w:p>
      <w:pPr>
        <w:spacing w:line="360" w:lineRule="auto"/>
        <w:ind w:firstLine="420" w:firstLineChars="200"/>
        <w:rPr>
          <w:rFonts w:hint="eastAsia"/>
          <w:color w:val="auto"/>
          <w:lang w:val="en-US" w:eastAsia="zh-CN"/>
        </w:rPr>
      </w:pPr>
      <w:r>
        <w:rPr>
          <w:rFonts w:hint="eastAsia" w:ascii="Calibri" w:eastAsia="宋体"/>
          <w:color w:val="auto"/>
          <w:lang w:val="en-US" w:eastAsia="zh-CN"/>
        </w:rPr>
        <w:t>（1）并网运行模式</w:t>
      </w:r>
    </w:p>
    <w:p>
      <w:pPr>
        <w:spacing w:line="360" w:lineRule="auto"/>
        <w:ind w:firstLine="420" w:firstLineChars="200"/>
        <w:rPr>
          <w:rFonts w:hint="eastAsia"/>
          <w:color w:val="auto"/>
          <w:lang w:val="en-US" w:eastAsia="zh-CN"/>
        </w:rPr>
      </w:pPr>
      <w:r>
        <w:rPr>
          <w:rFonts w:hint="eastAsia"/>
          <w:color w:val="auto"/>
        </w:rPr>
        <w:t>控制供电策略优先级储能(峰谷套利)&gt;市电</w:t>
      </w:r>
      <w:r>
        <w:rPr>
          <w:rFonts w:hint="eastAsia" w:ascii="Calibri" w:eastAsia="宋体"/>
          <w:color w:val="auto"/>
          <w:lang w:val="en-US" w:eastAsia="zh-CN"/>
        </w:rPr>
        <w:t>，整体实现自发自用，余电不上网的目标，具备微网级别防逆流控制功能。</w:t>
      </w:r>
    </w:p>
    <w:p>
      <w:pPr>
        <w:spacing w:line="360" w:lineRule="auto"/>
        <w:ind w:firstLine="420" w:firstLineChars="200"/>
        <w:rPr>
          <w:rFonts w:hint="eastAsia"/>
          <w:color w:val="auto"/>
          <w:lang w:val="en-US" w:eastAsia="zh-CN"/>
        </w:rPr>
      </w:pPr>
      <w:r>
        <w:rPr>
          <w:rFonts w:hint="eastAsia" w:ascii="Calibri" w:eastAsia="宋体"/>
          <w:color w:val="auto"/>
          <w:lang w:val="en-US" w:eastAsia="zh-CN"/>
        </w:rPr>
        <w:t>（2）离网运行模式</w:t>
      </w:r>
    </w:p>
    <w:p>
      <w:pPr>
        <w:spacing w:line="360" w:lineRule="auto"/>
        <w:ind w:firstLine="420" w:firstLineChars="200"/>
        <w:rPr>
          <w:rFonts w:hint="eastAsia"/>
          <w:color w:val="auto"/>
          <w:lang w:val="en-US" w:eastAsia="zh-CN"/>
        </w:rPr>
      </w:pPr>
      <w:r>
        <w:rPr>
          <w:rFonts w:hint="eastAsia" w:ascii="Calibri" w:eastAsia="宋体"/>
          <w:color w:val="auto"/>
          <w:lang w:val="en-US" w:eastAsia="zh-CN"/>
        </w:rPr>
        <w:t>系统应包括并离网切换、稳态离网运行和离网切并网等运行模式，保证整个微电网系统安全平稳运行。</w:t>
      </w:r>
    </w:p>
    <w:p>
      <w:pPr>
        <w:spacing w:line="360" w:lineRule="auto"/>
        <w:ind w:firstLine="420" w:firstLineChars="200"/>
        <w:rPr>
          <w:rFonts w:hint="eastAsia"/>
          <w:color w:val="auto"/>
          <w:lang w:val="en-US" w:eastAsia="zh-CN"/>
        </w:rPr>
      </w:pPr>
      <w:r>
        <w:rPr>
          <w:rFonts w:hint="eastAsia" w:ascii="Calibri" w:eastAsia="宋体"/>
          <w:color w:val="auto"/>
          <w:lang w:val="en-US" w:eastAsia="zh-CN"/>
        </w:rPr>
        <w:t>1）实现计划性并网平稳无缝切换至离网模式。</w:t>
      </w:r>
    </w:p>
    <w:p>
      <w:pPr>
        <w:spacing w:line="360" w:lineRule="auto"/>
        <w:ind w:firstLine="420" w:firstLineChars="200"/>
        <w:rPr>
          <w:rFonts w:hint="eastAsia"/>
          <w:color w:val="auto"/>
          <w:lang w:val="en-US" w:eastAsia="zh-CN"/>
        </w:rPr>
      </w:pPr>
      <w:r>
        <w:rPr>
          <w:rFonts w:hint="eastAsia" w:ascii="Calibri" w:eastAsia="宋体"/>
          <w:color w:val="auto"/>
          <w:lang w:val="en-US" w:eastAsia="zh-CN"/>
        </w:rPr>
        <w:t>2）非计划性并网转离网可短时停电后进行系统黑启动离网运行，</w:t>
      </w:r>
    </w:p>
    <w:p>
      <w:pPr>
        <w:spacing w:line="360" w:lineRule="auto"/>
        <w:ind w:firstLine="420" w:firstLineChars="200"/>
        <w:rPr>
          <w:rFonts w:hint="eastAsia"/>
          <w:color w:val="auto"/>
          <w:lang w:val="en-US" w:eastAsia="zh-CN"/>
        </w:rPr>
      </w:pPr>
      <w:r>
        <w:rPr>
          <w:rFonts w:hint="eastAsia" w:ascii="Calibri" w:eastAsia="宋体"/>
          <w:color w:val="auto"/>
          <w:lang w:val="en-US" w:eastAsia="zh-CN"/>
        </w:rPr>
        <w:t>3）稳态离网运行模式，控制储能柴发进行调压和一二次调频，必要时切除负荷，维持系统稳定运行。</w:t>
      </w:r>
    </w:p>
    <w:p>
      <w:pPr>
        <w:spacing w:line="360" w:lineRule="auto"/>
        <w:ind w:firstLine="420" w:firstLineChars="200"/>
        <w:rPr>
          <w:rFonts w:hint="eastAsia"/>
          <w:color w:val="auto"/>
          <w:lang w:val="en-US" w:eastAsia="zh-CN"/>
        </w:rPr>
      </w:pPr>
      <w:r>
        <w:rPr>
          <w:rFonts w:hint="eastAsia" w:ascii="Calibri" w:eastAsia="宋体"/>
          <w:color w:val="auto"/>
          <w:lang w:val="en-US" w:eastAsia="zh-CN"/>
        </w:rPr>
        <w:t>（3）离网切并网模式</w:t>
      </w:r>
    </w:p>
    <w:p>
      <w:pPr>
        <w:spacing w:line="360" w:lineRule="auto"/>
        <w:ind w:firstLine="420" w:firstLineChars="200"/>
        <w:rPr>
          <w:rFonts w:hint="eastAsia"/>
          <w:color w:val="auto"/>
          <w:lang w:val="en-US" w:eastAsia="zh-CN"/>
        </w:rPr>
      </w:pPr>
      <w:r>
        <w:rPr>
          <w:rFonts w:hint="eastAsia" w:ascii="Calibri" w:eastAsia="宋体"/>
          <w:color w:val="auto"/>
          <w:lang w:val="en-US" w:eastAsia="zh-CN"/>
        </w:rPr>
        <w:t>离网转并网时，控制器采集并网点开关两侧电压，判断频率幅值、相角满足一定范围实现微网并网。</w:t>
      </w:r>
    </w:p>
    <w:p>
      <w:pPr>
        <w:spacing w:line="360" w:lineRule="auto"/>
        <w:ind w:firstLine="420" w:firstLineChars="200"/>
        <w:rPr>
          <w:rFonts w:hint="eastAsia"/>
          <w:color w:val="auto"/>
          <w:lang w:val="en-US" w:eastAsia="zh-CN"/>
        </w:rPr>
      </w:pPr>
      <w:r>
        <w:rPr>
          <w:rFonts w:hint="eastAsia" w:ascii="Calibri" w:eastAsia="宋体"/>
          <w:color w:val="auto"/>
          <w:lang w:val="en-US" w:eastAsia="zh-CN"/>
        </w:rPr>
        <w:t>（4）其他运行要求</w:t>
      </w:r>
    </w:p>
    <w:p>
      <w:pPr>
        <w:spacing w:line="360" w:lineRule="auto"/>
        <w:ind w:firstLine="420" w:firstLineChars="200"/>
        <w:rPr>
          <w:rFonts w:hint="eastAsia" w:ascii="宋体" w:hAnsi="宋体" w:eastAsia="宋体" w:cs="宋体"/>
          <w:bCs/>
          <w:color w:val="auto"/>
          <w:szCs w:val="24"/>
          <w:highlight w:val="none"/>
          <w:lang w:val="en-US" w:eastAsia="zh-CN"/>
        </w:rPr>
      </w:pPr>
      <w:r>
        <w:rPr>
          <w:rFonts w:hint="eastAsia" w:ascii="Calibri" w:eastAsia="宋体"/>
          <w:color w:val="auto"/>
          <w:lang w:val="en-US" w:eastAsia="zh-CN"/>
        </w:rPr>
        <w:t>控制系统需要具备柴油发电机、储能或者市电故障时候的应急响应措施，重要故障能够及时进行隔离，非重要故障及时发出故障预警信息。</w:t>
      </w:r>
    </w:p>
    <w:p>
      <w:pPr>
        <w:pStyle w:val="4"/>
        <w:bidi w:val="0"/>
        <w:spacing w:line="360" w:lineRule="auto"/>
        <w:rPr>
          <w:rFonts w:hint="eastAsia" w:ascii="宋体" w:hAnsi="宋体" w:eastAsia="宋体" w:cs="宋体"/>
          <w:color w:val="auto"/>
          <w:sz w:val="24"/>
          <w:szCs w:val="24"/>
          <w:lang w:val="en-US" w:eastAsia="zh-CN"/>
        </w:rPr>
      </w:pPr>
      <w:bookmarkStart w:id="461" w:name="_Toc30492"/>
      <w:bookmarkStart w:id="462" w:name="_Toc5881"/>
      <w:bookmarkStart w:id="463" w:name="_Toc7934"/>
      <w:bookmarkStart w:id="464" w:name="_Toc869"/>
      <w:r>
        <w:rPr>
          <w:rFonts w:hint="eastAsia" w:ascii="宋体" w:hAnsi="宋体" w:eastAsia="宋体" w:cs="宋体"/>
          <w:color w:val="auto"/>
          <w:sz w:val="24"/>
          <w:szCs w:val="24"/>
          <w:lang w:val="en-US" w:eastAsia="zh-CN"/>
        </w:rPr>
        <w:t>1</w:t>
      </w:r>
      <w:r>
        <w:rPr>
          <w:rFonts w:hint="eastAsia" w:cs="宋体"/>
          <w:color w:val="auto"/>
          <w:sz w:val="24"/>
          <w:szCs w:val="24"/>
          <w:lang w:val="en-US" w:eastAsia="zh-CN"/>
        </w:rPr>
        <w:t>4</w:t>
      </w:r>
      <w:r>
        <w:rPr>
          <w:rFonts w:hint="eastAsia" w:ascii="宋体" w:hAnsi="宋体" w:eastAsia="宋体" w:cs="宋体"/>
          <w:color w:val="auto"/>
          <w:sz w:val="24"/>
          <w:szCs w:val="24"/>
          <w:lang w:val="en-US" w:eastAsia="zh-CN"/>
        </w:rPr>
        <w:t>.10 平台功能</w:t>
      </w:r>
      <w:bookmarkEnd w:id="461"/>
      <w:bookmarkEnd w:id="462"/>
      <w:bookmarkEnd w:id="463"/>
      <w:bookmarkEnd w:id="464"/>
    </w:p>
    <w:p>
      <w:pPr>
        <w:pStyle w:val="5"/>
        <w:bidi w:val="0"/>
        <w:rPr>
          <w:rFonts w:hint="eastAsia" w:ascii="宋体" w:hAnsi="宋体" w:eastAsia="宋体" w:cs="宋体"/>
          <w:b w:val="0"/>
          <w:bCs/>
          <w:color w:val="auto"/>
          <w:szCs w:val="24"/>
          <w:lang w:val="en-US" w:eastAsia="zh-CN"/>
        </w:rPr>
      </w:pPr>
      <w:r>
        <w:rPr>
          <w:rFonts w:hint="eastAsia"/>
          <w:color w:val="auto"/>
          <w:lang w:val="en-US" w:eastAsia="zh-CN"/>
        </w:rPr>
        <w:t>14.10.1全局总览</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全局总览包括全厂电气回路（110kV及各10kV开关闭及各分配电站的10kV）、储能、柴发系统实时运行工况一览，如收益统计、电量统计、实时功率趋势等，同时具备场站设备数量查询以及系统接线图。</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根据现场实际运行情况展示一次接线图，并展示实际开关、保护装置、储柴设备运行状态以及关键遥测数据，支持进行模式切换、开关开闭等控制操作。</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项目要求对智能微网的运行状态进行直观展示，并且可以跳转至储</w:t>
      </w:r>
      <w:r>
        <w:rPr>
          <w:rFonts w:hint="eastAsia" w:ascii="宋体" w:hAnsi="宋体" w:cs="宋体"/>
          <w:bCs/>
          <w:color w:val="auto"/>
          <w:sz w:val="24"/>
          <w:szCs w:val="24"/>
          <w:highlight w:val="none"/>
          <w:lang w:val="en-US" w:eastAsia="zh-CN"/>
        </w:rPr>
        <w:t>能、柴发</w:t>
      </w:r>
      <w:r>
        <w:rPr>
          <w:rFonts w:hint="eastAsia" w:ascii="宋体" w:hAnsi="宋体" w:eastAsia="宋体" w:cs="宋体"/>
          <w:bCs/>
          <w:color w:val="auto"/>
          <w:sz w:val="24"/>
          <w:szCs w:val="24"/>
          <w:highlight w:val="none"/>
          <w:lang w:val="en-US" w:eastAsia="zh-CN"/>
        </w:rPr>
        <w:t>、</w:t>
      </w:r>
      <w:r>
        <w:rPr>
          <w:rFonts w:hint="eastAsia" w:ascii="宋体" w:hAnsi="宋体" w:cs="宋体"/>
          <w:bCs/>
          <w:color w:val="auto"/>
          <w:sz w:val="24"/>
          <w:lang w:val="en-US" w:eastAsia="zh-CN"/>
        </w:rPr>
        <w:t>展示页面</w:t>
      </w:r>
      <w:r>
        <w:rPr>
          <w:rFonts w:hint="eastAsia" w:ascii="宋体" w:hAnsi="宋体" w:eastAsia="宋体" w:cs="宋体"/>
          <w:bCs/>
          <w:color w:val="auto"/>
          <w:sz w:val="24"/>
          <w:szCs w:val="24"/>
          <w:highlight w:val="none"/>
          <w:lang w:val="en-US" w:eastAsia="zh-CN"/>
        </w:rPr>
        <w:t>等。</w:t>
      </w:r>
    </w:p>
    <w:p>
      <w:pPr>
        <w:pStyle w:val="5"/>
        <w:bidi w:val="0"/>
        <w:rPr>
          <w:rFonts w:hint="eastAsia" w:ascii="宋体" w:hAnsi="宋体" w:eastAsia="宋体" w:cs="宋体"/>
          <w:b w:val="0"/>
          <w:bCs/>
          <w:color w:val="auto"/>
          <w:szCs w:val="24"/>
          <w:lang w:val="en-US" w:eastAsia="zh-CN"/>
        </w:rPr>
      </w:pPr>
      <w:r>
        <w:rPr>
          <w:rFonts w:hint="eastAsia"/>
          <w:color w:val="auto"/>
          <w:lang w:val="en-US" w:eastAsia="zh-CN"/>
        </w:rPr>
        <w:t>14.10.2储能全局管理</w:t>
      </w:r>
    </w:p>
    <w:p>
      <w:pPr>
        <w:spacing w:line="360" w:lineRule="auto"/>
        <w:ind w:firstLine="420" w:firstLineChars="200"/>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平台支持对储能系统各类运行数据进行实时采集与分析、展示。包括但不限于储能系统的详情信息、实时运行信息、储能系统的趋势曲线信息、储能系统各设备运行状况及告警事件等。</w:t>
      </w:r>
    </w:p>
    <w:p>
      <w:pPr>
        <w:pStyle w:val="5"/>
        <w:bidi w:val="0"/>
        <w:rPr>
          <w:rFonts w:hint="eastAsia" w:ascii="宋体" w:hAnsi="宋体" w:eastAsia="宋体" w:cs="宋体"/>
          <w:b w:val="0"/>
          <w:bCs/>
          <w:color w:val="auto"/>
          <w:szCs w:val="24"/>
          <w:lang w:val="en-US" w:eastAsia="zh-CN"/>
        </w:rPr>
      </w:pPr>
      <w:r>
        <w:rPr>
          <w:rFonts w:hint="eastAsia"/>
          <w:color w:val="auto"/>
          <w:lang w:val="en-US" w:eastAsia="zh-CN"/>
        </w:rPr>
        <w:t>14.10.3柴发机组管理</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柴发机组管理功能实时监测柴油机组的运行状态、油量、发电功率、运行模式、以及关键信息告警功能。</w:t>
      </w:r>
    </w:p>
    <w:p>
      <w:pPr>
        <w:pStyle w:val="5"/>
        <w:bidi w:val="0"/>
        <w:rPr>
          <w:rFonts w:hint="eastAsia" w:ascii="宋体" w:hAnsi="宋体" w:eastAsia="宋体" w:cs="宋体"/>
          <w:b w:val="0"/>
          <w:bCs/>
          <w:color w:val="auto"/>
          <w:szCs w:val="24"/>
          <w:lang w:val="en-US" w:eastAsia="zh-CN"/>
        </w:rPr>
      </w:pPr>
      <w:r>
        <w:rPr>
          <w:rFonts w:hint="eastAsia"/>
          <w:color w:val="auto"/>
          <w:lang w:val="en-US" w:eastAsia="zh-CN"/>
        </w:rPr>
        <w:t>14.10.4智能微电网经济运行策略模块</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在"自发自用、电网后备"场景下，通过分时电价机制引导储能充放电行为，在低价时段充电、高价时段放电协调储能系统的运行，降低电网购电成本。</w:t>
      </w:r>
    </w:p>
    <w:p>
      <w:pPr>
        <w:pStyle w:val="5"/>
        <w:bidi w:val="0"/>
        <w:rPr>
          <w:rFonts w:hint="eastAsia" w:ascii="宋体" w:hAnsi="宋体" w:eastAsia="宋体" w:cs="宋体"/>
          <w:b w:val="0"/>
          <w:bCs/>
          <w:color w:val="auto"/>
          <w:szCs w:val="24"/>
          <w:lang w:val="en-US" w:eastAsia="zh-CN"/>
        </w:rPr>
      </w:pPr>
      <w:r>
        <w:rPr>
          <w:rFonts w:hint="eastAsia"/>
          <w:color w:val="auto"/>
          <w:lang w:val="en-US" w:eastAsia="zh-CN"/>
        </w:rPr>
        <w:t>14.10.5供电运行策略模块</w:t>
      </w:r>
    </w:p>
    <w:p>
      <w:pPr>
        <w:spacing w:line="360" w:lineRule="auto"/>
        <w:ind w:firstLine="420" w:firstLineChars="200"/>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平台支持对储柴系统进行整站策略控制模式和独立策略控制模式，支持储</w:t>
      </w:r>
      <w:r>
        <w:rPr>
          <w:rFonts w:hint="eastAsia" w:ascii="宋体" w:hAnsi="宋体" w:cs="宋体"/>
          <w:bCs/>
          <w:color w:val="auto"/>
          <w:szCs w:val="24"/>
          <w:highlight w:val="none"/>
          <w:lang w:val="en-US" w:eastAsia="zh-CN"/>
        </w:rPr>
        <w:t>柴</w:t>
      </w:r>
      <w:r>
        <w:rPr>
          <w:rFonts w:hint="eastAsia" w:ascii="宋体" w:hAnsi="宋体" w:eastAsia="宋体" w:cs="宋体"/>
          <w:bCs/>
          <w:color w:val="auto"/>
          <w:szCs w:val="24"/>
          <w:highlight w:val="none"/>
          <w:lang w:val="en-US" w:eastAsia="zh-CN"/>
        </w:rPr>
        <w:t>联动、峰谷套利、防逆流、并离网切换、黑启动等运行模式的切换。</w:t>
      </w:r>
    </w:p>
    <w:p>
      <w:pPr>
        <w:pStyle w:val="5"/>
        <w:ind w:firstLine="0"/>
        <w:rPr>
          <w:rFonts w:hint="eastAsia" w:ascii="宋体" w:hAnsi="宋体" w:eastAsia="宋体" w:cs="宋体"/>
          <w:b w:val="0"/>
          <w:bCs/>
          <w:color w:val="auto"/>
          <w:szCs w:val="24"/>
        </w:rPr>
      </w:pPr>
      <w:r>
        <w:rPr>
          <w:rFonts w:hint="eastAsia"/>
          <w:color w:val="auto"/>
        </w:rPr>
        <w:t>1</w:t>
      </w:r>
      <w:r>
        <w:rPr>
          <w:rFonts w:hint="eastAsia"/>
          <w:color w:val="auto"/>
          <w:lang w:val="en-US" w:eastAsia="zh-CN"/>
        </w:rPr>
        <w:t>4</w:t>
      </w:r>
      <w:r>
        <w:rPr>
          <w:rFonts w:hint="eastAsia"/>
          <w:color w:val="auto"/>
        </w:rPr>
        <w:t>.1</w:t>
      </w:r>
      <w:r>
        <w:rPr>
          <w:rFonts w:hint="eastAsia"/>
          <w:color w:val="auto"/>
          <w:lang w:val="en-US" w:eastAsia="zh-CN"/>
        </w:rPr>
        <w:t>0</w:t>
      </w:r>
      <w:r>
        <w:rPr>
          <w:rFonts w:hint="eastAsia"/>
          <w:color w:val="auto"/>
        </w:rPr>
        <w:t>.</w:t>
      </w:r>
      <w:r>
        <w:rPr>
          <w:rFonts w:hint="eastAsia"/>
          <w:color w:val="auto"/>
          <w:lang w:val="en-US" w:eastAsia="zh-CN"/>
        </w:rPr>
        <w:t>6</w:t>
      </w:r>
      <w:r>
        <w:rPr>
          <w:rFonts w:hint="eastAsia"/>
          <w:color w:val="auto"/>
        </w:rPr>
        <w:t>负荷预测模块</w:t>
      </w:r>
    </w:p>
    <w:p>
      <w:pPr>
        <w:spacing w:line="360" w:lineRule="auto"/>
        <w:ind w:firstLine="420" w:firstLineChars="200"/>
        <w:rPr>
          <w:rFonts w:hint="eastAsia" w:ascii="宋体" w:hAnsi="宋体" w:cs="宋体"/>
          <w:bCs/>
          <w:color w:val="auto"/>
        </w:rPr>
      </w:pPr>
      <w:r>
        <w:rPr>
          <w:rFonts w:hint="eastAsia" w:ascii="宋体" w:hAnsi="宋体" w:cs="宋体"/>
          <w:bCs/>
          <w:color w:val="auto"/>
        </w:rPr>
        <w:t>平台需支持短期、中期和长期的负荷需求预测功能，预测精度满足相关标准要求。</w:t>
      </w:r>
    </w:p>
    <w:p>
      <w:pPr>
        <w:pStyle w:val="5"/>
        <w:bidi w:val="0"/>
        <w:rPr>
          <w:rFonts w:hint="eastAsia" w:ascii="宋体" w:hAnsi="宋体" w:eastAsia="宋体" w:cs="宋体"/>
          <w:b w:val="0"/>
          <w:bCs/>
          <w:color w:val="auto"/>
          <w:szCs w:val="24"/>
          <w:lang w:val="en-US" w:eastAsia="zh-CN"/>
        </w:rPr>
      </w:pPr>
      <w:r>
        <w:rPr>
          <w:rFonts w:hint="eastAsia"/>
          <w:color w:val="auto"/>
          <w:lang w:val="en-US" w:eastAsia="zh-CN"/>
        </w:rPr>
        <w:t>14.10.7电能质量监测与管理功能</w:t>
      </w:r>
    </w:p>
    <w:p>
      <w:pPr>
        <w:spacing w:line="360" w:lineRule="auto"/>
        <w:ind w:firstLine="420" w:firstLineChars="200"/>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接入厂内原有电能质量系统、本次新增储能柴发电能质量数据，实现对柴发和储能并网处实现1024点/周波的电能质量监测，结合并网点处、10kV总降的进线处的各类电能质量指标和异常事件进行实时监视、专业分析及故障告警，包括但不限于全面采集系统内及并网点处的谐波与间谐波、电压指标、三相不平衡等数据，并进行专业智能分析，提前定位异常事件，及时进行干预，定位异常分析原因。。</w:t>
      </w:r>
    </w:p>
    <w:p>
      <w:pPr>
        <w:pStyle w:val="5"/>
        <w:bidi w:val="0"/>
        <w:rPr>
          <w:rFonts w:hint="eastAsia" w:ascii="宋体" w:hAnsi="宋体" w:eastAsia="宋体" w:cs="宋体"/>
          <w:b w:val="0"/>
          <w:bCs/>
          <w:color w:val="auto"/>
          <w:szCs w:val="24"/>
          <w:lang w:val="en-US" w:eastAsia="zh-CN"/>
        </w:rPr>
      </w:pPr>
      <w:r>
        <w:rPr>
          <w:rFonts w:hint="eastAsia"/>
          <w:color w:val="auto"/>
          <w:lang w:val="en-US" w:eastAsia="zh-CN"/>
        </w:rPr>
        <w:t>14.10.9报表和告警管理</w:t>
      </w:r>
    </w:p>
    <w:p>
      <w:pPr>
        <w:spacing w:line="360" w:lineRule="auto"/>
        <w:ind w:firstLine="420" w:firstLineChars="200"/>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平台系统应该具备报表输出功能，模板制作用于编辑生成各种不同类型不同样式的报表模板，生成的报表可以保存为Excel文件或文本文件，用于 WEB 发布或归档。告警信息能够分层、分级、分类显示，可以人工定义画面显示内容。其中开关量信号根据重要性，可分为故障信号、告警信号、提示信号三类。</w:t>
      </w:r>
    </w:p>
    <w:p>
      <w:pPr>
        <w:pStyle w:val="4"/>
        <w:keepNext/>
        <w:keepLines/>
        <w:widowControl w:val="0"/>
        <w:numPr>
          <w:ilvl w:val="2"/>
          <w:numId w:val="0"/>
        </w:numPr>
        <w:adjustRightInd w:val="0"/>
        <w:snapToGrid w:val="0"/>
        <w:spacing w:before="120" w:beforeLines="50" w:after="120" w:afterLines="50" w:line="360" w:lineRule="auto"/>
        <w:jc w:val="both"/>
        <w:outlineLvl w:val="2"/>
        <w:rPr>
          <w:rFonts w:hint="eastAsia" w:ascii="宋体" w:hAnsi="宋体" w:eastAsia="宋体" w:cs="宋体"/>
          <w:b/>
          <w:bCs w:val="0"/>
          <w:color w:val="auto"/>
          <w:kern w:val="2"/>
          <w:sz w:val="28"/>
          <w:szCs w:val="24"/>
          <w:highlight w:val="none"/>
          <w:lang w:val="en-US" w:eastAsia="zh-CN" w:bidi="ar-SA"/>
        </w:rPr>
      </w:pPr>
      <w:bookmarkStart w:id="465" w:name="_Toc12533"/>
      <w:bookmarkStart w:id="466" w:name="_Toc11332"/>
      <w:bookmarkStart w:id="467" w:name="_Toc6026"/>
      <w:bookmarkStart w:id="468" w:name="_Toc5388"/>
      <w:r>
        <w:rPr>
          <w:rFonts w:hint="eastAsia" w:ascii="宋体" w:hAnsi="宋体" w:eastAsia="宋体" w:cs="黑体"/>
          <w:b/>
          <w:color w:val="auto"/>
          <w:kern w:val="2"/>
          <w:sz w:val="28"/>
          <w:szCs w:val="28"/>
          <w:lang w:val="en-US" w:eastAsia="zh-CN" w:bidi="ar-SA"/>
        </w:rPr>
        <w:t>14.11系统其他接入要求</w:t>
      </w:r>
      <w:bookmarkEnd w:id="465"/>
      <w:bookmarkEnd w:id="466"/>
      <w:bookmarkEnd w:id="467"/>
      <w:bookmarkEnd w:id="468"/>
    </w:p>
    <w:p>
      <w:pPr>
        <w:spacing w:line="360" w:lineRule="auto"/>
        <w:ind w:firstLine="420" w:firstLineChars="200"/>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搭建的微电网管理系统需要和现有110kV电站现有SCADA系统以及电能质量管理平台进行数据对接，并将采集的关键状态数据、测量数据进行展示和分析，数据对接方式以实际交付过程为准。</w:t>
      </w:r>
    </w:p>
    <w:p>
      <w:pPr>
        <w:pStyle w:val="4"/>
        <w:keepNext/>
        <w:keepLines/>
        <w:widowControl w:val="0"/>
        <w:numPr>
          <w:ilvl w:val="2"/>
          <w:numId w:val="0"/>
        </w:numPr>
        <w:adjustRightInd w:val="0"/>
        <w:snapToGrid w:val="0"/>
        <w:spacing w:before="120" w:beforeLines="50" w:after="120" w:afterLines="50" w:line="360" w:lineRule="auto"/>
        <w:jc w:val="both"/>
        <w:outlineLvl w:val="2"/>
        <w:rPr>
          <w:rFonts w:hint="eastAsia" w:ascii="宋体" w:hAnsi="宋体" w:eastAsia="宋体" w:cs="宋体"/>
          <w:b/>
          <w:bCs w:val="0"/>
          <w:color w:val="auto"/>
          <w:kern w:val="2"/>
          <w:sz w:val="28"/>
          <w:szCs w:val="24"/>
          <w:highlight w:val="none"/>
          <w:lang w:val="en-US" w:eastAsia="zh-CN" w:bidi="ar-SA"/>
        </w:rPr>
      </w:pPr>
      <w:bookmarkStart w:id="469" w:name="_Toc7304"/>
      <w:bookmarkStart w:id="470" w:name="_Toc22205"/>
      <w:bookmarkStart w:id="471" w:name="_Toc8029"/>
      <w:bookmarkStart w:id="472" w:name="_Toc18058"/>
      <w:r>
        <w:rPr>
          <w:rFonts w:hint="eastAsia" w:ascii="宋体" w:hAnsi="宋体" w:eastAsia="宋体" w:cs="黑体"/>
          <w:b/>
          <w:color w:val="auto"/>
          <w:kern w:val="2"/>
          <w:sz w:val="28"/>
          <w:szCs w:val="28"/>
          <w:lang w:val="en-US" w:eastAsia="zh-CN" w:bidi="ar-SA"/>
        </w:rPr>
        <w:t>14.12系统性能指标要求</w:t>
      </w:r>
      <w:bookmarkEnd w:id="469"/>
      <w:bookmarkEnd w:id="470"/>
      <w:bookmarkEnd w:id="471"/>
      <w:bookmarkEnd w:id="472"/>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（1）系统负载率指标</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任意30分钟内，服务器CPU的平均负荷率</w:t>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≤20%</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任意30分钟内，监控主机CPU的平均负荷率</w:t>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≤15%</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任意30分钟内，后台工作站CPU的平均负荷率</w:t>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≤15%</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（2）数据采集和响应时间指标</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模拟量测量综合误差</w:t>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 0.5%</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遥测量变化越死区传送时间</w:t>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 3s</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遥信量变位传送时间               </w:t>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 3s</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告警产生时间                     </w:t>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 1s</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（3）数据查询和刷新速度指标</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画面调用响应时间：</w:t>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实时数据画面&lt;2s其他画面&lt;4s</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画面实时数据刷新周期 </w:t>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 10s</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系统时钟同步精度 </w:t>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 3ms</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告警事件分辨率</w:t>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≤3ms</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（4）系统可用性和可靠性指标</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系统年可用率</w:t>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 99.99%</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服务器、工作站及网络设备的MTBF</w:t>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 50,000小时</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系统可维护平均修复时间</w:t>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&lt;1小时</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运行参数、电力数据采集准确率</w:t>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 99.99%</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操作控制正确率</w:t>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 99.99%</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系统运行寿命</w:t>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 10年</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（5）系统容量</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智能终端接入能力</w:t>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≥2000个</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最大终端接入能力</w:t>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≥200000个</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数据库的历史数据存储时间</w:t>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≥3</w:t>
      </w:r>
    </w:p>
    <w:p>
      <w:pPr>
        <w:pStyle w:val="3"/>
        <w:rPr>
          <w:rFonts w:hint="default" w:ascii="宋体" w:hAnsi="宋体" w:eastAsia="宋体" w:cs="宋体"/>
          <w:b/>
          <w:bCs w:val="0"/>
          <w:color w:val="auto"/>
          <w:szCs w:val="24"/>
          <w:highlight w:val="none"/>
          <w:lang w:val="en-US" w:eastAsia="zh-CN"/>
        </w:rPr>
      </w:pPr>
      <w:bookmarkStart w:id="473" w:name="_Toc24264"/>
      <w:bookmarkStart w:id="474" w:name="_Toc24541"/>
      <w:bookmarkStart w:id="475" w:name="_Toc2988"/>
      <w:bookmarkStart w:id="476" w:name="_Toc1761"/>
      <w:r>
        <w:rPr>
          <w:rFonts w:hint="eastAsia"/>
          <w:color w:val="auto"/>
          <w:lang w:val="en-US" w:eastAsia="zh-CN"/>
        </w:rPr>
        <w:t>15. 土建技术规要求</w:t>
      </w:r>
      <w:bookmarkEnd w:id="473"/>
      <w:bookmarkEnd w:id="474"/>
      <w:bookmarkEnd w:id="475"/>
      <w:bookmarkEnd w:id="476"/>
    </w:p>
    <w:p>
      <w:pPr>
        <w:pStyle w:val="4"/>
        <w:rPr>
          <w:rFonts w:hint="eastAsia" w:ascii="宋体" w:hAnsi="宋体" w:eastAsia="宋体" w:cs="宋体"/>
          <w:b w:val="0"/>
          <w:bCs/>
          <w:color w:val="auto"/>
          <w:szCs w:val="24"/>
          <w:highlight w:val="none"/>
          <w:lang w:val="en-US" w:eastAsia="zh-CN"/>
        </w:rPr>
      </w:pPr>
      <w:bookmarkStart w:id="477" w:name="_Toc29402"/>
      <w:bookmarkStart w:id="478" w:name="_Toc14276"/>
      <w:bookmarkStart w:id="479" w:name="_Toc32665"/>
      <w:bookmarkStart w:id="480" w:name="_Toc9169"/>
      <w:r>
        <w:rPr>
          <w:rFonts w:hint="eastAsia"/>
          <w:color w:val="auto"/>
          <w:lang w:val="en-US" w:eastAsia="zh-CN"/>
        </w:rPr>
        <w:t>15.1 建筑专业设计要求</w:t>
      </w:r>
      <w:bookmarkEnd w:id="477"/>
      <w:bookmarkEnd w:id="478"/>
      <w:bookmarkEnd w:id="479"/>
      <w:bookmarkEnd w:id="480"/>
    </w:p>
    <w:p>
      <w:pPr>
        <w:pStyle w:val="5"/>
        <w:rPr>
          <w:rFonts w:hint="eastAsia" w:ascii="宋体" w:hAnsi="宋体" w:eastAsia="宋体" w:cs="宋体"/>
          <w:b w:val="0"/>
          <w:bCs/>
          <w:color w:val="auto"/>
          <w:kern w:val="2"/>
          <w:szCs w:val="24"/>
          <w:highlight w:val="none"/>
          <w:lang w:val="en-US" w:eastAsia="zh-CN" w:bidi="ar-SA"/>
        </w:rPr>
      </w:pPr>
      <w:r>
        <w:rPr>
          <w:rFonts w:hint="eastAsia"/>
          <w:color w:val="auto"/>
          <w:lang w:val="en-US" w:eastAsia="zh-CN"/>
        </w:rPr>
        <w:t>15.1.1 建筑设计标准</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（1）《建筑设计防火规范》(GB50016-20214)（2018版）；</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（2）《建筑防火通用规范》(GB55037-2022);</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（3）《混凝土结构设计标准》(GB 50010-2010)（2015年版）；</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（4）《建筑地面设计规范》(GB50037-96)；</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（5）《建筑工程建筑面积计算规范》(GB/T50353-2013)；</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（6）《民用建筑设计统一标准》（GB50352-2019）；</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（7）《民用建筑通用规范》（GB55031-2022）；</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（8）《建筑工程抗震设防分类标准》GB50223-2008；</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（9）《建筑抗震设计规范》GB50011-2010（2016年版）；</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（10）《建筑结构荷载规范》GB50009-2012；</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（11）《建筑地基基础设计规范》GB50007-2011；</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（12）《建筑桩基技术规范》JGJ94-2008；</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（13）《建筑地基处理技术规范》JGJ79-2012；</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（14）《混凝土结构耐久性设计标准》GB/T50476-2019；</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（15）《建筑给水排水设计标准》（GB50015-2019）；</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（16）《民用建筑电气设计标准》（GB51348-2019）；</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（17）其他相关规范。</w:t>
      </w:r>
    </w:p>
    <w:p>
      <w:pPr>
        <w:pStyle w:val="5"/>
        <w:rPr>
          <w:rFonts w:hint="eastAsia" w:ascii="宋体" w:hAnsi="宋体" w:eastAsia="宋体" w:cs="宋体"/>
          <w:b w:val="0"/>
          <w:bCs/>
          <w:color w:val="auto"/>
          <w:kern w:val="2"/>
          <w:szCs w:val="24"/>
          <w:highlight w:val="none"/>
          <w:lang w:val="en-US" w:eastAsia="zh-CN" w:bidi="ar-SA"/>
        </w:rPr>
      </w:pPr>
      <w:r>
        <w:rPr>
          <w:rFonts w:hint="eastAsia"/>
          <w:color w:val="auto"/>
          <w:lang w:val="en-US" w:eastAsia="zh-CN"/>
        </w:rPr>
        <w:t>15.1.2 总图设计要求</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项目选址在海南国际商业航天发射中心，地处海南省文昌市东郊镇，现有园区西北角，现有航天器测试与扣罩厂房西侧，地形平整，场地排水通畅、通风良好。场地排水尽量顺应自然排水走向，通过场地内部雨水管，排入市政系统。新建微电网用地主要由一层单体建筑与室外油罐区组成，单体位于场地北侧，油罐区埋地置于南侧，间距8米以上，保证安全距离。</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新建微电网项目对现有内部道路未做任何破坏与调整，四周保留厂区内部环形道路，兼做消防车道。单体出入口按内部功能主要位于东、西、北侧，埋地储油罐与临时发电车位位于南侧。车行道（消防车道）、人行道可从美观、实用、耐用方面考虑采用混凝土路面形式，以确保厂区生产物流的需要和原有内部路的统一协调。</w:t>
      </w:r>
    </w:p>
    <w:p>
      <w:pPr>
        <w:spacing w:line="360" w:lineRule="auto"/>
        <w:ind w:firstLine="480" w:firstLineChars="200"/>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储能所在场坪，应做硬化水泥地面。</w:t>
      </w:r>
    </w:p>
    <w:p>
      <w:pPr>
        <w:pStyle w:val="14"/>
        <w:spacing w:line="360" w:lineRule="auto"/>
        <w:ind w:left="0" w:leftChars="0"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drawing>
          <wp:inline distT="0" distB="0" distL="114300" distR="114300">
            <wp:extent cx="4780915" cy="5118100"/>
            <wp:effectExtent l="9525" t="9525" r="10160" b="15875"/>
            <wp:docPr id="10" name="图片 10" descr="wdwzt-zzz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wdwzt-zzzz"/>
                    <pic:cNvPicPr>
                      <a:picLocks noChangeAspect="1"/>
                    </pic:cNvPicPr>
                  </pic:nvPicPr>
                  <pic:blipFill>
                    <a:blip r:embed="rId19"/>
                    <a:srcRect l="17674" t="1417" r="17851" b="950"/>
                    <a:stretch>
                      <a:fillRect/>
                    </a:stretch>
                  </pic:blipFill>
                  <pic:spPr>
                    <a:xfrm>
                      <a:off x="0" y="0"/>
                      <a:ext cx="4780915" cy="5118100"/>
                    </a:xfrm>
                    <a:prstGeom prst="rect">
                      <a:avLst/>
                    </a:prstGeom>
                    <a:ln>
                      <a:solidFill>
                        <a:schemeClr val="tx1"/>
                      </a:solidFill>
                    </a:ln>
                  </pic:spPr>
                </pic:pic>
              </a:graphicData>
            </a:graphic>
          </wp:inline>
        </w:drawing>
      </w:r>
    </w:p>
    <w:p>
      <w:pPr>
        <w:spacing w:line="360" w:lineRule="auto"/>
        <w:ind w:firstLine="482" w:firstLineChars="200"/>
        <w:jc w:val="center"/>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总图设计参考要求</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(1)平面布局和各单体面积等经济指标符合规划条件和业主要求。</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(2)总图布置需结合规划设计指标，做到满足规划绿化率、容积率指标的情况下，尽可能满足业主对于建筑面积的要求。</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(3)厂区内环道形成地块内环形道路，兼做消防车道。</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(4)道路要求：</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1）交通道路的布置应按交通流量分析并结合场地标高及地形情况进行优化设计，明确交通流向进、出口，满足消防要求，保证交通顺畅，线路短捷，人流及车流组织合理。</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2）设计单位应提交场区道路平面设计图，图纸须标明道路、停车场等的地基承载力。</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(5)绿化设计要求：</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室外场地的绿化设计将结合气候特点、场地空间、功能分区、主体建筑外立面及整体景观设计等方面做统一考虑。充分利用场地内的空地进行绿化，采用具有地域特色的植物。绿化植物应搭配合理；尽可能选用当地植物，易于成活、便于养护。</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道路两侧以地被类及灌木为主，可适当点缀乔木。消防车道不采用绿植铺装面层，以免影响机动车通行和停靠、及消防车进行扑救和等高作业。</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(6)场地竖向标高设计参考原则：</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1）结合现状地形地貌合理设计竖向，避免大开挖，避免资金浪费，控制节约成本。</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2）考虑地块周边雨、污水排入点标高，确保能够顺利排放雨污水。</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3）顺应自然地形走势。与其他单体建筑之间由现有院区道路衔接，保证道路的畅通。</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(8)道路、停车场区域采用混凝土路面。</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(9)总图相关的施工图应包括总平面图、竖向设计图、道路平面布置图、室外管网图等。</w:t>
      </w:r>
    </w:p>
    <w:p>
      <w:pPr>
        <w:pStyle w:val="5"/>
        <w:rPr>
          <w:rFonts w:hint="eastAsia" w:ascii="宋体" w:hAnsi="宋体" w:eastAsia="宋体" w:cs="宋体"/>
          <w:b w:val="0"/>
          <w:bCs/>
          <w:color w:val="auto"/>
          <w:kern w:val="2"/>
          <w:szCs w:val="24"/>
          <w:highlight w:val="none"/>
          <w:lang w:val="en-US" w:eastAsia="zh-CN" w:bidi="ar-SA"/>
        </w:rPr>
      </w:pPr>
      <w:r>
        <w:rPr>
          <w:rFonts w:hint="eastAsia"/>
          <w:color w:val="auto"/>
          <w:lang w:val="en-US" w:eastAsia="zh-CN"/>
        </w:rPr>
        <w:t>15.1.3 建筑设计要求</w:t>
      </w:r>
    </w:p>
    <w:p>
      <w:pPr>
        <w:spacing w:line="360" w:lineRule="auto"/>
        <w:ind w:firstLine="482" w:firstLineChars="200"/>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建筑平面</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（1）应根据具体功能及高度确定建筑分类，并按规范设置防火分区，防火分区面积。</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（2）功能流线要求：</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新建单层用房，无地下室。单体主要由控制室、柴发机房和开闭所组成，总建筑面积约1000㎡。</w:t>
      </w:r>
    </w:p>
    <w:p>
      <w:pPr>
        <w:spacing w:line="360" w:lineRule="auto"/>
        <w:ind w:firstLine="482" w:firstLineChars="200"/>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建筑立面</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（1）采光通风应符合当地的自然气候条件。</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（2）建筑外门窗的气密、水密、抗风压性能分级，应符合国标及地方标准。并应该按照节能的需要标注外门窗的型号、规格、传热系数等指标。</w:t>
      </w:r>
    </w:p>
    <w:p>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（3）朝外的采光窗户必须保证气密性、防水性、抗风压性能。</w:t>
      </w:r>
    </w:p>
    <w:p>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（4）造型需延续原院区风格，与厂区形象的整体协调，采用简洁的体量组合、现代的设计方法，与环境融合。</w:t>
      </w:r>
    </w:p>
    <w:p>
      <w:pPr>
        <w:pStyle w:val="4"/>
        <w:rPr>
          <w:rFonts w:hint="eastAsia" w:ascii="宋体" w:hAnsi="宋体" w:eastAsia="宋体" w:cs="宋体"/>
          <w:b w:val="0"/>
          <w:bCs/>
          <w:color w:val="auto"/>
          <w:szCs w:val="24"/>
          <w:highlight w:val="none"/>
          <w:lang w:val="en-US" w:eastAsia="zh-CN"/>
        </w:rPr>
      </w:pPr>
      <w:bookmarkStart w:id="481" w:name="_Toc8838"/>
      <w:bookmarkStart w:id="482" w:name="_Toc32677"/>
      <w:bookmarkStart w:id="483" w:name="_Toc28206"/>
      <w:bookmarkStart w:id="484" w:name="_Toc21169"/>
      <w:r>
        <w:rPr>
          <w:rFonts w:hint="eastAsia"/>
          <w:color w:val="auto"/>
          <w:lang w:val="en-US" w:eastAsia="zh-CN"/>
        </w:rPr>
        <w:t>15.2 结构专业设计要求</w:t>
      </w:r>
      <w:bookmarkEnd w:id="481"/>
      <w:bookmarkEnd w:id="482"/>
      <w:bookmarkEnd w:id="483"/>
      <w:bookmarkEnd w:id="484"/>
    </w:p>
    <w:p>
      <w:pPr>
        <w:pStyle w:val="5"/>
        <w:rPr>
          <w:rFonts w:hint="eastAsia" w:ascii="宋体" w:hAnsi="宋体" w:eastAsia="宋体" w:cs="宋体"/>
          <w:b w:val="0"/>
          <w:bCs/>
          <w:color w:val="auto"/>
          <w:kern w:val="2"/>
          <w:szCs w:val="24"/>
          <w:highlight w:val="none"/>
          <w:lang w:val="en-US" w:eastAsia="zh-CN" w:bidi="ar-SA"/>
        </w:rPr>
      </w:pPr>
      <w:r>
        <w:rPr>
          <w:rFonts w:hint="eastAsia"/>
          <w:color w:val="auto"/>
          <w:lang w:val="en-US" w:eastAsia="zh-CN"/>
        </w:rPr>
        <w:t>15.2.1土方开挖工程</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本章规定适用于本合同施工图纸所有的土方开挖工程。其开挖工作内容包括：准备工作、场地清理、土方开挖、施工期排水、完工验收前的维护，以及将开挖可利用或废弃的土方运至指定的堆放区，并按环境保护要求对开挖边坡进行保护、治理等工作。</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 施工中应遵循的标准和规程、规范</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《建筑地基基础施工质量验收规范》GB50202；</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《建筑工程施工质量验收统一标准》GB50300；</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《土方与爆破工程施工及验收规范》GB50201。</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 土方开挖</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(1)开挖区域的临时道路</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投标人应结合施工开挖区的开挖方法和开挖运输机械的运行路线，规划好开挖区域的施工道路。</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(2)雨季施工</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在雨季施工中，投标人应有保证基础工程质量和安全施工的技术措施，有效防止雨水冲刷边坡和侵蚀地基土壤。</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(3)校核测量</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开挖过程中，投标人应经常校核测量开挖平面位置、水平标高、控制桩号、水准点和边坡坡度等是否符合施工图纸的要求。监理人有权随时抽验投标人的上述校核测量成果或与投标人联合进行核测。</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(4)临时边坡的稳定</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临时开挖边坡，应按施工图纸所示或监理人的指示进行开挖。对投标人自行确定边坡坡度、且时间保留较长的临时边坡，经监理人检查认为存在不安全因素时，投标人应进行补充开挖和采取保护措施。但投标人不得因此要求增加额外费用。</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(5)土方开挖</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应从上至下分层分段依次进行，严禁自下而上或采取倒悬的开挖方法，施工中应随时作成一定的坡势，以利排水，开挖过程中应避免边坡稳定范围形成积水,以免影响边坡的稳定。</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(6)弃土的堆置</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不允许在开挖范围的上侧弃土，必须在边坡上部堆置弃土时应确保开挖边坡的稳定，并经监理人批准。在冲沟内或沿河岸岸边弃土时，应防止山洪造成泥石流或引起河道堵塞。</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(7)机械开挖的边坡修整</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使用机械开挖土方时，实际施工的边坡坡度应适当留有修坡余量，再用人工修整，应满足施工图纸要求的坡度和平整度。</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(8)边坡面渗水排除</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在开挖边坡上遇有地下水渗流时，投标人应在边坡修整和加固前，采取有效的疏导和保护措施。</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(9)边坡安全的应急措施</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土方开挖过程中，如出现裂缝和滑动迹象时，投标人应立即暂停施工和采取应急抢救措施，并通知监理人。必要时，投标人应按监理人的指示设置观测点，及时观测边坡变化情况，并做好记录。</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 质量检查和验收</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土方开挖前，投标人应会同监理人进行以下各项的质量检查和验收。</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a)用于开挖工程量计量的原地形测量剖面的复核检查。</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b)按施工图纸所示的工程建(构)筑物尺寸进行开挖剖面测量放样成果的检查。投标人的开挖剖面放样成果，应经监理人复核签认后，作为工程量计量的依据。</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c)开挖区周围排水和防洪保护设施的质量检查和验收。</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(2)土方开挖过程中的质量检查</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在土方开挖过程中，投标人应定期测量校正开挖平面的尺寸和标高。</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(3)土方工程完成后的质量检查和验收</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a)按施工图纸要求检查基础开挖面的平面尺寸、标高和场地平整度；</w:t>
      </w:r>
    </w:p>
    <w:p>
      <w:pPr>
        <w:spacing w:line="360" w:lineRule="auto"/>
        <w:ind w:firstLine="480" w:firstLineChars="200"/>
        <w:rPr>
          <w:rFonts w:hint="eastAsia" w:ascii="宋体" w:hAnsi="宋体" w:eastAsia="宋体" w:cs="宋体"/>
          <w:b w:val="0"/>
          <w:bCs w:val="0"/>
          <w:color w:val="auto"/>
          <w:sz w:val="24"/>
          <w:szCs w:val="24"/>
          <w:lang w:val="en-US" w:eastAsia="zh-CN"/>
        </w:rPr>
      </w:pPr>
      <w:r>
        <w:rPr>
          <w:rFonts w:hint="eastAsia" w:ascii="宋体" w:hAnsi="宋体" w:eastAsia="宋体" w:cs="宋体"/>
          <w:color w:val="auto"/>
          <w:sz w:val="24"/>
          <w:szCs w:val="24"/>
          <w:lang w:val="en-US" w:eastAsia="zh-CN"/>
        </w:rPr>
        <w:t>b)本款规定的基础面检查清理作业是检验目的和性质不同的两次作业,未经</w:t>
      </w:r>
      <w:r>
        <w:rPr>
          <w:rFonts w:hint="eastAsia" w:ascii="宋体" w:hAnsi="宋体" w:eastAsia="宋体" w:cs="宋体"/>
          <w:b w:val="0"/>
          <w:bCs w:val="0"/>
          <w:color w:val="auto"/>
          <w:sz w:val="24"/>
          <w:szCs w:val="24"/>
          <w:lang w:val="en-US" w:eastAsia="zh-CN"/>
        </w:rPr>
        <w:t>监理人同意，投标人不得将这两次作业合并为一次完成。</w:t>
      </w:r>
    </w:p>
    <w:p>
      <w:pPr>
        <w:pStyle w:val="5"/>
        <w:rPr>
          <w:rFonts w:hint="eastAsia" w:ascii="宋体" w:hAnsi="宋体" w:eastAsia="宋体" w:cs="宋体"/>
          <w:b w:val="0"/>
          <w:bCs w:val="0"/>
          <w:color w:val="auto"/>
          <w:kern w:val="2"/>
          <w:szCs w:val="24"/>
          <w:highlight w:val="none"/>
          <w:lang w:val="en-US" w:eastAsia="zh-CN" w:bidi="ar-SA"/>
        </w:rPr>
      </w:pPr>
      <w:r>
        <w:rPr>
          <w:rFonts w:hint="eastAsia"/>
          <w:color w:val="auto"/>
          <w:lang w:val="en-US" w:eastAsia="zh-CN"/>
        </w:rPr>
        <w:t>15.2.2土方回填工程</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 投标人的责任</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(1)投标人应按施工图纸和监理人的指示，完成施工图范围内的全部土方回填工作。</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(2)投标人应结合本工程土、石料场的统一规划，对开采和填筑的料物进行合理的平衡，保证填筑工程供料的连续和均衡。若供料不当，导致土石方填筑施工受阻，其延误的工期和增加的费用由投标人负责。</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 回填与碾压</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(1)基础下部回填前，应通过基坑开挖的验收及表面的清理工作。</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(2)回填面上应清除一切树根、杂草和尖石，保证铺设层面平整，不允许出现凸出及凹陷的部位，并应分层碾压夯实。排除铺设工作范围内的所有积水。</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(3)材料的级配应符合施工规范的要求，分层压实后满足设计的要求。应分层回填，分层夯实，每层虚铺厚度不宜大于30cm，基础下部每层回填的压实系数不小于0.97,其它部位不得小于0.95。</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(4)采用机械碾压，碾压前要及时平料，力求铺料均匀、平整、特别要防止欠压、漏压。</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(5)气候干燥时，混合料碾压前要适当洒水，使填料达到最佳含水量，以利充分压实，日降雨量大于50mm时，应停止施工。</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(6)工序宜连续进行，若因施工或气候原因造成停歇，复工前要对表土洒水湿润，方可继续施工。</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(7)施工时，不允许回填的材料的大、小颗粒集中分布，若出现这种现象，投标人应负责进行混杂拌合，直到监理工程师认为达到要求后方能进行填筑施工。</w:t>
      </w:r>
    </w:p>
    <w:p>
      <w:pPr>
        <w:pStyle w:val="5"/>
        <w:rPr>
          <w:rFonts w:hint="eastAsia" w:ascii="宋体" w:hAnsi="宋体" w:eastAsia="宋体" w:cs="宋体"/>
          <w:b w:val="0"/>
          <w:bCs/>
          <w:color w:val="auto"/>
          <w:kern w:val="2"/>
          <w:szCs w:val="24"/>
          <w:highlight w:val="none"/>
          <w:lang w:val="en-US" w:eastAsia="zh-CN" w:bidi="ar-SA"/>
        </w:rPr>
      </w:pPr>
      <w:r>
        <w:rPr>
          <w:rFonts w:hint="eastAsia"/>
          <w:color w:val="auto"/>
          <w:lang w:val="en-US" w:eastAsia="zh-CN"/>
        </w:rPr>
        <w:t>15.2.3 混凝土工程</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 一般规定</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(1)应用范围</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a)适用于本合同施工图纸所示的所有建(构)筑物混凝土（含钢筋混凝土）工程的施工，包括普通混凝土、预制混凝土。</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b)本章的主要工作内容包括：混凝土生产（包括混凝土材料、配合比设计、混凝土拌制及混凝土的取样和检验等）；模板的设计、制作、运输和施工安装；钢筋的制作、运输和施工安装；管路和预埋件施工；止水、伸缩缝和排水施工；混凝土运输、混凝土浇筑和混凝土温度控制；混凝土养护；以及各项工作内容的质量检查和验收等。</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(2)投标人的责任</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a)合同约定外，投标人应按本合同工程各种类型混凝土的要求，负责砂、石骨料的采购、运输、贮存和使用。</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b)除合同约定外，投标人应负责修建本合同工程施工所需的混凝土搅拌厂及其生产设备的采购、安装、运行管理、维护和拆除，并使其生产能力满足本合同规定的施工进度要求。</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c)投标人应负责本合同工程施工所需的各种类型模板的材料供应，以及模板的制作、安装、拆除和维护。</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d)投标人应负责本合同工程各种钢筋和锚筋的材料供应，以及钢筋和锚筋的制作、运输和施工安装。</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e)投标人应根据本合同技术条款和施工图纸所示的各种强度等级混凝土的质量要求，负责混凝土配合比的设计和试验，以及混凝土的拌和、运输、浇筑、温度控制、养护、维修及进行质量检查和检验等的全部混凝土施工作业。</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f)投标人应负责本合同技术条款和施工图纸所示的预制混凝土构件的制作、运输、吊运、安装及进行质量检查和检验等的全部施工作业。</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g)投标人负责本工程的止水材料的采购、运输、保管及成型制作、安装和缺陷处理；若由招标人提供，投标人负责止水材料的成型制作、安装和缺陷处理。</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h)投标人负责提供混凝土表面保护所需的材料和有关设备的采购、运输、保管、制作、安装。</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(3)施工中应遵循的标准和规程、规范</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《混凝土结构工程施工质量验收规范》GB50204；</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《混凝土结构设计规范》GB50010；</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《混凝土质量控制标准》GB50164；</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《通用硅酸盐水泥标准》GB175；</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《混凝土外加剂》GB8076；</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《混凝土外加剂应用技术规范》GB50119；</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《普通混凝土用碎石或卵石质量标准及检验方法》JGJ53；</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《普通混凝土用砂、石质量标准及检验方法》JGJ52；</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《混凝土拌合用水标准》JGJ63；</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《普通混凝土配合比设计规程》JGJ55；</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《钢筋焊接及验收规程》JGJ18；</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《土工试验方法标准》GB／T50123；</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《建筑地基基础设计规范》GB50007；</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《建筑地基基础工程质量验收规范》GB50202。</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 混凝土的配合比</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(1)混凝土配合比必须通过试验选定，试验依据国家现行标准JGJ55的有关规定。</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(2)混凝土配合比试验前7工作日，投标人应将各种配合比试验的配料及其拌合、制模和养护等的配合比试验计划报送监理人。</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(3)混凝土配合比调整</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在施工过程中，投标人需要改变经监理人批准的混凝土配合比，必须重新得到监理人批准。</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(4)总含碱量的控制</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混凝土配合比设计应按DL/T5144附录B的规定控制混凝土中的总含碱量，以保证混凝土的耐久性。</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 混凝土拌制</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(1)投标人拌制现场浇筑混凝土时，必须严格遵守经监理人批准的混凝土配料单进行配料，严禁擅自更改配料单。</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除合同另有规定外，投标人应采用固定拌合设备，设备生产率必须满足本工程高峰浇筑强度的要求，所有的称量、指示、记录及控制设备都应有防尘措施，设备称量应准确，其称量偏差不应超过GB50204的有关规定，投标人应按监理人的指示定期校核称量设备的精度。</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(3)拌合设备安装完毕后，投标人应会同监理人进行设备运行操作检验。</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(4)混凝土拌合应符合GB50204的有关规定，拌合程序和时间均应通过试验确定。</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(5)因混凝土拌合及配料不当，或因拌合时间过长而报废的混凝土应弃置在指定的场地。</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 混凝土取样与检验</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在混凝土浇筑过程中，投标人应按GB50204的相关规定和监理人指示，在现场进行混凝土取样试验，并向监理人提交以下资料：</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(1)选用材料及其产品质量证明书；</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(2)试件的配料、拌合和试件的外形尺寸；</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(3)试件的制作和养护说明；</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(4)试验成果及其说明；</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(5)各种龄期混凝土的容重、抗压强度、抗拉强度、极限拉伸值、弹性模量、泊松比、坍落度和初凝、终凝时间等试验资料。</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 模板</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(1)说明</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投标人应负责模板的材料安装和拆除等全部模板作业。模板的安装应保证模板结构有足够的强度和刚度，能承受混凝上浇筑和振捣的侧向压力和振动力，不产生移位，确保混凝土结构外形尺寸准确，并应有足够的密封性，以避免漏浆。模板表面应光洁平整, 接缝严密, 不漏浆, 以保证混凝土表面的质量。每块模板应制成使每节可以单独拆除,而不损伤混凝土。</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(2)制作与安装</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模板的制作应满足施工图纸要求的基础结构外形，其制作与安装的允许偏差不应超过国标GB50204第4章的要求。</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 模板的清洗和涂料</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a)钢模板在每次使用前应清洗干净；为防锈和拆模方便，钢模面板应涂刷矿物油类的防锈保护涂料，不得采用污染混凝土的油剂，也不得采用影响混凝土或钢筋混凝土质量的涂剂，对已污染的混凝土面，投标人必须采取有效措施加以清除。</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b)木模板面应采用烤石蜡或其它保护性涂料进行保护。</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 拆除</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模板拆除时限，应满足GB 50204第4.3条。</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经计算和试验复核，混凝土结构物实际强度已能承受自重及其它实际荷载，应经监理人批准后，方能提前拆模。</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(5)模板的质量检查</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a)现场安装质量检查：</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模板安装前，投标人应会同监理人共同检查进场模板及其附件的制作质量是否符合本合同技术条款的要求。</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模板安装应有足够的密封性能，以防止混凝土浇筑过程中的水泥浆流失。重复使用的模板应保持原设计要求的强度、刚度、密实性和模板表面的光滑度，检查发现模板有损坏时，投标人应按监理人指示进行更换或修补。</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模板安装完成后，应由投标人负责对模板的安装质量进行检查，并将检查和检测记录提交监理人。</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在混凝土浇筑过程中，投标人应随时检查模板的定线和定位，一旦发现偏差和位移，应采取有效措施予以纠正，并做好记录，及时提交监理人。</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b)模板拆除后的检查</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投标人应验算混凝土建筑物拆模后的混凝土强度，保证拆除支撑或模板后，其承受的压力不会引起混凝土结构受损，验算成果应提交监理人。</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 钢筋</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(1)说明</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a)投标人应负责钢筋材料的验收和保管，并应按规范规定，对钢筋进行进厂材质检验和验点入库，监理人认为有必要时，投标人应通知监理人参加检验和验点工作。</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b)钢筋作业包括本技术条款规定的钢筋、钢筋骨架和锚筋等的制作加工、绑焊、安装和预埋工作。</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c)若投标人要求采用其它种类的钢筋替代施工图纸中规定的钢筋，应将钢筋的替代报告报送监理人审批。</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d)混凝土外露的插筋必须按设计要求进行埋设，外露的呈直线，整齐划一、长筋与短筋之差要统一，严禁出现弯曲、被污染等现象。</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(2)钢筋的材质</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a)混凝土结构用的钢筋和锚筋应符合DL/T5169的规定；其种类、钢号、直径等应符合DL/T5057的规定，并应满足本合同技术条款和施工图纸的要求。</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b)每批钢筋均应附有产品质量证明书及出厂检验单，每批钢筋进场入库前应由投标人会同监理人进行验点，并应将产品质量证明书及出厂检验单提交监理人。</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c)每批钢筋使用前，应按DL/T5169第4.2.2条的规定，分批进行钢筋的机械性能检测。检测合格后才准使用，检测记录应提交监理人。</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d)对钢号不明的钢筋，投标人应按DL/T5169第4.2.3条的规定进行钢材化学成分和主要机械性能的检验，经检验合格，并提交监理人批准后，方可使用。</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(3)钢筋的加工和安装</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a)钢筋的表面应洁净无损伤，油漆污染和铁锈等应在使用前清除干净。带有颗粒状或片状老锈的钢筋不得使用。</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b)钢筋应平直，无局部弯折，钢筋的调直应遵守以下规定：</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采用冷拉方法调直钢筋时，I级钢筋的冷拉率不宜大于4%；Ⅱ级钢筋的冷拉率不宜大于1%。</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冷拔低碳钢丝在调直机上调直后，其表面不得有明显擦伤，抗拉强度不得低于施工图纸的要求。</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c)钢筋加工的尺寸应符合GB50204第5.3条的要求，加工后钢筋的允许偏差不得超过GB 50204中表5.3.4的规定。</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d)钢筋的连接应符合GB 50204第5.4条的要求。</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e)钢筋的安装位置、间距、保护层及各部分钢筋尺寸的大小均应符合施工图纸的规定。其偏差不得超过GB 50204表5.5.2规定。</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f)在已架设好的钢筋工程中, 不应再沾有泥土、有害的铁锈、松散的铁屑、油漆、油脂或其它有害的物质。</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 混凝土工程</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(1)混凝土运输</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混凝土出搅拌站后，应迅速运达浇筑地点，运输时间不应超过45分钟，运输中不应有分离、漏浆、严重泌水及过多降低坍落度等现象。</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(2)混凝土施工及养护</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混凝土施工应满足规范GB50204中7.4条的有关规定。</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 预制混凝土构件的制作</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(1)制作场地：制作预制混凝上的场地应平整坚实，设置必要的排水设施，保证制作构件不因混凝土浇筑和振捣引起沉陷变形。</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(2)预制构件的预埋件：按施工图纸所示安装钢板、钢筋、吊耳及其它预埋件。</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(3)预制混凝土构件的制作偏差：</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a)构件尺寸应符合施工图纸要求，其长度允许误差±10mm，横断面允许误差±5mm；</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b)局部不平（用2m直尺检查）允许误差5mm；</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c)构件不连续裂缝宽度小于0.1mm，边角无损伤。</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 运输、堆放、吊运和安装</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a)运输：预制混凝土构件的强度达到设计强度标准值的75%以上，才可对构件进行装运，卸车时应注意轻放，防止碰损。</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b)堆放：堆放场地应平整坚实，构件堆放不得引起混凝土的超应力或构件的损坏。堆垛高度应考虑构件强度、地面耐压力、垫木强度及垛体的稳定性。</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c)吊运：吊运构件时，其混凝土强度不应低于施工图纸和监理人对其吊运的强度要求，且不低于设计强度的75%；吊点应按施工图纸的规定设置，起吊绳索与构件水平面的夹角不得小于45°；应注意避免构件变形，防止发生裂缝和损坏，在起吊前应做临时加固措施。</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d)构件安装：应按施工图纸或监理人的指示进行安装。安装前，应使用仪器校核支承结构的尺寸和高程，并在支承结构上标出中心线和标高。</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尚未达到设计强度的预制构件，应在安装完成后继续养护，只有在构件达到设计强度后，才允许承受全部设计荷载。</w:t>
      </w:r>
    </w:p>
    <w:p>
      <w:pPr>
        <w:pStyle w:val="5"/>
        <w:rPr>
          <w:rFonts w:hint="eastAsia" w:ascii="宋体" w:hAnsi="宋体" w:eastAsia="宋体" w:cs="宋体"/>
          <w:b w:val="0"/>
          <w:bCs/>
          <w:color w:val="auto"/>
          <w:kern w:val="2"/>
          <w:szCs w:val="24"/>
          <w:highlight w:val="none"/>
          <w:lang w:val="en-US" w:eastAsia="zh-CN" w:bidi="ar-SA"/>
        </w:rPr>
      </w:pPr>
      <w:r>
        <w:rPr>
          <w:rFonts w:hint="eastAsia"/>
          <w:color w:val="auto"/>
          <w:lang w:val="en-US" w:eastAsia="zh-CN"/>
        </w:rPr>
        <w:t>15.2.4 钢结构工程</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 钢结构施工时必须放大样后再下料。各杆、零件尺寸应经现场放样并考虑焊接变形的影响，校核无误后再下料。</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（2）钢板应采用自动气割下料并打毛刺。钢材的切割面或剪切面，应无裂纹、夹渣、分层和大于1mm的缺棱，应全数检查。</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 钢结构在安装前应对构件进行全面检查是否满足设计要求。在安装时应尽量保护钢构件的防锈蚀油漆面，以防吊装接触部位被刻伤。钢结构的安装容许偏差应满足有关标准和规范的要求。</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 所有预埋管件、预留孔、洞的位置严格按有关图纸执行，严禁后凿。预埋件的施工误差必须满足设计文件所规定的精度要求。</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（5）所有板筋受力或非受力筋搭接时，其搭接长度为25d，并且不少于250，在同一截面有接头的钢筋截面面积不得超过钢筋总截面面积的25%。</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 钢结构材料其质量标准应符合现行《普通碳素钢钢号和一般技术条件》GB700的要求，应保证钢材的抗拉强度、伸长率、屈服点和硫磷的极限含量，对焊接结构尚应保证碳的极限含量。</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（7）焊接采用焊条应符合现行《建筑钢结构焊接规程》及《钢结构工程施工及验收规范》的要求。采用E43型或E50型焊条。</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 预埋件的要求详见《钢筋混凝土结构预埋件图集》，投标人自查。</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（9）对防腐有特殊要求建（构）筑物的施工应符合设计图纸和防腐蚀工程施工验收规范的有关规定。</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投标人的土建和建筑工程设计应遵守国家、电力行业颁发的标准和规范的最新版和招标文件的要求，若有差异，以高标准为准。投标人在保证安全的前提下做到经济合理，不得随意提高或降低设计标准。</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招标文件中指出的所有准则和标准是最低要求，没有明确指出但能满足同样最低要求的其它标准，在取得招标人/咨询方同意后可以采用，但是，这并不能减除投标人对因此产生的后果应负的责任。</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投标人应单独对其所承担的项目设计的合理性、安全度和适用性全面负责。</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材料的选择是投标人的责任，材料应有良好的性能，以保证整个项目的安全、环保、经济运行。</w:t>
      </w:r>
    </w:p>
    <w:p>
      <w:pPr>
        <w:pStyle w:val="5"/>
        <w:rPr>
          <w:rFonts w:hint="eastAsia" w:ascii="宋体" w:hAnsi="宋体" w:eastAsia="宋体" w:cs="宋体"/>
          <w:b w:val="0"/>
          <w:bCs/>
          <w:color w:val="auto"/>
          <w:kern w:val="2"/>
          <w:szCs w:val="24"/>
          <w:highlight w:val="none"/>
          <w:lang w:val="en-US" w:eastAsia="zh-CN" w:bidi="ar-SA"/>
        </w:rPr>
      </w:pPr>
      <w:r>
        <w:rPr>
          <w:rFonts w:hint="eastAsia"/>
          <w:color w:val="auto"/>
          <w:lang w:val="en-US" w:eastAsia="zh-CN"/>
        </w:rPr>
        <w:t>15.2.5 防水</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屋面防水不得擅自改变屋面防水等级和防水材料，确需变更的，应经原审图机构审核批准，图纸设计中应明确节点细部做法。</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屋面防水必须由有相应资质的专业防水队伍施工，施工前应进行图纸会审，掌握细部构造及有关技术要求。必须编制详细的施工方案，经监理审查确认后方可组织施工。</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卷材铺贴前，检测基层含水率不大于9%，铺贴时严格遵守操作规程。屋面保温层施工时，专人收听天气预报，特别注意防止雨水侵蚀，并备足防雨材料，做到屋面排水管道畅通，同时施工时轮班作业，分秒必争，杜绝保温层因遭受雨水侵蚀，在日后高温后蒸发而引起屋面起鼓等质量问题的发生。</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卷材防水屋面基层与女儿墙、山墙、天窗壁、变形缝、烟（井）道等突出屋面结构的交接处和基层转角处，找平层均应做成圆弧形，圆弧半径应符合规范要求。</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卷材防水在天沟、檐沟与屋面交接处、泛水、阴阳角等部位，应做防水附加层。</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天沟、檐沟、檐口、泛水和立面卷材收头的端部应裁齐，塞入预留凹槽内，用金属压条钉压固定，最大钉距不应大于450mm，并用密封材料嵌填封严。</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卷材防水层收头宜在女儿墙凹槽内固定，收头处应用防腐木条加盖镀锌金属条固定，镀锌金属条厚度不小于1.5mm，钉距不得大于300mm，并用密封材料将上下口封严。</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在屋面各道防水层或隔气层施工时，伸出屋面管道、井（烟）道及高出屋面的结构处均应用柔性防水材料做泛水，其高度不小于250mm（管道泛水不小于300mm）；最后一道泛水材料应采用卷材，并用管箍或压条将卷材上口压紧，再用密封材料封口。</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屋面防水重点要处理好屋面接缝处、阴阳角、机电管道和防雷接地等薄弱部位处的防水节点和防水层施工的质量控制。</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屋面水落口周围直径500㎜范围内应设不小于5%的坡度坡向水落口，水落口处防水层应伸入水落口内部不小于50㎜，并用密封材料密封。</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刚性细石混凝土保护层：其强度不小于C25，厚度不小于40mm，配筋为φ6@200。板分格缝间距应符合规范要求，缝宽不应大于30mm，且不小于12mm。</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屋面防水层施工完毕后，应进行蓄水试验或淋水试验。</w:t>
      </w:r>
    </w:p>
    <w:p>
      <w:pPr>
        <w:pStyle w:val="3"/>
        <w:rPr>
          <w:rFonts w:hint="eastAsia" w:ascii="宋体" w:hAnsi="宋体" w:eastAsia="宋体" w:cs="宋体"/>
          <w:b/>
          <w:bCs w:val="0"/>
          <w:color w:val="auto"/>
          <w:szCs w:val="24"/>
          <w:highlight w:val="none"/>
          <w:lang w:val="en-US" w:eastAsia="zh-CN"/>
        </w:rPr>
      </w:pPr>
      <w:bookmarkStart w:id="558" w:name="_GoBack"/>
      <w:bookmarkEnd w:id="558"/>
      <w:bookmarkStart w:id="485" w:name="_Toc15002"/>
      <w:bookmarkStart w:id="486" w:name="_Toc2240"/>
      <w:bookmarkStart w:id="487" w:name="_Toc10598"/>
      <w:bookmarkStart w:id="488" w:name="_Toc26107"/>
      <w:r>
        <w:rPr>
          <w:rFonts w:hint="eastAsia"/>
          <w:color w:val="auto"/>
          <w:lang w:val="en-US" w:eastAsia="zh-CN"/>
        </w:rPr>
        <w:t>16. 接地工程</w:t>
      </w:r>
      <w:bookmarkEnd w:id="485"/>
      <w:bookmarkEnd w:id="486"/>
      <w:bookmarkEnd w:id="487"/>
      <w:bookmarkEnd w:id="488"/>
    </w:p>
    <w:p>
      <w:pPr>
        <w:snapToGrid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本工程接地工程主要工作范围包括：</w:t>
      </w:r>
    </w:p>
    <w:p>
      <w:pPr>
        <w:snapToGrid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站区内所有电气设备、辅助装置的接地，金属结构物和金属管路的接地及连接引线以及与主接地网的连接。隐蔽工程必须留有影像资料，经监理验收合格同意隐蔽后再隐蔽。</w:t>
      </w:r>
    </w:p>
    <w:p>
      <w:pPr>
        <w:pStyle w:val="4"/>
        <w:rPr>
          <w:rFonts w:hint="eastAsia" w:ascii="宋体" w:hAnsi="宋体" w:eastAsia="宋体" w:cs="宋体"/>
          <w:b/>
          <w:bCs w:val="0"/>
          <w:color w:val="auto"/>
          <w:szCs w:val="24"/>
          <w:highlight w:val="none"/>
          <w:lang w:val="en-US" w:eastAsia="zh-CN"/>
        </w:rPr>
      </w:pPr>
      <w:bookmarkStart w:id="489" w:name="_Toc1658"/>
      <w:bookmarkStart w:id="490" w:name="_Toc11106"/>
      <w:bookmarkStart w:id="491" w:name="_Toc22284"/>
      <w:bookmarkStart w:id="492" w:name="_Toc31454"/>
      <w:r>
        <w:rPr>
          <w:rFonts w:hint="eastAsia"/>
          <w:color w:val="auto"/>
          <w:lang w:val="en-US" w:eastAsia="zh-CN"/>
        </w:rPr>
        <w:t>16.1安装技术要求和规范</w:t>
      </w:r>
      <w:bookmarkEnd w:id="489"/>
      <w:bookmarkEnd w:id="490"/>
      <w:bookmarkEnd w:id="491"/>
      <w:bookmarkEnd w:id="492"/>
    </w:p>
    <w:p>
      <w:pPr>
        <w:snapToGrid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（1）一般技术要求</w:t>
      </w:r>
    </w:p>
    <w:p>
      <w:pPr>
        <w:snapToGrid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投标人应参加本合同的全部电气设备、器具、附件的验收工作。检查、验收应按所规定的技术要求进行。全部设备、器具及附件应于安装前在监理人参与下逐个进行试验、检验或整定，并应达到各自的订货合同规定的技术标准、规范及设计、制造厂商的要求。如发现设备缺陷后应及时向监理人报告，对存在缺陷的产品，投标人不得进行安装，因使用不合格产品而造成的损失由投标人承担责任。</w:t>
      </w:r>
    </w:p>
    <w:p>
      <w:pPr>
        <w:snapToGrid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由投标人采购的设备、安装材料、零部件或自制的零部件、装配件应经过检验并有质量检验的合格证明。设备、材料出厂说明书、合格证、出厂试验报告及第三方检测报告等证明文件，相关人员签字齐全，单位盖章齐全，交接试验报告内容齐全，结论明确。代用品应经工程监理人批准后方可使用。</w:t>
      </w:r>
    </w:p>
    <w:p>
      <w:pPr>
        <w:snapToGrid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投标人在安装设备的过程中,应能满足的安装设备对环境的要求，如温度、湿度、含尘量等,当达不到要求时，投标人必须采取必要措施，所需费用已包括在合同报价中。</w:t>
      </w:r>
    </w:p>
    <w:p>
      <w:pPr>
        <w:snapToGrid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（2）安装应遵守的规程规范</w:t>
      </w:r>
    </w:p>
    <w:p>
      <w:pPr>
        <w:snapToGrid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1)《建筑电气工程施工质量验收规范》GB50303</w:t>
      </w:r>
    </w:p>
    <w:p>
      <w:pPr>
        <w:snapToGrid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2)《电气装置安装工程电缆线路施工及验收规范》GB50168</w:t>
      </w:r>
    </w:p>
    <w:p>
      <w:pPr>
        <w:snapToGrid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3)《电气装置安装工程接地装置施工及验收规范》GB50169</w:t>
      </w:r>
    </w:p>
    <w:p>
      <w:pPr>
        <w:snapToGrid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4)《电气装置安装工程低压电器施工及验收规范》GB50254</w:t>
      </w:r>
    </w:p>
    <w:p>
      <w:pPr>
        <w:snapToGrid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5)《电气装置安装工程电气照明装置施工及验收规范》GB50303</w:t>
      </w:r>
    </w:p>
    <w:p>
      <w:pPr>
        <w:snapToGrid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6)《现场绝缘试验实施导则》DL/T474</w:t>
      </w:r>
    </w:p>
    <w:p>
      <w:pPr>
        <w:snapToGrid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选用的技术标准和规范，应是已颁布的最新版本。</w:t>
      </w:r>
    </w:p>
    <w:p>
      <w:pPr>
        <w:pStyle w:val="4"/>
        <w:rPr>
          <w:rFonts w:hint="eastAsia" w:ascii="宋体" w:hAnsi="宋体" w:eastAsia="宋体" w:cs="宋体"/>
          <w:b/>
          <w:bCs w:val="0"/>
          <w:color w:val="auto"/>
          <w:szCs w:val="24"/>
          <w:highlight w:val="none"/>
          <w:lang w:val="en-US" w:eastAsia="zh-CN"/>
        </w:rPr>
      </w:pPr>
      <w:bookmarkStart w:id="493" w:name="_Toc15170"/>
      <w:bookmarkStart w:id="494" w:name="_Toc27158"/>
      <w:bookmarkStart w:id="495" w:name="_Toc23141"/>
      <w:bookmarkStart w:id="496" w:name="_Toc19409"/>
      <w:r>
        <w:rPr>
          <w:rFonts w:hint="eastAsia"/>
          <w:color w:val="auto"/>
          <w:lang w:val="en-US" w:eastAsia="zh-CN"/>
        </w:rPr>
        <w:t>16.2通用检查项目</w:t>
      </w:r>
      <w:bookmarkEnd w:id="493"/>
      <w:bookmarkEnd w:id="494"/>
      <w:bookmarkEnd w:id="495"/>
      <w:bookmarkEnd w:id="496"/>
    </w:p>
    <w:p>
      <w:pPr>
        <w:snapToGrid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设备材料本体安装位置正确、附件齐全、外表清洁、固定可靠，位置指示正确、油漆完整、相色标志正确、接地可靠。</w:t>
      </w:r>
    </w:p>
    <w:p>
      <w:pPr>
        <w:pStyle w:val="4"/>
        <w:numPr>
          <w:ilvl w:val="2"/>
          <w:numId w:val="0"/>
        </w:numPr>
        <w:adjustRightInd w:val="0"/>
        <w:snapToGrid w:val="0"/>
        <w:spacing w:before="156" w:beforeLines="50" w:after="156" w:afterLines="50" w:line="360" w:lineRule="auto"/>
        <w:rPr>
          <w:rFonts w:hint="eastAsia" w:ascii="宋体" w:hAnsi="宋体" w:eastAsia="宋体" w:cs="宋体"/>
          <w:b/>
          <w:bCs w:val="0"/>
          <w:color w:val="auto"/>
          <w:sz w:val="24"/>
          <w:szCs w:val="24"/>
          <w:highlight w:val="none"/>
          <w:lang w:val="en-US" w:eastAsia="zh-CN"/>
        </w:rPr>
      </w:pPr>
      <w:bookmarkStart w:id="497" w:name="_Toc20331"/>
      <w:bookmarkStart w:id="498" w:name="_Toc7918"/>
      <w:bookmarkStart w:id="499" w:name="_Toc494"/>
      <w:bookmarkStart w:id="500" w:name="_Toc24952"/>
      <w:r>
        <w:rPr>
          <w:rFonts w:hint="eastAsia" w:ascii="宋体" w:eastAsia="宋体" w:cs="宋体"/>
          <w:b/>
          <w:bCs w:val="0"/>
          <w:color w:val="auto"/>
          <w:sz w:val="24"/>
          <w:szCs w:val="24"/>
          <w:highlight w:val="none"/>
          <w:lang w:val="en-US" w:eastAsia="zh-CN"/>
        </w:rPr>
        <w:t>1</w:t>
      </w:r>
      <w:r>
        <w:rPr>
          <w:rFonts w:hint="eastAsia" w:cs="宋体"/>
          <w:b/>
          <w:bCs w:val="0"/>
          <w:color w:val="auto"/>
          <w:sz w:val="24"/>
          <w:szCs w:val="24"/>
          <w:highlight w:val="none"/>
          <w:lang w:val="en-US" w:eastAsia="zh-CN"/>
        </w:rPr>
        <w:t>6</w:t>
      </w:r>
      <w:r>
        <w:rPr>
          <w:rFonts w:hint="eastAsia" w:ascii="宋体" w:hAnsi="宋体" w:eastAsia="宋体" w:cs="宋体"/>
          <w:b/>
          <w:bCs w:val="0"/>
          <w:color w:val="auto"/>
          <w:sz w:val="24"/>
          <w:szCs w:val="24"/>
          <w:highlight w:val="none"/>
          <w:lang w:val="en-US" w:eastAsia="zh-CN"/>
        </w:rPr>
        <w:t>.3竣工验收</w:t>
      </w:r>
      <w:bookmarkEnd w:id="497"/>
      <w:bookmarkEnd w:id="498"/>
      <w:bookmarkEnd w:id="499"/>
      <w:bookmarkEnd w:id="500"/>
    </w:p>
    <w:p>
      <w:pPr>
        <w:snapToGrid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本工程设备均应在建筑物竣工验收前，由监理人进行了单项验收。各单位工程的内验收项目，在单位工程或全部工程的验收时，一并验收。验收资料应列入各单位工程的完工验收资料内，报送监理人。</w:t>
      </w:r>
    </w:p>
    <w:p>
      <w:pPr>
        <w:snapToGrid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竣工验收时投标人应具备下列资料：</w:t>
      </w:r>
    </w:p>
    <w:p>
      <w:pPr>
        <w:snapToGrid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经批准的竣工验收申请报告。</w:t>
      </w:r>
    </w:p>
    <w:p>
      <w:pPr>
        <w:snapToGrid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竣工图纸及修改通知。</w:t>
      </w:r>
    </w:p>
    <w:p>
      <w:pPr>
        <w:snapToGrid w:val="0"/>
        <w:spacing w:line="360" w:lineRule="auto"/>
        <w:ind w:firstLine="480"/>
        <w:rPr>
          <w:rFonts w:hint="eastAsia" w:ascii="宋体" w:hAnsi="宋体" w:eastAsia="宋体" w:cs="宋体"/>
          <w:color w:val="auto"/>
          <w:szCs w:val="24"/>
        </w:rPr>
      </w:pPr>
      <w:r>
        <w:rPr>
          <w:rFonts w:hint="eastAsia" w:ascii="宋体" w:hAnsi="宋体" w:eastAsia="宋体" w:cs="宋体"/>
          <w:color w:val="auto"/>
          <w:szCs w:val="24"/>
        </w:rPr>
        <w:t>设备安全操作规程及设备资料。</w:t>
      </w:r>
    </w:p>
    <w:p>
      <w:pPr>
        <w:pStyle w:val="3"/>
        <w:rPr>
          <w:rFonts w:hint="eastAsia" w:ascii="宋体" w:hAnsi="宋体" w:eastAsia="宋体" w:cs="宋体"/>
          <w:b/>
          <w:bCs w:val="0"/>
          <w:color w:val="auto"/>
          <w:szCs w:val="24"/>
          <w:highlight w:val="none"/>
          <w:lang w:val="en-US" w:eastAsia="zh-CN"/>
        </w:rPr>
      </w:pPr>
      <w:bookmarkStart w:id="501" w:name="_Toc1243"/>
      <w:bookmarkStart w:id="502" w:name="_Toc18501"/>
      <w:bookmarkStart w:id="503" w:name="_Toc5862"/>
      <w:bookmarkStart w:id="504" w:name="_Toc19403"/>
      <w:bookmarkStart w:id="505" w:name="_Toc14062"/>
      <w:r>
        <w:rPr>
          <w:rFonts w:hint="eastAsia"/>
          <w:color w:val="auto"/>
          <w:lang w:val="en-US" w:eastAsia="zh-CN"/>
        </w:rPr>
        <w:t>17. 投标人的工作内容</w:t>
      </w:r>
      <w:bookmarkEnd w:id="501"/>
      <w:bookmarkEnd w:id="502"/>
      <w:bookmarkEnd w:id="503"/>
      <w:bookmarkEnd w:id="504"/>
      <w:bookmarkEnd w:id="505"/>
    </w:p>
    <w:p>
      <w:pPr>
        <w:pStyle w:val="4"/>
        <w:rPr>
          <w:rFonts w:hint="eastAsia" w:asciiTheme="minorEastAsia" w:hAnsiTheme="minorEastAsia" w:eastAsiaTheme="minorEastAsia" w:cstheme="minorEastAsia"/>
          <w:color w:val="auto"/>
          <w:szCs w:val="24"/>
          <w:lang w:val="en-US" w:eastAsia="zh-CN"/>
        </w:rPr>
      </w:pPr>
      <w:bookmarkStart w:id="506" w:name="_Toc20955"/>
      <w:bookmarkStart w:id="507" w:name="_Toc23411"/>
      <w:bookmarkStart w:id="508" w:name="_Toc13676"/>
      <w:bookmarkStart w:id="509" w:name="_Toc31651"/>
      <w:r>
        <w:rPr>
          <w:rFonts w:hint="eastAsia"/>
          <w:color w:val="auto"/>
          <w:lang w:val="en-US" w:eastAsia="zh-CN"/>
        </w:rPr>
        <w:t>17.1</w:t>
      </w:r>
      <w:r>
        <w:rPr>
          <w:rFonts w:hint="eastAsia"/>
          <w:color w:val="auto"/>
        </w:rPr>
        <w:t>本工程招标范围</w:t>
      </w:r>
      <w:bookmarkEnd w:id="506"/>
      <w:bookmarkEnd w:id="507"/>
      <w:bookmarkEnd w:id="508"/>
      <w:bookmarkEnd w:id="509"/>
    </w:p>
    <w:p>
      <w:pPr>
        <w:pStyle w:val="10"/>
        <w:spacing w:after="0" w:line="360" w:lineRule="auto"/>
        <w:ind w:firstLine="484" w:firstLineChars="202"/>
        <w:rPr>
          <w:rFonts w:hint="eastAsia" w:ascii="宋体" w:hAnsi="宋体" w:eastAsia="宋体" w:cs="宋体"/>
          <w:bCs/>
          <w:color w:val="auto"/>
          <w:sz w:val="24"/>
          <w:szCs w:val="24"/>
        </w:rPr>
      </w:pPr>
      <w:r>
        <w:rPr>
          <w:rFonts w:hint="eastAsia" w:ascii="宋体" w:hAnsi="宋体" w:eastAsia="宋体" w:cs="宋体"/>
          <w:color w:val="auto"/>
          <w:sz w:val="24"/>
          <w:szCs w:val="24"/>
        </w:rPr>
        <w:t>本工程招标范围包括（但不限于）：项目EPC总承包范围为从施工前准备至项目通过验收并网在内的全部工程，包括但不限于：从项目所需手续（包括但不限于、消防、安评等合规性手续、发改委备案手续、电力接入手续、并网验收手续等）、详勘、测绘、设计开始至项目竣工验收以及质保期服务全过程的工程勘察、工程设计、设备材料采购、建筑工程及安装工程施工、专项验收、并网试运行、竣工验收、手续办理、质保期服务</w:t>
      </w:r>
      <w:r>
        <w:rPr>
          <w:rFonts w:hint="eastAsia" w:ascii="宋体" w:hAnsi="宋体" w:eastAsia="宋体" w:cs="宋体"/>
          <w:color w:val="auto"/>
          <w:sz w:val="24"/>
          <w:szCs w:val="24"/>
          <w:lang w:val="en-US" w:eastAsia="zh-CN"/>
        </w:rPr>
        <w:t>等</w:t>
      </w:r>
      <w:r>
        <w:rPr>
          <w:rFonts w:hint="eastAsia" w:ascii="宋体" w:hAnsi="宋体" w:eastAsia="宋体" w:cs="宋体"/>
          <w:color w:val="auto"/>
          <w:sz w:val="24"/>
          <w:szCs w:val="24"/>
        </w:rPr>
        <w:t>，即EPC交钥匙工程总承包。</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负责协调本项目所涉及的相关单位及政府部门，使本项目按合同工期要求建设完成并按期并网发电；为满足发包人要求或EPC工程合同隐含要求的任何工作，以及EPC工程合同中虽未提及但是为了本项目的安全和稳定、本项目的顺利完成和有效运行所需的所有工作，均在承包范围内</w:t>
      </w:r>
      <w:r>
        <w:rPr>
          <w:rFonts w:hint="eastAsia" w:ascii="宋体" w:hAnsi="宋体" w:eastAsia="宋体" w:cs="宋体"/>
          <w:bCs/>
          <w:color w:val="auto"/>
          <w:sz w:val="24"/>
          <w:szCs w:val="24"/>
        </w:rPr>
        <w:t>。</w:t>
      </w:r>
    </w:p>
    <w:p>
      <w:pPr>
        <w:pStyle w:val="4"/>
        <w:rPr>
          <w:rFonts w:hint="eastAsia" w:asciiTheme="minorEastAsia" w:hAnsiTheme="minorEastAsia" w:eastAsiaTheme="minorEastAsia" w:cstheme="minorEastAsia"/>
          <w:color w:val="auto"/>
          <w:szCs w:val="24"/>
          <w:lang w:val="en-US" w:eastAsia="zh-CN"/>
        </w:rPr>
      </w:pPr>
      <w:bookmarkStart w:id="510" w:name="bookmark19"/>
      <w:bookmarkEnd w:id="510"/>
      <w:bookmarkStart w:id="511" w:name="_Toc14240"/>
      <w:bookmarkStart w:id="512" w:name="_Toc31681"/>
      <w:bookmarkStart w:id="513" w:name="_Toc16240"/>
      <w:bookmarkStart w:id="514" w:name="_Toc20701"/>
      <w:bookmarkStart w:id="515" w:name="_Toc3575"/>
      <w:r>
        <w:rPr>
          <w:rFonts w:hint="eastAsia"/>
          <w:color w:val="auto"/>
          <w:lang w:val="en-US" w:eastAsia="zh-CN"/>
        </w:rPr>
        <w:t>17.2施工临时设施项目</w:t>
      </w:r>
      <w:bookmarkEnd w:id="511"/>
      <w:bookmarkEnd w:id="512"/>
      <w:bookmarkEnd w:id="513"/>
      <w:bookmarkEnd w:id="514"/>
      <w:bookmarkEnd w:id="515"/>
    </w:p>
    <w:p>
      <w:p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lang w:eastAsia="zh-CN"/>
        </w:rPr>
        <w:t>投标人</w:t>
      </w:r>
      <w:r>
        <w:rPr>
          <w:rFonts w:hint="eastAsia" w:ascii="宋体" w:hAnsi="宋体" w:eastAsia="宋体" w:cs="宋体"/>
          <w:bCs/>
          <w:color w:val="auto"/>
          <w:sz w:val="24"/>
          <w:szCs w:val="24"/>
        </w:rPr>
        <w:t>应</w:t>
      </w:r>
      <w:r>
        <w:rPr>
          <w:rFonts w:hint="eastAsia" w:ascii="宋体" w:hAnsi="宋体" w:eastAsia="宋体" w:cs="宋体"/>
          <w:bCs/>
          <w:color w:val="auto"/>
          <w:sz w:val="24"/>
          <w:szCs w:val="24"/>
          <w:lang w:val="en-US" w:eastAsia="zh-CN"/>
        </w:rPr>
        <w:t>按照发包人的要求</w:t>
      </w:r>
      <w:r>
        <w:rPr>
          <w:rFonts w:hint="eastAsia" w:ascii="宋体" w:hAnsi="宋体" w:eastAsia="宋体" w:cs="宋体"/>
          <w:bCs/>
          <w:color w:val="auto"/>
          <w:sz w:val="24"/>
          <w:szCs w:val="24"/>
        </w:rPr>
        <w:t>完成施工临时供电、供水、施工照明、混凝土系统、施工工厂、施工仓库、施工期环境保护设施工程、施工排水系统及临时房屋建筑和公用设施等施工临时设施项目。</w:t>
      </w:r>
      <w:r>
        <w:rPr>
          <w:rFonts w:hint="eastAsia" w:ascii="宋体" w:hAnsi="宋体" w:eastAsia="宋体" w:cs="宋体"/>
          <w:bCs/>
          <w:color w:val="auto"/>
          <w:sz w:val="24"/>
          <w:szCs w:val="24"/>
          <w:lang w:eastAsia="zh-CN"/>
        </w:rPr>
        <w:t>投标人</w:t>
      </w:r>
      <w:r>
        <w:rPr>
          <w:rFonts w:hint="eastAsia" w:ascii="宋体" w:hAnsi="宋体" w:eastAsia="宋体" w:cs="宋体"/>
          <w:bCs/>
          <w:color w:val="auto"/>
          <w:sz w:val="24"/>
          <w:szCs w:val="24"/>
        </w:rPr>
        <w:t>应自行负责施工设备进、退场工作。</w:t>
      </w:r>
    </w:p>
    <w:p>
      <w:pPr>
        <w:pStyle w:val="4"/>
        <w:rPr>
          <w:rFonts w:hint="eastAsia" w:asciiTheme="minorEastAsia" w:hAnsiTheme="minorEastAsia" w:eastAsiaTheme="minorEastAsia" w:cstheme="minorEastAsia"/>
          <w:color w:val="auto"/>
          <w:szCs w:val="24"/>
          <w:lang w:val="en-US" w:eastAsia="zh-CN"/>
        </w:rPr>
      </w:pPr>
      <w:bookmarkStart w:id="516" w:name="bookmark20"/>
      <w:bookmarkEnd w:id="516"/>
      <w:bookmarkStart w:id="517" w:name="_Toc32537"/>
      <w:bookmarkStart w:id="518" w:name="_Toc16759"/>
      <w:bookmarkStart w:id="519" w:name="_Toc10061"/>
      <w:bookmarkStart w:id="520" w:name="_Toc19102"/>
      <w:bookmarkStart w:id="521" w:name="_Toc32549"/>
      <w:r>
        <w:rPr>
          <w:rFonts w:hint="eastAsia"/>
          <w:color w:val="auto"/>
          <w:lang w:val="en-US" w:eastAsia="zh-CN"/>
        </w:rPr>
        <w:t>17.3.发包人承担的工作项目或提供的条件</w:t>
      </w:r>
      <w:bookmarkEnd w:id="517"/>
      <w:bookmarkEnd w:id="518"/>
      <w:bookmarkEnd w:id="519"/>
      <w:bookmarkEnd w:id="520"/>
      <w:bookmarkEnd w:id="521"/>
    </w:p>
    <w:p>
      <w:p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1）施工场地的提供；</w:t>
      </w:r>
    </w:p>
    <w:p>
      <w:p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2）施工测量控制网点资料的提供；</w:t>
      </w:r>
    </w:p>
    <w:p>
      <w:p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3）配合</w:t>
      </w:r>
      <w:r>
        <w:rPr>
          <w:rFonts w:hint="eastAsia" w:ascii="宋体" w:hAnsi="宋体" w:eastAsia="宋体" w:cs="宋体"/>
          <w:bCs/>
          <w:color w:val="auto"/>
          <w:sz w:val="24"/>
          <w:szCs w:val="24"/>
          <w:lang w:eastAsia="zh-CN"/>
        </w:rPr>
        <w:t>投标人</w:t>
      </w:r>
      <w:r>
        <w:rPr>
          <w:rFonts w:hint="eastAsia" w:ascii="宋体" w:hAnsi="宋体" w:eastAsia="宋体" w:cs="宋体"/>
          <w:bCs/>
          <w:color w:val="auto"/>
          <w:sz w:val="24"/>
          <w:szCs w:val="24"/>
        </w:rPr>
        <w:t>协调</w:t>
      </w:r>
      <w:r>
        <w:rPr>
          <w:rFonts w:hint="eastAsia" w:ascii="宋体" w:hAnsi="宋体" w:eastAsia="宋体" w:cs="宋体"/>
          <w:bCs/>
          <w:color w:val="auto"/>
          <w:sz w:val="24"/>
          <w:szCs w:val="24"/>
          <w:lang w:val="en-US" w:eastAsia="zh-CN"/>
        </w:rPr>
        <w:t>园区</w:t>
      </w:r>
      <w:r>
        <w:rPr>
          <w:rFonts w:hint="eastAsia" w:ascii="宋体" w:hAnsi="宋体" w:eastAsia="宋体" w:cs="宋体"/>
          <w:bCs/>
          <w:color w:val="auto"/>
          <w:sz w:val="24"/>
          <w:szCs w:val="24"/>
        </w:rPr>
        <w:t>为并网前高压柜体改造提供作业窗口（含停送电窗口）；</w:t>
      </w:r>
    </w:p>
    <w:p>
      <w:p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4）协助</w:t>
      </w:r>
      <w:r>
        <w:rPr>
          <w:rFonts w:hint="eastAsia" w:ascii="宋体" w:hAnsi="宋体" w:eastAsia="宋体" w:cs="宋体"/>
          <w:bCs/>
          <w:color w:val="auto"/>
          <w:sz w:val="24"/>
          <w:szCs w:val="24"/>
          <w:lang w:eastAsia="zh-CN"/>
        </w:rPr>
        <w:t>投标人</w:t>
      </w:r>
      <w:r>
        <w:rPr>
          <w:rFonts w:hint="eastAsia" w:ascii="宋体" w:hAnsi="宋体" w:eastAsia="宋体" w:cs="宋体"/>
          <w:bCs/>
          <w:color w:val="auto"/>
          <w:sz w:val="24"/>
          <w:szCs w:val="24"/>
        </w:rPr>
        <w:t>办理并网相关手续；</w:t>
      </w:r>
    </w:p>
    <w:p>
      <w:p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5）其他需要发包人配合的事项。</w:t>
      </w:r>
    </w:p>
    <w:p>
      <w:pPr>
        <w:pStyle w:val="4"/>
        <w:rPr>
          <w:rFonts w:hint="eastAsia" w:asciiTheme="minorEastAsia" w:hAnsiTheme="minorEastAsia" w:eastAsiaTheme="minorEastAsia" w:cstheme="minorEastAsia"/>
          <w:color w:val="auto"/>
          <w:szCs w:val="24"/>
          <w:lang w:val="en-US" w:eastAsia="zh-CN"/>
        </w:rPr>
      </w:pPr>
      <w:bookmarkStart w:id="522" w:name="bookmark21"/>
      <w:bookmarkEnd w:id="522"/>
      <w:bookmarkStart w:id="523" w:name="_Toc21793"/>
      <w:bookmarkStart w:id="524" w:name="_Toc490"/>
      <w:bookmarkStart w:id="525" w:name="_Toc27339"/>
      <w:bookmarkStart w:id="526" w:name="_Toc29585"/>
      <w:bookmarkStart w:id="527" w:name="_Toc12318"/>
      <w:r>
        <w:rPr>
          <w:rFonts w:hint="eastAsia"/>
          <w:color w:val="auto"/>
          <w:lang w:val="en-US" w:eastAsia="zh-CN"/>
        </w:rPr>
        <w:t>17.4设备材料采购、运输</w:t>
      </w:r>
      <w:bookmarkEnd w:id="523"/>
      <w:bookmarkEnd w:id="524"/>
      <w:bookmarkEnd w:id="525"/>
      <w:bookmarkEnd w:id="526"/>
      <w:bookmarkEnd w:id="527"/>
    </w:p>
    <w:p>
      <w:p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本工程所有设备、材料采购及施工均由</w:t>
      </w:r>
      <w:r>
        <w:rPr>
          <w:rFonts w:hint="eastAsia" w:ascii="宋体" w:hAnsi="宋体" w:eastAsia="宋体" w:cs="宋体"/>
          <w:bCs/>
          <w:color w:val="auto"/>
          <w:sz w:val="24"/>
          <w:szCs w:val="24"/>
          <w:lang w:eastAsia="zh-CN"/>
        </w:rPr>
        <w:t>投标人</w:t>
      </w:r>
      <w:r>
        <w:rPr>
          <w:rFonts w:hint="eastAsia" w:ascii="宋体" w:hAnsi="宋体" w:eastAsia="宋体" w:cs="宋体"/>
          <w:bCs/>
          <w:color w:val="auto"/>
          <w:sz w:val="24"/>
          <w:szCs w:val="24"/>
        </w:rPr>
        <w:t>负责，</w:t>
      </w:r>
      <w:r>
        <w:rPr>
          <w:rFonts w:hint="eastAsia" w:ascii="宋体" w:hAnsi="宋体" w:eastAsia="宋体" w:cs="宋体"/>
          <w:bCs/>
          <w:color w:val="auto"/>
          <w:sz w:val="24"/>
          <w:szCs w:val="24"/>
          <w:lang w:eastAsia="zh-CN"/>
        </w:rPr>
        <w:t>投标人</w:t>
      </w:r>
      <w:r>
        <w:rPr>
          <w:rFonts w:hint="eastAsia" w:ascii="宋体" w:hAnsi="宋体" w:eastAsia="宋体" w:cs="宋体"/>
          <w:bCs/>
          <w:color w:val="auto"/>
          <w:sz w:val="24"/>
          <w:szCs w:val="24"/>
        </w:rPr>
        <w:t>根据其自身对市场了解情况报价并承担价差风险，发包人或监理人将根据需要进行必要的检查和检验。</w:t>
      </w:r>
      <w:r>
        <w:rPr>
          <w:rFonts w:hint="eastAsia" w:ascii="宋体" w:hAnsi="宋体" w:eastAsia="宋体" w:cs="宋体"/>
          <w:bCs/>
          <w:color w:val="auto"/>
          <w:sz w:val="24"/>
          <w:szCs w:val="24"/>
          <w:lang w:eastAsia="zh-CN"/>
        </w:rPr>
        <w:t>投标人</w:t>
      </w:r>
      <w:r>
        <w:rPr>
          <w:rFonts w:hint="eastAsia" w:ascii="宋体" w:hAnsi="宋体" w:eastAsia="宋体" w:cs="宋体"/>
          <w:bCs/>
          <w:color w:val="auto"/>
          <w:sz w:val="24"/>
          <w:szCs w:val="24"/>
        </w:rPr>
        <w:t>负责设备材料的质量、保管、运输、安装、维护等工作。</w:t>
      </w:r>
      <w:bookmarkStart w:id="528" w:name="bookmark22"/>
      <w:bookmarkEnd w:id="528"/>
    </w:p>
    <w:p>
      <w:pPr>
        <w:pStyle w:val="3"/>
        <w:rPr>
          <w:rFonts w:hint="eastAsia" w:asciiTheme="minorEastAsia" w:hAnsiTheme="minorEastAsia" w:eastAsiaTheme="minorEastAsia" w:cstheme="minorEastAsia"/>
          <w:color w:val="auto"/>
          <w:szCs w:val="24"/>
          <w:lang w:val="en-US" w:eastAsia="zh-CN"/>
        </w:rPr>
      </w:pPr>
      <w:bookmarkStart w:id="529" w:name="_Toc28622"/>
      <w:bookmarkStart w:id="530" w:name="_Toc1714"/>
      <w:bookmarkStart w:id="531" w:name="_Toc30125"/>
      <w:bookmarkStart w:id="532" w:name="_Toc26141"/>
      <w:bookmarkStart w:id="533" w:name="_Toc823"/>
      <w:r>
        <w:rPr>
          <w:rFonts w:hint="eastAsia"/>
          <w:color w:val="auto"/>
          <w:lang w:val="en-US" w:eastAsia="zh-CN"/>
        </w:rPr>
        <w:t>17.5其他需要说明的内容</w:t>
      </w:r>
      <w:bookmarkEnd w:id="529"/>
      <w:bookmarkEnd w:id="530"/>
      <w:bookmarkEnd w:id="531"/>
      <w:bookmarkEnd w:id="532"/>
      <w:bookmarkEnd w:id="533"/>
    </w:p>
    <w:p>
      <w:p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1）工程施工应满足当地环保、消防、城建规划、供电、水保及防洪等要求；满足电力公司、质量监督站、安评验收要求，即便在招标范围内没有载明，但实际证明是确保项目</w:t>
      </w:r>
      <w:r>
        <w:rPr>
          <w:rFonts w:hint="eastAsia" w:ascii="宋体" w:hAnsi="宋体" w:cs="宋体"/>
          <w:bCs/>
          <w:color w:val="auto"/>
          <w:sz w:val="24"/>
          <w:szCs w:val="24"/>
          <w:lang w:val="en-US" w:eastAsia="zh-CN"/>
        </w:rPr>
        <w:t>正常</w:t>
      </w:r>
      <w:r>
        <w:rPr>
          <w:rFonts w:hint="eastAsia" w:ascii="宋体" w:hAnsi="宋体" w:eastAsia="宋体" w:cs="宋体"/>
          <w:bCs/>
          <w:color w:val="auto"/>
          <w:sz w:val="24"/>
          <w:szCs w:val="24"/>
        </w:rPr>
        <w:t>运行、确保通过各方验收所必须的，则需纳入</w:t>
      </w:r>
      <w:r>
        <w:rPr>
          <w:rFonts w:hint="eastAsia" w:ascii="宋体" w:hAnsi="宋体" w:eastAsia="宋体" w:cs="宋体"/>
          <w:bCs/>
          <w:color w:val="auto"/>
          <w:sz w:val="24"/>
          <w:szCs w:val="24"/>
          <w:lang w:eastAsia="zh-CN"/>
        </w:rPr>
        <w:t>投标人</w:t>
      </w:r>
      <w:r>
        <w:rPr>
          <w:rFonts w:hint="eastAsia" w:ascii="宋体" w:hAnsi="宋体" w:eastAsia="宋体" w:cs="宋体"/>
          <w:bCs/>
          <w:color w:val="auto"/>
          <w:sz w:val="24"/>
          <w:szCs w:val="24"/>
        </w:rPr>
        <w:t>服务范围并最终由发包人确定；</w:t>
      </w:r>
    </w:p>
    <w:p>
      <w:p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2）按发包人要求制作、装设施工期、运行期场内所需的宣传标语，安全及设备标识、标牌。所有设备及材料的进场抽样送检（取得第三方试验合格报告），</w:t>
      </w:r>
      <w:r>
        <w:rPr>
          <w:rFonts w:hint="eastAsia" w:ascii="宋体" w:hAnsi="宋体" w:eastAsia="宋体" w:cs="宋体"/>
          <w:bCs/>
          <w:color w:val="auto"/>
          <w:sz w:val="24"/>
          <w:szCs w:val="24"/>
          <w:lang w:val="en-US" w:eastAsia="zh-CN"/>
        </w:rPr>
        <w:t>全项目</w:t>
      </w:r>
      <w:r>
        <w:rPr>
          <w:rFonts w:hint="eastAsia" w:ascii="宋体" w:hAnsi="宋体" w:eastAsia="宋体" w:cs="宋体"/>
          <w:bCs/>
          <w:color w:val="auto"/>
          <w:sz w:val="24"/>
          <w:szCs w:val="24"/>
        </w:rPr>
        <w:t>接地网的接地电阻测试（取得第三方试验合格报告）等其他相关的测试，并提交测试报告。所有测试费用</w:t>
      </w:r>
      <w:r>
        <w:rPr>
          <w:rFonts w:hint="eastAsia" w:ascii="宋体" w:hAnsi="宋体" w:eastAsia="宋体" w:cs="宋体"/>
          <w:bCs/>
          <w:color w:val="auto"/>
          <w:sz w:val="24"/>
          <w:szCs w:val="24"/>
          <w:lang w:eastAsia="zh-CN"/>
        </w:rPr>
        <w:t>投标人</w:t>
      </w:r>
      <w:r>
        <w:rPr>
          <w:rFonts w:hint="eastAsia" w:ascii="宋体" w:hAnsi="宋体" w:eastAsia="宋体" w:cs="宋体"/>
          <w:bCs/>
          <w:color w:val="auto"/>
          <w:sz w:val="24"/>
          <w:szCs w:val="24"/>
        </w:rPr>
        <w:t>均应在投标时考虑在内，不管</w:t>
      </w:r>
      <w:r>
        <w:rPr>
          <w:rFonts w:hint="eastAsia" w:ascii="宋体" w:hAnsi="宋体" w:eastAsia="宋体" w:cs="宋体"/>
          <w:bCs/>
          <w:color w:val="auto"/>
          <w:sz w:val="24"/>
          <w:szCs w:val="24"/>
          <w:lang w:eastAsia="zh-CN"/>
        </w:rPr>
        <w:t>投标人</w:t>
      </w:r>
      <w:r>
        <w:rPr>
          <w:rFonts w:hint="eastAsia" w:ascii="宋体" w:hAnsi="宋体" w:eastAsia="宋体" w:cs="宋体"/>
          <w:bCs/>
          <w:color w:val="auto"/>
          <w:sz w:val="24"/>
          <w:szCs w:val="24"/>
        </w:rPr>
        <w:t>在投标时是否单列该项费用，发包人都认为报价总费用中已包含此项费用；</w:t>
      </w:r>
    </w:p>
    <w:p>
      <w:p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3）投标人负责全站全容量并网安全稳定240小时试运行、消缺、性能试验、整套系统的性能保证的考核验收、技术和售后服务、完成竣工验收所涉及到的所有工作及费用（消防验收、防雷接地检测评估及验收、劳动安全及职业健康三同时及验收、电力部门并网验收、安全竣工验收等）。备品备件采购、配合生产移交；质保期内的相关服务等；</w:t>
      </w:r>
    </w:p>
    <w:p>
      <w:pPr>
        <w:spacing w:line="360" w:lineRule="auto"/>
        <w:ind w:firstLine="480" w:firstLineChars="200"/>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rPr>
        <w:t>4）投标人负责本招标项目的所有乙供设备、材料的采购、运输、卸货、保管、管理及剩余材料和备品备件的移交工作；发电工程施工准备与施工；设备安装与调试，包括但不限于消防系统、防雷系统；并网调试、验收、办理及其相关的协调工作；</w:t>
      </w:r>
    </w:p>
    <w:p>
      <w:p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5</w:t>
      </w:r>
      <w:r>
        <w:rPr>
          <w:rFonts w:hint="eastAsia" w:ascii="宋体" w:hAnsi="宋体" w:eastAsia="宋体" w:cs="宋体"/>
          <w:bCs/>
          <w:color w:val="auto"/>
          <w:sz w:val="24"/>
          <w:szCs w:val="24"/>
        </w:rPr>
        <w:t>）文件验收必须满足建设方达标投产的需要。</w:t>
      </w:r>
    </w:p>
    <w:p>
      <w:pPr>
        <w:spacing w:line="360" w:lineRule="auto"/>
        <w:ind w:firstLine="480" w:firstLineChars="200"/>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6）</w:t>
      </w:r>
      <w:r>
        <w:rPr>
          <w:rFonts w:hint="eastAsia" w:ascii="宋体" w:hAnsi="宋体" w:eastAsia="宋体" w:cs="宋体"/>
          <w:bCs/>
          <w:color w:val="auto"/>
          <w:sz w:val="24"/>
          <w:szCs w:val="24"/>
        </w:rPr>
        <w:t>新增设备设施标志标识、外观颜色应与原厂站保持</w:t>
      </w:r>
      <w:r>
        <w:rPr>
          <w:rFonts w:hint="eastAsia" w:ascii="宋体" w:hAnsi="宋体" w:eastAsia="宋体" w:cs="宋体"/>
          <w:bCs/>
          <w:color w:val="auto"/>
          <w:sz w:val="24"/>
          <w:szCs w:val="24"/>
          <w:lang w:val="en-US" w:eastAsia="zh-CN"/>
        </w:rPr>
        <w:t>一致。</w:t>
      </w:r>
      <w:bookmarkStart w:id="534" w:name="bookmark23"/>
      <w:bookmarkEnd w:id="534"/>
      <w:bookmarkStart w:id="535" w:name="_Toc24859"/>
    </w:p>
    <w:p>
      <w:pPr>
        <w:pStyle w:val="4"/>
        <w:rPr>
          <w:rFonts w:hint="eastAsia" w:asciiTheme="minorEastAsia" w:hAnsiTheme="minorEastAsia" w:eastAsiaTheme="minorEastAsia" w:cstheme="minorEastAsia"/>
          <w:color w:val="auto"/>
          <w:szCs w:val="24"/>
          <w:lang w:val="en-US" w:eastAsia="zh-CN"/>
        </w:rPr>
      </w:pPr>
      <w:bookmarkStart w:id="536" w:name="_Toc7440"/>
      <w:bookmarkStart w:id="537" w:name="_Toc6928"/>
      <w:bookmarkStart w:id="538" w:name="_Toc9120"/>
      <w:bookmarkStart w:id="539" w:name="_Toc29700"/>
      <w:r>
        <w:rPr>
          <w:rFonts w:hint="eastAsia"/>
          <w:color w:val="auto"/>
          <w:lang w:val="en-US" w:eastAsia="zh-CN"/>
        </w:rPr>
        <w:t>17.6投标人的质量自检</w:t>
      </w:r>
      <w:bookmarkEnd w:id="535"/>
      <w:bookmarkEnd w:id="536"/>
      <w:bookmarkEnd w:id="537"/>
      <w:bookmarkEnd w:id="538"/>
      <w:bookmarkEnd w:id="539"/>
    </w:p>
    <w:p>
      <w:p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lang w:eastAsia="zh-CN"/>
        </w:rPr>
        <w:t>投标人</w:t>
      </w:r>
      <w:r>
        <w:rPr>
          <w:rFonts w:hint="eastAsia" w:ascii="宋体" w:hAnsi="宋体" w:eastAsia="宋体" w:cs="宋体"/>
          <w:bCs/>
          <w:color w:val="auto"/>
          <w:sz w:val="24"/>
          <w:szCs w:val="24"/>
        </w:rPr>
        <w:t>应建立完善的质量管理体制，严格履行规范规定的质量检查职责详细做好质量检查记录，编写质量检查报表，</w:t>
      </w:r>
      <w:r>
        <w:rPr>
          <w:rFonts w:hint="eastAsia" w:ascii="宋体" w:hAnsi="宋体" w:eastAsia="宋体" w:cs="宋体"/>
          <w:bCs/>
          <w:color w:val="auto"/>
          <w:sz w:val="24"/>
          <w:szCs w:val="24"/>
          <w:lang w:eastAsia="zh-CN"/>
        </w:rPr>
        <w:t>投标人</w:t>
      </w:r>
      <w:r>
        <w:rPr>
          <w:rFonts w:hint="eastAsia" w:ascii="宋体" w:hAnsi="宋体" w:eastAsia="宋体" w:cs="宋体"/>
          <w:bCs/>
          <w:color w:val="auto"/>
          <w:sz w:val="24"/>
          <w:szCs w:val="24"/>
        </w:rPr>
        <w:t>应定期向发包人提交质量自检报告。</w:t>
      </w:r>
    </w:p>
    <w:p>
      <w:pPr>
        <w:pStyle w:val="4"/>
        <w:rPr>
          <w:rFonts w:hint="eastAsia" w:asciiTheme="minorEastAsia" w:hAnsiTheme="minorEastAsia" w:eastAsiaTheme="minorEastAsia" w:cstheme="minorEastAsia"/>
          <w:color w:val="auto"/>
          <w:szCs w:val="24"/>
          <w:lang w:val="en-US" w:eastAsia="zh-CN"/>
        </w:rPr>
      </w:pPr>
      <w:bookmarkStart w:id="540" w:name="bookmark30"/>
      <w:bookmarkEnd w:id="540"/>
      <w:bookmarkStart w:id="541" w:name="_Toc493"/>
      <w:bookmarkStart w:id="542" w:name="_Toc31726"/>
      <w:bookmarkStart w:id="543" w:name="_Toc22910"/>
      <w:bookmarkStart w:id="544" w:name="_Toc1692"/>
      <w:bookmarkStart w:id="545" w:name="_Toc19874"/>
      <w:r>
        <w:rPr>
          <w:rFonts w:hint="eastAsia"/>
          <w:color w:val="auto"/>
          <w:lang w:val="en-US" w:eastAsia="zh-CN"/>
        </w:rPr>
        <w:t>17.7发包人的质量检查</w:t>
      </w:r>
      <w:bookmarkEnd w:id="541"/>
      <w:bookmarkEnd w:id="542"/>
      <w:bookmarkEnd w:id="543"/>
      <w:bookmarkEnd w:id="544"/>
      <w:bookmarkEnd w:id="545"/>
    </w:p>
    <w:p>
      <w:p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发包人有权对工程的所有部位及其任何一项工艺、材料和工程设备进行检查和检验。发包人为检查检验工程设备质量的需要，可要求</w:t>
      </w:r>
      <w:r>
        <w:rPr>
          <w:rFonts w:hint="eastAsia" w:ascii="宋体" w:hAnsi="宋体" w:eastAsia="宋体" w:cs="宋体"/>
          <w:bCs/>
          <w:color w:val="auto"/>
          <w:sz w:val="24"/>
          <w:szCs w:val="24"/>
          <w:lang w:eastAsia="zh-CN"/>
        </w:rPr>
        <w:t>投标人</w:t>
      </w:r>
      <w:r>
        <w:rPr>
          <w:rFonts w:hint="eastAsia" w:ascii="宋体" w:hAnsi="宋体" w:eastAsia="宋体" w:cs="宋体"/>
          <w:bCs/>
          <w:color w:val="auto"/>
          <w:sz w:val="24"/>
          <w:szCs w:val="24"/>
        </w:rPr>
        <w:t>提供材料质量证明书和设备出厂合格证、材料试验和设备检测成果、施工和安装记录、质量自检报表等，作为工程和工程设备验收的依据。</w:t>
      </w:r>
    </w:p>
    <w:p>
      <w:pPr>
        <w:pStyle w:val="3"/>
        <w:bidi w:val="0"/>
        <w:rPr>
          <w:rFonts w:hint="eastAsia" w:ascii="宋体" w:hAnsi="宋体" w:eastAsia="宋体" w:cs="宋体"/>
          <w:color w:val="auto"/>
          <w:sz w:val="24"/>
          <w:szCs w:val="24"/>
          <w:lang w:val="en-US" w:eastAsia="zh-CN"/>
        </w:rPr>
      </w:pPr>
      <w:bookmarkStart w:id="546" w:name="bookmark31"/>
      <w:bookmarkEnd w:id="546"/>
      <w:bookmarkStart w:id="547" w:name="_Toc22385"/>
      <w:bookmarkStart w:id="548" w:name="_Toc7194"/>
      <w:bookmarkStart w:id="549" w:name="_Toc17247"/>
      <w:bookmarkStart w:id="550" w:name="_Toc10696"/>
      <w:bookmarkStart w:id="551" w:name="_Toc32622"/>
      <w:r>
        <w:rPr>
          <w:rFonts w:hint="eastAsia" w:cs="宋体"/>
          <w:color w:val="auto"/>
          <w:sz w:val="24"/>
          <w:szCs w:val="24"/>
          <w:lang w:val="en-US" w:eastAsia="zh-CN"/>
        </w:rPr>
        <w:t>18</w:t>
      </w:r>
      <w:r>
        <w:rPr>
          <w:rFonts w:hint="eastAsia" w:ascii="宋体" w:hAnsi="宋体" w:eastAsia="宋体" w:cs="宋体"/>
          <w:color w:val="auto"/>
          <w:sz w:val="24"/>
          <w:szCs w:val="24"/>
          <w:lang w:val="en-US" w:eastAsia="zh-CN"/>
        </w:rPr>
        <w:t>. 施工安全防护</w:t>
      </w:r>
      <w:bookmarkEnd w:id="547"/>
      <w:bookmarkEnd w:id="548"/>
      <w:bookmarkEnd w:id="549"/>
      <w:bookmarkEnd w:id="550"/>
      <w:bookmarkEnd w:id="551"/>
    </w:p>
    <w:p>
      <w:p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在工程最终验收前的整个施工期内，</w:t>
      </w:r>
      <w:r>
        <w:rPr>
          <w:rFonts w:hint="eastAsia" w:ascii="宋体" w:hAnsi="宋体" w:eastAsia="宋体" w:cs="宋体"/>
          <w:bCs/>
          <w:color w:val="auto"/>
          <w:sz w:val="24"/>
          <w:szCs w:val="24"/>
          <w:lang w:eastAsia="zh-CN"/>
        </w:rPr>
        <w:t>投标人</w:t>
      </w:r>
      <w:r>
        <w:rPr>
          <w:rFonts w:hint="eastAsia" w:ascii="宋体" w:hAnsi="宋体" w:eastAsia="宋体" w:cs="宋体"/>
          <w:bCs/>
          <w:color w:val="auto"/>
          <w:sz w:val="24"/>
          <w:szCs w:val="24"/>
        </w:rPr>
        <w:t>必须制订并实施一切必要的措施，保证工程现场施工安全（包括</w:t>
      </w:r>
      <w:r>
        <w:rPr>
          <w:rFonts w:hint="eastAsia" w:ascii="宋体" w:hAnsi="宋体" w:eastAsia="宋体" w:cs="宋体"/>
          <w:bCs/>
          <w:color w:val="auto"/>
          <w:sz w:val="24"/>
          <w:szCs w:val="24"/>
          <w:lang w:eastAsia="zh-CN"/>
        </w:rPr>
        <w:t>投标人</w:t>
      </w:r>
      <w:r>
        <w:rPr>
          <w:rFonts w:hint="eastAsia" w:ascii="宋体" w:hAnsi="宋体" w:eastAsia="宋体" w:cs="宋体"/>
          <w:bCs/>
          <w:color w:val="auto"/>
          <w:sz w:val="24"/>
          <w:szCs w:val="24"/>
        </w:rPr>
        <w:t>和非</w:t>
      </w:r>
      <w:r>
        <w:rPr>
          <w:rFonts w:hint="eastAsia" w:ascii="宋体" w:hAnsi="宋体" w:eastAsia="宋体" w:cs="宋体"/>
          <w:bCs/>
          <w:color w:val="auto"/>
          <w:sz w:val="24"/>
          <w:szCs w:val="24"/>
          <w:lang w:eastAsia="zh-CN"/>
        </w:rPr>
        <w:t>投标人</w:t>
      </w:r>
      <w:r>
        <w:rPr>
          <w:rFonts w:hint="eastAsia" w:ascii="宋体" w:hAnsi="宋体" w:eastAsia="宋体" w:cs="宋体"/>
          <w:bCs/>
          <w:color w:val="auto"/>
          <w:sz w:val="24"/>
          <w:szCs w:val="24"/>
        </w:rPr>
        <w:t>的安全），维护工地正常生产、生活秩序。</w:t>
      </w:r>
      <w:r>
        <w:rPr>
          <w:rFonts w:hint="eastAsia" w:ascii="宋体" w:hAnsi="宋体" w:eastAsia="宋体" w:cs="宋体"/>
          <w:bCs/>
          <w:color w:val="auto"/>
          <w:sz w:val="24"/>
          <w:szCs w:val="24"/>
          <w:lang w:eastAsia="zh-CN"/>
        </w:rPr>
        <w:t>投标人</w:t>
      </w:r>
      <w:r>
        <w:rPr>
          <w:rFonts w:hint="eastAsia" w:ascii="宋体" w:hAnsi="宋体" w:eastAsia="宋体" w:cs="宋体"/>
          <w:bCs/>
          <w:color w:val="auto"/>
          <w:sz w:val="24"/>
          <w:szCs w:val="24"/>
        </w:rPr>
        <w:t>必须遵守国家颁布的有关安全规程及建设方、</w:t>
      </w:r>
      <w:r>
        <w:rPr>
          <w:rFonts w:hint="eastAsia" w:ascii="宋体" w:hAnsi="宋体" w:eastAsia="宋体" w:cs="宋体"/>
          <w:bCs/>
          <w:color w:val="auto"/>
          <w:sz w:val="24"/>
          <w:szCs w:val="24"/>
          <w:lang w:eastAsia="zh-CN"/>
        </w:rPr>
        <w:t>招标人</w:t>
      </w:r>
      <w:r>
        <w:rPr>
          <w:rFonts w:hint="eastAsia" w:ascii="宋体" w:hAnsi="宋体" w:eastAsia="宋体" w:cs="宋体"/>
          <w:bCs/>
          <w:color w:val="auto"/>
          <w:sz w:val="24"/>
          <w:szCs w:val="24"/>
        </w:rPr>
        <w:t>相关管理规定，对于不符合我国法律、法令、安全规程及本规范规定的事故隐患，发包人有权向</w:t>
      </w:r>
      <w:r>
        <w:rPr>
          <w:rFonts w:hint="eastAsia" w:ascii="宋体" w:hAnsi="宋体" w:eastAsia="宋体" w:cs="宋体"/>
          <w:bCs/>
          <w:color w:val="auto"/>
          <w:sz w:val="24"/>
          <w:szCs w:val="24"/>
          <w:lang w:eastAsia="zh-CN"/>
        </w:rPr>
        <w:t>投标人</w:t>
      </w:r>
      <w:r>
        <w:rPr>
          <w:rFonts w:hint="eastAsia" w:ascii="宋体" w:hAnsi="宋体" w:eastAsia="宋体" w:cs="宋体"/>
          <w:bCs/>
          <w:color w:val="auto"/>
          <w:sz w:val="24"/>
          <w:szCs w:val="24"/>
        </w:rPr>
        <w:t>提出干涉，发生较大及以上安全事故，</w:t>
      </w:r>
      <w:r>
        <w:rPr>
          <w:rFonts w:hint="eastAsia" w:ascii="宋体" w:hAnsi="宋体" w:eastAsia="宋体" w:cs="宋体"/>
          <w:bCs/>
          <w:color w:val="auto"/>
          <w:sz w:val="24"/>
          <w:szCs w:val="24"/>
          <w:lang w:eastAsia="zh-CN"/>
        </w:rPr>
        <w:t>投标人</w:t>
      </w:r>
      <w:r>
        <w:rPr>
          <w:rFonts w:hint="eastAsia" w:ascii="宋体" w:hAnsi="宋体" w:eastAsia="宋体" w:cs="宋体"/>
          <w:bCs/>
          <w:color w:val="auto"/>
          <w:sz w:val="24"/>
          <w:szCs w:val="24"/>
        </w:rPr>
        <w:t>必须在事故发生24小时内向发包人递交事故报告，并对事故承担相关责任。</w:t>
      </w:r>
      <w:bookmarkStart w:id="552" w:name="bookmark33"/>
      <w:bookmarkEnd w:id="552"/>
      <w:bookmarkStart w:id="553" w:name="_Toc17248"/>
    </w:p>
    <w:p>
      <w:pPr>
        <w:pStyle w:val="3"/>
        <w:bidi w:val="0"/>
        <w:rPr>
          <w:rFonts w:hint="eastAsia" w:ascii="宋体" w:hAnsi="宋体" w:eastAsia="宋体" w:cs="宋体"/>
          <w:color w:val="auto"/>
          <w:sz w:val="24"/>
          <w:szCs w:val="24"/>
        </w:rPr>
      </w:pPr>
      <w:bookmarkStart w:id="554" w:name="_Toc7832"/>
      <w:bookmarkStart w:id="555" w:name="_Toc14436"/>
      <w:bookmarkStart w:id="556" w:name="_Toc1229"/>
      <w:bookmarkStart w:id="557" w:name="_Toc16050"/>
      <w:r>
        <w:rPr>
          <w:rFonts w:hint="eastAsia" w:cs="宋体"/>
          <w:color w:val="auto"/>
          <w:sz w:val="24"/>
          <w:szCs w:val="24"/>
          <w:lang w:val="en-US" w:eastAsia="zh-CN"/>
        </w:rPr>
        <w:t>19</w:t>
      </w:r>
      <w:r>
        <w:rPr>
          <w:rFonts w:hint="eastAsia" w:ascii="宋体" w:hAnsi="宋体" w:eastAsia="宋体" w:cs="宋体"/>
          <w:color w:val="auto"/>
          <w:sz w:val="24"/>
          <w:szCs w:val="24"/>
          <w:lang w:val="en-US" w:eastAsia="zh-CN"/>
        </w:rPr>
        <w:t>.</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环境保护和水土保持</w:t>
      </w:r>
      <w:bookmarkEnd w:id="553"/>
      <w:bookmarkEnd w:id="554"/>
      <w:bookmarkEnd w:id="555"/>
      <w:bookmarkEnd w:id="556"/>
      <w:bookmarkEnd w:id="557"/>
    </w:p>
    <w:p>
      <w:p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1）</w:t>
      </w:r>
      <w:r>
        <w:rPr>
          <w:rFonts w:hint="eastAsia" w:ascii="宋体" w:hAnsi="宋体" w:eastAsia="宋体" w:cs="宋体"/>
          <w:bCs/>
          <w:color w:val="auto"/>
          <w:sz w:val="24"/>
          <w:szCs w:val="24"/>
          <w:lang w:eastAsia="zh-CN"/>
        </w:rPr>
        <w:t>投标人</w:t>
      </w:r>
      <w:r>
        <w:rPr>
          <w:rFonts w:hint="eastAsia" w:ascii="宋体" w:hAnsi="宋体" w:eastAsia="宋体" w:cs="宋体"/>
          <w:bCs/>
          <w:color w:val="auto"/>
          <w:sz w:val="24"/>
          <w:szCs w:val="24"/>
        </w:rPr>
        <w:t>必须遵守国家有关环境保护的法令。在规范规定的施工活动界限之外的农作物、树木、必须维护原状。</w:t>
      </w:r>
    </w:p>
    <w:p>
      <w:p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2）</w:t>
      </w:r>
      <w:r>
        <w:rPr>
          <w:rFonts w:hint="eastAsia" w:ascii="宋体" w:hAnsi="宋体" w:eastAsia="宋体" w:cs="宋体"/>
          <w:bCs/>
          <w:color w:val="auto"/>
          <w:sz w:val="24"/>
          <w:szCs w:val="24"/>
          <w:lang w:eastAsia="zh-CN"/>
        </w:rPr>
        <w:t>投标人</w:t>
      </w:r>
      <w:r>
        <w:rPr>
          <w:rFonts w:hint="eastAsia" w:ascii="宋体" w:hAnsi="宋体" w:eastAsia="宋体" w:cs="宋体"/>
          <w:bCs/>
          <w:color w:val="auto"/>
          <w:sz w:val="24"/>
          <w:szCs w:val="24"/>
        </w:rPr>
        <w:t>应采取各种有效的保护措施，防止在其利用或占用的土地上发生土壤冲蚀、植被破坏和林木损毁。并防止由于工程施工而造成开挖料或其它冲蚀物对河道的淤积。</w:t>
      </w:r>
    </w:p>
    <w:p>
      <w:p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3）施工过程中应注意采取措施防止水土流失，施工前剥离表层土，尽量做到开挖、回填及时，减少临时堆土时间，开挖时尽量避开雨天，施工活动严格控制在用地范围内，减少对周围植被的扰动，禁止乱弃乱倒行为等。在工程完工后，</w:t>
      </w:r>
      <w:r>
        <w:rPr>
          <w:rFonts w:hint="eastAsia" w:ascii="宋体" w:hAnsi="宋体" w:eastAsia="宋体" w:cs="宋体"/>
          <w:bCs/>
          <w:color w:val="auto"/>
          <w:sz w:val="24"/>
          <w:szCs w:val="24"/>
          <w:lang w:eastAsia="zh-CN"/>
        </w:rPr>
        <w:t>投标人</w:t>
      </w:r>
      <w:r>
        <w:rPr>
          <w:rFonts w:hint="eastAsia" w:ascii="宋体" w:hAnsi="宋体" w:eastAsia="宋体" w:cs="宋体"/>
          <w:bCs/>
          <w:color w:val="auto"/>
          <w:sz w:val="24"/>
          <w:szCs w:val="24"/>
        </w:rPr>
        <w:t>必须拆除一切必须拆除的施工临时设施和临时生活设施。拆除后场地应彻底清理，并按规范要求进行绿化，以防止水土流失。</w:t>
      </w:r>
    </w:p>
    <w:p>
      <w:pPr>
        <w:spacing w:line="360" w:lineRule="auto"/>
        <w:ind w:firstLine="480" w:firstLineChars="200"/>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4）投标人应服从发包人安全生产的相关要求。对已有设备设施进行保护，若有破坏则投标人需进行修复。施工时不能影响既有建筑的地下结构及屋面防水。</w:t>
      </w:r>
    </w:p>
    <w:p>
      <w:pPr>
        <w:rPr>
          <w:color w:val="auto"/>
        </w:rPr>
      </w:pPr>
    </w:p>
    <w:p>
      <w:pPr>
        <w:rPr>
          <w:rFonts w:hint="eastAsia" w:ascii="宋体" w:hAnsi="宋体" w:cs="宋体"/>
          <w:color w:val="auto"/>
          <w:sz w:val="24"/>
          <w:szCs w:val="24"/>
          <w:lang w:val="en-US" w:eastAsia="zh-CN"/>
        </w:rPr>
        <w:sectPr>
          <w:headerReference r:id="rId4" w:type="default"/>
          <w:footerReference r:id="rId5" w:type="default"/>
          <w:pgSz w:w="11906" w:h="16838"/>
          <w:pgMar w:top="1440" w:right="1800" w:bottom="1440" w:left="1800" w:header="851" w:footer="992" w:gutter="0"/>
          <w:pgNumType w:fmt="decimal"/>
          <w:cols w:space="0" w:num="1"/>
          <w:rtlGutter w:val="0"/>
          <w:docGrid w:type="lines" w:linePitch="312" w:charSpace="0"/>
        </w:sectPr>
      </w:pPr>
    </w:p>
    <w:p>
      <w:pPr>
        <w:pStyle w:val="3"/>
        <w:bidi w:val="0"/>
        <w:rPr>
          <w:rFonts w:hint="eastAsia" w:cs="宋体"/>
          <w:color w:val="auto"/>
          <w:sz w:val="24"/>
          <w:szCs w:val="24"/>
          <w:lang w:val="en-US" w:eastAsia="zh-CN"/>
        </w:rPr>
      </w:pPr>
      <w:r>
        <w:rPr>
          <w:rFonts w:hint="eastAsia" w:cs="宋体"/>
          <w:color w:val="auto"/>
          <w:sz w:val="24"/>
          <w:szCs w:val="24"/>
          <w:lang w:val="en-US" w:eastAsia="zh-CN"/>
        </w:rPr>
        <w:t>20.附件：招标工程量清单</w:t>
      </w:r>
    </w:p>
    <w:tbl>
      <w:tblPr>
        <w:tblStyle w:val="22"/>
        <w:tblW w:w="1398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497"/>
        <w:gridCol w:w="2863"/>
        <w:gridCol w:w="3849"/>
        <w:gridCol w:w="497"/>
        <w:gridCol w:w="1266"/>
        <w:gridCol w:w="50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1398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b/>
                <w:i w:val="0"/>
                <w:color w:val="auto"/>
                <w:sz w:val="24"/>
                <w:szCs w:val="24"/>
                <w:u w:val="none"/>
              </w:rPr>
            </w:pPr>
            <w:r>
              <w:rPr>
                <w:rFonts w:hint="default" w:ascii="Times New Roman" w:hAnsi="Times New Roman" w:eastAsia="等线" w:cs="Times New Roman"/>
                <w:b/>
                <w:i w:val="0"/>
                <w:snapToGrid w:val="0"/>
                <w:color w:val="auto"/>
                <w:kern w:val="0"/>
                <w:sz w:val="24"/>
                <w:szCs w:val="24"/>
                <w:u w:val="none"/>
                <w:lang w:val="en-US" w:eastAsia="zh-CN" w:bidi="ar"/>
              </w:rPr>
              <w:t>储能系统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序号</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设备材料表</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参数</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单位</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数量</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shd w:val="clear"/>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highlight w:val="none"/>
                <w:u w:val="none"/>
              </w:rPr>
            </w:pPr>
            <w:r>
              <w:rPr>
                <w:rFonts w:hint="default" w:ascii="Times New Roman" w:hAnsi="Times New Roman" w:eastAsia="宋体" w:cs="Times New Roman"/>
                <w:i w:val="0"/>
                <w:snapToGrid w:val="0"/>
                <w:color w:val="auto"/>
                <w:kern w:val="0"/>
                <w:sz w:val="24"/>
                <w:szCs w:val="24"/>
                <w:highlight w:val="none"/>
                <w:u w:val="none"/>
                <w:lang w:val="en-US" w:eastAsia="zh-CN" w:bidi="ar"/>
              </w:rPr>
              <w:t>1</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shd w:val="clear"/>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highlight w:val="none"/>
                <w:u w:val="none"/>
              </w:rPr>
            </w:pPr>
            <w:r>
              <w:rPr>
                <w:rFonts w:hint="default" w:ascii="Times New Roman" w:hAnsi="Times New Roman" w:eastAsia="宋体" w:cs="Times New Roman"/>
                <w:i w:val="0"/>
                <w:snapToGrid w:val="0"/>
                <w:color w:val="auto"/>
                <w:kern w:val="0"/>
                <w:sz w:val="24"/>
                <w:szCs w:val="24"/>
                <w:highlight w:val="none"/>
                <w:u w:val="none"/>
                <w:lang w:val="en-US" w:eastAsia="zh-CN" w:bidi="ar"/>
              </w:rPr>
              <w:t>10kV储能系统</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shd w:val="clear"/>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highlight w:val="none"/>
                <w:u w:val="none"/>
              </w:rPr>
            </w:pPr>
            <w:r>
              <w:rPr>
                <w:rFonts w:hint="default" w:ascii="Times New Roman" w:hAnsi="Times New Roman" w:eastAsia="宋体" w:cs="Times New Roman"/>
                <w:i w:val="0"/>
                <w:snapToGrid w:val="0"/>
                <w:color w:val="auto"/>
                <w:kern w:val="0"/>
                <w:sz w:val="24"/>
                <w:szCs w:val="24"/>
                <w:highlight w:val="none"/>
                <w:u w:val="none"/>
                <w:lang w:val="en-US" w:eastAsia="zh-CN" w:bidi="ar"/>
              </w:rPr>
              <w:t>2MW/4MWh</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shd w:val="clear"/>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highlight w:val="none"/>
                <w:u w:val="none"/>
              </w:rPr>
            </w:pPr>
            <w:r>
              <w:rPr>
                <w:rFonts w:hint="default" w:ascii="Times New Roman" w:hAnsi="Times New Roman" w:eastAsia="等线" w:cs="Times New Roman"/>
                <w:i w:val="0"/>
                <w:snapToGrid w:val="0"/>
                <w:color w:val="auto"/>
                <w:kern w:val="0"/>
                <w:sz w:val="24"/>
                <w:szCs w:val="24"/>
                <w:highlight w:val="none"/>
                <w:u w:val="none"/>
                <w:lang w:val="en-US" w:eastAsia="zh-CN" w:bidi="ar"/>
              </w:rPr>
              <w:t>套</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shd w:val="clear"/>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highlight w:val="none"/>
                <w:u w:val="none"/>
              </w:rPr>
            </w:pPr>
            <w:r>
              <w:rPr>
                <w:rFonts w:hint="default" w:ascii="Times New Roman" w:hAnsi="Times New Roman" w:eastAsia="宋体" w:cs="Times New Roman"/>
                <w:i w:val="0"/>
                <w:snapToGrid w:val="0"/>
                <w:color w:val="auto"/>
                <w:kern w:val="0"/>
                <w:sz w:val="24"/>
                <w:szCs w:val="24"/>
                <w:highlight w:val="none"/>
                <w:u w:val="none"/>
                <w:lang w:val="en-US" w:eastAsia="zh-CN" w:bidi="ar"/>
              </w:rPr>
              <w:t>2</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shd w:val="clear"/>
              <w:spacing w:beforeLines="0" w:afterLines="0" w:line="240" w:lineRule="auto"/>
              <w:ind w:firstLine="0" w:firstLineChars="0"/>
              <w:jc w:val="left"/>
              <w:rPr>
                <w:rFonts w:hint="default" w:ascii="Times New Roman" w:hAnsi="Times New Roman" w:eastAsia="宋体" w:cs="Times New Roman"/>
                <w:i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shd w:val="clear"/>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highlight w:val="none"/>
                <w:u w:val="none"/>
              </w:rPr>
            </w:pPr>
            <w:r>
              <w:rPr>
                <w:rFonts w:hint="default" w:ascii="Times New Roman" w:hAnsi="Times New Roman" w:eastAsia="宋体" w:cs="Times New Roman"/>
                <w:i w:val="0"/>
                <w:snapToGrid w:val="0"/>
                <w:color w:val="auto"/>
                <w:kern w:val="0"/>
                <w:sz w:val="24"/>
                <w:szCs w:val="24"/>
                <w:highlight w:val="none"/>
                <w:u w:val="none"/>
                <w:lang w:val="en-US" w:eastAsia="zh-CN" w:bidi="ar"/>
              </w:rPr>
              <w:t>1.1</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shd w:val="clear"/>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highlight w:val="none"/>
                <w:u w:val="none"/>
              </w:rPr>
            </w:pPr>
            <w:r>
              <w:rPr>
                <w:rFonts w:hint="default" w:ascii="Times New Roman" w:hAnsi="Times New Roman" w:eastAsia="等线" w:cs="Times New Roman"/>
                <w:i w:val="0"/>
                <w:snapToGrid w:val="0"/>
                <w:color w:val="auto"/>
                <w:kern w:val="0"/>
                <w:sz w:val="24"/>
                <w:szCs w:val="24"/>
                <w:highlight w:val="none"/>
                <w:u w:val="none"/>
                <w:lang w:val="en-US" w:eastAsia="zh-CN" w:bidi="ar"/>
              </w:rPr>
              <w:t>电池预制舱</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shd w:val="clear"/>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highlight w:val="none"/>
                <w:u w:val="none"/>
              </w:rPr>
            </w:pPr>
            <w:r>
              <w:rPr>
                <w:rFonts w:hint="default" w:ascii="Times New Roman" w:hAnsi="Times New Roman" w:eastAsia="宋体" w:cs="Times New Roman"/>
                <w:i w:val="0"/>
                <w:snapToGrid w:val="0"/>
                <w:color w:val="auto"/>
                <w:kern w:val="0"/>
                <w:sz w:val="24"/>
                <w:szCs w:val="24"/>
                <w:highlight w:val="none"/>
                <w:u w:val="none"/>
                <w:lang w:val="en-US" w:eastAsia="zh-CN" w:bidi="ar"/>
              </w:rPr>
              <w:t>4MWh</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shd w:val="clear"/>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highlight w:val="none"/>
                <w:u w:val="none"/>
              </w:rPr>
            </w:pPr>
            <w:r>
              <w:rPr>
                <w:rFonts w:hint="default" w:ascii="Times New Roman" w:hAnsi="Times New Roman" w:eastAsia="等线" w:cs="Times New Roman"/>
                <w:i w:val="0"/>
                <w:snapToGrid w:val="0"/>
                <w:color w:val="auto"/>
                <w:kern w:val="0"/>
                <w:sz w:val="24"/>
                <w:szCs w:val="24"/>
                <w:highlight w:val="none"/>
                <w:u w:val="none"/>
                <w:lang w:val="en-US" w:eastAsia="zh-CN" w:bidi="ar"/>
              </w:rPr>
              <w:t>套</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shd w:val="clear"/>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highlight w:val="none"/>
                <w:u w:val="none"/>
              </w:rPr>
            </w:pPr>
            <w:r>
              <w:rPr>
                <w:rFonts w:hint="default" w:ascii="Times New Roman" w:hAnsi="Times New Roman" w:eastAsia="宋体" w:cs="Times New Roman"/>
                <w:i w:val="0"/>
                <w:snapToGrid w:val="0"/>
                <w:color w:val="auto"/>
                <w:kern w:val="0"/>
                <w:sz w:val="24"/>
                <w:szCs w:val="24"/>
                <w:highlight w:val="none"/>
                <w:u w:val="none"/>
                <w:lang w:val="en-US" w:eastAsia="zh-CN" w:bidi="ar"/>
              </w:rPr>
              <w:t>1</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shd w:val="clear"/>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highlight w:val="none"/>
                <w:u w:val="none"/>
              </w:rPr>
            </w:pPr>
            <w:r>
              <w:rPr>
                <w:rFonts w:hint="default" w:ascii="Times New Roman" w:hAnsi="Times New Roman" w:eastAsia="宋体" w:cs="Times New Roman"/>
                <w:i w:val="0"/>
                <w:snapToGrid w:val="0"/>
                <w:color w:val="auto"/>
                <w:kern w:val="0"/>
                <w:sz w:val="24"/>
                <w:szCs w:val="24"/>
                <w:highlight w:val="none"/>
                <w:u w:val="none"/>
                <w:lang w:val="en-US" w:eastAsia="zh-CN" w:bidi="ar"/>
              </w:rPr>
              <w:t>10簇20尺电池舱</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shd w:val="clear"/>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highlight w:val="none"/>
                <w:u w:val="none"/>
              </w:rPr>
            </w:pPr>
            <w:r>
              <w:rPr>
                <w:rFonts w:hint="default" w:ascii="Times New Roman" w:hAnsi="Times New Roman" w:eastAsia="宋体" w:cs="Times New Roman"/>
                <w:i w:val="0"/>
                <w:snapToGrid w:val="0"/>
                <w:color w:val="auto"/>
                <w:kern w:val="0"/>
                <w:sz w:val="24"/>
                <w:szCs w:val="24"/>
                <w:highlight w:val="none"/>
                <w:u w:val="none"/>
                <w:lang w:val="en-US" w:eastAsia="zh-CN" w:bidi="ar"/>
              </w:rPr>
              <w:t>1.2</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shd w:val="clear"/>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highlight w:val="none"/>
                <w:u w:val="none"/>
              </w:rPr>
            </w:pPr>
            <w:r>
              <w:rPr>
                <w:rFonts w:hint="default" w:ascii="Times New Roman" w:hAnsi="Times New Roman" w:eastAsia="等线" w:cs="Times New Roman"/>
                <w:i w:val="0"/>
                <w:snapToGrid w:val="0"/>
                <w:color w:val="auto"/>
                <w:kern w:val="0"/>
                <w:sz w:val="24"/>
                <w:szCs w:val="24"/>
                <w:highlight w:val="none"/>
                <w:u w:val="none"/>
                <w:lang w:val="en-US" w:eastAsia="zh-CN" w:bidi="ar"/>
              </w:rPr>
              <w:t>电池系统</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shd w:val="clear"/>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highlight w:val="none"/>
                <w:u w:val="none"/>
              </w:rPr>
            </w:pPr>
            <w:r>
              <w:rPr>
                <w:rFonts w:hint="default" w:ascii="Times New Roman" w:hAnsi="Times New Roman" w:eastAsia="等线" w:cs="Times New Roman"/>
                <w:i w:val="0"/>
                <w:snapToGrid w:val="0"/>
                <w:color w:val="auto"/>
                <w:kern w:val="0"/>
                <w:sz w:val="24"/>
                <w:szCs w:val="24"/>
                <w:highlight w:val="none"/>
                <w:u w:val="none"/>
                <w:lang w:val="en-US" w:eastAsia="zh-CN" w:bidi="ar"/>
              </w:rPr>
              <w:t>含电芯、电池架、三级管理系统等</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shd w:val="clear"/>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highlight w:val="none"/>
                <w:u w:val="none"/>
              </w:rPr>
            </w:pPr>
            <w:r>
              <w:rPr>
                <w:rFonts w:hint="default" w:ascii="Times New Roman" w:hAnsi="Times New Roman" w:eastAsia="等线" w:cs="Times New Roman"/>
                <w:i w:val="0"/>
                <w:snapToGrid w:val="0"/>
                <w:color w:val="auto"/>
                <w:kern w:val="0"/>
                <w:sz w:val="24"/>
                <w:szCs w:val="24"/>
                <w:highlight w:val="none"/>
                <w:u w:val="none"/>
                <w:lang w:val="en-US" w:eastAsia="zh-CN" w:bidi="ar"/>
              </w:rPr>
              <w:t>套</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shd w:val="clear"/>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highlight w:val="none"/>
                <w:u w:val="none"/>
              </w:rPr>
            </w:pPr>
            <w:r>
              <w:rPr>
                <w:rFonts w:hint="default" w:ascii="Times New Roman" w:hAnsi="Times New Roman" w:eastAsia="宋体" w:cs="Times New Roman"/>
                <w:i w:val="0"/>
                <w:snapToGrid w:val="0"/>
                <w:color w:val="auto"/>
                <w:kern w:val="0"/>
                <w:sz w:val="24"/>
                <w:szCs w:val="24"/>
                <w:highlight w:val="none"/>
                <w:u w:val="none"/>
                <w:lang w:val="en-US" w:eastAsia="zh-CN" w:bidi="ar"/>
              </w:rPr>
              <w:t>1</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shd w:val="clear"/>
              <w:spacing w:beforeLines="0" w:afterLines="0" w:line="240" w:lineRule="auto"/>
              <w:ind w:firstLine="0" w:firstLineChars="0"/>
              <w:jc w:val="left"/>
              <w:rPr>
                <w:rFonts w:hint="default" w:ascii="Times New Roman" w:hAnsi="Times New Roman" w:eastAsia="宋体" w:cs="Times New Roman"/>
                <w:i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shd w:val="clear"/>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highlight w:val="none"/>
                <w:u w:val="none"/>
              </w:rPr>
            </w:pPr>
            <w:r>
              <w:rPr>
                <w:rFonts w:hint="default" w:ascii="Times New Roman" w:hAnsi="Times New Roman" w:eastAsia="宋体" w:cs="Times New Roman"/>
                <w:i w:val="0"/>
                <w:snapToGrid w:val="0"/>
                <w:color w:val="auto"/>
                <w:kern w:val="0"/>
                <w:sz w:val="24"/>
                <w:szCs w:val="24"/>
                <w:highlight w:val="none"/>
                <w:u w:val="none"/>
                <w:lang w:val="en-US" w:eastAsia="zh-CN" w:bidi="ar"/>
              </w:rPr>
              <w:t>1.3</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shd w:val="clear"/>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highlight w:val="none"/>
                <w:u w:val="none"/>
              </w:rPr>
            </w:pPr>
            <w:r>
              <w:rPr>
                <w:rFonts w:hint="default" w:ascii="Times New Roman" w:hAnsi="Times New Roman" w:eastAsia="等线" w:cs="Times New Roman"/>
                <w:i w:val="0"/>
                <w:snapToGrid w:val="0"/>
                <w:color w:val="auto"/>
                <w:kern w:val="0"/>
                <w:sz w:val="24"/>
                <w:szCs w:val="24"/>
                <w:highlight w:val="none"/>
                <w:u w:val="none"/>
                <w:lang w:val="en-US" w:eastAsia="zh-CN" w:bidi="ar"/>
              </w:rPr>
              <w:t>冷水系统</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shd w:val="clear"/>
              <w:spacing w:beforeLines="0" w:afterLines="0" w:line="240" w:lineRule="auto"/>
              <w:ind w:firstLine="0" w:firstLineChars="0"/>
              <w:jc w:val="left"/>
              <w:rPr>
                <w:rFonts w:hint="default" w:ascii="Times New Roman" w:hAnsi="Times New Roman" w:eastAsia="宋体" w:cs="Times New Roman"/>
                <w:i w:val="0"/>
                <w:color w:val="auto"/>
                <w:sz w:val="24"/>
                <w:szCs w:val="24"/>
                <w:highlight w:val="none"/>
                <w:u w:val="none"/>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shd w:val="clear"/>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highlight w:val="none"/>
                <w:u w:val="none"/>
              </w:rPr>
            </w:pPr>
            <w:r>
              <w:rPr>
                <w:rFonts w:hint="default" w:ascii="Times New Roman" w:hAnsi="Times New Roman" w:eastAsia="等线" w:cs="Times New Roman"/>
                <w:i w:val="0"/>
                <w:snapToGrid w:val="0"/>
                <w:color w:val="auto"/>
                <w:kern w:val="0"/>
                <w:sz w:val="24"/>
                <w:szCs w:val="24"/>
                <w:highlight w:val="none"/>
                <w:u w:val="none"/>
                <w:lang w:val="en-US" w:eastAsia="zh-CN" w:bidi="ar"/>
              </w:rPr>
              <w:t>套</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shd w:val="clear"/>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highlight w:val="none"/>
                <w:u w:val="none"/>
              </w:rPr>
            </w:pPr>
            <w:r>
              <w:rPr>
                <w:rFonts w:hint="default" w:ascii="Times New Roman" w:hAnsi="Times New Roman" w:eastAsia="宋体" w:cs="Times New Roman"/>
                <w:i w:val="0"/>
                <w:snapToGrid w:val="0"/>
                <w:color w:val="auto"/>
                <w:kern w:val="0"/>
                <w:sz w:val="24"/>
                <w:szCs w:val="24"/>
                <w:highlight w:val="none"/>
                <w:u w:val="none"/>
                <w:lang w:val="en-US" w:eastAsia="zh-CN" w:bidi="ar"/>
              </w:rPr>
              <w:t>1</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shd w:val="clear"/>
              <w:spacing w:beforeLines="0" w:afterLines="0" w:line="240" w:lineRule="auto"/>
              <w:ind w:firstLine="0" w:firstLineChars="0"/>
              <w:jc w:val="left"/>
              <w:rPr>
                <w:rFonts w:hint="default" w:ascii="Times New Roman" w:hAnsi="Times New Roman" w:eastAsia="宋体" w:cs="Times New Roman"/>
                <w:i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shd w:val="clear"/>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highlight w:val="none"/>
                <w:u w:val="none"/>
              </w:rPr>
            </w:pPr>
            <w:r>
              <w:rPr>
                <w:rFonts w:hint="default" w:ascii="Times New Roman" w:hAnsi="Times New Roman" w:eastAsia="宋体" w:cs="Times New Roman"/>
                <w:i w:val="0"/>
                <w:snapToGrid w:val="0"/>
                <w:color w:val="auto"/>
                <w:kern w:val="0"/>
                <w:sz w:val="24"/>
                <w:szCs w:val="24"/>
                <w:highlight w:val="none"/>
                <w:u w:val="none"/>
                <w:lang w:val="en-US" w:eastAsia="zh-CN" w:bidi="ar"/>
              </w:rPr>
              <w:t>1.4</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shd w:val="clear"/>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highlight w:val="none"/>
                <w:u w:val="none"/>
              </w:rPr>
            </w:pPr>
            <w:r>
              <w:rPr>
                <w:rFonts w:hint="default" w:ascii="Times New Roman" w:hAnsi="Times New Roman" w:eastAsia="等线" w:cs="Times New Roman"/>
                <w:i w:val="0"/>
                <w:snapToGrid w:val="0"/>
                <w:color w:val="auto"/>
                <w:kern w:val="0"/>
                <w:sz w:val="24"/>
                <w:szCs w:val="24"/>
                <w:highlight w:val="none"/>
                <w:u w:val="none"/>
                <w:lang w:val="en-US" w:eastAsia="zh-CN" w:bidi="ar"/>
              </w:rPr>
              <w:t>消防系统</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shd w:val="clear"/>
              <w:spacing w:beforeLines="0" w:afterLines="0" w:line="240" w:lineRule="auto"/>
              <w:ind w:firstLine="0" w:firstLineChars="0"/>
              <w:jc w:val="left"/>
              <w:rPr>
                <w:rFonts w:hint="default" w:ascii="Times New Roman" w:hAnsi="Times New Roman" w:eastAsia="宋体" w:cs="Times New Roman"/>
                <w:i w:val="0"/>
                <w:color w:val="auto"/>
                <w:sz w:val="24"/>
                <w:szCs w:val="24"/>
                <w:highlight w:val="none"/>
                <w:u w:val="none"/>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shd w:val="clear"/>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highlight w:val="none"/>
                <w:u w:val="none"/>
              </w:rPr>
            </w:pPr>
            <w:r>
              <w:rPr>
                <w:rFonts w:hint="default" w:ascii="Times New Roman" w:hAnsi="Times New Roman" w:eastAsia="等线" w:cs="Times New Roman"/>
                <w:i w:val="0"/>
                <w:snapToGrid w:val="0"/>
                <w:color w:val="auto"/>
                <w:kern w:val="0"/>
                <w:sz w:val="24"/>
                <w:szCs w:val="24"/>
                <w:highlight w:val="none"/>
                <w:u w:val="none"/>
                <w:lang w:val="en-US" w:eastAsia="zh-CN" w:bidi="ar"/>
              </w:rPr>
              <w:t>套</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shd w:val="clear"/>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highlight w:val="none"/>
                <w:u w:val="none"/>
              </w:rPr>
            </w:pPr>
            <w:r>
              <w:rPr>
                <w:rFonts w:hint="default" w:ascii="Times New Roman" w:hAnsi="Times New Roman" w:eastAsia="宋体" w:cs="Times New Roman"/>
                <w:i w:val="0"/>
                <w:snapToGrid w:val="0"/>
                <w:color w:val="auto"/>
                <w:kern w:val="0"/>
                <w:sz w:val="24"/>
                <w:szCs w:val="24"/>
                <w:highlight w:val="none"/>
                <w:u w:val="none"/>
                <w:lang w:val="en-US" w:eastAsia="zh-CN" w:bidi="ar"/>
              </w:rPr>
              <w:t>1</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shd w:val="clear"/>
              <w:spacing w:beforeLines="0" w:afterLines="0" w:line="240" w:lineRule="auto"/>
              <w:ind w:firstLine="0" w:firstLineChars="0"/>
              <w:jc w:val="left"/>
              <w:rPr>
                <w:rFonts w:hint="default" w:ascii="Times New Roman" w:hAnsi="Times New Roman" w:eastAsia="宋体" w:cs="Times New Roman"/>
                <w:i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shd w:val="clear"/>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highlight w:val="none"/>
                <w:u w:val="none"/>
              </w:rPr>
            </w:pPr>
            <w:r>
              <w:rPr>
                <w:rFonts w:hint="default" w:ascii="Times New Roman" w:hAnsi="Times New Roman" w:eastAsia="宋体" w:cs="Times New Roman"/>
                <w:i w:val="0"/>
                <w:snapToGrid w:val="0"/>
                <w:color w:val="auto"/>
                <w:kern w:val="0"/>
                <w:sz w:val="24"/>
                <w:szCs w:val="24"/>
                <w:highlight w:val="none"/>
                <w:u w:val="none"/>
                <w:lang w:val="en-US" w:eastAsia="zh-CN" w:bidi="ar"/>
              </w:rPr>
              <w:t>1.5</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shd w:val="clear"/>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highlight w:val="none"/>
                <w:u w:val="none"/>
              </w:rPr>
            </w:pPr>
            <w:r>
              <w:rPr>
                <w:rFonts w:hint="default" w:ascii="Times New Roman" w:hAnsi="Times New Roman" w:eastAsia="等线" w:cs="Times New Roman"/>
                <w:i w:val="0"/>
                <w:snapToGrid w:val="0"/>
                <w:color w:val="auto"/>
                <w:kern w:val="0"/>
                <w:sz w:val="24"/>
                <w:szCs w:val="24"/>
                <w:highlight w:val="none"/>
                <w:u w:val="none"/>
                <w:lang w:val="en-US" w:eastAsia="zh-CN" w:bidi="ar"/>
              </w:rPr>
              <w:t>汇控柜</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shd w:val="clear"/>
              <w:spacing w:beforeLines="0" w:afterLines="0" w:line="240" w:lineRule="auto"/>
              <w:ind w:firstLine="0" w:firstLineChars="0"/>
              <w:jc w:val="left"/>
              <w:rPr>
                <w:rFonts w:hint="default" w:ascii="Times New Roman" w:hAnsi="Times New Roman" w:eastAsia="宋体" w:cs="Times New Roman"/>
                <w:i w:val="0"/>
                <w:color w:val="auto"/>
                <w:sz w:val="24"/>
                <w:szCs w:val="24"/>
                <w:highlight w:val="none"/>
                <w:u w:val="none"/>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shd w:val="clear"/>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highlight w:val="none"/>
                <w:u w:val="none"/>
              </w:rPr>
            </w:pPr>
            <w:r>
              <w:rPr>
                <w:rFonts w:hint="default" w:ascii="Times New Roman" w:hAnsi="Times New Roman" w:eastAsia="等线" w:cs="Times New Roman"/>
                <w:i w:val="0"/>
                <w:snapToGrid w:val="0"/>
                <w:color w:val="auto"/>
                <w:kern w:val="0"/>
                <w:sz w:val="24"/>
                <w:szCs w:val="24"/>
                <w:highlight w:val="none"/>
                <w:u w:val="none"/>
                <w:lang w:val="en-US" w:eastAsia="zh-CN" w:bidi="ar"/>
              </w:rPr>
              <w:t>面</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shd w:val="clear"/>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highlight w:val="none"/>
                <w:u w:val="none"/>
              </w:rPr>
            </w:pPr>
            <w:r>
              <w:rPr>
                <w:rFonts w:hint="default" w:ascii="Times New Roman" w:hAnsi="Times New Roman" w:eastAsia="宋体" w:cs="Times New Roman"/>
                <w:i w:val="0"/>
                <w:snapToGrid w:val="0"/>
                <w:color w:val="auto"/>
                <w:kern w:val="0"/>
                <w:sz w:val="24"/>
                <w:szCs w:val="24"/>
                <w:highlight w:val="none"/>
                <w:u w:val="none"/>
                <w:lang w:val="en-US" w:eastAsia="zh-CN" w:bidi="ar"/>
              </w:rPr>
              <w:t>1</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shd w:val="clear"/>
              <w:spacing w:beforeLines="0" w:afterLines="0" w:line="240" w:lineRule="auto"/>
              <w:ind w:firstLine="0" w:firstLineChars="0"/>
              <w:jc w:val="left"/>
              <w:rPr>
                <w:rFonts w:hint="default" w:ascii="Times New Roman" w:hAnsi="Times New Roman" w:eastAsia="宋体" w:cs="Times New Roman"/>
                <w:i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shd w:val="clear"/>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highlight w:val="none"/>
                <w:u w:val="none"/>
              </w:rPr>
            </w:pPr>
            <w:r>
              <w:rPr>
                <w:rFonts w:hint="default" w:ascii="Times New Roman" w:hAnsi="Times New Roman" w:eastAsia="宋体" w:cs="Times New Roman"/>
                <w:i w:val="0"/>
                <w:snapToGrid w:val="0"/>
                <w:color w:val="auto"/>
                <w:kern w:val="0"/>
                <w:sz w:val="24"/>
                <w:szCs w:val="24"/>
                <w:highlight w:val="none"/>
                <w:u w:val="none"/>
                <w:lang w:val="en-US" w:eastAsia="zh-CN" w:bidi="ar"/>
              </w:rPr>
              <w:t>1.6</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shd w:val="clear"/>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highlight w:val="none"/>
                <w:u w:val="none"/>
              </w:rPr>
            </w:pPr>
            <w:r>
              <w:rPr>
                <w:rFonts w:hint="default" w:ascii="Times New Roman" w:hAnsi="Times New Roman" w:eastAsia="等线" w:cs="Times New Roman"/>
                <w:i w:val="0"/>
                <w:snapToGrid w:val="0"/>
                <w:color w:val="auto"/>
                <w:kern w:val="0"/>
                <w:sz w:val="24"/>
                <w:szCs w:val="24"/>
                <w:highlight w:val="none"/>
                <w:u w:val="none"/>
                <w:lang w:val="en-US" w:eastAsia="zh-CN" w:bidi="ar"/>
              </w:rPr>
              <w:t>配电柜</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shd w:val="clear"/>
              <w:spacing w:beforeLines="0" w:afterLines="0" w:line="240" w:lineRule="auto"/>
              <w:ind w:firstLine="0" w:firstLineChars="0"/>
              <w:jc w:val="left"/>
              <w:rPr>
                <w:rFonts w:hint="default" w:ascii="Times New Roman" w:hAnsi="Times New Roman" w:eastAsia="宋体" w:cs="Times New Roman"/>
                <w:i w:val="0"/>
                <w:color w:val="auto"/>
                <w:sz w:val="24"/>
                <w:szCs w:val="24"/>
                <w:highlight w:val="none"/>
                <w:u w:val="none"/>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shd w:val="clear"/>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highlight w:val="none"/>
                <w:u w:val="none"/>
              </w:rPr>
            </w:pPr>
            <w:r>
              <w:rPr>
                <w:rFonts w:hint="default" w:ascii="Times New Roman" w:hAnsi="Times New Roman" w:eastAsia="等线" w:cs="Times New Roman"/>
                <w:i w:val="0"/>
                <w:snapToGrid w:val="0"/>
                <w:color w:val="auto"/>
                <w:kern w:val="0"/>
                <w:sz w:val="24"/>
                <w:szCs w:val="24"/>
                <w:highlight w:val="none"/>
                <w:u w:val="none"/>
                <w:lang w:val="en-US" w:eastAsia="zh-CN" w:bidi="ar"/>
              </w:rPr>
              <w:t>面</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shd w:val="clear"/>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highlight w:val="none"/>
                <w:u w:val="none"/>
              </w:rPr>
            </w:pPr>
            <w:r>
              <w:rPr>
                <w:rFonts w:hint="default" w:ascii="Times New Roman" w:hAnsi="Times New Roman" w:eastAsia="宋体" w:cs="Times New Roman"/>
                <w:i w:val="0"/>
                <w:snapToGrid w:val="0"/>
                <w:color w:val="auto"/>
                <w:kern w:val="0"/>
                <w:sz w:val="24"/>
                <w:szCs w:val="24"/>
                <w:highlight w:val="none"/>
                <w:u w:val="none"/>
                <w:lang w:val="en-US" w:eastAsia="zh-CN" w:bidi="ar"/>
              </w:rPr>
              <w:t>1</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shd w:val="clear"/>
              <w:spacing w:beforeLines="0" w:afterLines="0" w:line="240" w:lineRule="auto"/>
              <w:ind w:firstLine="0" w:firstLineChars="0"/>
              <w:jc w:val="left"/>
              <w:rPr>
                <w:rFonts w:hint="default" w:ascii="Times New Roman" w:hAnsi="Times New Roman" w:eastAsia="宋体" w:cs="Times New Roman"/>
                <w:i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shd w:val="clear"/>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highlight w:val="none"/>
                <w:u w:val="none"/>
              </w:rPr>
            </w:pPr>
            <w:r>
              <w:rPr>
                <w:rFonts w:hint="default" w:ascii="Times New Roman" w:hAnsi="Times New Roman" w:eastAsia="宋体" w:cs="Times New Roman"/>
                <w:i w:val="0"/>
                <w:snapToGrid w:val="0"/>
                <w:color w:val="auto"/>
                <w:kern w:val="0"/>
                <w:sz w:val="24"/>
                <w:szCs w:val="24"/>
                <w:highlight w:val="none"/>
                <w:u w:val="none"/>
                <w:lang w:val="en-US" w:eastAsia="zh-CN" w:bidi="ar"/>
              </w:rPr>
              <w:t>1.7</w:t>
            </w:r>
          </w:p>
        </w:tc>
        <w:tc>
          <w:tcPr>
            <w:tcW w:w="286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shd w:val="clear"/>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highlight w:val="none"/>
                <w:u w:val="none"/>
              </w:rPr>
            </w:pPr>
            <w:r>
              <w:rPr>
                <w:rFonts w:hint="default" w:ascii="Times New Roman" w:hAnsi="Times New Roman" w:eastAsia="等线" w:cs="Times New Roman"/>
                <w:i w:val="0"/>
                <w:snapToGrid w:val="0"/>
                <w:color w:val="auto"/>
                <w:kern w:val="0"/>
                <w:sz w:val="24"/>
                <w:szCs w:val="24"/>
                <w:highlight w:val="none"/>
                <w:u w:val="none"/>
                <w:lang w:val="en-US" w:eastAsia="zh-CN" w:bidi="ar"/>
              </w:rPr>
              <w:t>预制舱</w:t>
            </w:r>
          </w:p>
        </w:tc>
        <w:tc>
          <w:tcPr>
            <w:tcW w:w="384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shd w:val="clear"/>
              <w:spacing w:beforeLines="0" w:afterLines="0" w:line="240" w:lineRule="auto"/>
              <w:ind w:firstLine="0" w:firstLineChars="0"/>
              <w:jc w:val="left"/>
              <w:rPr>
                <w:rFonts w:hint="default" w:ascii="Times New Roman" w:hAnsi="Times New Roman" w:eastAsia="宋体" w:cs="Times New Roman"/>
                <w:i w:val="0"/>
                <w:color w:val="auto"/>
                <w:sz w:val="24"/>
                <w:szCs w:val="24"/>
                <w:highlight w:val="none"/>
                <w:u w:val="none"/>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shd w:val="clear"/>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highlight w:val="none"/>
                <w:u w:val="none"/>
              </w:rPr>
            </w:pPr>
            <w:r>
              <w:rPr>
                <w:rFonts w:hint="default" w:ascii="Times New Roman" w:hAnsi="Times New Roman" w:eastAsia="等线" w:cs="Times New Roman"/>
                <w:i w:val="0"/>
                <w:snapToGrid w:val="0"/>
                <w:color w:val="auto"/>
                <w:kern w:val="0"/>
                <w:sz w:val="24"/>
                <w:szCs w:val="24"/>
                <w:highlight w:val="none"/>
                <w:u w:val="none"/>
                <w:lang w:val="en-US" w:eastAsia="zh-CN" w:bidi="ar"/>
              </w:rPr>
              <w:t>面</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shd w:val="clear"/>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highlight w:val="none"/>
                <w:u w:val="none"/>
              </w:rPr>
            </w:pPr>
            <w:r>
              <w:rPr>
                <w:rFonts w:hint="default" w:ascii="Times New Roman" w:hAnsi="Times New Roman" w:eastAsia="宋体" w:cs="Times New Roman"/>
                <w:i w:val="0"/>
                <w:snapToGrid w:val="0"/>
                <w:color w:val="auto"/>
                <w:kern w:val="0"/>
                <w:sz w:val="24"/>
                <w:szCs w:val="24"/>
                <w:highlight w:val="none"/>
                <w:u w:val="none"/>
                <w:lang w:val="en-US" w:eastAsia="zh-CN" w:bidi="ar"/>
              </w:rPr>
              <w:t>1</w:t>
            </w:r>
          </w:p>
        </w:tc>
        <w:tc>
          <w:tcPr>
            <w:tcW w:w="50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shd w:val="clear"/>
              <w:spacing w:beforeLines="0" w:afterLines="0" w:line="240" w:lineRule="auto"/>
              <w:ind w:firstLine="0" w:firstLineChars="0"/>
              <w:jc w:val="left"/>
              <w:rPr>
                <w:rFonts w:hint="default" w:ascii="Times New Roman" w:hAnsi="Times New Roman" w:eastAsia="宋体" w:cs="Times New Roman"/>
                <w:i w:val="0"/>
                <w:color w:val="auto"/>
                <w:sz w:val="24"/>
                <w:szCs w:val="24"/>
                <w:highlight w:val="none"/>
                <w:u w:val="none"/>
              </w:rPr>
            </w:pPr>
          </w:p>
        </w:tc>
      </w:tr>
    </w:tbl>
    <w:p>
      <w:pPr>
        <w:pStyle w:val="19"/>
        <w:keepNext/>
        <w:keepLines/>
        <w:widowControl w:val="0"/>
        <w:suppressLineNumbers w:val="0"/>
        <w:shd w:val="clear"/>
        <w:adjustRightInd w:val="0"/>
        <w:snapToGrid w:val="0"/>
        <w:spacing w:before="0" w:beforeAutospacing="0" w:after="0" w:afterAutospacing="0" w:line="400" w:lineRule="exact"/>
        <w:ind w:left="0" w:right="0"/>
        <w:jc w:val="both"/>
        <w:rPr>
          <w:rFonts w:hint="eastAsia" w:ascii="宋体" w:hAnsi="宋体" w:eastAsia="宋体" w:cs="Times New Roman"/>
          <w:b/>
          <w:bCs w:val="0"/>
          <w:snapToGrid/>
          <w:color w:val="auto"/>
          <w:kern w:val="0"/>
          <w:sz w:val="24"/>
          <w:szCs w:val="24"/>
          <w:highlight w:val="none"/>
          <w:lang w:val="en-US" w:eastAsia="zh-CN" w:bidi="ar"/>
        </w:rPr>
      </w:pPr>
    </w:p>
    <w:p>
      <w:pPr>
        <w:pStyle w:val="19"/>
        <w:keepNext/>
        <w:keepLines/>
        <w:widowControl w:val="0"/>
        <w:suppressLineNumbers w:val="0"/>
        <w:shd w:val="clear"/>
        <w:adjustRightInd w:val="0"/>
        <w:snapToGrid w:val="0"/>
        <w:spacing w:before="0" w:beforeAutospacing="0" w:after="0" w:afterAutospacing="0" w:line="400" w:lineRule="exact"/>
        <w:ind w:left="0" w:right="0"/>
        <w:jc w:val="center"/>
        <w:rPr>
          <w:rFonts w:hint="eastAsia" w:ascii="宋体" w:hAnsi="宋体" w:eastAsia="宋体" w:cs="Times New Roman"/>
          <w:b/>
          <w:bCs w:val="0"/>
          <w:snapToGrid/>
          <w:color w:val="auto"/>
          <w:kern w:val="0"/>
          <w:sz w:val="24"/>
          <w:szCs w:val="24"/>
          <w:highlight w:val="none"/>
          <w:lang w:val="en-US" w:eastAsia="zh-CN" w:bidi="ar"/>
        </w:rPr>
      </w:pPr>
    </w:p>
    <w:tbl>
      <w:tblPr>
        <w:tblStyle w:val="22"/>
        <w:tblW w:w="1398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497"/>
        <w:gridCol w:w="2863"/>
        <w:gridCol w:w="3849"/>
        <w:gridCol w:w="497"/>
        <w:gridCol w:w="1266"/>
        <w:gridCol w:w="50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13982"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shd w:val="clear"/>
              <w:spacing w:beforeLines="0" w:afterLines="0" w:line="240" w:lineRule="auto"/>
              <w:ind w:firstLine="0" w:firstLineChars="0"/>
              <w:jc w:val="center"/>
              <w:textAlignment w:val="center"/>
              <w:rPr>
                <w:rFonts w:hint="default" w:ascii="Times New Roman" w:hAnsi="Times New Roman" w:eastAsia="等线" w:cs="Times New Roman"/>
                <w:b/>
                <w:i w:val="0"/>
                <w:color w:val="auto"/>
                <w:sz w:val="24"/>
                <w:szCs w:val="24"/>
                <w:highlight w:val="none"/>
                <w:u w:val="none"/>
              </w:rPr>
            </w:pPr>
            <w:r>
              <w:rPr>
                <w:rFonts w:hint="eastAsia" w:ascii="Times New Roman" w:hAnsi="Times New Roman" w:eastAsia="等线" w:cs="Times New Roman"/>
                <w:b/>
                <w:i w:val="0"/>
                <w:snapToGrid w:val="0"/>
                <w:color w:val="auto"/>
                <w:kern w:val="0"/>
                <w:sz w:val="24"/>
                <w:szCs w:val="24"/>
                <w:highlight w:val="none"/>
                <w:u w:val="none"/>
                <w:lang w:val="en-US" w:eastAsia="zh-CN" w:bidi="ar"/>
              </w:rPr>
              <w:t>一次二次、关键微电网</w:t>
            </w:r>
            <w:r>
              <w:rPr>
                <w:rFonts w:hint="default" w:ascii="Times New Roman" w:hAnsi="Times New Roman" w:eastAsia="等线" w:cs="Times New Roman"/>
                <w:b/>
                <w:i w:val="0"/>
                <w:snapToGrid w:val="0"/>
                <w:color w:val="auto"/>
                <w:kern w:val="0"/>
                <w:sz w:val="24"/>
                <w:szCs w:val="24"/>
                <w:highlight w:val="none"/>
                <w:u w:val="none"/>
                <w:lang w:val="en-US" w:eastAsia="zh-CN" w:bidi="ar"/>
              </w:rPr>
              <w:t>系统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000000" w:sz="4" w:space="0"/>
              <w:left w:val="single" w:color="000000" w:sz="4" w:space="0"/>
              <w:bottom w:val="single" w:color="auto"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shd w:val="clear"/>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highlight w:val="none"/>
                <w:u w:val="none"/>
              </w:rPr>
            </w:pPr>
            <w:r>
              <w:rPr>
                <w:rFonts w:hint="default" w:ascii="Times New Roman" w:hAnsi="Times New Roman" w:eastAsia="等线" w:cs="Times New Roman"/>
                <w:i w:val="0"/>
                <w:snapToGrid w:val="0"/>
                <w:color w:val="auto"/>
                <w:kern w:val="0"/>
                <w:sz w:val="24"/>
                <w:szCs w:val="24"/>
                <w:highlight w:val="none"/>
                <w:u w:val="none"/>
                <w:lang w:val="en-US" w:eastAsia="zh-CN" w:bidi="ar"/>
              </w:rPr>
              <w:t>序号</w:t>
            </w:r>
          </w:p>
        </w:tc>
        <w:tc>
          <w:tcPr>
            <w:tcW w:w="2863" w:type="dxa"/>
            <w:tcBorders>
              <w:top w:val="single" w:color="000000" w:sz="4" w:space="0"/>
              <w:left w:val="single" w:color="000000" w:sz="4" w:space="0"/>
              <w:bottom w:val="single" w:color="auto"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shd w:val="clear"/>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highlight w:val="none"/>
                <w:u w:val="none"/>
              </w:rPr>
            </w:pPr>
            <w:r>
              <w:rPr>
                <w:rFonts w:hint="default" w:ascii="Times New Roman" w:hAnsi="Times New Roman" w:eastAsia="等线" w:cs="Times New Roman"/>
                <w:i w:val="0"/>
                <w:snapToGrid w:val="0"/>
                <w:color w:val="auto"/>
                <w:kern w:val="0"/>
                <w:sz w:val="24"/>
                <w:szCs w:val="24"/>
                <w:highlight w:val="none"/>
                <w:u w:val="none"/>
                <w:lang w:val="en-US" w:eastAsia="zh-CN" w:bidi="ar"/>
              </w:rPr>
              <w:t>设备材料表</w:t>
            </w:r>
          </w:p>
        </w:tc>
        <w:tc>
          <w:tcPr>
            <w:tcW w:w="3849" w:type="dxa"/>
            <w:tcBorders>
              <w:top w:val="single" w:color="000000" w:sz="4" w:space="0"/>
              <w:left w:val="single" w:color="000000" w:sz="4" w:space="0"/>
              <w:bottom w:val="single" w:color="auto"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shd w:val="clear"/>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highlight w:val="none"/>
                <w:u w:val="none"/>
              </w:rPr>
            </w:pPr>
            <w:r>
              <w:rPr>
                <w:rFonts w:hint="default" w:ascii="Times New Roman" w:hAnsi="Times New Roman" w:eastAsia="等线" w:cs="Times New Roman"/>
                <w:i w:val="0"/>
                <w:snapToGrid w:val="0"/>
                <w:color w:val="auto"/>
                <w:kern w:val="0"/>
                <w:sz w:val="24"/>
                <w:szCs w:val="24"/>
                <w:highlight w:val="none"/>
                <w:u w:val="none"/>
                <w:lang w:val="en-US" w:eastAsia="zh-CN" w:bidi="ar"/>
              </w:rPr>
              <w:t>参数</w:t>
            </w:r>
          </w:p>
        </w:tc>
        <w:tc>
          <w:tcPr>
            <w:tcW w:w="497" w:type="dxa"/>
            <w:tcBorders>
              <w:top w:val="single" w:color="000000" w:sz="4" w:space="0"/>
              <w:left w:val="single" w:color="000000" w:sz="4" w:space="0"/>
              <w:bottom w:val="single" w:color="auto"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shd w:val="clear"/>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highlight w:val="none"/>
                <w:u w:val="none"/>
              </w:rPr>
            </w:pPr>
            <w:r>
              <w:rPr>
                <w:rFonts w:hint="default" w:ascii="Times New Roman" w:hAnsi="Times New Roman" w:eastAsia="等线" w:cs="Times New Roman"/>
                <w:i w:val="0"/>
                <w:snapToGrid w:val="0"/>
                <w:color w:val="auto"/>
                <w:kern w:val="0"/>
                <w:sz w:val="24"/>
                <w:szCs w:val="24"/>
                <w:highlight w:val="none"/>
                <w:u w:val="none"/>
                <w:lang w:val="en-US" w:eastAsia="zh-CN" w:bidi="ar"/>
              </w:rPr>
              <w:t>单位</w:t>
            </w:r>
          </w:p>
        </w:tc>
        <w:tc>
          <w:tcPr>
            <w:tcW w:w="1266" w:type="dxa"/>
            <w:tcBorders>
              <w:top w:val="single" w:color="000000" w:sz="4" w:space="0"/>
              <w:left w:val="single" w:color="000000" w:sz="4" w:space="0"/>
              <w:bottom w:val="single" w:color="auto"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shd w:val="clear"/>
              <w:spacing w:beforeLines="0" w:afterLines="0" w:line="240" w:lineRule="auto"/>
              <w:ind w:firstLine="0" w:firstLineChars="0"/>
              <w:jc w:val="center"/>
              <w:textAlignment w:val="center"/>
              <w:rPr>
                <w:rFonts w:hint="default" w:ascii="Times New Roman" w:hAnsi="Times New Roman" w:eastAsia="宋体" w:cs="Times New Roman"/>
                <w:i w:val="0"/>
                <w:color w:val="auto"/>
                <w:sz w:val="24"/>
                <w:szCs w:val="24"/>
                <w:highlight w:val="none"/>
                <w:u w:val="none"/>
              </w:rPr>
            </w:pPr>
            <w:r>
              <w:rPr>
                <w:rFonts w:hint="default" w:ascii="Times New Roman" w:hAnsi="Times New Roman" w:eastAsia="等线" w:cs="Times New Roman"/>
                <w:i w:val="0"/>
                <w:snapToGrid w:val="0"/>
                <w:color w:val="auto"/>
                <w:kern w:val="0"/>
                <w:sz w:val="24"/>
                <w:szCs w:val="24"/>
                <w:highlight w:val="none"/>
                <w:u w:val="none"/>
                <w:lang w:val="en-US" w:eastAsia="zh-CN" w:bidi="ar"/>
              </w:rPr>
              <w:t>数量</w:t>
            </w:r>
          </w:p>
        </w:tc>
        <w:tc>
          <w:tcPr>
            <w:tcW w:w="5010" w:type="dxa"/>
            <w:tcBorders>
              <w:top w:val="single" w:color="000000" w:sz="4" w:space="0"/>
              <w:left w:val="single" w:color="000000" w:sz="4" w:space="0"/>
              <w:bottom w:val="single" w:color="auto"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shd w:val="clear"/>
              <w:spacing w:beforeLines="0" w:afterLines="0" w:line="240" w:lineRule="auto"/>
              <w:ind w:firstLine="0" w:firstLineChars="0"/>
              <w:jc w:val="left"/>
              <w:textAlignment w:val="center"/>
              <w:rPr>
                <w:rFonts w:hint="default" w:ascii="Times New Roman" w:hAnsi="Times New Roman" w:eastAsia="宋体" w:cs="Times New Roman"/>
                <w:i w:val="0"/>
                <w:color w:val="auto"/>
                <w:sz w:val="24"/>
                <w:szCs w:val="24"/>
                <w:highlight w:val="none"/>
                <w:u w:val="none"/>
              </w:rPr>
            </w:pPr>
            <w:r>
              <w:rPr>
                <w:rFonts w:hint="default" w:ascii="Times New Roman" w:hAnsi="Times New Roman" w:eastAsia="等线" w:cs="Times New Roman"/>
                <w:i w:val="0"/>
                <w:snapToGrid w:val="0"/>
                <w:color w:val="auto"/>
                <w:kern w:val="0"/>
                <w:sz w:val="24"/>
                <w:szCs w:val="24"/>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497"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keepNext w:val="0"/>
              <w:keepLines w:val="0"/>
              <w:widowControl/>
              <w:suppressLineNumbers w:val="0"/>
              <w:shd w:val="clear"/>
              <w:spacing w:beforeLines="0" w:afterLines="0" w:line="240" w:lineRule="auto"/>
              <w:ind w:firstLine="0" w:firstLineChars="0"/>
              <w:jc w:val="left"/>
              <w:textAlignment w:val="center"/>
              <w:rPr>
                <w:rFonts w:hint="default" w:ascii="Times New Roman" w:hAnsi="Times New Roman" w:eastAsia="宋体" w:cs="Times New Roman"/>
                <w:i w:val="0"/>
                <w:color w:val="auto"/>
                <w:kern w:val="2"/>
                <w:sz w:val="24"/>
                <w:szCs w:val="24"/>
                <w:highlight w:val="none"/>
                <w:u w:val="none"/>
                <w:lang w:val="en-US" w:eastAsia="zh-CN" w:bidi="ar-SA"/>
              </w:rPr>
            </w:pPr>
            <w:r>
              <w:rPr>
                <w:rFonts w:hint="eastAsia" w:ascii="Times New Roman" w:hAnsi="Times New Roman" w:cs="Times New Roman"/>
                <w:i w:val="0"/>
                <w:snapToGrid w:val="0"/>
                <w:color w:val="auto"/>
                <w:kern w:val="0"/>
                <w:sz w:val="24"/>
                <w:szCs w:val="24"/>
                <w:highlight w:val="none"/>
                <w:u w:val="none"/>
                <w:lang w:val="en-US" w:eastAsia="zh-CN" w:bidi="ar"/>
              </w:rPr>
              <w:t>1</w:t>
            </w:r>
          </w:p>
        </w:tc>
        <w:tc>
          <w:tcPr>
            <w:tcW w:w="2863"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keepNext w:val="0"/>
              <w:keepLines w:val="0"/>
              <w:widowControl/>
              <w:suppressLineNumbers w:val="0"/>
              <w:shd w:val="clear"/>
              <w:spacing w:beforeLines="0" w:afterLines="0" w:line="240" w:lineRule="auto"/>
              <w:ind w:firstLine="0" w:firstLineChars="0"/>
              <w:jc w:val="left"/>
              <w:textAlignment w:val="center"/>
              <w:rPr>
                <w:rFonts w:hint="default" w:ascii="Times New Roman" w:hAnsi="Times New Roman" w:eastAsia="宋体"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变流升压设备</w:t>
            </w:r>
          </w:p>
        </w:tc>
        <w:tc>
          <w:tcPr>
            <w:tcW w:w="3849"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keepNext w:val="0"/>
              <w:keepLines w:val="0"/>
              <w:widowControl/>
              <w:suppressLineNumbers w:val="0"/>
              <w:shd w:val="clear"/>
              <w:spacing w:beforeLines="0" w:afterLines="0" w:line="240" w:lineRule="auto"/>
              <w:ind w:firstLine="0" w:firstLineChars="0"/>
              <w:jc w:val="left"/>
              <w:textAlignment w:val="center"/>
              <w:rPr>
                <w:rFonts w:hint="default" w:ascii="Times New Roman" w:hAnsi="Times New Roman" w:eastAsia="宋体" w:cs="Times New Roman"/>
                <w:i w:val="0"/>
                <w:color w:val="auto"/>
                <w:kern w:val="2"/>
                <w:sz w:val="24"/>
                <w:szCs w:val="24"/>
                <w:highlight w:val="none"/>
                <w:u w:val="none"/>
                <w:lang w:val="en-US" w:eastAsia="zh-CN" w:bidi="ar-SA"/>
              </w:rPr>
            </w:pPr>
            <w:r>
              <w:rPr>
                <w:rFonts w:hint="default" w:ascii="Times New Roman" w:hAnsi="Times New Roman" w:eastAsia="宋体" w:cs="Times New Roman"/>
                <w:i w:val="0"/>
                <w:snapToGrid w:val="0"/>
                <w:color w:val="auto"/>
                <w:kern w:val="0"/>
                <w:sz w:val="24"/>
                <w:szCs w:val="24"/>
                <w:highlight w:val="none"/>
                <w:u w:val="none"/>
                <w:lang w:val="en-US" w:eastAsia="zh-CN" w:bidi="ar"/>
              </w:rPr>
              <w:t>2MW</w:t>
            </w:r>
          </w:p>
        </w:tc>
        <w:tc>
          <w:tcPr>
            <w:tcW w:w="497"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keepNext w:val="0"/>
              <w:keepLines w:val="0"/>
              <w:widowControl/>
              <w:suppressLineNumbers w:val="0"/>
              <w:shd w:val="clear"/>
              <w:spacing w:beforeLines="0" w:afterLines="0" w:line="240" w:lineRule="auto"/>
              <w:ind w:firstLine="0" w:firstLineChars="0"/>
              <w:jc w:val="center"/>
              <w:textAlignment w:val="center"/>
              <w:rPr>
                <w:rFonts w:hint="default" w:ascii="Times New Roman" w:hAnsi="Times New Roman" w:eastAsia="宋体"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套</w:t>
            </w:r>
          </w:p>
        </w:tc>
        <w:tc>
          <w:tcPr>
            <w:tcW w:w="1266"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keepNext w:val="0"/>
              <w:keepLines w:val="0"/>
              <w:widowControl/>
              <w:suppressLineNumbers w:val="0"/>
              <w:shd w:val="clear"/>
              <w:spacing w:beforeLines="0" w:afterLines="0" w:line="240" w:lineRule="auto"/>
              <w:ind w:firstLine="0" w:firstLineChars="0"/>
              <w:jc w:val="center"/>
              <w:textAlignment w:val="center"/>
              <w:rPr>
                <w:rFonts w:hint="default" w:ascii="Times New Roman" w:hAnsi="Times New Roman" w:eastAsia="宋体" w:cs="Times New Roman"/>
                <w:i w:val="0"/>
                <w:color w:val="auto"/>
                <w:kern w:val="2"/>
                <w:sz w:val="24"/>
                <w:szCs w:val="24"/>
                <w:highlight w:val="none"/>
                <w:u w:val="none"/>
                <w:lang w:val="en-US" w:eastAsia="zh-CN" w:bidi="ar-SA"/>
              </w:rPr>
            </w:pPr>
            <w:r>
              <w:rPr>
                <w:rFonts w:hint="default" w:ascii="Times New Roman" w:hAnsi="Times New Roman" w:eastAsia="宋体" w:cs="Times New Roman"/>
                <w:i w:val="0"/>
                <w:snapToGrid w:val="0"/>
                <w:color w:val="auto"/>
                <w:kern w:val="0"/>
                <w:sz w:val="24"/>
                <w:szCs w:val="24"/>
                <w:highlight w:val="none"/>
                <w:u w:val="none"/>
                <w:lang w:val="en-US" w:eastAsia="zh-CN" w:bidi="ar"/>
              </w:rPr>
              <w:t>1</w:t>
            </w:r>
          </w:p>
        </w:tc>
        <w:tc>
          <w:tcPr>
            <w:tcW w:w="5010"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shd w:val="clear"/>
              <w:spacing w:beforeLines="0" w:afterLines="0" w:line="240" w:lineRule="auto"/>
              <w:ind w:firstLine="0" w:firstLineChars="0"/>
              <w:jc w:val="left"/>
              <w:rPr>
                <w:rFonts w:hint="default" w:ascii="Times New Roman" w:hAnsi="Times New Roman" w:eastAsia="宋体" w:cs="Times New Roman"/>
                <w:i w:val="0"/>
                <w:color w:val="auto"/>
                <w:kern w:val="2"/>
                <w:sz w:val="24"/>
                <w:szCs w:val="24"/>
                <w:highlight w:val="none"/>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hd w:val="clear"/>
              <w:spacing w:beforeLines="0" w:afterLines="0" w:line="240" w:lineRule="auto"/>
              <w:ind w:firstLine="0" w:firstLineChars="0"/>
              <w:jc w:val="left"/>
              <w:textAlignment w:val="center"/>
              <w:rPr>
                <w:rFonts w:hint="default" w:ascii="Times New Roman" w:hAnsi="Times New Roman" w:eastAsia="宋体" w:cs="Times New Roman"/>
                <w:i w:val="0"/>
                <w:color w:val="auto"/>
                <w:kern w:val="2"/>
                <w:sz w:val="24"/>
                <w:szCs w:val="24"/>
                <w:highlight w:val="none"/>
                <w:u w:val="none"/>
                <w:lang w:val="en-US" w:eastAsia="zh-CN" w:bidi="ar-SA"/>
              </w:rPr>
            </w:pPr>
            <w:r>
              <w:rPr>
                <w:rFonts w:hint="eastAsia" w:ascii="Times New Roman" w:hAnsi="Times New Roman" w:cs="Times New Roman"/>
                <w:i w:val="0"/>
                <w:snapToGrid w:val="0"/>
                <w:color w:val="auto"/>
                <w:kern w:val="0"/>
                <w:sz w:val="24"/>
                <w:szCs w:val="24"/>
                <w:highlight w:val="none"/>
                <w:u w:val="none"/>
                <w:lang w:val="en-US" w:eastAsia="zh-CN" w:bidi="ar"/>
              </w:rPr>
              <w:t>1</w:t>
            </w:r>
            <w:r>
              <w:rPr>
                <w:rFonts w:hint="default" w:ascii="Times New Roman" w:hAnsi="Times New Roman" w:eastAsia="宋体" w:cs="Times New Roman"/>
                <w:i w:val="0"/>
                <w:snapToGrid w:val="0"/>
                <w:color w:val="auto"/>
                <w:kern w:val="0"/>
                <w:sz w:val="24"/>
                <w:szCs w:val="24"/>
                <w:highlight w:val="none"/>
                <w:u w:val="none"/>
                <w:lang w:val="en-US" w:eastAsia="zh-CN" w:bidi="ar"/>
              </w:rPr>
              <w:t>.1</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hd w:val="clear"/>
              <w:spacing w:beforeLines="0" w:afterLines="0" w:line="240" w:lineRule="auto"/>
              <w:ind w:firstLine="0" w:firstLineChars="0"/>
              <w:jc w:val="left"/>
              <w:textAlignment w:val="center"/>
              <w:rPr>
                <w:rFonts w:hint="default" w:ascii="Times New Roman" w:hAnsi="Times New Roman" w:eastAsia="宋体"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变流器</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hd w:val="clear"/>
              <w:spacing w:beforeLines="0" w:afterLines="0" w:line="240" w:lineRule="auto"/>
              <w:ind w:firstLine="0" w:firstLineChars="0"/>
              <w:jc w:val="left"/>
              <w:textAlignment w:val="center"/>
              <w:rPr>
                <w:rFonts w:hint="default" w:ascii="Times New Roman" w:hAnsi="Times New Roman" w:eastAsia="宋体" w:cs="Times New Roman"/>
                <w:i w:val="0"/>
                <w:color w:val="auto"/>
                <w:kern w:val="2"/>
                <w:sz w:val="24"/>
                <w:szCs w:val="24"/>
                <w:highlight w:val="none"/>
                <w:u w:val="none"/>
                <w:lang w:val="en-US" w:eastAsia="zh-CN" w:bidi="ar-SA"/>
              </w:rPr>
            </w:pPr>
            <w:r>
              <w:rPr>
                <w:rFonts w:hint="default" w:ascii="Times New Roman" w:hAnsi="Times New Roman" w:eastAsia="宋体" w:cs="Times New Roman"/>
                <w:i w:val="0"/>
                <w:snapToGrid w:val="0"/>
                <w:color w:val="auto"/>
                <w:kern w:val="0"/>
                <w:sz w:val="24"/>
                <w:szCs w:val="24"/>
                <w:highlight w:val="none"/>
                <w:u w:val="none"/>
                <w:lang w:val="en-US" w:eastAsia="zh-CN" w:bidi="ar"/>
              </w:rPr>
              <w:t>2MW变流器</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hd w:val="clear"/>
              <w:spacing w:beforeLines="0" w:afterLines="0" w:line="240" w:lineRule="auto"/>
              <w:ind w:firstLine="0" w:firstLineChars="0"/>
              <w:jc w:val="center"/>
              <w:textAlignment w:val="center"/>
              <w:rPr>
                <w:rFonts w:hint="default" w:ascii="Times New Roman" w:hAnsi="Times New Roman" w:eastAsia="宋体"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台</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hd w:val="clear"/>
              <w:spacing w:beforeLines="0" w:afterLines="0" w:line="240" w:lineRule="auto"/>
              <w:ind w:firstLine="0" w:firstLineChars="0"/>
              <w:jc w:val="center"/>
              <w:textAlignment w:val="center"/>
              <w:rPr>
                <w:rFonts w:hint="default" w:ascii="Times New Roman" w:hAnsi="Times New Roman" w:eastAsia="宋体" w:cs="Times New Roman"/>
                <w:i w:val="0"/>
                <w:color w:val="auto"/>
                <w:kern w:val="2"/>
                <w:sz w:val="24"/>
                <w:szCs w:val="24"/>
                <w:highlight w:val="none"/>
                <w:u w:val="none"/>
                <w:lang w:val="en-US" w:eastAsia="zh-CN" w:bidi="ar-SA"/>
              </w:rPr>
            </w:pPr>
            <w:r>
              <w:rPr>
                <w:rFonts w:hint="default" w:ascii="Times New Roman" w:hAnsi="Times New Roman" w:eastAsia="宋体" w:cs="Times New Roman"/>
                <w:i w:val="0"/>
                <w:snapToGrid w:val="0"/>
                <w:color w:val="auto"/>
                <w:kern w:val="0"/>
                <w:sz w:val="24"/>
                <w:szCs w:val="24"/>
                <w:highlight w:val="none"/>
                <w:u w:val="none"/>
                <w:lang w:val="en-US" w:eastAsia="zh-CN" w:bidi="ar"/>
              </w:rPr>
              <w:t>1</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shd w:val="clear"/>
              <w:spacing w:beforeLines="0" w:afterLines="0" w:line="240" w:lineRule="auto"/>
              <w:ind w:firstLine="0" w:firstLineChars="0"/>
              <w:jc w:val="left"/>
              <w:rPr>
                <w:rFonts w:hint="default" w:ascii="Times New Roman" w:hAnsi="Times New Roman" w:eastAsia="宋体" w:cs="Times New Roman"/>
                <w:i w:val="0"/>
                <w:color w:val="auto"/>
                <w:kern w:val="2"/>
                <w:sz w:val="24"/>
                <w:szCs w:val="24"/>
                <w:highlight w:val="none"/>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hd w:val="clear"/>
              <w:spacing w:beforeLines="0" w:afterLines="0" w:line="240" w:lineRule="auto"/>
              <w:ind w:firstLine="0" w:firstLineChars="0"/>
              <w:jc w:val="left"/>
              <w:textAlignment w:val="center"/>
              <w:rPr>
                <w:rFonts w:hint="default" w:ascii="Times New Roman" w:hAnsi="Times New Roman" w:eastAsia="宋体" w:cs="Times New Roman"/>
                <w:i w:val="0"/>
                <w:color w:val="auto"/>
                <w:kern w:val="2"/>
                <w:sz w:val="24"/>
                <w:szCs w:val="24"/>
                <w:highlight w:val="none"/>
                <w:u w:val="none"/>
                <w:lang w:val="en-US" w:eastAsia="zh-CN" w:bidi="ar-SA"/>
              </w:rPr>
            </w:pPr>
            <w:r>
              <w:rPr>
                <w:rFonts w:hint="eastAsia" w:ascii="Times New Roman" w:hAnsi="Times New Roman" w:cs="Times New Roman"/>
                <w:i w:val="0"/>
                <w:snapToGrid w:val="0"/>
                <w:color w:val="auto"/>
                <w:kern w:val="0"/>
                <w:sz w:val="24"/>
                <w:szCs w:val="24"/>
                <w:highlight w:val="none"/>
                <w:u w:val="none"/>
                <w:lang w:val="en-US" w:eastAsia="zh-CN" w:bidi="ar"/>
              </w:rPr>
              <w:t>1</w:t>
            </w:r>
            <w:r>
              <w:rPr>
                <w:rFonts w:hint="default" w:ascii="Times New Roman" w:hAnsi="Times New Roman" w:eastAsia="宋体" w:cs="Times New Roman"/>
                <w:i w:val="0"/>
                <w:snapToGrid w:val="0"/>
                <w:color w:val="auto"/>
                <w:kern w:val="0"/>
                <w:sz w:val="24"/>
                <w:szCs w:val="24"/>
                <w:highlight w:val="none"/>
                <w:u w:val="none"/>
                <w:lang w:val="en-US" w:eastAsia="zh-CN" w:bidi="ar"/>
              </w:rPr>
              <w:t>.2</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hd w:val="clear"/>
              <w:spacing w:beforeLines="0" w:afterLines="0" w:line="240" w:lineRule="auto"/>
              <w:ind w:firstLine="0" w:firstLineChars="0"/>
              <w:jc w:val="left"/>
              <w:textAlignment w:val="center"/>
              <w:rPr>
                <w:rFonts w:hint="default" w:ascii="Times New Roman" w:hAnsi="Times New Roman" w:eastAsia="宋体"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升压隔离变压器</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hd w:val="clear"/>
              <w:spacing w:beforeLines="0" w:afterLines="0" w:line="240" w:lineRule="auto"/>
              <w:ind w:firstLine="0" w:firstLineChars="0"/>
              <w:jc w:val="left"/>
              <w:textAlignment w:val="center"/>
              <w:rPr>
                <w:rFonts w:hint="default" w:ascii="Times New Roman" w:hAnsi="Times New Roman" w:eastAsia="宋体" w:cs="Times New Roman"/>
                <w:i w:val="0"/>
                <w:color w:val="auto"/>
                <w:kern w:val="2"/>
                <w:sz w:val="24"/>
                <w:szCs w:val="24"/>
                <w:highlight w:val="none"/>
                <w:u w:val="none"/>
                <w:lang w:val="en-US" w:eastAsia="zh-CN" w:bidi="ar-SA"/>
              </w:rPr>
            </w:pPr>
            <w:r>
              <w:rPr>
                <w:rFonts w:hint="default" w:ascii="Times New Roman" w:hAnsi="Times New Roman" w:eastAsia="宋体" w:cs="Times New Roman"/>
                <w:i w:val="0"/>
                <w:snapToGrid w:val="0"/>
                <w:color w:val="auto"/>
                <w:kern w:val="0"/>
                <w:sz w:val="24"/>
                <w:szCs w:val="24"/>
                <w:highlight w:val="none"/>
                <w:u w:val="none"/>
                <w:lang w:val="en-US" w:eastAsia="zh-CN" w:bidi="ar"/>
              </w:rPr>
              <w:t>2000kVA，10kV/0.69kV</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hd w:val="clear"/>
              <w:spacing w:beforeLines="0" w:afterLines="0" w:line="240" w:lineRule="auto"/>
              <w:ind w:firstLine="0" w:firstLineChars="0"/>
              <w:jc w:val="center"/>
              <w:textAlignment w:val="center"/>
              <w:rPr>
                <w:rFonts w:hint="default" w:ascii="Times New Roman" w:hAnsi="Times New Roman" w:eastAsia="宋体"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台</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hd w:val="clear"/>
              <w:spacing w:beforeLines="0" w:afterLines="0" w:line="240" w:lineRule="auto"/>
              <w:ind w:firstLine="0" w:firstLineChars="0"/>
              <w:jc w:val="center"/>
              <w:textAlignment w:val="center"/>
              <w:rPr>
                <w:rFonts w:hint="default" w:ascii="Times New Roman" w:hAnsi="Times New Roman" w:eastAsia="宋体" w:cs="Times New Roman"/>
                <w:i w:val="0"/>
                <w:color w:val="auto"/>
                <w:kern w:val="2"/>
                <w:sz w:val="24"/>
                <w:szCs w:val="24"/>
                <w:highlight w:val="none"/>
                <w:u w:val="none"/>
                <w:lang w:val="en-US" w:eastAsia="zh-CN" w:bidi="ar-SA"/>
              </w:rPr>
            </w:pPr>
            <w:r>
              <w:rPr>
                <w:rFonts w:hint="default" w:ascii="Times New Roman" w:hAnsi="Times New Roman" w:eastAsia="宋体" w:cs="Times New Roman"/>
                <w:i w:val="0"/>
                <w:snapToGrid w:val="0"/>
                <w:color w:val="auto"/>
                <w:kern w:val="0"/>
                <w:sz w:val="24"/>
                <w:szCs w:val="24"/>
                <w:highlight w:val="none"/>
                <w:u w:val="none"/>
                <w:lang w:val="en-US" w:eastAsia="zh-CN" w:bidi="ar"/>
              </w:rPr>
              <w:t>1</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shd w:val="clear"/>
              <w:spacing w:beforeLines="0" w:afterLines="0" w:line="240" w:lineRule="auto"/>
              <w:ind w:firstLine="0" w:firstLineChars="0"/>
              <w:jc w:val="left"/>
              <w:rPr>
                <w:rFonts w:hint="default" w:ascii="Times New Roman" w:hAnsi="Times New Roman" w:eastAsia="宋体" w:cs="Times New Roman"/>
                <w:i w:val="0"/>
                <w:color w:val="auto"/>
                <w:kern w:val="2"/>
                <w:sz w:val="24"/>
                <w:szCs w:val="24"/>
                <w:highlight w:val="none"/>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kern w:val="2"/>
                <w:sz w:val="24"/>
                <w:szCs w:val="24"/>
                <w:highlight w:val="none"/>
                <w:u w:val="none"/>
                <w:lang w:val="en-US" w:eastAsia="zh-CN" w:bidi="ar-SA"/>
              </w:rPr>
            </w:pPr>
            <w:r>
              <w:rPr>
                <w:rFonts w:hint="eastAsia" w:ascii="Times New Roman" w:hAnsi="Times New Roman" w:cs="Times New Roman"/>
                <w:i w:val="0"/>
                <w:snapToGrid w:val="0"/>
                <w:color w:val="auto"/>
                <w:kern w:val="0"/>
                <w:sz w:val="24"/>
                <w:szCs w:val="24"/>
                <w:highlight w:val="none"/>
                <w:u w:val="none"/>
                <w:lang w:val="en-US" w:eastAsia="zh-CN" w:bidi="ar"/>
              </w:rPr>
              <w:t>1</w:t>
            </w:r>
            <w:r>
              <w:rPr>
                <w:rFonts w:hint="default" w:ascii="Times New Roman" w:hAnsi="Times New Roman" w:eastAsia="宋体" w:cs="Times New Roman"/>
                <w:i w:val="0"/>
                <w:snapToGrid w:val="0"/>
                <w:color w:val="auto"/>
                <w:kern w:val="0"/>
                <w:sz w:val="24"/>
                <w:szCs w:val="24"/>
                <w:highlight w:val="none"/>
                <w:u w:val="none"/>
                <w:lang w:val="en-US" w:eastAsia="zh-CN" w:bidi="ar"/>
              </w:rPr>
              <w:t>.3</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组合开关柜</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高低压侧断路器</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套</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kern w:val="2"/>
                <w:sz w:val="24"/>
                <w:szCs w:val="24"/>
                <w:highlight w:val="none"/>
                <w:u w:val="none"/>
                <w:lang w:val="en-US" w:eastAsia="zh-CN" w:bidi="ar-SA"/>
              </w:rPr>
            </w:pPr>
            <w:r>
              <w:rPr>
                <w:rFonts w:hint="default" w:ascii="Times New Roman" w:hAnsi="Times New Roman" w:eastAsia="宋体" w:cs="Times New Roman"/>
                <w:i w:val="0"/>
                <w:snapToGrid w:val="0"/>
                <w:color w:val="auto"/>
                <w:kern w:val="0"/>
                <w:sz w:val="24"/>
                <w:szCs w:val="24"/>
                <w:highlight w:val="none"/>
                <w:u w:val="none"/>
                <w:lang w:val="en-US" w:eastAsia="zh-CN" w:bidi="ar"/>
              </w:rPr>
              <w:t>1</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spacing w:beforeLines="0" w:afterLines="0" w:line="240" w:lineRule="auto"/>
              <w:ind w:firstLine="0" w:firstLineChars="0"/>
              <w:jc w:val="left"/>
              <w:rPr>
                <w:rFonts w:hint="default" w:ascii="Times New Roman" w:hAnsi="Times New Roman" w:eastAsia="宋体" w:cs="Times New Roman"/>
                <w:i w:val="0"/>
                <w:color w:val="auto"/>
                <w:kern w:val="2"/>
                <w:sz w:val="24"/>
                <w:szCs w:val="24"/>
                <w:highlight w:val="none"/>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kern w:val="2"/>
                <w:sz w:val="24"/>
                <w:szCs w:val="24"/>
                <w:highlight w:val="none"/>
                <w:u w:val="none"/>
                <w:lang w:val="en-US" w:eastAsia="zh-CN" w:bidi="ar-SA"/>
              </w:rPr>
            </w:pPr>
            <w:r>
              <w:rPr>
                <w:rFonts w:hint="eastAsia" w:ascii="Times New Roman" w:hAnsi="Times New Roman" w:cs="Times New Roman"/>
                <w:i w:val="0"/>
                <w:snapToGrid w:val="0"/>
                <w:color w:val="auto"/>
                <w:kern w:val="0"/>
                <w:sz w:val="24"/>
                <w:szCs w:val="24"/>
                <w:highlight w:val="none"/>
                <w:u w:val="none"/>
                <w:lang w:val="en-US" w:eastAsia="zh-CN" w:bidi="ar"/>
              </w:rPr>
              <w:t>1</w:t>
            </w:r>
            <w:r>
              <w:rPr>
                <w:rFonts w:hint="default" w:ascii="Times New Roman" w:hAnsi="Times New Roman" w:eastAsia="宋体" w:cs="Times New Roman"/>
                <w:i w:val="0"/>
                <w:snapToGrid w:val="0"/>
                <w:color w:val="auto"/>
                <w:kern w:val="0"/>
                <w:sz w:val="24"/>
                <w:szCs w:val="24"/>
                <w:highlight w:val="none"/>
                <w:u w:val="none"/>
                <w:lang w:val="en-US" w:eastAsia="zh-CN" w:bidi="ar"/>
              </w:rPr>
              <w:t>.4</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就地通讯设备</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spacing w:beforeLines="0" w:afterLines="0" w:line="240" w:lineRule="auto"/>
              <w:ind w:firstLine="0" w:firstLineChars="0"/>
              <w:jc w:val="left"/>
              <w:rPr>
                <w:rFonts w:hint="default" w:ascii="Times New Roman" w:hAnsi="Times New Roman" w:eastAsia="宋体" w:cs="Times New Roman"/>
                <w:i w:val="0"/>
                <w:color w:val="auto"/>
                <w:kern w:val="2"/>
                <w:sz w:val="24"/>
                <w:szCs w:val="24"/>
                <w:highlight w:val="none"/>
                <w:u w:val="none"/>
                <w:lang w:val="en-US" w:eastAsia="zh-CN" w:bidi="ar-SA"/>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套</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kern w:val="2"/>
                <w:sz w:val="24"/>
                <w:szCs w:val="24"/>
                <w:highlight w:val="none"/>
                <w:u w:val="none"/>
                <w:lang w:val="en-US" w:eastAsia="zh-CN" w:bidi="ar-SA"/>
              </w:rPr>
            </w:pPr>
            <w:r>
              <w:rPr>
                <w:rFonts w:hint="default" w:ascii="Times New Roman" w:hAnsi="Times New Roman" w:eastAsia="宋体" w:cs="Times New Roman"/>
                <w:i w:val="0"/>
                <w:snapToGrid w:val="0"/>
                <w:color w:val="auto"/>
                <w:kern w:val="0"/>
                <w:sz w:val="24"/>
                <w:szCs w:val="24"/>
                <w:highlight w:val="none"/>
                <w:u w:val="none"/>
                <w:lang w:val="en-US" w:eastAsia="zh-CN" w:bidi="ar"/>
              </w:rPr>
              <w:t>1</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集成于箱变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kern w:val="2"/>
                <w:sz w:val="24"/>
                <w:szCs w:val="24"/>
                <w:highlight w:val="none"/>
                <w:u w:val="none"/>
                <w:lang w:val="en-US" w:eastAsia="zh-CN" w:bidi="ar-SA"/>
              </w:rPr>
            </w:pPr>
            <w:r>
              <w:rPr>
                <w:rFonts w:hint="eastAsia" w:ascii="Times New Roman" w:hAnsi="Times New Roman" w:cs="Times New Roman"/>
                <w:i w:val="0"/>
                <w:snapToGrid w:val="0"/>
                <w:color w:val="auto"/>
                <w:kern w:val="0"/>
                <w:sz w:val="24"/>
                <w:szCs w:val="24"/>
                <w:highlight w:val="none"/>
                <w:u w:val="none"/>
                <w:lang w:val="en-US" w:eastAsia="zh-CN" w:bidi="ar"/>
              </w:rPr>
              <w:t>1</w:t>
            </w:r>
            <w:r>
              <w:rPr>
                <w:rFonts w:hint="default" w:ascii="Times New Roman" w:hAnsi="Times New Roman" w:eastAsia="宋体" w:cs="Times New Roman"/>
                <w:i w:val="0"/>
                <w:snapToGrid w:val="0"/>
                <w:color w:val="auto"/>
                <w:kern w:val="0"/>
                <w:sz w:val="24"/>
                <w:szCs w:val="24"/>
                <w:highlight w:val="none"/>
                <w:u w:val="none"/>
                <w:lang w:val="en-US" w:eastAsia="zh-CN" w:bidi="ar"/>
              </w:rPr>
              <w:t>.5</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kern w:val="2"/>
                <w:sz w:val="24"/>
                <w:szCs w:val="24"/>
                <w:highlight w:val="none"/>
                <w:u w:val="none"/>
                <w:lang w:val="en-US" w:eastAsia="zh-CN" w:bidi="ar-SA"/>
              </w:rPr>
            </w:pPr>
            <w:r>
              <w:rPr>
                <w:rFonts w:hint="default" w:ascii="Times New Roman" w:hAnsi="Times New Roman" w:eastAsia="宋体" w:cs="Times New Roman"/>
                <w:i w:val="0"/>
                <w:snapToGrid w:val="0"/>
                <w:color w:val="auto"/>
                <w:kern w:val="0"/>
                <w:sz w:val="24"/>
                <w:szCs w:val="24"/>
                <w:highlight w:val="none"/>
                <w:u w:val="none"/>
                <w:lang w:val="en-US" w:eastAsia="zh-CN" w:bidi="ar"/>
              </w:rPr>
              <w:t>UPS电源</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kern w:val="2"/>
                <w:sz w:val="24"/>
                <w:szCs w:val="24"/>
                <w:highlight w:val="none"/>
                <w:u w:val="none"/>
                <w:lang w:val="en-US" w:eastAsia="zh-CN" w:bidi="ar-SA"/>
              </w:rPr>
            </w:pPr>
            <w:r>
              <w:rPr>
                <w:rFonts w:hint="default" w:ascii="Times New Roman" w:hAnsi="Times New Roman" w:eastAsia="宋体" w:cs="Times New Roman"/>
                <w:i w:val="0"/>
                <w:snapToGrid w:val="0"/>
                <w:color w:val="auto"/>
                <w:kern w:val="0"/>
                <w:sz w:val="24"/>
                <w:szCs w:val="24"/>
                <w:highlight w:val="none"/>
                <w:u w:val="none"/>
                <w:lang w:val="en-US" w:eastAsia="zh-CN" w:bidi="ar"/>
              </w:rPr>
              <w:t>3kVA 1小时</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台</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kern w:val="2"/>
                <w:sz w:val="24"/>
                <w:szCs w:val="24"/>
                <w:highlight w:val="none"/>
                <w:u w:val="none"/>
                <w:lang w:val="en-US" w:eastAsia="zh-CN" w:bidi="ar-SA"/>
              </w:rPr>
            </w:pPr>
            <w:r>
              <w:rPr>
                <w:rFonts w:hint="default" w:ascii="Times New Roman" w:hAnsi="Times New Roman" w:eastAsia="宋体" w:cs="Times New Roman"/>
                <w:i w:val="0"/>
                <w:snapToGrid w:val="0"/>
                <w:color w:val="auto"/>
                <w:kern w:val="0"/>
                <w:sz w:val="24"/>
                <w:szCs w:val="24"/>
                <w:highlight w:val="none"/>
                <w:u w:val="none"/>
                <w:lang w:val="en-US" w:eastAsia="zh-CN" w:bidi="ar"/>
              </w:rPr>
              <w:t>1</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spacing w:beforeLines="0" w:afterLines="0" w:line="240" w:lineRule="auto"/>
              <w:ind w:firstLine="0" w:firstLineChars="0"/>
              <w:jc w:val="left"/>
              <w:rPr>
                <w:rFonts w:hint="default" w:ascii="Times New Roman" w:hAnsi="Times New Roman" w:eastAsia="宋体" w:cs="Times New Roman"/>
                <w:i w:val="0"/>
                <w:color w:val="auto"/>
                <w:kern w:val="2"/>
                <w:sz w:val="24"/>
                <w:szCs w:val="24"/>
                <w:highlight w:val="none"/>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kern w:val="2"/>
                <w:sz w:val="24"/>
                <w:szCs w:val="24"/>
                <w:highlight w:val="none"/>
                <w:u w:val="none"/>
                <w:lang w:val="en-US" w:eastAsia="zh-CN" w:bidi="ar-SA"/>
              </w:rPr>
            </w:pPr>
            <w:r>
              <w:rPr>
                <w:rFonts w:hint="eastAsia" w:ascii="Times New Roman" w:hAnsi="Times New Roman" w:cs="Times New Roman"/>
                <w:i w:val="0"/>
                <w:snapToGrid w:val="0"/>
                <w:color w:val="auto"/>
                <w:kern w:val="0"/>
                <w:sz w:val="24"/>
                <w:szCs w:val="24"/>
                <w:highlight w:val="none"/>
                <w:u w:val="none"/>
                <w:lang w:val="en-US" w:eastAsia="zh-CN" w:bidi="ar"/>
              </w:rPr>
              <w:t>1</w:t>
            </w:r>
            <w:r>
              <w:rPr>
                <w:rFonts w:hint="default" w:ascii="Times New Roman" w:hAnsi="Times New Roman" w:eastAsia="宋体" w:cs="Times New Roman"/>
                <w:i w:val="0"/>
                <w:snapToGrid w:val="0"/>
                <w:color w:val="auto"/>
                <w:kern w:val="0"/>
                <w:sz w:val="24"/>
                <w:szCs w:val="24"/>
                <w:highlight w:val="none"/>
                <w:u w:val="none"/>
                <w:lang w:val="en-US" w:eastAsia="zh-CN" w:bidi="ar"/>
              </w:rPr>
              <w:t>.6</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辅助变</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kern w:val="2"/>
                <w:sz w:val="24"/>
                <w:szCs w:val="24"/>
                <w:highlight w:val="none"/>
                <w:u w:val="none"/>
                <w:lang w:val="en-US" w:eastAsia="zh-CN" w:bidi="ar-SA"/>
              </w:rPr>
            </w:pPr>
            <w:r>
              <w:rPr>
                <w:rFonts w:hint="default" w:ascii="Times New Roman" w:hAnsi="Times New Roman" w:eastAsia="宋体" w:cs="Times New Roman"/>
                <w:i w:val="0"/>
                <w:snapToGrid w:val="0"/>
                <w:color w:val="auto"/>
                <w:kern w:val="0"/>
                <w:sz w:val="24"/>
                <w:szCs w:val="24"/>
                <w:highlight w:val="none"/>
                <w:u w:val="none"/>
                <w:lang w:val="en-US" w:eastAsia="zh-CN" w:bidi="ar"/>
              </w:rPr>
              <w:t>10kVA，0.69kV/0.38kV</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台</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kern w:val="2"/>
                <w:sz w:val="24"/>
                <w:szCs w:val="24"/>
                <w:highlight w:val="none"/>
                <w:u w:val="none"/>
                <w:lang w:val="en-US" w:eastAsia="zh-CN" w:bidi="ar-SA"/>
              </w:rPr>
            </w:pPr>
            <w:r>
              <w:rPr>
                <w:rFonts w:hint="default" w:ascii="Times New Roman" w:hAnsi="Times New Roman" w:eastAsia="宋体" w:cs="Times New Roman"/>
                <w:i w:val="0"/>
                <w:snapToGrid w:val="0"/>
                <w:color w:val="auto"/>
                <w:kern w:val="0"/>
                <w:sz w:val="24"/>
                <w:szCs w:val="24"/>
                <w:highlight w:val="none"/>
                <w:u w:val="none"/>
                <w:lang w:val="en-US" w:eastAsia="zh-CN" w:bidi="ar"/>
              </w:rPr>
              <w:t>1</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spacing w:beforeLines="0" w:afterLines="0" w:line="240" w:lineRule="auto"/>
              <w:ind w:firstLine="0" w:firstLineChars="0"/>
              <w:jc w:val="left"/>
              <w:rPr>
                <w:rFonts w:hint="default" w:ascii="Times New Roman" w:hAnsi="Times New Roman" w:eastAsia="宋体" w:cs="Times New Roman"/>
                <w:i w:val="0"/>
                <w:color w:val="auto"/>
                <w:kern w:val="2"/>
                <w:sz w:val="24"/>
                <w:szCs w:val="24"/>
                <w:highlight w:val="none"/>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13982" w:type="dxa"/>
            <w:gridSpan w:val="6"/>
            <w:tcBorders>
              <w:top w:val="single" w:color="auto" w:sz="4" w:space="0"/>
              <w:left w:val="single" w:color="auto" w:sz="4" w:space="0"/>
              <w:bottom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snapToGrid w:val="0"/>
                <w:color w:val="auto"/>
                <w:kern w:val="0"/>
                <w:sz w:val="24"/>
                <w:szCs w:val="24"/>
                <w:highlight w:val="none"/>
                <w:u w:val="none"/>
                <w:lang w:val="en-US" w:eastAsia="zh-CN" w:bidi="ar"/>
              </w:rPr>
            </w:pPr>
            <w:r>
              <w:rPr>
                <w:rFonts w:hint="default" w:ascii="Times New Roman" w:hAnsi="Times New Roman" w:eastAsia="等线" w:cs="Times New Roman"/>
                <w:b/>
                <w:i w:val="0"/>
                <w:snapToGrid w:val="0"/>
                <w:color w:val="auto"/>
                <w:kern w:val="0"/>
                <w:sz w:val="24"/>
                <w:szCs w:val="24"/>
                <w:highlight w:val="none"/>
                <w:u w:val="none"/>
                <w:lang w:val="en-US" w:eastAsia="zh-CN" w:bidi="ar"/>
              </w:rPr>
              <w:t>电气一次系统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序号</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设备材料表</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参数</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单位</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数量</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kern w:val="2"/>
                <w:sz w:val="24"/>
                <w:szCs w:val="24"/>
                <w:highlight w:val="none"/>
                <w:u w:val="none"/>
                <w:lang w:val="en-US" w:eastAsia="zh-CN" w:bidi="ar-SA"/>
              </w:rPr>
            </w:pPr>
            <w:r>
              <w:rPr>
                <w:rFonts w:hint="eastAsia" w:ascii="Times New Roman" w:hAnsi="Times New Roman" w:cs="Times New Roman"/>
                <w:i w:val="0"/>
                <w:snapToGrid w:val="0"/>
                <w:color w:val="auto"/>
                <w:kern w:val="0"/>
                <w:sz w:val="24"/>
                <w:szCs w:val="24"/>
                <w:highlight w:val="none"/>
                <w:u w:val="none"/>
                <w:lang w:val="en-US" w:eastAsia="zh-CN" w:bidi="ar"/>
              </w:rPr>
              <w:t>1</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一次预制舱</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宋体"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长：</w:t>
            </w:r>
            <w:r>
              <w:rPr>
                <w:rFonts w:hint="default" w:ascii="Times New Roman" w:hAnsi="Times New Roman" w:eastAsia="宋体" w:cs="Times New Roman"/>
                <w:i w:val="0"/>
                <w:snapToGrid w:val="0"/>
                <w:color w:val="auto"/>
                <w:kern w:val="0"/>
                <w:sz w:val="24"/>
                <w:szCs w:val="24"/>
                <w:highlight w:val="none"/>
                <w:u w:val="none"/>
                <w:lang w:val="en-US" w:eastAsia="zh-CN" w:bidi="ar"/>
              </w:rPr>
              <w:t>7.6，宽：3.7，高：3</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个</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宋体" w:cs="Times New Roman"/>
                <w:i w:val="0"/>
                <w:color w:val="auto"/>
                <w:kern w:val="2"/>
                <w:sz w:val="24"/>
                <w:szCs w:val="24"/>
                <w:highlight w:val="none"/>
                <w:u w:val="none"/>
                <w:lang w:val="en-US" w:eastAsia="zh-CN" w:bidi="ar-SA"/>
              </w:rPr>
            </w:pPr>
            <w:r>
              <w:rPr>
                <w:rFonts w:hint="default" w:ascii="Times New Roman" w:hAnsi="Times New Roman" w:eastAsia="宋体" w:cs="Times New Roman"/>
                <w:i w:val="0"/>
                <w:snapToGrid w:val="0"/>
                <w:color w:val="auto"/>
                <w:kern w:val="0"/>
                <w:sz w:val="24"/>
                <w:szCs w:val="24"/>
                <w:highlight w:val="none"/>
                <w:u w:val="none"/>
                <w:lang w:val="en-US" w:eastAsia="zh-CN" w:bidi="ar"/>
              </w:rPr>
              <w:t>1</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等线" w:cs="Times New Roman"/>
                <w:i w:val="0"/>
                <w:snapToGrid w:val="0"/>
                <w:color w:val="auto"/>
                <w:kern w:val="0"/>
                <w:sz w:val="24"/>
                <w:szCs w:val="24"/>
                <w:highlight w:val="none"/>
                <w:u w:val="none"/>
                <w:lang w:val="en-US" w:eastAsia="zh-CN" w:bidi="ar"/>
              </w:rPr>
            </w:pPr>
            <w:r>
              <w:rPr>
                <w:rFonts w:hint="default" w:ascii="Times New Roman" w:hAnsi="Times New Roman" w:eastAsia="等线" w:cs="Times New Roman"/>
                <w:i w:val="0"/>
                <w:snapToGrid w:val="0"/>
                <w:color w:val="auto"/>
                <w:kern w:val="0"/>
                <w:sz w:val="24"/>
                <w:szCs w:val="24"/>
                <w:highlight w:val="none"/>
                <w:u w:val="none"/>
                <w:lang w:val="en-US" w:eastAsia="zh-CN" w:bidi="ar"/>
              </w:rPr>
              <w:t>火灾报警主机及感温感烟探测器（按需）含空调</w:t>
            </w:r>
          </w:p>
          <w:tbl>
            <w:tblPr>
              <w:tblStyle w:val="22"/>
              <w:tblW w:w="1398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50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28" w:hRule="atLeast"/>
                <w:jc w:val="center"/>
              </w:trPr>
              <w:tc>
                <w:tcPr>
                  <w:tcW w:w="5028"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spacing w:beforeLines="0" w:afterLines="0" w:line="240" w:lineRule="auto"/>
                    <w:ind w:firstLine="0" w:firstLineChars="0"/>
                    <w:jc w:val="center"/>
                    <w:rPr>
                      <w:rFonts w:hint="default" w:ascii="Times New Roman" w:hAnsi="Times New Roman" w:eastAsia="等线" w:cs="Times New Roman"/>
                      <w:i w:val="0"/>
                      <w:color w:val="auto"/>
                      <w:sz w:val="24"/>
                      <w:szCs w:val="24"/>
                      <w:highlight w:val="none"/>
                      <w:u w:val="none"/>
                      <w:lang w:val="en-US" w:eastAsia="zh-CN"/>
                    </w:rPr>
                  </w:pPr>
                  <w:r>
                    <w:rPr>
                      <w:rFonts w:hint="eastAsia" w:eastAsia="等线" w:cs="Times New Roman"/>
                      <w:i w:val="0"/>
                      <w:color w:val="auto"/>
                      <w:sz w:val="24"/>
                      <w:szCs w:val="24"/>
                      <w:highlight w:val="none"/>
                      <w:u w:val="none"/>
                      <w:lang w:val="en-US" w:eastAsia="zh-CN"/>
                    </w:rPr>
                    <w:t>防护等级不低于IP66，钢板厚度不得小于2mm</w:t>
                  </w:r>
                </w:p>
              </w:tc>
            </w:tr>
          </w:tbl>
          <w:p>
            <w:pPr>
              <w:pStyle w:val="3"/>
              <w:spacing w:before="0" w:after="0" w:line="240" w:lineRule="auto"/>
              <w:rPr>
                <w:rFonts w:hint="default" w:ascii="Arial" w:hAnsi="Arial" w:eastAsia="黑体" w:cs="Arial"/>
                <w:b/>
                <w:bCs/>
                <w:color w:val="auto"/>
                <w:kern w:val="2"/>
                <w:sz w:val="32"/>
                <w:szCs w:val="32"/>
                <w:highlight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13982" w:type="dxa"/>
            <w:gridSpan w:val="6"/>
            <w:tcBorders>
              <w:top w:val="single" w:color="auto" w:sz="4" w:space="0"/>
              <w:left w:val="single" w:color="auto" w:sz="4" w:space="0"/>
              <w:bottom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snapToGrid w:val="0"/>
                <w:color w:val="auto"/>
                <w:kern w:val="0"/>
                <w:sz w:val="24"/>
                <w:szCs w:val="24"/>
                <w:highlight w:val="none"/>
                <w:u w:val="none"/>
                <w:lang w:val="en-US" w:eastAsia="zh-CN" w:bidi="ar"/>
              </w:rPr>
            </w:pPr>
            <w:r>
              <w:rPr>
                <w:rFonts w:hint="default" w:ascii="Times New Roman" w:hAnsi="Times New Roman" w:eastAsia="等线" w:cs="Times New Roman"/>
                <w:b/>
                <w:i w:val="0"/>
                <w:snapToGrid w:val="0"/>
                <w:color w:val="auto"/>
                <w:kern w:val="0"/>
                <w:sz w:val="24"/>
                <w:szCs w:val="24"/>
                <w:highlight w:val="none"/>
                <w:u w:val="none"/>
                <w:lang w:val="en-US" w:eastAsia="zh-CN" w:bidi="ar"/>
              </w:rPr>
              <w:t>电气二次材料表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序号</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名称</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参数</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单位</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数量</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b/>
                <w:i w:val="0"/>
                <w:color w:val="auto"/>
                <w:kern w:val="2"/>
                <w:sz w:val="24"/>
                <w:szCs w:val="24"/>
                <w:highlight w:val="none"/>
                <w:u w:val="none"/>
                <w:lang w:val="en-US" w:eastAsia="zh-CN" w:bidi="ar-SA"/>
              </w:rPr>
            </w:pPr>
            <w:r>
              <w:rPr>
                <w:rFonts w:hint="default" w:ascii="Times New Roman" w:hAnsi="Times New Roman" w:eastAsia="等线" w:cs="Times New Roman"/>
                <w:b/>
                <w:i w:val="0"/>
                <w:snapToGrid w:val="0"/>
                <w:color w:val="auto"/>
                <w:kern w:val="0"/>
                <w:sz w:val="24"/>
                <w:szCs w:val="24"/>
                <w:highlight w:val="none"/>
                <w:u w:val="none"/>
                <w:lang w:val="en-US" w:eastAsia="zh-CN" w:bidi="ar"/>
              </w:rPr>
              <w:t>一</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b/>
                <w:i w:val="0"/>
                <w:color w:val="auto"/>
                <w:kern w:val="2"/>
                <w:sz w:val="24"/>
                <w:szCs w:val="24"/>
                <w:highlight w:val="none"/>
                <w:u w:val="none"/>
                <w:lang w:val="en-US" w:eastAsia="zh-CN" w:bidi="ar-SA"/>
              </w:rPr>
            </w:pPr>
            <w:r>
              <w:rPr>
                <w:rFonts w:hint="default" w:ascii="Times New Roman" w:hAnsi="Times New Roman" w:eastAsia="等线" w:cs="Times New Roman"/>
                <w:b/>
                <w:i w:val="0"/>
                <w:snapToGrid w:val="0"/>
                <w:color w:val="auto"/>
                <w:kern w:val="0"/>
                <w:sz w:val="24"/>
                <w:szCs w:val="24"/>
                <w:highlight w:val="none"/>
                <w:u w:val="none"/>
                <w:lang w:val="en-US" w:eastAsia="zh-CN" w:bidi="ar"/>
              </w:rPr>
              <w:t>保护及监控系统</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spacing w:beforeLines="0" w:afterLines="0" w:line="240" w:lineRule="auto"/>
              <w:ind w:firstLine="0" w:firstLineChars="0"/>
              <w:jc w:val="center"/>
              <w:rPr>
                <w:rFonts w:hint="default" w:ascii="Times New Roman" w:hAnsi="Times New Roman" w:eastAsia="等线" w:cs="Times New Roman"/>
                <w:i w:val="0"/>
                <w:color w:val="auto"/>
                <w:kern w:val="2"/>
                <w:sz w:val="24"/>
                <w:szCs w:val="24"/>
                <w:highlight w:val="none"/>
                <w:u w:val="none"/>
                <w:lang w:val="en-US" w:eastAsia="zh-CN" w:bidi="ar-SA"/>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spacing w:beforeLines="0" w:afterLines="0" w:line="240" w:lineRule="auto"/>
              <w:ind w:firstLine="0" w:firstLineChars="0"/>
              <w:jc w:val="center"/>
              <w:rPr>
                <w:rFonts w:hint="default" w:ascii="Times New Roman" w:hAnsi="Times New Roman" w:eastAsia="等线" w:cs="Times New Roman"/>
                <w:i w:val="0"/>
                <w:color w:val="auto"/>
                <w:kern w:val="2"/>
                <w:sz w:val="24"/>
                <w:szCs w:val="24"/>
                <w:highlight w:val="none"/>
                <w:u w:val="none"/>
                <w:lang w:val="en-US" w:eastAsia="zh-CN" w:bidi="ar-SA"/>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spacing w:beforeLines="0" w:afterLines="0" w:line="240" w:lineRule="auto"/>
              <w:ind w:firstLine="0" w:firstLineChars="0"/>
              <w:jc w:val="center"/>
              <w:rPr>
                <w:rFonts w:hint="default" w:ascii="Times New Roman" w:hAnsi="Times New Roman" w:eastAsia="等线" w:cs="Times New Roman"/>
                <w:i w:val="0"/>
                <w:color w:val="auto"/>
                <w:kern w:val="2"/>
                <w:sz w:val="24"/>
                <w:szCs w:val="24"/>
                <w:highlight w:val="none"/>
                <w:u w:val="none"/>
                <w:lang w:val="en-US" w:eastAsia="zh-CN" w:bidi="ar-SA"/>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spacing w:beforeLines="0" w:afterLines="0" w:line="240" w:lineRule="auto"/>
              <w:ind w:firstLine="0" w:firstLineChars="0"/>
              <w:jc w:val="center"/>
              <w:rPr>
                <w:rFonts w:hint="default" w:ascii="Times New Roman" w:hAnsi="Times New Roman" w:eastAsia="等线" w:cs="Times New Roman"/>
                <w:i w:val="0"/>
                <w:color w:val="auto"/>
                <w:kern w:val="2"/>
                <w:sz w:val="24"/>
                <w:szCs w:val="24"/>
                <w:highlight w:val="none"/>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eastAsia" w:eastAsia="等线" w:cs="Times New Roman"/>
                <w:i w:val="0"/>
                <w:snapToGrid w:val="0"/>
                <w:color w:val="auto"/>
                <w:kern w:val="0"/>
                <w:sz w:val="24"/>
                <w:szCs w:val="24"/>
                <w:highlight w:val="none"/>
                <w:u w:val="none"/>
                <w:lang w:val="en-US" w:eastAsia="zh-CN" w:bidi="ar"/>
              </w:rPr>
              <w:t>1</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远动通信柜</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eastAsia" w:eastAsia="等线" w:cs="Times New Roman"/>
                <w:i w:val="0"/>
                <w:snapToGrid w:val="0"/>
                <w:color w:val="auto"/>
                <w:kern w:val="0"/>
                <w:sz w:val="24"/>
                <w:szCs w:val="24"/>
                <w:highlight w:val="none"/>
                <w:u w:val="none"/>
                <w:lang w:val="en-US" w:eastAsia="zh-CN" w:bidi="ar"/>
              </w:rPr>
              <w:t>1</w:t>
            </w:r>
            <w:r>
              <w:rPr>
                <w:rFonts w:hint="default" w:ascii="Times New Roman" w:hAnsi="Times New Roman" w:eastAsia="等线" w:cs="Times New Roman"/>
                <w:i w:val="0"/>
                <w:snapToGrid w:val="0"/>
                <w:color w:val="auto"/>
                <w:kern w:val="0"/>
                <w:sz w:val="24"/>
                <w:szCs w:val="24"/>
                <w:highlight w:val="none"/>
                <w:u w:val="none"/>
                <w:lang w:val="en-US" w:eastAsia="zh-CN" w:bidi="ar"/>
              </w:rPr>
              <w:t>、规约转换装置1台</w:t>
            </w:r>
            <w:r>
              <w:rPr>
                <w:rFonts w:hint="default" w:ascii="Times New Roman" w:hAnsi="Times New Roman" w:eastAsia="等线" w:cs="Times New Roman"/>
                <w:i w:val="0"/>
                <w:snapToGrid w:val="0"/>
                <w:color w:val="auto"/>
                <w:kern w:val="0"/>
                <w:sz w:val="24"/>
                <w:szCs w:val="24"/>
                <w:highlight w:val="none"/>
                <w:u w:val="none"/>
                <w:lang w:val="en-US" w:eastAsia="zh-CN" w:bidi="ar"/>
              </w:rPr>
              <w:br w:type="textWrapping"/>
            </w:r>
            <w:r>
              <w:rPr>
                <w:rFonts w:hint="eastAsia" w:eastAsia="等线" w:cs="Times New Roman"/>
                <w:i w:val="0"/>
                <w:snapToGrid w:val="0"/>
                <w:color w:val="auto"/>
                <w:kern w:val="0"/>
                <w:sz w:val="24"/>
                <w:szCs w:val="24"/>
                <w:highlight w:val="none"/>
                <w:u w:val="none"/>
                <w:lang w:val="en-US" w:eastAsia="zh-CN" w:bidi="ar"/>
              </w:rPr>
              <w:t>2</w:t>
            </w:r>
            <w:r>
              <w:rPr>
                <w:rFonts w:hint="default" w:ascii="Times New Roman" w:hAnsi="Times New Roman" w:eastAsia="等线" w:cs="Times New Roman"/>
                <w:i w:val="0"/>
                <w:snapToGrid w:val="0"/>
                <w:color w:val="auto"/>
                <w:kern w:val="0"/>
                <w:sz w:val="24"/>
                <w:szCs w:val="24"/>
                <w:highlight w:val="none"/>
                <w:u w:val="none"/>
                <w:lang w:val="en-US" w:eastAsia="zh-CN" w:bidi="ar"/>
              </w:rPr>
              <w:t>、站控层交换机1台</w:t>
            </w:r>
            <w:r>
              <w:rPr>
                <w:rFonts w:hint="default" w:ascii="Times New Roman" w:hAnsi="Times New Roman" w:eastAsia="等线" w:cs="Times New Roman"/>
                <w:i w:val="0"/>
                <w:snapToGrid w:val="0"/>
                <w:color w:val="auto"/>
                <w:kern w:val="0"/>
                <w:sz w:val="24"/>
                <w:szCs w:val="24"/>
                <w:highlight w:val="none"/>
                <w:u w:val="none"/>
                <w:lang w:val="en-US" w:eastAsia="zh-CN" w:bidi="ar"/>
              </w:rPr>
              <w:br w:type="textWrapping"/>
            </w:r>
            <w:r>
              <w:rPr>
                <w:rFonts w:hint="eastAsia" w:eastAsia="等线" w:cs="Times New Roman"/>
                <w:i w:val="0"/>
                <w:snapToGrid w:val="0"/>
                <w:color w:val="auto"/>
                <w:kern w:val="0"/>
                <w:sz w:val="24"/>
                <w:szCs w:val="24"/>
                <w:highlight w:val="none"/>
                <w:u w:val="none"/>
                <w:lang w:val="en-US" w:eastAsia="zh-CN" w:bidi="ar"/>
              </w:rPr>
              <w:t>3</w:t>
            </w:r>
            <w:r>
              <w:rPr>
                <w:rFonts w:hint="default" w:ascii="Times New Roman" w:hAnsi="Times New Roman" w:eastAsia="等线" w:cs="Times New Roman"/>
                <w:i w:val="0"/>
                <w:snapToGrid w:val="0"/>
                <w:color w:val="auto"/>
                <w:kern w:val="0"/>
                <w:sz w:val="24"/>
                <w:szCs w:val="24"/>
                <w:highlight w:val="none"/>
                <w:u w:val="none"/>
                <w:lang w:val="en-US" w:eastAsia="zh-CN" w:bidi="ar"/>
              </w:rPr>
              <w:t>、光纤环网交换机1台</w:t>
            </w:r>
            <w:r>
              <w:rPr>
                <w:rFonts w:hint="default" w:ascii="Times New Roman" w:hAnsi="Times New Roman" w:eastAsia="等线" w:cs="Times New Roman"/>
                <w:i w:val="0"/>
                <w:snapToGrid w:val="0"/>
                <w:color w:val="auto"/>
                <w:kern w:val="0"/>
                <w:sz w:val="24"/>
                <w:szCs w:val="24"/>
                <w:highlight w:val="none"/>
                <w:u w:val="none"/>
                <w:lang w:val="en-US" w:eastAsia="zh-CN" w:bidi="ar"/>
              </w:rPr>
              <w:br w:type="textWrapping"/>
            </w:r>
            <w:r>
              <w:rPr>
                <w:rFonts w:hint="eastAsia" w:eastAsia="等线" w:cs="Times New Roman"/>
                <w:i w:val="0"/>
                <w:snapToGrid w:val="0"/>
                <w:color w:val="auto"/>
                <w:kern w:val="0"/>
                <w:sz w:val="24"/>
                <w:szCs w:val="24"/>
                <w:highlight w:val="none"/>
                <w:u w:val="none"/>
                <w:lang w:val="en-US" w:eastAsia="zh-CN" w:bidi="ar"/>
              </w:rPr>
              <w:t>4</w:t>
            </w:r>
            <w:r>
              <w:rPr>
                <w:rFonts w:hint="default" w:ascii="Times New Roman" w:hAnsi="Times New Roman" w:eastAsia="等线" w:cs="Times New Roman"/>
                <w:i w:val="0"/>
                <w:snapToGrid w:val="0"/>
                <w:color w:val="auto"/>
                <w:kern w:val="0"/>
                <w:sz w:val="24"/>
                <w:szCs w:val="24"/>
                <w:highlight w:val="none"/>
                <w:u w:val="none"/>
                <w:lang w:val="en-US" w:eastAsia="zh-CN" w:bidi="ar"/>
              </w:rPr>
              <w:t>、24口光缆终端盒1套</w:t>
            </w:r>
            <w:r>
              <w:rPr>
                <w:rFonts w:hint="default" w:ascii="Times New Roman" w:hAnsi="Times New Roman" w:eastAsia="等线" w:cs="Times New Roman"/>
                <w:i w:val="0"/>
                <w:snapToGrid w:val="0"/>
                <w:color w:val="auto"/>
                <w:kern w:val="0"/>
                <w:sz w:val="24"/>
                <w:szCs w:val="24"/>
                <w:highlight w:val="none"/>
                <w:u w:val="none"/>
                <w:lang w:val="en-US" w:eastAsia="zh-CN" w:bidi="ar"/>
              </w:rPr>
              <w:br w:type="textWrapping"/>
            </w:r>
            <w:r>
              <w:rPr>
                <w:rFonts w:hint="eastAsia" w:eastAsia="等线" w:cs="Times New Roman"/>
                <w:i w:val="0"/>
                <w:snapToGrid w:val="0"/>
                <w:color w:val="auto"/>
                <w:kern w:val="0"/>
                <w:sz w:val="24"/>
                <w:szCs w:val="24"/>
                <w:highlight w:val="none"/>
                <w:u w:val="none"/>
                <w:lang w:val="en-US" w:eastAsia="zh-CN" w:bidi="ar"/>
              </w:rPr>
              <w:t>5</w:t>
            </w:r>
            <w:r>
              <w:rPr>
                <w:rFonts w:hint="default" w:ascii="Times New Roman" w:hAnsi="Times New Roman" w:eastAsia="等线" w:cs="Times New Roman"/>
                <w:i w:val="0"/>
                <w:snapToGrid w:val="0"/>
                <w:color w:val="auto"/>
                <w:kern w:val="0"/>
                <w:sz w:val="24"/>
                <w:szCs w:val="24"/>
                <w:highlight w:val="none"/>
                <w:u w:val="none"/>
                <w:lang w:val="en-US" w:eastAsia="zh-CN" w:bidi="ar"/>
              </w:rPr>
              <w:t>、600*800*2260屏柜1套</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面</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1</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spacing w:beforeLines="0" w:afterLines="0" w:line="240" w:lineRule="auto"/>
              <w:ind w:firstLine="0" w:firstLineChars="0"/>
              <w:jc w:val="center"/>
              <w:rPr>
                <w:rFonts w:hint="default" w:ascii="Times New Roman" w:hAnsi="Times New Roman" w:eastAsia="等线" w:cs="Times New Roman"/>
                <w:i w:val="0"/>
                <w:color w:val="auto"/>
                <w:kern w:val="2"/>
                <w:sz w:val="24"/>
                <w:szCs w:val="24"/>
                <w:highlight w:val="none"/>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eastAsia" w:eastAsia="等线" w:cs="Times New Roman"/>
                <w:i w:val="0"/>
                <w:snapToGrid w:val="0"/>
                <w:color w:val="auto"/>
                <w:kern w:val="0"/>
                <w:sz w:val="24"/>
                <w:szCs w:val="24"/>
                <w:highlight w:val="none"/>
                <w:u w:val="none"/>
                <w:lang w:val="en-US" w:eastAsia="zh-CN" w:bidi="ar"/>
              </w:rPr>
              <w:t>2</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公用测控及电能质量柜</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1、公用测控装置1台</w:t>
            </w:r>
            <w:r>
              <w:rPr>
                <w:rFonts w:hint="default" w:ascii="Times New Roman" w:hAnsi="Times New Roman" w:eastAsia="等线" w:cs="Times New Roman"/>
                <w:i w:val="0"/>
                <w:snapToGrid w:val="0"/>
                <w:color w:val="auto"/>
                <w:kern w:val="0"/>
                <w:sz w:val="24"/>
                <w:szCs w:val="24"/>
                <w:highlight w:val="none"/>
                <w:u w:val="none"/>
                <w:lang w:val="en-US" w:eastAsia="zh-CN" w:bidi="ar"/>
              </w:rPr>
              <w:br w:type="textWrapping"/>
            </w:r>
            <w:r>
              <w:rPr>
                <w:rFonts w:hint="default" w:ascii="Times New Roman" w:hAnsi="Times New Roman" w:eastAsia="等线" w:cs="Times New Roman"/>
                <w:i w:val="0"/>
                <w:snapToGrid w:val="0"/>
                <w:color w:val="auto"/>
                <w:kern w:val="0"/>
                <w:sz w:val="24"/>
                <w:szCs w:val="24"/>
                <w:highlight w:val="none"/>
                <w:u w:val="none"/>
                <w:lang w:val="en-US" w:eastAsia="zh-CN" w:bidi="ar"/>
              </w:rPr>
              <w:t>2、电能质量监测装置1台</w:t>
            </w:r>
            <w:r>
              <w:rPr>
                <w:rFonts w:hint="eastAsia" w:eastAsia="等线" w:cs="Times New Roman"/>
                <w:i w:val="0"/>
                <w:snapToGrid w:val="0"/>
                <w:color w:val="auto"/>
                <w:kern w:val="0"/>
                <w:sz w:val="24"/>
                <w:szCs w:val="24"/>
                <w:highlight w:val="none"/>
                <w:u w:val="none"/>
                <w:lang w:val="en-US" w:eastAsia="zh-CN" w:bidi="ar"/>
              </w:rPr>
              <w:t>（含配套改造线缆）</w:t>
            </w:r>
            <w:r>
              <w:rPr>
                <w:rFonts w:hint="default" w:ascii="Times New Roman" w:hAnsi="Times New Roman" w:eastAsia="等线" w:cs="Times New Roman"/>
                <w:i w:val="0"/>
                <w:snapToGrid w:val="0"/>
                <w:color w:val="auto"/>
                <w:kern w:val="0"/>
                <w:sz w:val="24"/>
                <w:szCs w:val="24"/>
                <w:highlight w:val="none"/>
                <w:u w:val="none"/>
                <w:lang w:val="en-US" w:eastAsia="zh-CN" w:bidi="ar"/>
              </w:rPr>
              <w:br w:type="textWrapping"/>
            </w:r>
            <w:r>
              <w:rPr>
                <w:rFonts w:hint="default" w:ascii="Times New Roman" w:hAnsi="Times New Roman" w:eastAsia="等线" w:cs="Times New Roman"/>
                <w:i w:val="0"/>
                <w:snapToGrid w:val="0"/>
                <w:color w:val="auto"/>
                <w:kern w:val="0"/>
                <w:sz w:val="24"/>
                <w:szCs w:val="24"/>
                <w:highlight w:val="none"/>
                <w:u w:val="none"/>
                <w:lang w:val="en-US" w:eastAsia="zh-CN" w:bidi="ar"/>
              </w:rPr>
              <w:t>3、卫星时钟同步系统1套（双北斗）</w:t>
            </w:r>
            <w:r>
              <w:rPr>
                <w:rFonts w:hint="default" w:ascii="Times New Roman" w:hAnsi="Times New Roman" w:eastAsia="等线" w:cs="Times New Roman"/>
                <w:i w:val="0"/>
                <w:snapToGrid w:val="0"/>
                <w:color w:val="auto"/>
                <w:kern w:val="0"/>
                <w:sz w:val="24"/>
                <w:szCs w:val="24"/>
                <w:highlight w:val="none"/>
                <w:u w:val="none"/>
                <w:lang w:val="en-US" w:eastAsia="zh-CN" w:bidi="ar"/>
              </w:rPr>
              <w:br w:type="textWrapping"/>
            </w:r>
            <w:r>
              <w:rPr>
                <w:rFonts w:hint="default" w:ascii="Times New Roman" w:hAnsi="Times New Roman" w:eastAsia="等线" w:cs="Times New Roman"/>
                <w:i w:val="0"/>
                <w:snapToGrid w:val="0"/>
                <w:color w:val="auto"/>
                <w:kern w:val="0"/>
                <w:sz w:val="24"/>
                <w:szCs w:val="24"/>
                <w:highlight w:val="none"/>
                <w:u w:val="none"/>
                <w:lang w:val="en-US" w:eastAsia="zh-CN" w:bidi="ar"/>
              </w:rPr>
              <w:t>4、600*800*2260屏柜1套</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面</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1</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spacing w:beforeLines="0" w:afterLines="0" w:line="240" w:lineRule="auto"/>
              <w:ind w:firstLine="0" w:firstLineChars="0"/>
              <w:jc w:val="center"/>
              <w:rPr>
                <w:rFonts w:hint="default" w:ascii="Times New Roman" w:hAnsi="Times New Roman" w:eastAsia="等线" w:cs="Times New Roman"/>
                <w:i w:val="0"/>
                <w:color w:val="auto"/>
                <w:kern w:val="2"/>
                <w:sz w:val="24"/>
                <w:szCs w:val="24"/>
                <w:highlight w:val="none"/>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eastAsia" w:eastAsia="等线" w:cs="Times New Roman"/>
                <w:i w:val="0"/>
                <w:snapToGrid w:val="0"/>
                <w:color w:val="auto"/>
                <w:kern w:val="0"/>
                <w:sz w:val="24"/>
                <w:szCs w:val="24"/>
                <w:highlight w:val="none"/>
                <w:u w:val="none"/>
                <w:lang w:val="en-US" w:eastAsia="zh-CN" w:bidi="ar"/>
              </w:rPr>
              <w:t>3</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防孤岛及频率电压紧急控制柜</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1、防孤岛保护装置1台</w:t>
            </w:r>
            <w:r>
              <w:rPr>
                <w:rFonts w:hint="default" w:ascii="Times New Roman" w:hAnsi="Times New Roman" w:eastAsia="等线" w:cs="Times New Roman"/>
                <w:i w:val="0"/>
                <w:snapToGrid w:val="0"/>
                <w:color w:val="auto"/>
                <w:kern w:val="0"/>
                <w:sz w:val="24"/>
                <w:szCs w:val="24"/>
                <w:highlight w:val="none"/>
                <w:u w:val="none"/>
                <w:lang w:val="en-US" w:eastAsia="zh-CN" w:bidi="ar"/>
              </w:rPr>
              <w:br w:type="textWrapping"/>
            </w:r>
            <w:r>
              <w:rPr>
                <w:rFonts w:hint="default" w:ascii="Times New Roman" w:hAnsi="Times New Roman" w:eastAsia="等线" w:cs="Times New Roman"/>
                <w:i w:val="0"/>
                <w:snapToGrid w:val="0"/>
                <w:color w:val="auto"/>
                <w:kern w:val="0"/>
                <w:sz w:val="24"/>
                <w:szCs w:val="24"/>
                <w:highlight w:val="none"/>
                <w:u w:val="none"/>
                <w:lang w:val="en-US" w:eastAsia="zh-CN" w:bidi="ar"/>
              </w:rPr>
              <w:t>2、频率电压紧急控制装置1台</w:t>
            </w:r>
            <w:r>
              <w:rPr>
                <w:rFonts w:hint="default" w:ascii="Times New Roman" w:hAnsi="Times New Roman" w:eastAsia="等线" w:cs="Times New Roman"/>
                <w:i w:val="0"/>
                <w:snapToGrid w:val="0"/>
                <w:color w:val="auto"/>
                <w:kern w:val="0"/>
                <w:sz w:val="24"/>
                <w:szCs w:val="24"/>
                <w:highlight w:val="none"/>
                <w:u w:val="none"/>
                <w:lang w:val="en-US" w:eastAsia="zh-CN" w:bidi="ar"/>
              </w:rPr>
              <w:br w:type="textWrapping"/>
            </w:r>
            <w:r>
              <w:rPr>
                <w:rFonts w:hint="default" w:ascii="Times New Roman" w:hAnsi="Times New Roman" w:eastAsia="等线" w:cs="Times New Roman"/>
                <w:i w:val="0"/>
                <w:snapToGrid w:val="0"/>
                <w:color w:val="auto"/>
                <w:kern w:val="0"/>
                <w:sz w:val="24"/>
                <w:szCs w:val="24"/>
                <w:highlight w:val="none"/>
                <w:u w:val="none"/>
                <w:lang w:val="en-US" w:eastAsia="zh-CN" w:bidi="ar"/>
              </w:rPr>
              <w:t>3、600*800*2260屏柜1套</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面</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1</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spacing w:beforeLines="0" w:afterLines="0" w:line="240" w:lineRule="auto"/>
              <w:ind w:firstLine="0" w:firstLineChars="0"/>
              <w:jc w:val="center"/>
              <w:rPr>
                <w:rFonts w:hint="default" w:ascii="Times New Roman" w:hAnsi="Times New Roman" w:eastAsia="等线" w:cs="Times New Roman"/>
                <w:i w:val="0"/>
                <w:color w:val="auto"/>
                <w:kern w:val="2"/>
                <w:sz w:val="24"/>
                <w:szCs w:val="24"/>
                <w:highlight w:val="none"/>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eastAsia" w:eastAsia="等线" w:cs="Times New Roman"/>
                <w:i w:val="0"/>
                <w:snapToGrid w:val="0"/>
                <w:color w:val="auto"/>
                <w:kern w:val="0"/>
                <w:sz w:val="24"/>
                <w:szCs w:val="24"/>
                <w:highlight w:val="none"/>
                <w:u w:val="none"/>
                <w:lang w:val="en-US" w:eastAsia="zh-CN" w:bidi="ar"/>
              </w:rPr>
              <w:t>4</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直流蓄电池柜</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65AH</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面</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1</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spacing w:beforeLines="0" w:afterLines="0" w:line="240" w:lineRule="auto"/>
              <w:ind w:firstLine="0" w:firstLineChars="0"/>
              <w:jc w:val="center"/>
              <w:rPr>
                <w:rFonts w:hint="default" w:ascii="Times New Roman" w:hAnsi="Times New Roman" w:eastAsia="等线" w:cs="Times New Roman"/>
                <w:i w:val="0"/>
                <w:color w:val="auto"/>
                <w:kern w:val="2"/>
                <w:sz w:val="24"/>
                <w:szCs w:val="24"/>
                <w:highlight w:val="none"/>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eastAsia" w:eastAsia="等线" w:cs="Times New Roman"/>
                <w:i w:val="0"/>
                <w:snapToGrid w:val="0"/>
                <w:color w:val="auto"/>
                <w:kern w:val="0"/>
                <w:sz w:val="24"/>
                <w:szCs w:val="24"/>
                <w:highlight w:val="none"/>
                <w:u w:val="none"/>
                <w:lang w:val="en-US" w:eastAsia="zh-CN" w:bidi="ar"/>
              </w:rPr>
              <w:t>5</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直流充馈线屏</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充电模块3+1配置(3个20A+1个20A备用的整流模块)、直流监控模块1台、绝缘检测装置1台、测量相关表计1套，DC48V通信电源2台，直流馈线24回，通信电源直流馈线12回。</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面</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1</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spacing w:beforeLines="0" w:afterLines="0" w:line="240" w:lineRule="auto"/>
              <w:ind w:firstLine="0" w:firstLineChars="0"/>
              <w:jc w:val="center"/>
              <w:rPr>
                <w:rFonts w:hint="default" w:ascii="Times New Roman" w:hAnsi="Times New Roman" w:eastAsia="等线" w:cs="Times New Roman"/>
                <w:i w:val="0"/>
                <w:color w:val="auto"/>
                <w:kern w:val="2"/>
                <w:sz w:val="24"/>
                <w:szCs w:val="24"/>
                <w:highlight w:val="none"/>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eastAsia" w:eastAsia="等线" w:cs="Times New Roman"/>
                <w:i w:val="0"/>
                <w:snapToGrid w:val="0"/>
                <w:color w:val="auto"/>
                <w:kern w:val="0"/>
                <w:sz w:val="24"/>
                <w:szCs w:val="24"/>
                <w:highlight w:val="none"/>
                <w:u w:val="none"/>
                <w:lang w:val="en-US" w:eastAsia="zh-CN" w:bidi="ar"/>
              </w:rPr>
              <w:t>6</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交流及UPS电源屏</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含UPS容量3kVA逆变模块、馈线16回；交流进线开关、ATS、馈线20回</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面</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1</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spacing w:beforeLines="0" w:afterLines="0" w:line="240" w:lineRule="auto"/>
              <w:ind w:firstLine="0" w:firstLineChars="0"/>
              <w:jc w:val="center"/>
              <w:rPr>
                <w:rFonts w:hint="default" w:ascii="Times New Roman" w:hAnsi="Times New Roman" w:eastAsia="等线" w:cs="Times New Roman"/>
                <w:i w:val="0"/>
                <w:color w:val="auto"/>
                <w:kern w:val="2"/>
                <w:sz w:val="24"/>
                <w:szCs w:val="24"/>
                <w:highlight w:val="none"/>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eastAsia" w:eastAsia="等线" w:cs="Times New Roman"/>
                <w:i w:val="0"/>
                <w:snapToGrid w:val="0"/>
                <w:color w:val="auto"/>
                <w:kern w:val="0"/>
                <w:sz w:val="24"/>
                <w:szCs w:val="24"/>
                <w:highlight w:val="none"/>
                <w:u w:val="none"/>
                <w:lang w:val="en-US" w:eastAsia="zh-CN" w:bidi="ar"/>
              </w:rPr>
              <w:t>7</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带方向线路保护装置</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就地放置于开关柜</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台</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1</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spacing w:beforeLines="0" w:afterLines="0" w:line="240" w:lineRule="auto"/>
              <w:ind w:firstLine="0" w:firstLineChars="0"/>
              <w:jc w:val="center"/>
              <w:rPr>
                <w:rFonts w:hint="default" w:ascii="Times New Roman" w:hAnsi="Times New Roman" w:eastAsia="等线" w:cs="Times New Roman"/>
                <w:i w:val="0"/>
                <w:color w:val="auto"/>
                <w:kern w:val="2"/>
                <w:sz w:val="24"/>
                <w:szCs w:val="24"/>
                <w:highlight w:val="none"/>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eastAsia" w:eastAsia="等线" w:cs="Times New Roman"/>
                <w:i w:val="0"/>
                <w:snapToGrid w:val="0"/>
                <w:color w:val="auto"/>
                <w:kern w:val="0"/>
                <w:sz w:val="24"/>
                <w:szCs w:val="24"/>
                <w:highlight w:val="none"/>
                <w:u w:val="none"/>
                <w:lang w:val="en-US" w:eastAsia="zh-CN" w:bidi="ar"/>
              </w:rPr>
              <w:t>8</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综合保护装置</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就地放置于开关柜</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台</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2</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spacing w:beforeLines="0" w:afterLines="0" w:line="240" w:lineRule="auto"/>
              <w:ind w:firstLine="0" w:firstLineChars="0"/>
              <w:jc w:val="center"/>
              <w:rPr>
                <w:rFonts w:hint="default" w:ascii="Times New Roman" w:hAnsi="Times New Roman" w:eastAsia="等线" w:cs="Times New Roman"/>
                <w:i w:val="0"/>
                <w:color w:val="auto"/>
                <w:kern w:val="2"/>
                <w:sz w:val="24"/>
                <w:szCs w:val="24"/>
                <w:highlight w:val="none"/>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b/>
                <w:i w:val="0"/>
                <w:color w:val="auto"/>
                <w:kern w:val="2"/>
                <w:sz w:val="24"/>
                <w:szCs w:val="24"/>
                <w:highlight w:val="none"/>
                <w:u w:val="none"/>
                <w:lang w:val="en-US" w:eastAsia="zh-CN" w:bidi="ar-SA"/>
              </w:rPr>
            </w:pPr>
            <w:r>
              <w:rPr>
                <w:rFonts w:hint="default" w:ascii="Times New Roman" w:hAnsi="Times New Roman" w:eastAsia="等线" w:cs="Times New Roman"/>
                <w:b/>
                <w:i w:val="0"/>
                <w:snapToGrid w:val="0"/>
                <w:color w:val="auto"/>
                <w:kern w:val="0"/>
                <w:sz w:val="24"/>
                <w:szCs w:val="24"/>
                <w:highlight w:val="none"/>
                <w:u w:val="none"/>
                <w:lang w:val="en-US" w:eastAsia="zh-CN" w:bidi="ar"/>
              </w:rPr>
              <w:t>二</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b/>
                <w:i w:val="0"/>
                <w:color w:val="auto"/>
                <w:kern w:val="2"/>
                <w:sz w:val="24"/>
                <w:szCs w:val="24"/>
                <w:highlight w:val="none"/>
                <w:u w:val="none"/>
                <w:lang w:val="en-US" w:eastAsia="zh-CN" w:bidi="ar-SA"/>
              </w:rPr>
            </w:pPr>
            <w:r>
              <w:rPr>
                <w:rFonts w:hint="default" w:ascii="Times New Roman" w:hAnsi="Times New Roman" w:eastAsia="等线" w:cs="Times New Roman"/>
                <w:b/>
                <w:i w:val="0"/>
                <w:snapToGrid w:val="0"/>
                <w:color w:val="auto"/>
                <w:kern w:val="0"/>
                <w:sz w:val="24"/>
                <w:szCs w:val="24"/>
                <w:highlight w:val="none"/>
                <w:u w:val="none"/>
                <w:lang w:val="en-US" w:eastAsia="zh-CN" w:bidi="ar"/>
              </w:rPr>
              <w:t>视频监控系统</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spacing w:beforeLines="0" w:afterLines="0" w:line="240" w:lineRule="auto"/>
              <w:ind w:firstLine="0" w:firstLineChars="0"/>
              <w:jc w:val="left"/>
              <w:rPr>
                <w:rFonts w:hint="default" w:ascii="Times New Roman" w:hAnsi="Times New Roman" w:eastAsia="等线" w:cs="Times New Roman"/>
                <w:i w:val="0"/>
                <w:color w:val="auto"/>
                <w:kern w:val="2"/>
                <w:sz w:val="24"/>
                <w:szCs w:val="24"/>
                <w:highlight w:val="none"/>
                <w:u w:val="none"/>
                <w:lang w:val="en-US" w:eastAsia="zh-CN" w:bidi="ar-SA"/>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spacing w:beforeLines="0" w:afterLines="0" w:line="240" w:lineRule="auto"/>
              <w:ind w:firstLine="0" w:firstLineChars="0"/>
              <w:jc w:val="center"/>
              <w:rPr>
                <w:rFonts w:hint="default" w:ascii="Times New Roman" w:hAnsi="Times New Roman" w:eastAsia="等线" w:cs="Times New Roman"/>
                <w:i w:val="0"/>
                <w:color w:val="auto"/>
                <w:kern w:val="2"/>
                <w:sz w:val="24"/>
                <w:szCs w:val="24"/>
                <w:highlight w:val="none"/>
                <w:u w:val="none"/>
                <w:lang w:val="en-US" w:eastAsia="zh-CN" w:bidi="ar-SA"/>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spacing w:beforeLines="0" w:afterLines="0" w:line="240" w:lineRule="auto"/>
              <w:ind w:firstLine="0" w:firstLineChars="0"/>
              <w:jc w:val="center"/>
              <w:rPr>
                <w:rFonts w:hint="default" w:ascii="Times New Roman" w:hAnsi="Times New Roman" w:eastAsia="等线" w:cs="Times New Roman"/>
                <w:i w:val="0"/>
                <w:color w:val="auto"/>
                <w:kern w:val="2"/>
                <w:sz w:val="24"/>
                <w:szCs w:val="24"/>
                <w:highlight w:val="none"/>
                <w:u w:val="none"/>
                <w:lang w:val="en-US" w:eastAsia="zh-CN" w:bidi="ar-SA"/>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spacing w:beforeLines="0" w:afterLines="0" w:line="240" w:lineRule="auto"/>
              <w:ind w:firstLine="0" w:firstLineChars="0"/>
              <w:jc w:val="center"/>
              <w:rPr>
                <w:rFonts w:hint="default" w:ascii="Times New Roman" w:hAnsi="Times New Roman" w:eastAsia="等线" w:cs="Times New Roman"/>
                <w:i w:val="0"/>
                <w:color w:val="auto"/>
                <w:kern w:val="2"/>
                <w:sz w:val="24"/>
                <w:szCs w:val="24"/>
                <w:highlight w:val="none"/>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1</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网络摄像机</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spacing w:beforeLines="0" w:afterLines="0" w:line="240" w:lineRule="auto"/>
              <w:ind w:firstLine="0" w:firstLineChars="0"/>
              <w:jc w:val="center"/>
              <w:rPr>
                <w:rFonts w:hint="default" w:ascii="Times New Roman" w:hAnsi="Times New Roman" w:eastAsia="等线" w:cs="Times New Roman"/>
                <w:i w:val="0"/>
                <w:color w:val="auto"/>
                <w:kern w:val="2"/>
                <w:sz w:val="24"/>
                <w:szCs w:val="24"/>
                <w:highlight w:val="none"/>
                <w:u w:val="none"/>
                <w:lang w:val="en-US" w:eastAsia="zh-CN" w:bidi="ar-SA"/>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台</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3</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spacing w:beforeLines="0" w:afterLines="0" w:line="240" w:lineRule="auto"/>
              <w:ind w:firstLine="0" w:firstLineChars="0"/>
              <w:jc w:val="center"/>
              <w:rPr>
                <w:rFonts w:hint="default" w:ascii="Times New Roman" w:hAnsi="Times New Roman" w:eastAsia="等线" w:cs="Times New Roman"/>
                <w:i w:val="0"/>
                <w:color w:val="auto"/>
                <w:kern w:val="2"/>
                <w:sz w:val="24"/>
                <w:szCs w:val="24"/>
                <w:highlight w:val="none"/>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2</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摄像机立杆</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含三合一防雷器、安装支架</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台</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2</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spacing w:beforeLines="0" w:afterLines="0" w:line="240" w:lineRule="auto"/>
              <w:ind w:firstLine="0" w:firstLineChars="0"/>
              <w:jc w:val="center"/>
              <w:rPr>
                <w:rFonts w:hint="default" w:ascii="Times New Roman" w:hAnsi="Times New Roman" w:eastAsia="等线" w:cs="Times New Roman"/>
                <w:i w:val="0"/>
                <w:color w:val="auto"/>
                <w:kern w:val="2"/>
                <w:sz w:val="24"/>
                <w:szCs w:val="24"/>
                <w:highlight w:val="none"/>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3</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摄像机电源箱</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IP65，满足C5防腐</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台</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3</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spacing w:beforeLines="0" w:afterLines="0" w:line="240" w:lineRule="auto"/>
              <w:ind w:firstLine="0" w:firstLineChars="0"/>
              <w:jc w:val="center"/>
              <w:rPr>
                <w:rFonts w:hint="default" w:ascii="Times New Roman" w:hAnsi="Times New Roman" w:eastAsia="等线" w:cs="Times New Roman"/>
                <w:i w:val="0"/>
                <w:color w:val="auto"/>
                <w:kern w:val="2"/>
                <w:sz w:val="24"/>
                <w:szCs w:val="24"/>
                <w:highlight w:val="none"/>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4</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交换机</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spacing w:beforeLines="0" w:afterLines="0" w:line="240" w:lineRule="auto"/>
              <w:ind w:firstLine="0" w:firstLineChars="0"/>
              <w:jc w:val="left"/>
              <w:rPr>
                <w:rFonts w:hint="default" w:ascii="Times New Roman" w:hAnsi="Times New Roman" w:eastAsia="等线" w:cs="Times New Roman"/>
                <w:i w:val="0"/>
                <w:color w:val="auto"/>
                <w:kern w:val="2"/>
                <w:sz w:val="24"/>
                <w:szCs w:val="24"/>
                <w:highlight w:val="none"/>
                <w:u w:val="none"/>
                <w:lang w:val="en-US" w:eastAsia="zh-CN" w:bidi="ar-SA"/>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台</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3</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spacing w:beforeLines="0" w:afterLines="0" w:line="240" w:lineRule="auto"/>
              <w:ind w:firstLine="0" w:firstLineChars="0"/>
              <w:jc w:val="center"/>
              <w:rPr>
                <w:rFonts w:hint="default" w:ascii="Times New Roman" w:hAnsi="Times New Roman" w:eastAsia="等线" w:cs="Times New Roman"/>
                <w:i w:val="0"/>
                <w:color w:val="auto"/>
                <w:kern w:val="2"/>
                <w:sz w:val="24"/>
                <w:szCs w:val="24"/>
                <w:highlight w:val="none"/>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5</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辅材</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含接线盒、水晶头、套管、防水盒等</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项</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1</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spacing w:beforeLines="0" w:afterLines="0" w:line="240" w:lineRule="auto"/>
              <w:ind w:firstLine="0" w:firstLineChars="0"/>
              <w:jc w:val="center"/>
              <w:rPr>
                <w:rFonts w:hint="default" w:ascii="Times New Roman" w:hAnsi="Times New Roman" w:eastAsia="等线" w:cs="Times New Roman"/>
                <w:i w:val="0"/>
                <w:color w:val="auto"/>
                <w:kern w:val="2"/>
                <w:sz w:val="24"/>
                <w:szCs w:val="24"/>
                <w:highlight w:val="none"/>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b/>
                <w:i w:val="0"/>
                <w:color w:val="auto"/>
                <w:kern w:val="2"/>
                <w:sz w:val="24"/>
                <w:szCs w:val="24"/>
                <w:highlight w:val="none"/>
                <w:u w:val="none"/>
                <w:lang w:val="en-US" w:eastAsia="zh-CN" w:bidi="ar-SA"/>
              </w:rPr>
            </w:pPr>
            <w:r>
              <w:rPr>
                <w:rFonts w:hint="default" w:ascii="Times New Roman" w:hAnsi="Times New Roman" w:eastAsia="等线" w:cs="Times New Roman"/>
                <w:b/>
                <w:i w:val="0"/>
                <w:snapToGrid w:val="0"/>
                <w:color w:val="auto"/>
                <w:kern w:val="0"/>
                <w:sz w:val="24"/>
                <w:szCs w:val="24"/>
                <w:highlight w:val="none"/>
                <w:u w:val="none"/>
                <w:lang w:val="en-US" w:eastAsia="zh-CN" w:bidi="ar"/>
              </w:rPr>
              <w:t>三</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b/>
                <w:i w:val="0"/>
                <w:color w:val="auto"/>
                <w:kern w:val="2"/>
                <w:sz w:val="24"/>
                <w:szCs w:val="24"/>
                <w:highlight w:val="none"/>
                <w:u w:val="none"/>
                <w:lang w:val="en-US" w:eastAsia="zh-CN" w:bidi="ar-SA"/>
              </w:rPr>
            </w:pPr>
            <w:r>
              <w:rPr>
                <w:rFonts w:hint="default" w:ascii="Times New Roman" w:hAnsi="Times New Roman" w:eastAsia="等线" w:cs="Times New Roman"/>
                <w:b/>
                <w:i w:val="0"/>
                <w:snapToGrid w:val="0"/>
                <w:color w:val="auto"/>
                <w:kern w:val="0"/>
                <w:sz w:val="24"/>
                <w:szCs w:val="24"/>
                <w:highlight w:val="none"/>
                <w:u w:val="none"/>
                <w:lang w:val="en-US" w:eastAsia="zh-CN" w:bidi="ar"/>
              </w:rPr>
              <w:t>防逆流系统</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spacing w:beforeLines="0" w:afterLines="0" w:line="240" w:lineRule="auto"/>
              <w:ind w:firstLine="0" w:firstLineChars="0"/>
              <w:jc w:val="left"/>
              <w:rPr>
                <w:rFonts w:hint="default" w:ascii="Times New Roman" w:hAnsi="Times New Roman" w:eastAsia="等线" w:cs="Times New Roman"/>
                <w:i w:val="0"/>
                <w:color w:val="auto"/>
                <w:kern w:val="2"/>
                <w:sz w:val="24"/>
                <w:szCs w:val="24"/>
                <w:highlight w:val="none"/>
                <w:u w:val="none"/>
                <w:lang w:val="en-US" w:eastAsia="zh-CN" w:bidi="ar-SA"/>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spacing w:beforeLines="0" w:afterLines="0" w:line="240" w:lineRule="auto"/>
              <w:ind w:firstLine="0" w:firstLineChars="0"/>
              <w:jc w:val="center"/>
              <w:rPr>
                <w:rFonts w:hint="default" w:ascii="Times New Roman" w:hAnsi="Times New Roman" w:eastAsia="等线" w:cs="Times New Roman"/>
                <w:i w:val="0"/>
                <w:color w:val="auto"/>
                <w:kern w:val="2"/>
                <w:sz w:val="24"/>
                <w:szCs w:val="24"/>
                <w:highlight w:val="none"/>
                <w:u w:val="none"/>
                <w:lang w:val="en-US" w:eastAsia="zh-CN" w:bidi="ar-SA"/>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spacing w:beforeLines="0" w:afterLines="0" w:line="240" w:lineRule="auto"/>
              <w:ind w:firstLine="0" w:firstLineChars="0"/>
              <w:jc w:val="center"/>
              <w:rPr>
                <w:rFonts w:hint="default" w:ascii="Times New Roman" w:hAnsi="Times New Roman" w:eastAsia="等线" w:cs="Times New Roman"/>
                <w:i w:val="0"/>
                <w:color w:val="auto"/>
                <w:kern w:val="2"/>
                <w:sz w:val="24"/>
                <w:szCs w:val="24"/>
                <w:highlight w:val="none"/>
                <w:u w:val="none"/>
                <w:lang w:val="en-US" w:eastAsia="zh-CN" w:bidi="ar-SA"/>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spacing w:beforeLines="0" w:afterLines="0" w:line="240" w:lineRule="auto"/>
              <w:ind w:firstLine="0" w:firstLineChars="0"/>
              <w:jc w:val="center"/>
              <w:rPr>
                <w:rFonts w:hint="default" w:ascii="Times New Roman" w:hAnsi="Times New Roman" w:eastAsia="等线" w:cs="Times New Roman"/>
                <w:i w:val="0"/>
                <w:color w:val="auto"/>
                <w:kern w:val="2"/>
                <w:sz w:val="24"/>
                <w:szCs w:val="24"/>
                <w:highlight w:val="none"/>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1</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电流互感器</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0.2s级</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组</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6</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spacing w:beforeLines="0" w:afterLines="0" w:line="240" w:lineRule="auto"/>
              <w:ind w:firstLine="0" w:firstLineChars="0"/>
              <w:jc w:val="center"/>
              <w:rPr>
                <w:rFonts w:hint="default" w:ascii="Times New Roman" w:hAnsi="Times New Roman" w:eastAsia="等线" w:cs="Times New Roman"/>
                <w:i w:val="0"/>
                <w:color w:val="auto"/>
                <w:kern w:val="2"/>
                <w:sz w:val="24"/>
                <w:szCs w:val="24"/>
                <w:highlight w:val="none"/>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2</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智能电表</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spacing w:beforeLines="0" w:afterLines="0" w:line="240" w:lineRule="auto"/>
              <w:ind w:firstLine="0" w:firstLineChars="0"/>
              <w:jc w:val="left"/>
              <w:rPr>
                <w:rFonts w:hint="default" w:ascii="Times New Roman" w:hAnsi="Times New Roman" w:eastAsia="等线" w:cs="Times New Roman"/>
                <w:i w:val="0"/>
                <w:color w:val="auto"/>
                <w:kern w:val="2"/>
                <w:sz w:val="24"/>
                <w:szCs w:val="24"/>
                <w:highlight w:val="none"/>
                <w:u w:val="none"/>
                <w:lang w:val="en-US" w:eastAsia="zh-CN" w:bidi="ar-SA"/>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台</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2</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spacing w:beforeLines="0" w:afterLines="0" w:line="240" w:lineRule="auto"/>
              <w:ind w:firstLine="0" w:firstLineChars="0"/>
              <w:jc w:val="center"/>
              <w:rPr>
                <w:rFonts w:hint="default" w:ascii="Times New Roman" w:hAnsi="Times New Roman" w:eastAsia="等线" w:cs="Times New Roman"/>
                <w:i w:val="0"/>
                <w:color w:val="auto"/>
                <w:kern w:val="2"/>
                <w:sz w:val="24"/>
                <w:szCs w:val="24"/>
                <w:highlight w:val="none"/>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3</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串口服务器</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转换用户总进线计量点电表的信息</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台</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2</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spacing w:beforeLines="0" w:afterLines="0" w:line="240" w:lineRule="auto"/>
              <w:ind w:firstLine="0" w:firstLineChars="0"/>
              <w:jc w:val="center"/>
              <w:rPr>
                <w:rFonts w:hint="default" w:ascii="Times New Roman" w:hAnsi="Times New Roman" w:eastAsia="等线" w:cs="Times New Roman"/>
                <w:i w:val="0"/>
                <w:color w:val="auto"/>
                <w:kern w:val="2"/>
                <w:sz w:val="24"/>
                <w:szCs w:val="24"/>
                <w:highlight w:val="none"/>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4</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光纤熔接盒</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spacing w:beforeLines="0" w:afterLines="0" w:line="240" w:lineRule="auto"/>
              <w:ind w:firstLine="0" w:firstLineChars="0"/>
              <w:jc w:val="left"/>
              <w:rPr>
                <w:rFonts w:hint="default" w:ascii="Times New Roman" w:hAnsi="Times New Roman" w:eastAsia="等线" w:cs="Times New Roman"/>
                <w:i w:val="0"/>
                <w:color w:val="auto"/>
                <w:kern w:val="2"/>
                <w:sz w:val="24"/>
                <w:szCs w:val="24"/>
                <w:highlight w:val="none"/>
                <w:u w:val="none"/>
                <w:lang w:val="en-US" w:eastAsia="zh-CN" w:bidi="ar-SA"/>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套</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2</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spacing w:beforeLines="0" w:afterLines="0" w:line="240" w:lineRule="auto"/>
              <w:ind w:firstLine="0" w:firstLineChars="0"/>
              <w:jc w:val="center"/>
              <w:rPr>
                <w:rFonts w:hint="default" w:ascii="Times New Roman" w:hAnsi="Times New Roman" w:eastAsia="等线" w:cs="Times New Roman"/>
                <w:i w:val="0"/>
                <w:color w:val="auto"/>
                <w:kern w:val="2"/>
                <w:sz w:val="24"/>
                <w:szCs w:val="24"/>
                <w:highlight w:val="none"/>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b/>
                <w:i w:val="0"/>
                <w:color w:val="auto"/>
                <w:kern w:val="2"/>
                <w:sz w:val="24"/>
                <w:szCs w:val="24"/>
                <w:highlight w:val="none"/>
                <w:u w:val="none"/>
                <w:lang w:val="en-US" w:eastAsia="zh-CN" w:bidi="ar-SA"/>
              </w:rPr>
            </w:pPr>
            <w:r>
              <w:rPr>
                <w:rFonts w:hint="default" w:ascii="Times New Roman" w:hAnsi="Times New Roman" w:eastAsia="等线" w:cs="Times New Roman"/>
                <w:b/>
                <w:i w:val="0"/>
                <w:snapToGrid w:val="0"/>
                <w:color w:val="auto"/>
                <w:kern w:val="0"/>
                <w:sz w:val="24"/>
                <w:szCs w:val="24"/>
                <w:highlight w:val="none"/>
                <w:u w:val="none"/>
                <w:lang w:val="en-US" w:eastAsia="zh-CN" w:bidi="ar"/>
              </w:rPr>
              <w:t>四</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b/>
                <w:i w:val="0"/>
                <w:color w:val="auto"/>
                <w:kern w:val="2"/>
                <w:sz w:val="24"/>
                <w:szCs w:val="24"/>
                <w:highlight w:val="none"/>
                <w:u w:val="none"/>
                <w:lang w:val="en-US" w:eastAsia="zh-CN" w:bidi="ar-SA"/>
              </w:rPr>
            </w:pPr>
            <w:r>
              <w:rPr>
                <w:rFonts w:hint="default" w:ascii="Times New Roman" w:hAnsi="Times New Roman" w:eastAsia="等线" w:cs="Times New Roman"/>
                <w:b/>
                <w:i w:val="0"/>
                <w:snapToGrid w:val="0"/>
                <w:color w:val="auto"/>
                <w:kern w:val="0"/>
                <w:sz w:val="24"/>
                <w:szCs w:val="24"/>
                <w:highlight w:val="none"/>
                <w:u w:val="none"/>
                <w:lang w:val="en-US" w:eastAsia="zh-CN" w:bidi="ar"/>
              </w:rPr>
              <w:t>储能本体系统</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spacing w:beforeLines="0" w:afterLines="0" w:line="240" w:lineRule="auto"/>
              <w:ind w:firstLine="0" w:firstLineChars="0"/>
              <w:jc w:val="center"/>
              <w:rPr>
                <w:rFonts w:hint="default" w:ascii="Times New Roman" w:hAnsi="Times New Roman" w:eastAsia="等线" w:cs="Times New Roman"/>
                <w:i w:val="0"/>
                <w:color w:val="auto"/>
                <w:kern w:val="2"/>
                <w:sz w:val="24"/>
                <w:szCs w:val="24"/>
                <w:highlight w:val="none"/>
                <w:u w:val="none"/>
                <w:lang w:val="en-US" w:eastAsia="zh-CN" w:bidi="ar-SA"/>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spacing w:beforeLines="0" w:afterLines="0" w:line="240" w:lineRule="auto"/>
              <w:ind w:firstLine="0" w:firstLineChars="0"/>
              <w:jc w:val="center"/>
              <w:rPr>
                <w:rFonts w:hint="default" w:ascii="Times New Roman" w:hAnsi="Times New Roman" w:eastAsia="等线" w:cs="Times New Roman"/>
                <w:i w:val="0"/>
                <w:color w:val="auto"/>
                <w:kern w:val="2"/>
                <w:sz w:val="24"/>
                <w:szCs w:val="24"/>
                <w:highlight w:val="none"/>
                <w:u w:val="none"/>
                <w:lang w:val="en-US" w:eastAsia="zh-CN" w:bidi="ar-SA"/>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spacing w:beforeLines="0" w:afterLines="0" w:line="240" w:lineRule="auto"/>
              <w:ind w:firstLine="0" w:firstLineChars="0"/>
              <w:jc w:val="center"/>
              <w:rPr>
                <w:rFonts w:hint="default" w:ascii="Times New Roman" w:hAnsi="Times New Roman" w:eastAsia="等线" w:cs="Times New Roman"/>
                <w:i w:val="0"/>
                <w:color w:val="auto"/>
                <w:kern w:val="2"/>
                <w:sz w:val="24"/>
                <w:szCs w:val="24"/>
                <w:highlight w:val="none"/>
                <w:u w:val="none"/>
                <w:lang w:val="en-US" w:eastAsia="zh-CN" w:bidi="ar-SA"/>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spacing w:beforeLines="0" w:afterLines="0" w:line="240" w:lineRule="auto"/>
              <w:ind w:firstLine="0" w:firstLineChars="0"/>
              <w:jc w:val="center"/>
              <w:rPr>
                <w:rFonts w:hint="default" w:ascii="Times New Roman" w:hAnsi="Times New Roman" w:eastAsia="等线" w:cs="Times New Roman"/>
                <w:i w:val="0"/>
                <w:color w:val="auto"/>
                <w:kern w:val="2"/>
                <w:sz w:val="24"/>
                <w:szCs w:val="24"/>
                <w:highlight w:val="none"/>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64"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1</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综合保护装置</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spacing w:beforeLines="0" w:afterLines="0" w:line="240" w:lineRule="auto"/>
              <w:ind w:firstLine="0" w:firstLineChars="0"/>
              <w:jc w:val="left"/>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color w:val="auto"/>
                <w:sz w:val="24"/>
                <w:szCs w:val="24"/>
                <w:highlight w:val="none"/>
                <w:u w:val="none"/>
              </w:rPr>
              <w:t>储能预制舱开关柜内</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套</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2</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spacing w:beforeLines="0" w:afterLines="0" w:line="240" w:lineRule="auto"/>
              <w:ind w:firstLine="0" w:firstLineChars="0"/>
              <w:jc w:val="center"/>
              <w:rPr>
                <w:rFonts w:hint="default" w:ascii="Times New Roman" w:hAnsi="Times New Roman" w:eastAsia="等线" w:cs="Times New Roman"/>
                <w:i w:val="0"/>
                <w:color w:val="auto"/>
                <w:kern w:val="2"/>
                <w:sz w:val="24"/>
                <w:szCs w:val="24"/>
                <w:highlight w:val="none"/>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2</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箱变测控装置</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spacing w:beforeLines="0" w:afterLines="0" w:line="240" w:lineRule="auto"/>
              <w:ind w:firstLine="0" w:firstLineChars="0"/>
              <w:jc w:val="left"/>
              <w:rPr>
                <w:rFonts w:hint="default" w:ascii="Times New Roman" w:hAnsi="Times New Roman" w:eastAsia="等线" w:cs="Times New Roman"/>
                <w:i w:val="0"/>
                <w:color w:val="auto"/>
                <w:kern w:val="2"/>
                <w:sz w:val="24"/>
                <w:szCs w:val="24"/>
                <w:highlight w:val="none"/>
                <w:u w:val="none"/>
                <w:lang w:val="en-US" w:eastAsia="zh-CN" w:bidi="ar-SA"/>
              </w:rPr>
            </w:pPr>
            <w:r>
              <w:rPr>
                <w:rFonts w:hint="eastAsia" w:eastAsia="等线" w:cs="Times New Roman"/>
                <w:i w:val="0"/>
                <w:color w:val="auto"/>
                <w:sz w:val="24"/>
                <w:szCs w:val="24"/>
                <w:highlight w:val="none"/>
                <w:u w:val="none"/>
                <w:lang w:val="en-US" w:eastAsia="zh-CN"/>
              </w:rPr>
              <w:t>内置通讯管理及光电转换模块</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套</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2</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spacing w:beforeLines="0" w:afterLines="0" w:line="240" w:lineRule="auto"/>
              <w:ind w:firstLine="0" w:firstLineChars="0"/>
              <w:jc w:val="center"/>
              <w:rPr>
                <w:rFonts w:hint="default" w:ascii="Times New Roman" w:hAnsi="Times New Roman" w:eastAsia="等线" w:cs="Times New Roman"/>
                <w:i w:val="0"/>
                <w:color w:val="auto"/>
                <w:kern w:val="2"/>
                <w:sz w:val="24"/>
                <w:szCs w:val="24"/>
                <w:highlight w:val="none"/>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64"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3</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工业交换机</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spacing w:beforeLines="0" w:afterLines="0" w:line="240" w:lineRule="auto"/>
              <w:ind w:firstLine="0" w:firstLineChars="0"/>
              <w:jc w:val="left"/>
              <w:rPr>
                <w:rFonts w:hint="default" w:ascii="Times New Roman" w:hAnsi="Times New Roman" w:eastAsia="等线" w:cs="Times New Roman"/>
                <w:i w:val="0"/>
                <w:color w:val="auto"/>
                <w:kern w:val="2"/>
                <w:sz w:val="24"/>
                <w:szCs w:val="24"/>
                <w:highlight w:val="none"/>
                <w:u w:val="none"/>
                <w:lang w:val="en-US" w:eastAsia="zh-CN" w:bidi="ar-SA"/>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套</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2</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spacing w:beforeLines="0" w:afterLines="0" w:line="240" w:lineRule="auto"/>
              <w:ind w:firstLine="0" w:firstLineChars="0"/>
              <w:jc w:val="center"/>
              <w:rPr>
                <w:rFonts w:hint="default" w:ascii="Times New Roman" w:hAnsi="Times New Roman" w:eastAsia="等线" w:cs="Times New Roman"/>
                <w:i w:val="0"/>
                <w:color w:val="auto"/>
                <w:kern w:val="2"/>
                <w:sz w:val="24"/>
                <w:szCs w:val="24"/>
                <w:highlight w:val="none"/>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4</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通讯辅材</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法兰盒尾纤跳线等，含熔纤</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套</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eastAsia" w:eastAsia="等线" w:cs="Times New Roman"/>
                <w:i w:val="0"/>
                <w:snapToGrid w:val="0"/>
                <w:color w:val="auto"/>
                <w:kern w:val="0"/>
                <w:sz w:val="24"/>
                <w:szCs w:val="24"/>
                <w:highlight w:val="none"/>
                <w:u w:val="none"/>
                <w:lang w:val="en-US" w:eastAsia="zh-CN" w:bidi="ar"/>
              </w:rPr>
              <w:t>1</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spacing w:beforeLines="0" w:afterLines="0" w:line="240" w:lineRule="auto"/>
              <w:ind w:firstLine="0" w:firstLineChars="0"/>
              <w:jc w:val="center"/>
              <w:rPr>
                <w:rFonts w:hint="default" w:ascii="Times New Roman" w:hAnsi="Times New Roman" w:eastAsia="等线" w:cs="Times New Roman"/>
                <w:i w:val="0"/>
                <w:color w:val="auto"/>
                <w:kern w:val="2"/>
                <w:sz w:val="24"/>
                <w:szCs w:val="24"/>
                <w:highlight w:val="none"/>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64"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b/>
                <w:i w:val="0"/>
                <w:color w:val="auto"/>
                <w:kern w:val="2"/>
                <w:sz w:val="24"/>
                <w:szCs w:val="24"/>
                <w:highlight w:val="none"/>
                <w:u w:val="none"/>
                <w:lang w:val="en-US" w:eastAsia="zh-CN" w:bidi="ar-SA"/>
              </w:rPr>
            </w:pPr>
            <w:r>
              <w:rPr>
                <w:rFonts w:hint="default" w:ascii="Times New Roman" w:hAnsi="Times New Roman" w:eastAsia="等线" w:cs="Times New Roman"/>
                <w:b/>
                <w:i w:val="0"/>
                <w:snapToGrid w:val="0"/>
                <w:color w:val="auto"/>
                <w:kern w:val="0"/>
                <w:sz w:val="24"/>
                <w:szCs w:val="24"/>
                <w:highlight w:val="none"/>
                <w:u w:val="none"/>
                <w:lang w:val="en-US" w:eastAsia="zh-CN" w:bidi="ar"/>
              </w:rPr>
              <w:t>五</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b/>
                <w:i w:val="0"/>
                <w:color w:val="auto"/>
                <w:kern w:val="2"/>
                <w:sz w:val="24"/>
                <w:szCs w:val="24"/>
                <w:highlight w:val="none"/>
                <w:u w:val="none"/>
                <w:lang w:val="en-US" w:eastAsia="zh-CN" w:bidi="ar-SA"/>
              </w:rPr>
            </w:pPr>
            <w:r>
              <w:rPr>
                <w:rFonts w:hint="default" w:ascii="Times New Roman" w:hAnsi="Times New Roman" w:eastAsia="等线" w:cs="Times New Roman"/>
                <w:b/>
                <w:i w:val="0"/>
                <w:snapToGrid w:val="0"/>
                <w:color w:val="auto"/>
                <w:kern w:val="0"/>
                <w:sz w:val="24"/>
                <w:szCs w:val="24"/>
                <w:highlight w:val="none"/>
                <w:u w:val="none"/>
                <w:lang w:val="en-US" w:eastAsia="zh-CN" w:bidi="ar"/>
              </w:rPr>
              <w:t>计量</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spacing w:beforeLines="0" w:afterLines="0" w:line="240" w:lineRule="auto"/>
              <w:ind w:firstLine="0" w:firstLineChars="0"/>
              <w:jc w:val="left"/>
              <w:rPr>
                <w:rFonts w:hint="default" w:ascii="Times New Roman" w:hAnsi="Times New Roman" w:eastAsia="等线" w:cs="Times New Roman"/>
                <w:i w:val="0"/>
                <w:color w:val="auto"/>
                <w:kern w:val="2"/>
                <w:sz w:val="24"/>
                <w:szCs w:val="24"/>
                <w:highlight w:val="none"/>
                <w:u w:val="none"/>
                <w:lang w:val="en-US" w:eastAsia="zh-CN" w:bidi="ar-SA"/>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spacing w:beforeLines="0" w:afterLines="0" w:line="240" w:lineRule="auto"/>
              <w:ind w:firstLine="0" w:firstLineChars="0"/>
              <w:jc w:val="center"/>
              <w:rPr>
                <w:rFonts w:hint="default" w:ascii="Times New Roman" w:hAnsi="Times New Roman" w:eastAsia="等线" w:cs="Times New Roman"/>
                <w:i w:val="0"/>
                <w:color w:val="auto"/>
                <w:kern w:val="2"/>
                <w:sz w:val="24"/>
                <w:szCs w:val="24"/>
                <w:highlight w:val="none"/>
                <w:u w:val="none"/>
                <w:lang w:val="en-US" w:eastAsia="zh-CN" w:bidi="ar-SA"/>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spacing w:beforeLines="0" w:afterLines="0" w:line="240" w:lineRule="auto"/>
              <w:ind w:firstLine="0" w:firstLineChars="0"/>
              <w:jc w:val="center"/>
              <w:rPr>
                <w:rFonts w:hint="default" w:ascii="Times New Roman" w:hAnsi="Times New Roman" w:eastAsia="等线" w:cs="Times New Roman"/>
                <w:i w:val="0"/>
                <w:color w:val="auto"/>
                <w:kern w:val="2"/>
                <w:sz w:val="24"/>
                <w:szCs w:val="24"/>
                <w:highlight w:val="none"/>
                <w:u w:val="none"/>
                <w:lang w:val="en-US" w:eastAsia="zh-CN" w:bidi="ar-SA"/>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spacing w:beforeLines="0" w:afterLines="0" w:line="240" w:lineRule="auto"/>
              <w:ind w:firstLine="0" w:firstLineChars="0"/>
              <w:jc w:val="center"/>
              <w:rPr>
                <w:rFonts w:hint="default" w:ascii="Times New Roman" w:hAnsi="Times New Roman" w:eastAsia="等线" w:cs="Times New Roman"/>
                <w:i w:val="0"/>
                <w:color w:val="auto"/>
                <w:kern w:val="2"/>
                <w:sz w:val="24"/>
                <w:szCs w:val="24"/>
                <w:highlight w:val="none"/>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eastAsia" w:eastAsia="等线" w:cs="Times New Roman"/>
                <w:i w:val="0"/>
                <w:snapToGrid w:val="0"/>
                <w:color w:val="auto"/>
                <w:kern w:val="0"/>
                <w:sz w:val="24"/>
                <w:szCs w:val="24"/>
                <w:highlight w:val="none"/>
                <w:u w:val="none"/>
                <w:lang w:val="en-US" w:eastAsia="zh-CN" w:bidi="ar"/>
              </w:rPr>
              <w:t>1</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电度表</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就地放置于开关柜</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块</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3</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spacing w:beforeLines="0" w:afterLines="0" w:line="240" w:lineRule="auto"/>
              <w:ind w:firstLine="0" w:firstLineChars="0"/>
              <w:jc w:val="center"/>
              <w:rPr>
                <w:rFonts w:hint="default" w:ascii="Times New Roman" w:hAnsi="Times New Roman" w:eastAsia="等线" w:cs="Times New Roman"/>
                <w:i w:val="0"/>
                <w:color w:val="auto"/>
                <w:kern w:val="2"/>
                <w:sz w:val="24"/>
                <w:szCs w:val="24"/>
                <w:highlight w:val="none"/>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b/>
                <w:i w:val="0"/>
                <w:color w:val="auto"/>
                <w:kern w:val="2"/>
                <w:sz w:val="24"/>
                <w:szCs w:val="24"/>
                <w:highlight w:val="none"/>
                <w:u w:val="none"/>
                <w:lang w:val="en-US" w:eastAsia="zh-CN" w:bidi="ar-SA"/>
              </w:rPr>
            </w:pPr>
            <w:r>
              <w:rPr>
                <w:rFonts w:hint="eastAsia" w:ascii="Times New Roman" w:hAnsi="Times New Roman" w:eastAsia="等线" w:cs="Times New Roman"/>
                <w:b/>
                <w:i w:val="0"/>
                <w:snapToGrid w:val="0"/>
                <w:color w:val="auto"/>
                <w:kern w:val="0"/>
                <w:sz w:val="24"/>
                <w:szCs w:val="24"/>
                <w:highlight w:val="none"/>
                <w:u w:val="none"/>
                <w:lang w:val="en-US" w:eastAsia="zh-CN" w:bidi="ar"/>
              </w:rPr>
              <w:t>六</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b/>
                <w:i w:val="0"/>
                <w:color w:val="auto"/>
                <w:kern w:val="2"/>
                <w:sz w:val="24"/>
                <w:szCs w:val="24"/>
                <w:highlight w:val="none"/>
                <w:u w:val="none"/>
                <w:lang w:val="en-US" w:eastAsia="zh-CN" w:bidi="ar-SA"/>
              </w:rPr>
            </w:pPr>
            <w:r>
              <w:rPr>
                <w:rFonts w:hint="default" w:ascii="Times New Roman" w:hAnsi="Times New Roman" w:eastAsia="等线" w:cs="Times New Roman"/>
                <w:b/>
                <w:i w:val="0"/>
                <w:snapToGrid w:val="0"/>
                <w:color w:val="auto"/>
                <w:kern w:val="0"/>
                <w:sz w:val="24"/>
                <w:szCs w:val="24"/>
                <w:highlight w:val="none"/>
                <w:u w:val="none"/>
                <w:lang w:val="en-US" w:eastAsia="zh-CN" w:bidi="ar"/>
              </w:rPr>
              <w:t>舱体</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spacing w:beforeLines="0" w:afterLines="0" w:line="240" w:lineRule="auto"/>
              <w:ind w:firstLine="0" w:firstLineChars="0"/>
              <w:jc w:val="center"/>
              <w:rPr>
                <w:rFonts w:hint="default" w:ascii="Times New Roman" w:hAnsi="Times New Roman" w:eastAsia="等线" w:cs="Times New Roman"/>
                <w:i w:val="0"/>
                <w:color w:val="auto"/>
                <w:kern w:val="2"/>
                <w:sz w:val="24"/>
                <w:szCs w:val="24"/>
                <w:highlight w:val="none"/>
                <w:u w:val="none"/>
                <w:lang w:val="en-US" w:eastAsia="zh-CN" w:bidi="ar-SA"/>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spacing w:beforeLines="0" w:afterLines="0" w:line="240" w:lineRule="auto"/>
              <w:ind w:firstLine="0" w:firstLineChars="0"/>
              <w:jc w:val="center"/>
              <w:rPr>
                <w:rFonts w:hint="default" w:ascii="Times New Roman" w:hAnsi="Times New Roman" w:eastAsia="等线" w:cs="Times New Roman"/>
                <w:i w:val="0"/>
                <w:color w:val="auto"/>
                <w:kern w:val="2"/>
                <w:sz w:val="24"/>
                <w:szCs w:val="24"/>
                <w:highlight w:val="none"/>
                <w:u w:val="none"/>
                <w:lang w:val="en-US" w:eastAsia="zh-CN" w:bidi="ar-SA"/>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spacing w:beforeLines="0" w:afterLines="0" w:line="240" w:lineRule="auto"/>
              <w:ind w:firstLine="0" w:firstLineChars="0"/>
              <w:jc w:val="center"/>
              <w:rPr>
                <w:rFonts w:hint="default" w:ascii="Times New Roman" w:hAnsi="Times New Roman" w:eastAsia="等线" w:cs="Times New Roman"/>
                <w:i w:val="0"/>
                <w:color w:val="auto"/>
                <w:kern w:val="2"/>
                <w:sz w:val="24"/>
                <w:szCs w:val="24"/>
                <w:highlight w:val="none"/>
                <w:u w:val="none"/>
                <w:lang w:val="en-US" w:eastAsia="zh-CN" w:bidi="ar-SA"/>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spacing w:beforeLines="0" w:afterLines="0" w:line="240" w:lineRule="auto"/>
              <w:ind w:firstLine="0" w:firstLineChars="0"/>
              <w:jc w:val="center"/>
              <w:rPr>
                <w:rFonts w:hint="default" w:ascii="Times New Roman" w:hAnsi="Times New Roman" w:eastAsia="等线" w:cs="Times New Roman"/>
                <w:i w:val="0"/>
                <w:color w:val="auto"/>
                <w:kern w:val="2"/>
                <w:sz w:val="24"/>
                <w:szCs w:val="24"/>
                <w:highlight w:val="none"/>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64"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1</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二次预制舱</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left"/>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长：4.9，宽：3.2，高：3，火灾报警主机及感温感烟探测器（按需）</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间</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Lines="0" w:afterLines="0" w:line="240" w:lineRule="auto"/>
              <w:ind w:firstLine="0" w:firstLineChars="0"/>
              <w:jc w:val="center"/>
              <w:textAlignment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default" w:ascii="Times New Roman" w:hAnsi="Times New Roman" w:eastAsia="等线" w:cs="Times New Roman"/>
                <w:i w:val="0"/>
                <w:snapToGrid w:val="0"/>
                <w:color w:val="auto"/>
                <w:kern w:val="0"/>
                <w:sz w:val="24"/>
                <w:szCs w:val="24"/>
                <w:highlight w:val="none"/>
                <w:u w:val="none"/>
                <w:lang w:val="en-US" w:eastAsia="zh-CN" w:bidi="ar"/>
              </w:rPr>
              <w:t>1</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spacing w:beforeLines="0" w:afterLines="0" w:line="240" w:lineRule="auto"/>
              <w:ind w:firstLine="0" w:firstLineChars="0"/>
              <w:jc w:val="center"/>
              <w:rPr>
                <w:rFonts w:hint="default" w:ascii="Times New Roman" w:hAnsi="Times New Roman" w:eastAsia="等线" w:cs="Times New Roman"/>
                <w:i w:val="0"/>
                <w:color w:val="auto"/>
                <w:kern w:val="2"/>
                <w:sz w:val="24"/>
                <w:szCs w:val="24"/>
                <w:highlight w:val="none"/>
                <w:u w:val="none"/>
                <w:lang w:val="en-US" w:eastAsia="zh-CN" w:bidi="ar-SA"/>
              </w:rPr>
            </w:pPr>
            <w:r>
              <w:rPr>
                <w:rFonts w:hint="eastAsia" w:eastAsia="等线" w:cs="Times New Roman"/>
                <w:i w:val="0"/>
                <w:color w:val="auto"/>
                <w:sz w:val="24"/>
                <w:szCs w:val="24"/>
                <w:highlight w:val="none"/>
                <w:u w:val="none"/>
                <w:lang w:val="en-US" w:eastAsia="zh-CN"/>
              </w:rPr>
              <w:t>防护等级不低于IP66，钢板厚度不得小于2mm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64"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宋体" w:hAnsi="宋体" w:eastAsia="宋体" w:cs="宋体"/>
                <w:snapToGrid/>
                <w:color w:val="auto"/>
                <w:kern w:val="0"/>
                <w:sz w:val="24"/>
                <w:szCs w:val="24"/>
                <w:highlight w:val="none"/>
                <w:lang w:val="en-US" w:eastAsia="zh-CN" w:bidi="ar"/>
              </w:rPr>
            </w:pPr>
            <w:r>
              <w:rPr>
                <w:rFonts w:hint="eastAsia" w:cs="宋体"/>
                <w:snapToGrid/>
                <w:color w:val="auto"/>
                <w:kern w:val="0"/>
                <w:sz w:val="24"/>
                <w:szCs w:val="24"/>
                <w:highlight w:val="none"/>
                <w:lang w:val="en-US" w:eastAsia="zh-CN" w:bidi="ar"/>
              </w:rPr>
              <w:t>1</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宋体" w:hAnsi="宋体" w:eastAsia="宋体" w:cs="宋体"/>
                <w:snapToGrid/>
                <w:color w:val="auto"/>
                <w:kern w:val="0"/>
                <w:sz w:val="24"/>
                <w:szCs w:val="24"/>
                <w:highlight w:val="none"/>
                <w:lang w:val="en-US" w:eastAsia="zh-CN" w:bidi="ar"/>
              </w:rPr>
            </w:pPr>
            <w:r>
              <w:rPr>
                <w:rFonts w:hint="eastAsia" w:cs="宋体"/>
                <w:snapToGrid/>
                <w:color w:val="auto"/>
                <w:kern w:val="0"/>
                <w:sz w:val="24"/>
                <w:szCs w:val="24"/>
                <w:highlight w:val="none"/>
                <w:lang w:val="en-US" w:eastAsia="zh-CN" w:bidi="ar"/>
              </w:rPr>
              <w:t>微电网监控系统</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pStyle w:val="19"/>
              <w:keepNext w:val="0"/>
              <w:keepLines w:val="0"/>
              <w:widowControl w:val="0"/>
              <w:suppressLineNumbers w:val="0"/>
              <w:adjustRightInd w:val="0"/>
              <w:snapToGrid w:val="0"/>
              <w:spacing w:before="0" w:beforeAutospacing="0" w:after="0" w:afterAutospacing="0" w:line="400" w:lineRule="exact"/>
              <w:ind w:left="0" w:right="0"/>
              <w:jc w:val="left"/>
              <w:rPr>
                <w:rFonts w:hint="eastAsia" w:cs="宋体"/>
                <w:color w:val="auto"/>
                <w:highlight w:val="none"/>
                <w:lang w:val="en-US" w:eastAsia="zh-CN"/>
              </w:rPr>
            </w:pPr>
            <w:r>
              <w:rPr>
                <w:rFonts w:hint="eastAsia" w:cs="宋体"/>
                <w:color w:val="auto"/>
                <w:highlight w:val="none"/>
                <w:lang w:val="en-US" w:eastAsia="zh-CN"/>
              </w:rPr>
              <w:t>1、工作站1台；</w:t>
            </w:r>
          </w:p>
          <w:p>
            <w:pPr>
              <w:pStyle w:val="19"/>
              <w:keepNext w:val="0"/>
              <w:keepLines w:val="0"/>
              <w:widowControl w:val="0"/>
              <w:suppressLineNumbers w:val="0"/>
              <w:adjustRightInd w:val="0"/>
              <w:snapToGrid w:val="0"/>
              <w:spacing w:before="0" w:beforeAutospacing="0" w:after="0" w:afterAutospacing="0" w:line="400" w:lineRule="exact"/>
              <w:ind w:left="0" w:right="0"/>
              <w:jc w:val="left"/>
              <w:rPr>
                <w:rFonts w:hint="eastAsia" w:cs="宋体"/>
                <w:color w:val="auto"/>
                <w:highlight w:val="none"/>
                <w:lang w:val="en-US" w:eastAsia="zh-CN"/>
              </w:rPr>
            </w:pPr>
            <w:r>
              <w:rPr>
                <w:rFonts w:hint="eastAsia" w:cs="宋体"/>
                <w:color w:val="auto"/>
                <w:highlight w:val="none"/>
                <w:lang w:val="en-US" w:eastAsia="zh-CN"/>
              </w:rPr>
              <w:t>2、显示器1台；</w:t>
            </w:r>
          </w:p>
          <w:p>
            <w:pPr>
              <w:pStyle w:val="19"/>
              <w:keepNext w:val="0"/>
              <w:keepLines w:val="0"/>
              <w:widowControl w:val="0"/>
              <w:suppressLineNumbers w:val="0"/>
              <w:adjustRightInd w:val="0"/>
              <w:snapToGrid w:val="0"/>
              <w:spacing w:before="0" w:beforeAutospacing="0" w:after="0" w:afterAutospacing="0" w:line="400" w:lineRule="exact"/>
              <w:ind w:left="0" w:right="0"/>
              <w:jc w:val="left"/>
              <w:rPr>
                <w:rFonts w:hint="eastAsia" w:cs="宋体"/>
                <w:color w:val="auto"/>
                <w:highlight w:val="none"/>
                <w:lang w:val="en-US" w:eastAsia="zh-CN"/>
              </w:rPr>
            </w:pPr>
            <w:r>
              <w:rPr>
                <w:rFonts w:hint="eastAsia" w:cs="宋体"/>
                <w:color w:val="auto"/>
                <w:highlight w:val="none"/>
                <w:lang w:val="en-US" w:eastAsia="zh-CN"/>
              </w:rPr>
              <w:t>3、操作系统1台；</w:t>
            </w:r>
          </w:p>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left"/>
              <w:rPr>
                <w:rFonts w:hint="default" w:ascii="Calibri" w:hAnsi="Calibri" w:eastAsia="宋体" w:cs="宋体"/>
                <w:color w:val="auto"/>
                <w:kern w:val="0"/>
                <w:sz w:val="24"/>
                <w:szCs w:val="24"/>
                <w:highlight w:val="none"/>
                <w:lang w:val="en-US" w:eastAsia="zh-CN" w:bidi="ar-SA"/>
              </w:rPr>
            </w:pPr>
            <w:r>
              <w:rPr>
                <w:rFonts w:hint="eastAsia" w:cs="宋体"/>
                <w:color w:val="auto"/>
                <w:highlight w:val="none"/>
                <w:lang w:val="en-US" w:eastAsia="zh-CN"/>
              </w:rPr>
              <w:t>4、A4激光打印机1台；</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宋体" w:hAnsi="宋体" w:eastAsia="宋体" w:cs="宋体"/>
                <w:snapToGrid/>
                <w:color w:val="auto"/>
                <w:kern w:val="0"/>
                <w:sz w:val="24"/>
                <w:szCs w:val="24"/>
                <w:highlight w:val="none"/>
                <w:lang w:val="en-US" w:eastAsia="zh-CN" w:bidi="ar"/>
              </w:rPr>
            </w:pPr>
            <w:r>
              <w:rPr>
                <w:rFonts w:hint="eastAsia" w:cs="宋体"/>
                <w:snapToGrid/>
                <w:color w:val="auto"/>
                <w:kern w:val="0"/>
                <w:sz w:val="24"/>
                <w:szCs w:val="24"/>
                <w:highlight w:val="none"/>
                <w:lang w:val="en-US" w:eastAsia="zh-CN" w:bidi="ar"/>
              </w:rPr>
              <w:t>套</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宋体" w:hAnsi="宋体" w:eastAsia="宋体" w:cs="宋体"/>
                <w:snapToGrid/>
                <w:color w:val="auto"/>
                <w:kern w:val="0"/>
                <w:sz w:val="24"/>
                <w:szCs w:val="24"/>
                <w:highlight w:val="none"/>
                <w:lang w:val="en-US" w:eastAsia="zh-CN" w:bidi="ar"/>
              </w:rPr>
            </w:pPr>
            <w:r>
              <w:rPr>
                <w:rFonts w:hint="eastAsia" w:cs="宋体"/>
                <w:snapToGrid/>
                <w:color w:val="auto"/>
                <w:kern w:val="0"/>
                <w:sz w:val="24"/>
                <w:szCs w:val="24"/>
                <w:highlight w:val="none"/>
                <w:lang w:val="en-US" w:eastAsia="zh-CN" w:bidi="ar"/>
              </w:rPr>
              <w:t>1</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eastAsia" w:ascii="Calibri" w:hAnsi="Calibri" w:eastAsia="宋体" w:cs="宋体"/>
                <w:color w:val="auto"/>
                <w:kern w:val="0"/>
                <w:sz w:val="24"/>
                <w:szCs w:val="24"/>
                <w:highlight w:val="none"/>
                <w:lang w:val="en-US" w:eastAsia="zh-CN" w:bidi="ar-SA"/>
              </w:rPr>
            </w:pPr>
            <w:r>
              <w:rPr>
                <w:rFonts w:hint="eastAsia" w:cs="宋体"/>
                <w:color w:val="auto"/>
                <w:highlight w:val="none"/>
                <w:lang w:val="en-US" w:eastAsia="zh-CN"/>
              </w:rPr>
              <w:t>微电网与储能共用一套计算机监控系统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Calibri" w:hAnsi="Calibri" w:eastAsia="宋体" w:cs="宋体"/>
                <w:snapToGrid/>
                <w:color w:val="auto"/>
                <w:kern w:val="0"/>
                <w:sz w:val="24"/>
                <w:szCs w:val="24"/>
                <w:highlight w:val="none"/>
                <w:lang w:val="en-US" w:eastAsia="zh-CN" w:bidi="ar"/>
              </w:rPr>
            </w:pPr>
            <w:r>
              <w:rPr>
                <w:rFonts w:hint="eastAsia" w:cs="宋体"/>
                <w:snapToGrid/>
                <w:color w:val="auto"/>
                <w:kern w:val="0"/>
                <w:sz w:val="24"/>
                <w:szCs w:val="24"/>
                <w:highlight w:val="none"/>
                <w:lang w:val="en-US" w:eastAsia="zh-CN" w:bidi="ar"/>
              </w:rPr>
              <w:t>2</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Calibri" w:hAnsi="Calibri" w:eastAsia="宋体" w:cs="宋体"/>
                <w:snapToGrid/>
                <w:color w:val="auto"/>
                <w:kern w:val="0"/>
                <w:sz w:val="24"/>
                <w:szCs w:val="24"/>
                <w:highlight w:val="none"/>
                <w:lang w:val="en-US" w:eastAsia="zh-CN" w:bidi="ar"/>
              </w:rPr>
            </w:pPr>
            <w:r>
              <w:rPr>
                <w:rFonts w:hint="eastAsia" w:ascii="宋体" w:hAnsi="宋体" w:eastAsia="宋体" w:cs="宋体"/>
                <w:snapToGrid/>
                <w:color w:val="auto"/>
                <w:kern w:val="0"/>
                <w:sz w:val="24"/>
                <w:szCs w:val="24"/>
                <w:highlight w:val="none"/>
                <w:lang w:val="en-US" w:eastAsia="zh-CN" w:bidi="ar"/>
              </w:rPr>
              <w:t>微网系统主机柜</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pStyle w:val="19"/>
              <w:keepNext w:val="0"/>
              <w:keepLines w:val="0"/>
              <w:widowControl w:val="0"/>
              <w:suppressLineNumbers w:val="0"/>
              <w:adjustRightInd w:val="0"/>
              <w:snapToGrid w:val="0"/>
              <w:spacing w:before="0" w:beforeAutospacing="0" w:after="0" w:afterAutospacing="0" w:line="400" w:lineRule="exact"/>
              <w:ind w:left="0" w:right="0" w:firstLine="0"/>
              <w:jc w:val="both"/>
              <w:rPr>
                <w:rFonts w:hint="eastAsia" w:cs="宋体"/>
                <w:color w:val="auto"/>
                <w:highlight w:val="none"/>
                <w:lang w:val="en-US" w:eastAsia="zh-CN"/>
              </w:rPr>
            </w:pPr>
            <w:r>
              <w:rPr>
                <w:rFonts w:hint="eastAsia" w:cs="宋体"/>
                <w:color w:val="auto"/>
                <w:highlight w:val="none"/>
                <w:lang w:val="en-US" w:eastAsia="zh-CN"/>
              </w:rPr>
              <w:t>1.监控主机（二路服务器，内存64GB，2TB，2个网口，独立显卡）；2台</w:t>
            </w:r>
          </w:p>
          <w:p>
            <w:pPr>
              <w:pStyle w:val="19"/>
              <w:keepNext w:val="0"/>
              <w:keepLines w:val="0"/>
              <w:widowControl w:val="0"/>
              <w:suppressLineNumbers w:val="0"/>
              <w:adjustRightInd w:val="0"/>
              <w:snapToGrid w:val="0"/>
              <w:spacing w:before="0" w:beforeAutospacing="0" w:after="0" w:afterAutospacing="0" w:line="400" w:lineRule="exact"/>
              <w:ind w:left="0" w:right="0" w:firstLine="0"/>
              <w:jc w:val="both"/>
              <w:rPr>
                <w:rFonts w:hint="eastAsia" w:cs="宋体"/>
                <w:color w:val="auto"/>
                <w:highlight w:val="none"/>
                <w:lang w:val="en-US" w:eastAsia="zh-CN"/>
              </w:rPr>
            </w:pPr>
            <w:r>
              <w:rPr>
                <w:rFonts w:hint="eastAsia" w:cs="宋体"/>
                <w:color w:val="auto"/>
                <w:highlight w:val="none"/>
                <w:lang w:val="en-US" w:eastAsia="zh-CN"/>
              </w:rPr>
              <w:t>2.操作系统（国产等）；2套</w:t>
            </w:r>
          </w:p>
          <w:p>
            <w:pPr>
              <w:pStyle w:val="19"/>
              <w:keepNext w:val="0"/>
              <w:keepLines w:val="0"/>
              <w:widowControl w:val="0"/>
              <w:suppressLineNumbers w:val="0"/>
              <w:adjustRightInd w:val="0"/>
              <w:snapToGrid w:val="0"/>
              <w:spacing w:before="0" w:beforeAutospacing="0" w:after="0" w:afterAutospacing="0" w:line="400" w:lineRule="exact"/>
              <w:ind w:left="0" w:right="0" w:firstLine="0"/>
              <w:jc w:val="both"/>
              <w:rPr>
                <w:rFonts w:hint="eastAsia" w:cs="宋体"/>
                <w:color w:val="auto"/>
                <w:highlight w:val="none"/>
                <w:lang w:val="en-US" w:eastAsia="zh-CN"/>
              </w:rPr>
            </w:pPr>
            <w:r>
              <w:rPr>
                <w:rFonts w:hint="eastAsia" w:cs="宋体"/>
                <w:color w:val="auto"/>
                <w:highlight w:val="none"/>
                <w:lang w:val="en-US" w:eastAsia="zh-CN"/>
              </w:rPr>
              <w:t>3.数据库软件（国产）；1套</w:t>
            </w:r>
          </w:p>
          <w:p>
            <w:pPr>
              <w:pStyle w:val="19"/>
              <w:keepNext w:val="0"/>
              <w:keepLines w:val="0"/>
              <w:widowControl w:val="0"/>
              <w:suppressLineNumbers w:val="0"/>
              <w:adjustRightInd w:val="0"/>
              <w:snapToGrid w:val="0"/>
              <w:spacing w:before="0" w:beforeAutospacing="0" w:after="0" w:afterAutospacing="0" w:line="400" w:lineRule="exact"/>
              <w:ind w:left="0" w:right="0" w:firstLine="0"/>
              <w:jc w:val="both"/>
              <w:rPr>
                <w:rFonts w:hint="eastAsia" w:cs="宋体"/>
                <w:color w:val="auto"/>
                <w:highlight w:val="none"/>
                <w:lang w:val="en-US" w:eastAsia="zh-CN"/>
              </w:rPr>
            </w:pPr>
            <w:r>
              <w:rPr>
                <w:rFonts w:hint="eastAsia" w:cs="宋体"/>
                <w:color w:val="auto"/>
                <w:highlight w:val="none"/>
                <w:lang w:val="en-US" w:eastAsia="zh-CN"/>
              </w:rPr>
              <w:t>4.监控软件；1套</w:t>
            </w:r>
          </w:p>
          <w:p>
            <w:pPr>
              <w:pStyle w:val="19"/>
              <w:keepNext w:val="0"/>
              <w:keepLines w:val="0"/>
              <w:widowControl w:val="0"/>
              <w:suppressLineNumbers w:val="0"/>
              <w:adjustRightInd w:val="0"/>
              <w:snapToGrid w:val="0"/>
              <w:spacing w:before="0" w:beforeAutospacing="0" w:after="0" w:afterAutospacing="0" w:line="400" w:lineRule="exact"/>
              <w:ind w:left="0" w:right="0" w:firstLine="0"/>
              <w:jc w:val="both"/>
              <w:rPr>
                <w:rFonts w:hint="eastAsia" w:cs="宋体"/>
                <w:color w:val="auto"/>
                <w:highlight w:val="none"/>
                <w:lang w:val="en-US" w:eastAsia="zh-CN"/>
              </w:rPr>
            </w:pPr>
            <w:r>
              <w:rPr>
                <w:rFonts w:hint="eastAsia" w:cs="宋体"/>
                <w:color w:val="auto"/>
                <w:highlight w:val="none"/>
                <w:lang w:val="en-US" w:eastAsia="zh-CN"/>
              </w:rPr>
              <w:t>5.19英寸折叠液晶（VGA接口）；1台</w:t>
            </w:r>
          </w:p>
          <w:p>
            <w:pPr>
              <w:pStyle w:val="19"/>
              <w:keepNext w:val="0"/>
              <w:keepLines w:val="0"/>
              <w:widowControl w:val="0"/>
              <w:suppressLineNumbers w:val="0"/>
              <w:adjustRightInd w:val="0"/>
              <w:snapToGrid w:val="0"/>
              <w:spacing w:before="0" w:beforeAutospacing="0" w:after="0" w:afterAutospacing="0" w:line="400" w:lineRule="exact"/>
              <w:ind w:left="0" w:right="0" w:firstLine="0"/>
              <w:jc w:val="both"/>
              <w:rPr>
                <w:rFonts w:hint="default" w:cs="宋体"/>
                <w:color w:val="auto"/>
                <w:highlight w:val="none"/>
                <w:lang w:val="en-US" w:eastAsia="zh-CN"/>
              </w:rPr>
            </w:pPr>
            <w:r>
              <w:rPr>
                <w:rFonts w:hint="eastAsia" w:cs="宋体"/>
                <w:color w:val="auto"/>
                <w:highlight w:val="none"/>
                <w:lang w:val="en-US" w:eastAsia="zh-CN"/>
              </w:rPr>
              <w:t>6.智慧微电网策略控制平台1套、大屏数字接口软件1套、配电设备数据接口软件1套、微网出力预测模块1套、配电网负荷预测模块1套、设备故障与保护动作信号数据接口程序1套、应急供电运行策略模块1套、黑启动策略模块1套、110KV综自系统接口模块1套、原电能质量及380V接入1套、开闭所及各分配电房的10KV、380V数据接口1套、故障诊断定位模块1套</w:t>
            </w:r>
          </w:p>
          <w:p>
            <w:pPr>
              <w:pStyle w:val="19"/>
              <w:keepNext w:val="0"/>
              <w:keepLines w:val="0"/>
              <w:widowControl w:val="0"/>
              <w:suppressLineNumbers w:val="0"/>
              <w:adjustRightInd w:val="0"/>
              <w:snapToGrid w:val="0"/>
              <w:spacing w:before="0" w:beforeAutospacing="0" w:after="0" w:afterAutospacing="0" w:line="400" w:lineRule="exact"/>
              <w:ind w:left="0" w:leftChars="0" w:right="0" w:rightChars="0" w:firstLine="0" w:firstLineChars="0"/>
              <w:jc w:val="both"/>
              <w:rPr>
                <w:rFonts w:hint="default" w:ascii="Calibri" w:hAnsi="Calibri" w:eastAsia="宋体" w:cs="宋体"/>
                <w:color w:val="auto"/>
                <w:kern w:val="0"/>
                <w:sz w:val="24"/>
                <w:szCs w:val="24"/>
                <w:highlight w:val="none"/>
                <w:lang w:val="en-US" w:eastAsia="zh-CN" w:bidi="ar-SA"/>
              </w:rPr>
            </w:pPr>
            <w:r>
              <w:rPr>
                <w:rFonts w:hint="eastAsia" w:cs="宋体"/>
                <w:color w:val="auto"/>
                <w:highlight w:val="none"/>
                <w:lang w:val="en-US" w:eastAsia="zh-CN"/>
              </w:rPr>
              <w:t>7.柜体，2260*800*1000(高*宽*深)；1面</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snapToGrid/>
                <w:color w:val="auto"/>
                <w:kern w:val="0"/>
                <w:sz w:val="24"/>
                <w:szCs w:val="24"/>
                <w:highlight w:val="none"/>
                <w:lang w:val="en-US" w:eastAsia="zh-CN" w:bidi="ar"/>
              </w:rPr>
              <w:t>面</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snapToGrid/>
                <w:color w:val="auto"/>
                <w:kern w:val="0"/>
                <w:sz w:val="24"/>
                <w:szCs w:val="24"/>
                <w:highlight w:val="none"/>
                <w:lang w:val="en-US" w:eastAsia="zh-CN" w:bidi="ar"/>
              </w:rPr>
              <w:t>1</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eastAsia" w:ascii="Calibri" w:hAnsi="Calibri" w:eastAsia="宋体" w:cs="宋体"/>
                <w:color w:val="auto"/>
                <w:kern w:val="0"/>
                <w:sz w:val="24"/>
                <w:szCs w:val="24"/>
                <w:highlight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Calibri" w:hAnsi="Calibri" w:eastAsia="宋体" w:cs="宋体"/>
                <w:color w:val="auto"/>
                <w:kern w:val="0"/>
                <w:sz w:val="24"/>
                <w:szCs w:val="24"/>
                <w:highlight w:val="none"/>
                <w:lang w:val="en-US" w:eastAsia="zh-CN" w:bidi="ar-SA"/>
              </w:rPr>
            </w:pPr>
            <w:r>
              <w:rPr>
                <w:rFonts w:hint="eastAsia" w:cs="宋体"/>
                <w:snapToGrid/>
                <w:color w:val="auto"/>
                <w:kern w:val="0"/>
                <w:sz w:val="24"/>
                <w:szCs w:val="24"/>
                <w:highlight w:val="none"/>
                <w:lang w:val="en-US" w:eastAsia="zh-CN" w:bidi="ar"/>
              </w:rPr>
              <w:t>3</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Calibri" w:hAnsi="Calibri" w:eastAsia="宋体" w:cs="宋体"/>
                <w:color w:val="auto"/>
                <w:kern w:val="0"/>
                <w:sz w:val="24"/>
                <w:szCs w:val="24"/>
                <w:highlight w:val="none"/>
                <w:lang w:val="en-US" w:eastAsia="zh-CN" w:bidi="ar-SA"/>
              </w:rPr>
            </w:pPr>
            <w:r>
              <w:rPr>
                <w:rFonts w:hint="eastAsia" w:ascii="宋体" w:hAnsi="宋体" w:eastAsia="宋体" w:cs="宋体"/>
                <w:snapToGrid/>
                <w:color w:val="auto"/>
                <w:kern w:val="0"/>
                <w:sz w:val="24"/>
                <w:szCs w:val="24"/>
                <w:highlight w:val="none"/>
                <w:lang w:val="en-US" w:eastAsia="zh-CN" w:bidi="ar"/>
              </w:rPr>
              <w:t>微网系统控制柜</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pStyle w:val="19"/>
              <w:keepNext w:val="0"/>
              <w:keepLines w:val="0"/>
              <w:widowControl w:val="0"/>
              <w:suppressLineNumbers w:val="0"/>
              <w:adjustRightInd w:val="0"/>
              <w:snapToGrid w:val="0"/>
              <w:spacing w:before="0" w:beforeAutospacing="0" w:after="0" w:afterAutospacing="0" w:line="400" w:lineRule="exact"/>
              <w:ind w:left="0" w:right="0"/>
              <w:jc w:val="left"/>
              <w:rPr>
                <w:rFonts w:hint="default" w:cs="宋体"/>
                <w:color w:val="auto"/>
                <w:highlight w:val="none"/>
                <w:lang w:val="en-US"/>
              </w:rPr>
            </w:pPr>
            <w:r>
              <w:rPr>
                <w:rFonts w:hint="default" w:cs="宋体"/>
                <w:color w:val="auto"/>
                <w:highlight w:val="none"/>
                <w:lang w:val="en-US"/>
              </w:rPr>
              <w:t>1、微网协调控制装置1台</w:t>
            </w:r>
          </w:p>
          <w:p>
            <w:pPr>
              <w:pStyle w:val="19"/>
              <w:keepNext w:val="0"/>
              <w:keepLines w:val="0"/>
              <w:widowControl w:val="0"/>
              <w:suppressLineNumbers w:val="0"/>
              <w:adjustRightInd w:val="0"/>
              <w:snapToGrid w:val="0"/>
              <w:spacing w:before="0" w:beforeAutospacing="0" w:after="0" w:afterAutospacing="0" w:line="400" w:lineRule="exact"/>
              <w:ind w:left="0" w:right="0"/>
              <w:jc w:val="left"/>
              <w:rPr>
                <w:rFonts w:hint="eastAsia" w:eastAsia="宋体" w:cs="宋体"/>
                <w:color w:val="auto"/>
                <w:highlight w:val="none"/>
                <w:lang w:val="en-US" w:eastAsia="zh-CN"/>
              </w:rPr>
            </w:pPr>
            <w:r>
              <w:rPr>
                <w:rFonts w:hint="default" w:cs="宋体"/>
                <w:color w:val="auto"/>
                <w:highlight w:val="none"/>
                <w:lang w:val="en-US"/>
              </w:rPr>
              <w:t>2、数据通信网关机1台</w:t>
            </w:r>
            <w:r>
              <w:rPr>
                <w:rFonts w:hint="eastAsia" w:cs="宋体"/>
                <w:color w:val="auto"/>
                <w:highlight w:val="none"/>
                <w:lang w:val="en-US" w:eastAsia="zh-CN"/>
              </w:rPr>
              <w:t>（含通讯网关机接入驱动，满足</w:t>
            </w:r>
            <w:r>
              <w:rPr>
                <w:rFonts w:hint="eastAsia" w:ascii="宋体" w:hAnsi="宋体" w:eastAsia="宋体" w:cs="宋体"/>
                <w:snapToGrid/>
                <w:color w:val="auto"/>
                <w:kern w:val="0"/>
                <w:sz w:val="24"/>
                <w:szCs w:val="24"/>
                <w:highlight w:val="none"/>
                <w:lang w:val="en-US" w:eastAsia="zh-CN" w:bidi="ar"/>
              </w:rPr>
              <w:t>各类协议如Modbus、IEC61850等数据采集器完成数据的采集</w:t>
            </w:r>
            <w:r>
              <w:rPr>
                <w:rFonts w:hint="eastAsia" w:cs="宋体"/>
                <w:color w:val="auto"/>
                <w:highlight w:val="none"/>
                <w:lang w:val="en-US" w:eastAsia="zh-CN"/>
              </w:rPr>
              <w:t>）</w:t>
            </w:r>
          </w:p>
          <w:p>
            <w:pPr>
              <w:pStyle w:val="19"/>
              <w:keepNext w:val="0"/>
              <w:keepLines w:val="0"/>
              <w:widowControl w:val="0"/>
              <w:suppressLineNumbers w:val="0"/>
              <w:adjustRightInd w:val="0"/>
              <w:snapToGrid w:val="0"/>
              <w:spacing w:before="0" w:beforeAutospacing="0" w:after="0" w:afterAutospacing="0" w:line="400" w:lineRule="exact"/>
              <w:ind w:left="0" w:right="0"/>
              <w:jc w:val="left"/>
              <w:rPr>
                <w:rFonts w:hint="default" w:cs="宋体"/>
                <w:color w:val="auto"/>
                <w:highlight w:val="none"/>
                <w:lang w:val="en-US"/>
              </w:rPr>
            </w:pPr>
            <w:r>
              <w:rPr>
                <w:rFonts w:hint="default" w:cs="宋体"/>
                <w:color w:val="auto"/>
                <w:highlight w:val="none"/>
                <w:lang w:val="en-US"/>
              </w:rPr>
              <w:t>3、站控层交换机1台</w:t>
            </w:r>
          </w:p>
          <w:p>
            <w:pPr>
              <w:pStyle w:val="19"/>
              <w:keepNext w:val="0"/>
              <w:keepLines w:val="0"/>
              <w:widowControl w:val="0"/>
              <w:suppressLineNumbers w:val="0"/>
              <w:adjustRightInd w:val="0"/>
              <w:snapToGrid w:val="0"/>
              <w:spacing w:before="0" w:beforeAutospacing="0" w:after="0" w:afterAutospacing="0" w:line="400" w:lineRule="exact"/>
              <w:ind w:left="0" w:right="0"/>
              <w:jc w:val="left"/>
              <w:rPr>
                <w:rFonts w:hint="default" w:cs="宋体"/>
                <w:color w:val="auto"/>
                <w:highlight w:val="none"/>
                <w:lang w:val="en-US"/>
              </w:rPr>
            </w:pPr>
            <w:r>
              <w:rPr>
                <w:rFonts w:hint="default" w:cs="宋体"/>
                <w:color w:val="auto"/>
                <w:highlight w:val="none"/>
                <w:lang w:val="en-US"/>
              </w:rPr>
              <w:t>4、控制网交换机1台</w:t>
            </w:r>
          </w:p>
          <w:p>
            <w:pPr>
              <w:pStyle w:val="19"/>
              <w:keepNext w:val="0"/>
              <w:keepLines w:val="0"/>
              <w:widowControl w:val="0"/>
              <w:suppressLineNumbers w:val="0"/>
              <w:adjustRightInd w:val="0"/>
              <w:snapToGrid w:val="0"/>
              <w:spacing w:before="0" w:beforeAutospacing="0" w:after="0" w:afterAutospacing="0" w:line="400" w:lineRule="exact"/>
              <w:ind w:left="0" w:right="0"/>
              <w:jc w:val="left"/>
              <w:rPr>
                <w:rFonts w:hint="default" w:cs="宋体"/>
                <w:color w:val="auto"/>
                <w:highlight w:val="none"/>
                <w:lang w:val="en-US"/>
              </w:rPr>
            </w:pPr>
            <w:r>
              <w:rPr>
                <w:rFonts w:hint="default" w:cs="宋体"/>
                <w:color w:val="auto"/>
                <w:highlight w:val="none"/>
                <w:lang w:val="en-US"/>
              </w:rPr>
              <w:t>5、Modbus TCP汇集交换机1台</w:t>
            </w:r>
          </w:p>
          <w:p>
            <w:pPr>
              <w:pStyle w:val="19"/>
              <w:keepNext w:val="0"/>
              <w:keepLines w:val="0"/>
              <w:widowControl w:val="0"/>
              <w:suppressLineNumbers w:val="0"/>
              <w:adjustRightInd w:val="0"/>
              <w:snapToGrid w:val="0"/>
              <w:spacing w:before="0" w:beforeAutospacing="0" w:after="0" w:afterAutospacing="0" w:line="400" w:lineRule="exact"/>
              <w:ind w:left="0" w:right="0"/>
              <w:jc w:val="left"/>
              <w:rPr>
                <w:rFonts w:hint="eastAsia" w:cs="宋体"/>
                <w:color w:val="auto"/>
                <w:highlight w:val="none"/>
                <w:lang w:val="en-US" w:eastAsia="zh-CN"/>
              </w:rPr>
            </w:pPr>
            <w:r>
              <w:rPr>
                <w:rFonts w:hint="eastAsia" w:cs="宋体"/>
                <w:color w:val="auto"/>
                <w:highlight w:val="none"/>
                <w:lang w:val="en-US" w:eastAsia="zh-CN"/>
              </w:rPr>
              <w:t>6</w:t>
            </w:r>
            <w:r>
              <w:rPr>
                <w:rFonts w:hint="default" w:cs="宋体"/>
                <w:color w:val="auto"/>
                <w:highlight w:val="none"/>
                <w:lang w:val="en-US"/>
              </w:rPr>
              <w:t>、交换机网管软件</w:t>
            </w:r>
            <w:r>
              <w:rPr>
                <w:rFonts w:hint="eastAsia" w:cs="宋体"/>
                <w:color w:val="auto"/>
                <w:highlight w:val="none"/>
                <w:lang w:val="en-US" w:eastAsia="zh-CN"/>
              </w:rPr>
              <w:t>1套</w:t>
            </w:r>
          </w:p>
          <w:p>
            <w:pPr>
              <w:pStyle w:val="19"/>
              <w:keepNext w:val="0"/>
              <w:keepLines w:val="0"/>
              <w:widowControl w:val="0"/>
              <w:suppressLineNumbers w:val="0"/>
              <w:adjustRightInd w:val="0"/>
              <w:snapToGrid w:val="0"/>
              <w:spacing w:before="0" w:beforeAutospacing="0" w:after="0" w:afterAutospacing="0" w:line="400" w:lineRule="exact"/>
              <w:ind w:left="0" w:right="0"/>
              <w:jc w:val="left"/>
              <w:rPr>
                <w:rFonts w:hint="default" w:cs="宋体"/>
                <w:color w:val="auto"/>
                <w:highlight w:val="none"/>
                <w:lang w:val="en-US" w:eastAsia="zh-CN"/>
              </w:rPr>
            </w:pPr>
            <w:r>
              <w:rPr>
                <w:rFonts w:hint="eastAsia" w:cs="宋体"/>
                <w:color w:val="auto"/>
                <w:highlight w:val="none"/>
                <w:lang w:val="en-US" w:eastAsia="zh-CN"/>
              </w:rPr>
              <w:t>7、策略执行机构1套（含配套的IO模块，</w:t>
            </w:r>
            <w:r>
              <w:rPr>
                <w:rFonts w:hint="eastAsia" w:ascii="宋体" w:hAnsi="宋体" w:eastAsia="宋体" w:cs="宋体"/>
                <w:snapToGrid/>
                <w:color w:val="auto"/>
                <w:kern w:val="0"/>
                <w:sz w:val="24"/>
                <w:szCs w:val="24"/>
                <w:highlight w:val="none"/>
                <w:lang w:val="en-US" w:eastAsia="zh-CN" w:bidi="ar"/>
              </w:rPr>
              <w:t>实现开闭所备自投、智能联切、负荷联切、储能运行模式切换等逻辑功能和自动控制装置联动I/O控制，实现联切</w:t>
            </w:r>
            <w:r>
              <w:rPr>
                <w:rFonts w:hint="eastAsia" w:cs="宋体"/>
                <w:color w:val="auto"/>
                <w:highlight w:val="none"/>
                <w:lang w:val="en-US" w:eastAsia="zh-CN"/>
              </w:rPr>
              <w:t>）</w:t>
            </w:r>
          </w:p>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left"/>
              <w:rPr>
                <w:rFonts w:hint="default" w:ascii="Calibri" w:hAnsi="Calibri" w:eastAsia="宋体" w:cs="宋体"/>
                <w:color w:val="auto"/>
                <w:kern w:val="0"/>
                <w:sz w:val="24"/>
                <w:szCs w:val="24"/>
                <w:highlight w:val="none"/>
                <w:lang w:val="en-US" w:eastAsia="zh-CN" w:bidi="ar-SA"/>
              </w:rPr>
            </w:pPr>
            <w:r>
              <w:rPr>
                <w:rFonts w:hint="eastAsia" w:cs="宋体"/>
                <w:color w:val="auto"/>
                <w:highlight w:val="none"/>
                <w:lang w:val="en-US" w:eastAsia="zh-CN"/>
              </w:rPr>
              <w:t>8</w:t>
            </w:r>
            <w:r>
              <w:rPr>
                <w:rFonts w:hint="default" w:cs="宋体"/>
                <w:color w:val="auto"/>
                <w:highlight w:val="none"/>
                <w:lang w:val="en-US"/>
              </w:rPr>
              <w:t>、柜体，2260*800*600(高*宽*深)；1面</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Calibri" w:hAnsi="Calibri" w:eastAsia="宋体" w:cs="宋体"/>
                <w:color w:val="auto"/>
                <w:kern w:val="0"/>
                <w:sz w:val="24"/>
                <w:szCs w:val="24"/>
                <w:highlight w:val="none"/>
                <w:lang w:val="en-US" w:eastAsia="zh-CN" w:bidi="ar-SA"/>
              </w:rPr>
            </w:pPr>
            <w:r>
              <w:rPr>
                <w:rFonts w:hint="eastAsia" w:ascii="宋体" w:hAnsi="宋体" w:eastAsia="宋体" w:cs="宋体"/>
                <w:snapToGrid/>
                <w:color w:val="auto"/>
                <w:kern w:val="0"/>
                <w:sz w:val="24"/>
                <w:szCs w:val="24"/>
                <w:highlight w:val="none"/>
                <w:lang w:val="en-US" w:eastAsia="zh-CN" w:bidi="ar"/>
              </w:rPr>
              <w:t>面</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Calibri" w:hAnsi="Calibri" w:eastAsia="宋体" w:cs="宋体"/>
                <w:color w:val="auto"/>
                <w:kern w:val="0"/>
                <w:sz w:val="24"/>
                <w:szCs w:val="24"/>
                <w:highlight w:val="none"/>
                <w:lang w:val="en-US" w:eastAsia="zh-CN" w:bidi="ar-SA"/>
              </w:rPr>
            </w:pPr>
            <w:r>
              <w:rPr>
                <w:rFonts w:hint="eastAsia" w:ascii="宋体" w:hAnsi="宋体" w:eastAsia="宋体" w:cs="宋体"/>
                <w:snapToGrid/>
                <w:color w:val="auto"/>
                <w:kern w:val="0"/>
                <w:sz w:val="24"/>
                <w:szCs w:val="24"/>
                <w:highlight w:val="none"/>
                <w:lang w:val="en-US" w:eastAsia="zh-CN" w:bidi="ar"/>
              </w:rPr>
              <w:t>1</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eastAsia" w:ascii="Calibri" w:hAnsi="Calibri" w:eastAsia="宋体" w:cs="宋体"/>
                <w:color w:val="auto"/>
                <w:kern w:val="0"/>
                <w:sz w:val="24"/>
                <w:szCs w:val="24"/>
                <w:highlight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宋体" w:hAnsi="宋体" w:eastAsia="宋体" w:cs="宋体"/>
                <w:snapToGrid/>
                <w:color w:val="auto"/>
                <w:kern w:val="0"/>
                <w:sz w:val="24"/>
                <w:szCs w:val="24"/>
                <w:highlight w:val="none"/>
                <w:lang w:val="en-US" w:eastAsia="zh-CN" w:bidi="ar"/>
              </w:rPr>
            </w:pPr>
            <w:r>
              <w:rPr>
                <w:rFonts w:hint="eastAsia" w:cs="宋体"/>
                <w:snapToGrid/>
                <w:color w:val="auto"/>
                <w:kern w:val="0"/>
                <w:sz w:val="24"/>
                <w:szCs w:val="24"/>
                <w:highlight w:val="none"/>
                <w:lang w:val="en-US" w:eastAsia="zh-CN" w:bidi="ar"/>
              </w:rPr>
              <w:t>4</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宋体" w:hAnsi="宋体" w:eastAsia="宋体" w:cs="宋体"/>
                <w:snapToGrid/>
                <w:color w:val="auto"/>
                <w:kern w:val="0"/>
                <w:sz w:val="24"/>
                <w:szCs w:val="24"/>
                <w:highlight w:val="none"/>
                <w:lang w:val="en-US" w:eastAsia="zh-CN" w:bidi="ar"/>
              </w:rPr>
            </w:pPr>
            <w:r>
              <w:rPr>
                <w:rFonts w:hint="eastAsia" w:ascii="宋体" w:hAnsi="宋体" w:eastAsia="宋体" w:cs="宋体"/>
                <w:snapToGrid/>
                <w:color w:val="auto"/>
                <w:kern w:val="0"/>
                <w:sz w:val="24"/>
                <w:szCs w:val="24"/>
                <w:highlight w:val="none"/>
                <w:lang w:val="en-US" w:eastAsia="zh-CN" w:bidi="ar"/>
              </w:rPr>
              <w:t>10KV总降电能质量监控柜</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pStyle w:val="19"/>
              <w:keepNext w:val="0"/>
              <w:keepLines w:val="0"/>
              <w:widowControl w:val="0"/>
              <w:suppressLineNumbers w:val="0"/>
              <w:adjustRightInd w:val="0"/>
              <w:snapToGrid w:val="0"/>
              <w:spacing w:before="0" w:beforeAutospacing="0" w:after="0" w:afterAutospacing="0" w:line="400" w:lineRule="exact"/>
              <w:ind w:left="0" w:right="0"/>
              <w:jc w:val="left"/>
              <w:rPr>
                <w:rFonts w:hint="eastAsia" w:cs="宋体"/>
                <w:color w:val="auto"/>
                <w:highlight w:val="none"/>
                <w:lang w:val="en-US" w:eastAsia="zh-CN"/>
              </w:rPr>
            </w:pPr>
            <w:r>
              <w:rPr>
                <w:rFonts w:hint="eastAsia" w:cs="宋体"/>
                <w:color w:val="auto"/>
                <w:highlight w:val="none"/>
                <w:lang w:val="en-US" w:eastAsia="zh-CN"/>
              </w:rPr>
              <w:t>1、电能质监及诊断定位装置2套</w:t>
            </w:r>
          </w:p>
          <w:p>
            <w:pPr>
              <w:pStyle w:val="19"/>
              <w:keepNext w:val="0"/>
              <w:keepLines w:val="0"/>
              <w:widowControl w:val="0"/>
              <w:suppressLineNumbers w:val="0"/>
              <w:adjustRightInd w:val="0"/>
              <w:snapToGrid w:val="0"/>
              <w:spacing w:before="0" w:beforeAutospacing="0" w:after="0" w:afterAutospacing="0" w:line="400" w:lineRule="exact"/>
              <w:ind w:left="0" w:right="0"/>
              <w:jc w:val="left"/>
              <w:rPr>
                <w:rFonts w:hint="eastAsia" w:cs="宋体"/>
                <w:color w:val="auto"/>
                <w:highlight w:val="none"/>
                <w:lang w:val="en-US" w:eastAsia="zh-CN"/>
              </w:rPr>
            </w:pPr>
            <w:r>
              <w:rPr>
                <w:rFonts w:hint="eastAsia" w:cs="宋体"/>
                <w:color w:val="auto"/>
                <w:highlight w:val="none"/>
                <w:lang w:val="en-US" w:eastAsia="zh-CN"/>
              </w:rPr>
              <w:t>2、交换机1台</w:t>
            </w:r>
          </w:p>
          <w:p>
            <w:pPr>
              <w:pStyle w:val="19"/>
              <w:keepNext w:val="0"/>
              <w:keepLines w:val="0"/>
              <w:widowControl w:val="0"/>
              <w:suppressLineNumbers w:val="0"/>
              <w:adjustRightInd w:val="0"/>
              <w:snapToGrid w:val="0"/>
              <w:spacing w:before="0" w:beforeAutospacing="0" w:after="0" w:afterAutospacing="0" w:line="400" w:lineRule="exact"/>
              <w:ind w:left="0" w:right="0"/>
              <w:jc w:val="left"/>
              <w:rPr>
                <w:rFonts w:hint="eastAsia" w:cs="宋体"/>
                <w:color w:val="auto"/>
                <w:highlight w:val="none"/>
                <w:lang w:val="en-US" w:eastAsia="zh-CN"/>
              </w:rPr>
            </w:pPr>
            <w:r>
              <w:rPr>
                <w:rFonts w:hint="eastAsia" w:cs="宋体"/>
                <w:color w:val="auto"/>
                <w:highlight w:val="none"/>
                <w:lang w:val="en-US" w:eastAsia="zh-CN"/>
              </w:rPr>
              <w:t>3、</w:t>
            </w:r>
            <w:r>
              <w:rPr>
                <w:rFonts w:hint="default" w:cs="宋体"/>
                <w:color w:val="auto"/>
                <w:highlight w:val="none"/>
                <w:lang w:val="en-US"/>
              </w:rPr>
              <w:t>柜体，2260*800*600(高*宽*深)1面</w:t>
            </w:r>
            <w:r>
              <w:rPr>
                <w:rFonts w:hint="eastAsia" w:cs="宋体"/>
                <w:color w:val="auto"/>
                <w:highlight w:val="none"/>
                <w:lang w:val="en-US" w:eastAsia="zh-CN"/>
              </w:rPr>
              <w:t>；</w:t>
            </w:r>
          </w:p>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left"/>
              <w:rPr>
                <w:rFonts w:hint="default" w:ascii="Calibri" w:hAnsi="Calibri" w:eastAsia="宋体" w:cs="宋体"/>
                <w:color w:val="auto"/>
                <w:kern w:val="0"/>
                <w:sz w:val="24"/>
                <w:szCs w:val="24"/>
                <w:highlight w:val="none"/>
                <w:lang w:val="en-US" w:eastAsia="zh-CN" w:bidi="ar-SA"/>
              </w:rPr>
            </w:pPr>
            <w:r>
              <w:rPr>
                <w:rFonts w:hint="eastAsia" w:cs="宋体"/>
                <w:color w:val="auto"/>
                <w:highlight w:val="none"/>
                <w:lang w:val="en-US" w:eastAsia="zh-CN"/>
              </w:rPr>
              <w:t>4、配套改造线缆，按需</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snapToGrid/>
                <w:color w:val="auto"/>
                <w:kern w:val="0"/>
                <w:sz w:val="24"/>
                <w:szCs w:val="24"/>
                <w:highlight w:val="none"/>
                <w:lang w:val="en-US" w:eastAsia="zh-CN" w:bidi="ar"/>
              </w:rPr>
              <w:t>面</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snapToGrid/>
                <w:color w:val="auto"/>
                <w:kern w:val="0"/>
                <w:sz w:val="24"/>
                <w:szCs w:val="24"/>
                <w:highlight w:val="none"/>
                <w:lang w:val="en-US" w:eastAsia="zh-CN" w:bidi="ar"/>
              </w:rPr>
              <w:t>1</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eastAsia" w:ascii="Calibri" w:hAnsi="Calibri" w:eastAsia="宋体" w:cs="宋体"/>
                <w:color w:val="auto"/>
                <w:kern w:val="0"/>
                <w:sz w:val="24"/>
                <w:szCs w:val="24"/>
                <w:highlight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Calibri" w:hAnsi="Calibri" w:eastAsia="宋体" w:cs="宋体"/>
                <w:color w:val="auto"/>
                <w:kern w:val="0"/>
                <w:sz w:val="24"/>
                <w:szCs w:val="24"/>
                <w:highlight w:val="none"/>
                <w:lang w:val="en-US" w:eastAsia="zh-CN" w:bidi="ar-SA"/>
              </w:rPr>
            </w:pPr>
            <w:r>
              <w:rPr>
                <w:rFonts w:hint="eastAsia" w:cs="宋体"/>
                <w:snapToGrid/>
                <w:color w:val="auto"/>
                <w:kern w:val="0"/>
                <w:sz w:val="24"/>
                <w:szCs w:val="24"/>
                <w:highlight w:val="none"/>
                <w:lang w:val="en-US" w:eastAsia="zh-CN" w:bidi="ar"/>
              </w:rPr>
              <w:t>5</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Calibri" w:hAnsi="Calibri" w:eastAsia="宋体" w:cs="宋体"/>
                <w:color w:val="auto"/>
                <w:kern w:val="0"/>
                <w:sz w:val="24"/>
                <w:szCs w:val="24"/>
                <w:highlight w:val="none"/>
                <w:lang w:val="en-US" w:eastAsia="zh-CN" w:bidi="ar-SA"/>
              </w:rPr>
            </w:pPr>
            <w:r>
              <w:rPr>
                <w:rFonts w:hint="eastAsia" w:ascii="宋体" w:hAnsi="宋体" w:eastAsia="宋体" w:cs="宋体"/>
                <w:snapToGrid/>
                <w:color w:val="auto"/>
                <w:kern w:val="0"/>
                <w:sz w:val="24"/>
                <w:szCs w:val="24"/>
                <w:highlight w:val="none"/>
                <w:lang w:val="en-US" w:eastAsia="zh-CN" w:bidi="ar"/>
              </w:rPr>
              <w:t>通讯线缆</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Calibri" w:hAnsi="Calibri" w:eastAsia="宋体" w:cs="宋体"/>
                <w:color w:val="auto"/>
                <w:kern w:val="0"/>
                <w:sz w:val="24"/>
                <w:szCs w:val="24"/>
                <w:highlight w:val="none"/>
                <w:lang w:val="en-US" w:eastAsia="zh-CN" w:bidi="ar-SA"/>
              </w:rPr>
            </w:pPr>
            <w:r>
              <w:rPr>
                <w:rFonts w:hint="eastAsia" w:ascii="宋体" w:hAnsi="宋体" w:eastAsia="宋体" w:cs="宋体"/>
                <w:snapToGrid/>
                <w:color w:val="auto"/>
                <w:kern w:val="0"/>
                <w:sz w:val="24"/>
                <w:szCs w:val="24"/>
                <w:highlight w:val="none"/>
                <w:lang w:val="en-US" w:eastAsia="zh-CN" w:bidi="ar"/>
              </w:rPr>
              <w:t>组网光缆、网线、RS485线、跳纤、尾缆、光电转换器等</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Calibri" w:hAnsi="Calibri" w:eastAsia="宋体" w:cs="宋体"/>
                <w:color w:val="auto"/>
                <w:kern w:val="0"/>
                <w:sz w:val="24"/>
                <w:szCs w:val="24"/>
                <w:highlight w:val="none"/>
                <w:lang w:val="en-US" w:eastAsia="zh-CN" w:bidi="ar-SA"/>
              </w:rPr>
            </w:pPr>
            <w:r>
              <w:rPr>
                <w:rFonts w:hint="eastAsia" w:ascii="宋体" w:hAnsi="宋体" w:eastAsia="宋体" w:cs="宋体"/>
                <w:snapToGrid/>
                <w:color w:val="auto"/>
                <w:kern w:val="0"/>
                <w:sz w:val="24"/>
                <w:szCs w:val="24"/>
                <w:highlight w:val="none"/>
                <w:lang w:val="en-US" w:eastAsia="zh-CN" w:bidi="ar"/>
              </w:rPr>
              <w:t>套</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Calibri" w:hAnsi="Calibri" w:eastAsia="宋体" w:cs="宋体"/>
                <w:color w:val="auto"/>
                <w:kern w:val="0"/>
                <w:sz w:val="24"/>
                <w:szCs w:val="24"/>
                <w:highlight w:val="none"/>
                <w:lang w:val="en-US" w:eastAsia="zh-CN" w:bidi="ar-SA"/>
              </w:rPr>
            </w:pPr>
            <w:r>
              <w:rPr>
                <w:rFonts w:hint="eastAsia" w:ascii="宋体" w:hAnsi="宋体" w:eastAsia="宋体" w:cs="宋体"/>
                <w:snapToGrid/>
                <w:color w:val="auto"/>
                <w:kern w:val="0"/>
                <w:sz w:val="24"/>
                <w:szCs w:val="24"/>
                <w:highlight w:val="none"/>
                <w:lang w:val="en-US" w:eastAsia="zh-CN" w:bidi="ar"/>
              </w:rPr>
              <w:t>1</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eastAsia" w:ascii="Calibri" w:hAnsi="Calibri" w:eastAsia="宋体" w:cs="宋体"/>
                <w:color w:val="auto"/>
                <w:kern w:val="0"/>
                <w:sz w:val="24"/>
                <w:szCs w:val="24"/>
                <w:highlight w:val="none"/>
                <w:lang w:val="en-US" w:eastAsia="zh-CN" w:bidi="ar-SA"/>
              </w:rPr>
            </w:pPr>
          </w:p>
        </w:tc>
      </w:tr>
    </w:tbl>
    <w:p>
      <w:pPr>
        <w:pStyle w:val="19"/>
        <w:keepNext/>
        <w:keepLines/>
        <w:widowControl w:val="0"/>
        <w:suppressLineNumbers w:val="0"/>
        <w:adjustRightInd w:val="0"/>
        <w:snapToGrid w:val="0"/>
        <w:spacing w:before="0" w:beforeAutospacing="0" w:after="0" w:afterAutospacing="0" w:line="400" w:lineRule="exact"/>
        <w:ind w:left="0" w:right="0"/>
        <w:jc w:val="both"/>
        <w:rPr>
          <w:rFonts w:hint="eastAsia" w:ascii="宋体" w:hAnsi="宋体" w:eastAsia="宋体" w:cs="Times New Roman"/>
          <w:b/>
          <w:bCs w:val="0"/>
          <w:snapToGrid/>
          <w:color w:val="auto"/>
          <w:kern w:val="0"/>
          <w:sz w:val="24"/>
          <w:szCs w:val="24"/>
          <w:highlight w:val="none"/>
          <w:lang w:val="en-US" w:eastAsia="zh-CN" w:bidi="ar"/>
        </w:rPr>
      </w:pPr>
    </w:p>
    <w:tbl>
      <w:tblPr>
        <w:tblStyle w:val="22"/>
        <w:tblW w:w="1251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935"/>
        <w:gridCol w:w="2833"/>
        <w:gridCol w:w="4032"/>
        <w:gridCol w:w="707"/>
        <w:gridCol w:w="1392"/>
        <w:gridCol w:w="261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12516"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default" w:ascii="Times New Roman" w:hAnsi="Times New Roman" w:eastAsia="等线" w:cs="Times New Roman"/>
                <w:b/>
                <w:i w:val="0"/>
                <w:color w:val="auto"/>
                <w:sz w:val="24"/>
                <w:szCs w:val="24"/>
                <w:u w:val="none"/>
              </w:rPr>
            </w:pPr>
            <w:r>
              <w:rPr>
                <w:rFonts w:hint="eastAsia" w:ascii="Times New Roman" w:hAnsi="Times New Roman" w:eastAsia="等线" w:cs="Times New Roman"/>
                <w:b/>
                <w:i w:val="0"/>
                <w:snapToGrid w:val="0"/>
                <w:color w:val="auto"/>
                <w:kern w:val="0"/>
                <w:sz w:val="24"/>
                <w:szCs w:val="24"/>
                <w:u w:val="none"/>
                <w:lang w:val="en-US" w:eastAsia="zh-CN" w:bidi="ar"/>
              </w:rPr>
              <w:t>柴发</w:t>
            </w:r>
            <w:r>
              <w:rPr>
                <w:rFonts w:hint="default" w:ascii="Times New Roman" w:hAnsi="Times New Roman" w:eastAsia="等线" w:cs="Times New Roman"/>
                <w:b/>
                <w:i w:val="0"/>
                <w:snapToGrid w:val="0"/>
                <w:color w:val="auto"/>
                <w:kern w:val="0"/>
                <w:sz w:val="24"/>
                <w:szCs w:val="24"/>
                <w:u w:val="none"/>
                <w:lang w:val="en-US" w:eastAsia="zh-CN" w:bidi="ar"/>
              </w:rPr>
              <w:t>系统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序号</w:t>
            </w:r>
          </w:p>
        </w:tc>
        <w:tc>
          <w:tcPr>
            <w:tcW w:w="283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设备材料表</w:t>
            </w:r>
          </w:p>
        </w:tc>
        <w:tc>
          <w:tcPr>
            <w:tcW w:w="403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参数</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单位</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数量</w:t>
            </w:r>
          </w:p>
        </w:tc>
        <w:tc>
          <w:tcPr>
            <w:tcW w:w="261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auto"/>
                <w:sz w:val="24"/>
                <w:szCs w:val="24"/>
                <w:u w:val="none"/>
              </w:rPr>
            </w:pPr>
            <w:r>
              <w:rPr>
                <w:rFonts w:hint="default" w:ascii="Times New Roman" w:hAnsi="Times New Roman" w:eastAsia="等线" w:cs="Times New Roman"/>
                <w:i w:val="0"/>
                <w:snapToGrid w:val="0"/>
                <w:color w:val="auto"/>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935" w:type="dxa"/>
            <w:tcBorders>
              <w:top w:val="single" w:color="000000" w:sz="4" w:space="0"/>
              <w:left w:val="single" w:color="000000" w:sz="4" w:space="0"/>
              <w:bottom w:val="single" w:color="auto" w:sz="4" w:space="0"/>
              <w:right w:val="single" w:color="000000"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一</w:t>
            </w:r>
          </w:p>
        </w:tc>
        <w:tc>
          <w:tcPr>
            <w:tcW w:w="2833" w:type="dxa"/>
            <w:tcBorders>
              <w:top w:val="single" w:color="000000" w:sz="4" w:space="0"/>
              <w:left w:val="single" w:color="000000" w:sz="4" w:space="0"/>
              <w:bottom w:val="single" w:color="auto" w:sz="4" w:space="0"/>
              <w:right w:val="single" w:color="000000"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柴发系统</w:t>
            </w:r>
          </w:p>
        </w:tc>
        <w:tc>
          <w:tcPr>
            <w:tcW w:w="4032" w:type="dxa"/>
            <w:tcBorders>
              <w:top w:val="single" w:color="000000" w:sz="4" w:space="0"/>
              <w:left w:val="single" w:color="000000" w:sz="4" w:space="0"/>
              <w:bottom w:val="single" w:color="auto" w:sz="4" w:space="0"/>
              <w:right w:val="single" w:color="000000" w:sz="4" w:space="0"/>
            </w:tcBorders>
            <w:shd w:val="clear" w:color="auto" w:fill="auto"/>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c>
          <w:tcPr>
            <w:tcW w:w="707" w:type="dxa"/>
            <w:tcBorders>
              <w:top w:val="single" w:color="000000" w:sz="4" w:space="0"/>
              <w:left w:val="single" w:color="000000" w:sz="4" w:space="0"/>
              <w:bottom w:val="single" w:color="auto" w:sz="4" w:space="0"/>
              <w:right w:val="single" w:color="000000"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c>
          <w:tcPr>
            <w:tcW w:w="1392" w:type="dxa"/>
            <w:tcBorders>
              <w:top w:val="single" w:color="000000" w:sz="4" w:space="0"/>
              <w:left w:val="single" w:color="000000" w:sz="4" w:space="0"/>
              <w:bottom w:val="single" w:color="auto" w:sz="4" w:space="0"/>
              <w:right w:val="single" w:color="000000"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c>
          <w:tcPr>
            <w:tcW w:w="2617" w:type="dxa"/>
            <w:tcBorders>
              <w:top w:val="single" w:color="000000" w:sz="4" w:space="0"/>
              <w:left w:val="single" w:color="000000" w:sz="4" w:space="0"/>
              <w:bottom w:val="single" w:color="auto" w:sz="4" w:space="0"/>
              <w:right w:val="single" w:color="000000"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28" w:hRule="atLeast"/>
          <w:jc w:val="center"/>
        </w:trPr>
        <w:tc>
          <w:tcPr>
            <w:tcW w:w="935"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eastAsia" w:ascii="Times New Roman" w:hAnsi="Times New Roman" w:cs="Times New Roman"/>
                <w:snapToGrid/>
                <w:color w:val="auto"/>
                <w:kern w:val="0"/>
                <w:sz w:val="24"/>
                <w:szCs w:val="24"/>
                <w:highlight w:val="none"/>
                <w:lang w:val="en-US" w:eastAsia="zh-CN" w:bidi="ar"/>
              </w:rPr>
            </w:pPr>
            <w:r>
              <w:rPr>
                <w:rFonts w:hint="eastAsia" w:ascii="Times New Roman" w:hAnsi="Times New Roman" w:cs="Times New Roman"/>
                <w:snapToGrid/>
                <w:color w:val="auto"/>
                <w:kern w:val="0"/>
                <w:sz w:val="24"/>
                <w:szCs w:val="24"/>
                <w:highlight w:val="none"/>
                <w:lang w:val="en-US" w:eastAsia="zh-CN" w:bidi="ar"/>
              </w:rPr>
              <w:t>1.1</w:t>
            </w:r>
          </w:p>
        </w:tc>
        <w:tc>
          <w:tcPr>
            <w:tcW w:w="2833"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snapToGrid/>
                <w:color w:val="auto"/>
                <w:kern w:val="0"/>
                <w:sz w:val="24"/>
                <w:szCs w:val="24"/>
                <w:highlight w:val="none"/>
                <w:lang w:val="en-US" w:eastAsia="zh-CN" w:bidi="ar"/>
              </w:rPr>
            </w:pPr>
            <w:r>
              <w:rPr>
                <w:rFonts w:hint="default" w:ascii="Times New Roman" w:hAnsi="Times New Roman" w:eastAsia="宋体" w:cs="Times New Roman"/>
                <w:snapToGrid/>
                <w:color w:val="auto"/>
                <w:kern w:val="0"/>
                <w:sz w:val="24"/>
                <w:szCs w:val="24"/>
                <w:highlight w:val="none"/>
                <w:lang w:val="en-US" w:eastAsia="zh-CN" w:bidi="ar"/>
              </w:rPr>
              <w:t>防爆轴流风机</w:t>
            </w:r>
          </w:p>
        </w:tc>
        <w:tc>
          <w:tcPr>
            <w:tcW w:w="4032"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BT35-11型,№7.1，α=30°,风量:21433m³/h，全压:255Pa，YBFA6314，n=1450rpm，AC380V/3kW。出口配935×935mm方形45°出风弯头（弯头出口端设不锈钢304平织丝防虫网，5目，丝径≥1.2mm）。防爆等级：设备保护级别（EPL）为Ga或Gb，设备类别及温度组别不低于ⅡAT3。风机本体设置接地接线端子。</w:t>
            </w:r>
          </w:p>
        </w:tc>
        <w:tc>
          <w:tcPr>
            <w:tcW w:w="707"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snapToGrid/>
                <w:color w:val="auto"/>
                <w:kern w:val="0"/>
                <w:sz w:val="24"/>
                <w:szCs w:val="24"/>
                <w:highlight w:val="none"/>
                <w:lang w:val="en-US" w:eastAsia="zh-CN" w:bidi="ar"/>
              </w:rPr>
            </w:pPr>
            <w:r>
              <w:rPr>
                <w:rFonts w:hint="default" w:ascii="Times New Roman" w:hAnsi="Times New Roman" w:eastAsia="宋体" w:cs="Times New Roman"/>
                <w:snapToGrid/>
                <w:color w:val="auto"/>
                <w:kern w:val="0"/>
                <w:sz w:val="24"/>
                <w:szCs w:val="24"/>
                <w:highlight w:val="none"/>
                <w:lang w:val="en-US" w:eastAsia="zh-CN" w:bidi="ar"/>
              </w:rPr>
              <w:t>台</w:t>
            </w:r>
          </w:p>
        </w:tc>
        <w:tc>
          <w:tcPr>
            <w:tcW w:w="1392"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snapToGrid/>
                <w:color w:val="auto"/>
                <w:kern w:val="0"/>
                <w:sz w:val="24"/>
                <w:szCs w:val="24"/>
                <w:highlight w:val="none"/>
                <w:lang w:val="en-US" w:eastAsia="zh-CN" w:bidi="ar"/>
              </w:rPr>
            </w:pPr>
            <w:r>
              <w:rPr>
                <w:rFonts w:hint="default" w:ascii="Times New Roman" w:hAnsi="Times New Roman" w:eastAsia="宋体" w:cs="Times New Roman"/>
                <w:snapToGrid/>
                <w:color w:val="auto"/>
                <w:kern w:val="0"/>
                <w:sz w:val="24"/>
                <w:szCs w:val="24"/>
                <w:highlight w:val="none"/>
                <w:lang w:val="en-US" w:eastAsia="zh-CN" w:bidi="ar"/>
              </w:rPr>
              <w:t xml:space="preserve">30.00 </w:t>
            </w:r>
          </w:p>
        </w:tc>
        <w:tc>
          <w:tcPr>
            <w:tcW w:w="261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snapToGrid/>
                <w:color w:val="auto"/>
                <w:kern w:val="0"/>
                <w:sz w:val="24"/>
                <w:szCs w:val="24"/>
                <w:highlight w:val="none"/>
                <w:lang w:val="en-US" w:eastAsia="zh-CN" w:bidi="ar"/>
              </w:rPr>
            </w:pPr>
            <w:r>
              <w:rPr>
                <w:rFonts w:hint="default" w:ascii="Times New Roman" w:hAnsi="Times New Roman" w:eastAsia="宋体" w:cs="Times New Roman"/>
                <w:snapToGrid/>
                <w:color w:val="auto"/>
                <w:kern w:val="0"/>
                <w:sz w:val="24"/>
                <w:szCs w:val="24"/>
                <w:highlight w:val="none"/>
                <w:lang w:val="en-US" w:eastAsia="zh-CN" w:bidi="ar"/>
              </w:rPr>
              <w:t>柴油发电机房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28" w:hRule="atLeast"/>
          <w:jc w:val="center"/>
        </w:trPr>
        <w:tc>
          <w:tcPr>
            <w:tcW w:w="935"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eastAsia" w:ascii="Times New Roman" w:hAnsi="Times New Roman" w:cs="Times New Roman"/>
                <w:snapToGrid/>
                <w:color w:val="auto"/>
                <w:kern w:val="0"/>
                <w:sz w:val="24"/>
                <w:szCs w:val="24"/>
                <w:highlight w:val="none"/>
                <w:lang w:val="en-US" w:eastAsia="zh-CN" w:bidi="ar"/>
              </w:rPr>
            </w:pPr>
            <w:r>
              <w:rPr>
                <w:rFonts w:hint="eastAsia" w:ascii="Times New Roman" w:hAnsi="Times New Roman" w:cs="Times New Roman"/>
                <w:snapToGrid/>
                <w:color w:val="auto"/>
                <w:kern w:val="0"/>
                <w:sz w:val="24"/>
                <w:szCs w:val="24"/>
                <w:highlight w:val="none"/>
                <w:lang w:val="en-US" w:eastAsia="zh-CN" w:bidi="ar"/>
              </w:rPr>
              <w:t>1.2</w:t>
            </w:r>
          </w:p>
        </w:tc>
        <w:tc>
          <w:tcPr>
            <w:tcW w:w="2833"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snapToGrid/>
                <w:color w:val="auto"/>
                <w:kern w:val="0"/>
                <w:sz w:val="24"/>
                <w:szCs w:val="24"/>
                <w:highlight w:val="none"/>
                <w:lang w:val="en-US" w:eastAsia="zh-CN" w:bidi="ar"/>
              </w:rPr>
            </w:pPr>
            <w:r>
              <w:rPr>
                <w:rFonts w:hint="default" w:ascii="Times New Roman" w:hAnsi="Times New Roman" w:eastAsia="宋体" w:cs="Times New Roman"/>
                <w:snapToGrid/>
                <w:color w:val="auto"/>
                <w:kern w:val="0"/>
                <w:sz w:val="24"/>
                <w:szCs w:val="24"/>
                <w:highlight w:val="none"/>
                <w:lang w:val="en-US" w:eastAsia="zh-CN" w:bidi="ar"/>
              </w:rPr>
              <w:t>防爆轴流风机</w:t>
            </w:r>
          </w:p>
        </w:tc>
        <w:tc>
          <w:tcPr>
            <w:tcW w:w="4032"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BT35-11型,№2.8，α=25°,风量:1211m³/h，全压:37Pa，风机电机：YBFA6314，n=1450rpm，AC380V/0.018kW。出口配390×390mm方形45°出风弯头（弯头出口端设不锈钢304平织丝防虫网，5目，丝径≥1.2mm）。防爆等级：设备保护级别（EPL）为Ga或Gb，设备类别及温度组别不低于ⅡAT3。风机本体设置接地接线端子。</w:t>
            </w:r>
          </w:p>
        </w:tc>
        <w:tc>
          <w:tcPr>
            <w:tcW w:w="707"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snapToGrid/>
                <w:color w:val="auto"/>
                <w:kern w:val="0"/>
                <w:sz w:val="24"/>
                <w:szCs w:val="24"/>
                <w:highlight w:val="none"/>
                <w:lang w:val="en-US" w:eastAsia="zh-CN" w:bidi="ar"/>
              </w:rPr>
            </w:pPr>
            <w:r>
              <w:rPr>
                <w:rFonts w:hint="default" w:ascii="Times New Roman" w:hAnsi="Times New Roman" w:eastAsia="宋体" w:cs="Times New Roman"/>
                <w:snapToGrid/>
                <w:color w:val="auto"/>
                <w:kern w:val="0"/>
                <w:sz w:val="24"/>
                <w:szCs w:val="24"/>
                <w:highlight w:val="none"/>
                <w:lang w:val="en-US" w:eastAsia="zh-CN" w:bidi="ar"/>
              </w:rPr>
              <w:t>台</w:t>
            </w:r>
          </w:p>
        </w:tc>
        <w:tc>
          <w:tcPr>
            <w:tcW w:w="1392"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snapToGrid/>
                <w:color w:val="auto"/>
                <w:kern w:val="0"/>
                <w:sz w:val="24"/>
                <w:szCs w:val="24"/>
                <w:highlight w:val="none"/>
                <w:lang w:val="en-US" w:eastAsia="zh-CN" w:bidi="ar"/>
              </w:rPr>
            </w:pPr>
            <w:r>
              <w:rPr>
                <w:rFonts w:hint="default" w:ascii="Times New Roman" w:hAnsi="Times New Roman" w:eastAsia="宋体" w:cs="Times New Roman"/>
                <w:snapToGrid/>
                <w:color w:val="auto"/>
                <w:kern w:val="0"/>
                <w:sz w:val="24"/>
                <w:szCs w:val="24"/>
                <w:highlight w:val="none"/>
                <w:lang w:val="en-US" w:eastAsia="zh-CN" w:bidi="ar"/>
              </w:rPr>
              <w:t xml:space="preserve">1.00 </w:t>
            </w:r>
          </w:p>
        </w:tc>
        <w:tc>
          <w:tcPr>
            <w:tcW w:w="261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snapToGrid/>
                <w:color w:val="auto"/>
                <w:kern w:val="0"/>
                <w:sz w:val="24"/>
                <w:szCs w:val="24"/>
                <w:highlight w:val="none"/>
                <w:lang w:val="en-US" w:eastAsia="zh-CN" w:bidi="ar"/>
              </w:rPr>
            </w:pPr>
            <w:r>
              <w:rPr>
                <w:rFonts w:hint="default" w:ascii="Times New Roman" w:hAnsi="Times New Roman" w:eastAsia="宋体" w:cs="Times New Roman"/>
                <w:snapToGrid/>
                <w:color w:val="auto"/>
                <w:kern w:val="0"/>
                <w:sz w:val="24"/>
                <w:szCs w:val="24"/>
                <w:highlight w:val="none"/>
                <w:lang w:val="en-US" w:eastAsia="zh-CN" w:bidi="ar"/>
              </w:rPr>
              <w:t>油箱间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28" w:hRule="atLeast"/>
          <w:jc w:val="center"/>
        </w:trPr>
        <w:tc>
          <w:tcPr>
            <w:tcW w:w="935"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eastAsia" w:ascii="Times New Roman" w:hAnsi="Times New Roman" w:cs="Times New Roman"/>
                <w:snapToGrid/>
                <w:color w:val="auto"/>
                <w:kern w:val="0"/>
                <w:sz w:val="24"/>
                <w:szCs w:val="24"/>
                <w:highlight w:val="none"/>
                <w:lang w:val="en-US" w:eastAsia="zh-CN" w:bidi="ar"/>
              </w:rPr>
            </w:pPr>
            <w:r>
              <w:rPr>
                <w:rFonts w:hint="eastAsia" w:ascii="Times New Roman" w:hAnsi="Times New Roman" w:cs="Times New Roman"/>
                <w:snapToGrid/>
                <w:color w:val="auto"/>
                <w:kern w:val="0"/>
                <w:sz w:val="24"/>
                <w:szCs w:val="24"/>
                <w:highlight w:val="none"/>
                <w:lang w:val="en-US" w:eastAsia="zh-CN" w:bidi="ar"/>
              </w:rPr>
              <w:t>1.3</w:t>
            </w:r>
          </w:p>
        </w:tc>
        <w:tc>
          <w:tcPr>
            <w:tcW w:w="2833"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snapToGrid/>
                <w:color w:val="auto"/>
                <w:kern w:val="0"/>
                <w:sz w:val="24"/>
                <w:szCs w:val="24"/>
                <w:highlight w:val="none"/>
                <w:lang w:val="en-US" w:eastAsia="zh-CN" w:bidi="ar"/>
              </w:rPr>
            </w:pPr>
            <w:r>
              <w:rPr>
                <w:rFonts w:hint="default" w:ascii="Times New Roman" w:hAnsi="Times New Roman" w:eastAsia="宋体" w:cs="Times New Roman"/>
                <w:snapToGrid/>
                <w:color w:val="auto"/>
                <w:kern w:val="0"/>
                <w:sz w:val="24"/>
                <w:szCs w:val="24"/>
                <w:highlight w:val="none"/>
                <w:lang w:val="en-US" w:eastAsia="zh-CN" w:bidi="ar"/>
              </w:rPr>
              <w:t>风冷热泵分体柜式空调机</w:t>
            </w:r>
          </w:p>
        </w:tc>
        <w:tc>
          <w:tcPr>
            <w:tcW w:w="4032"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KF-100LW型，制冷量：10kW，机组电源及输入功率：AC380V/3.16kW。制热量：11.3kW，制热功率：3.1+3.5kW/380V制冷工质：环保工质。配室内外机制冷剂连接铜管、冷凝水管及电缆3m、及室外机支架。</w:t>
            </w:r>
          </w:p>
        </w:tc>
        <w:tc>
          <w:tcPr>
            <w:tcW w:w="707"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snapToGrid/>
                <w:color w:val="auto"/>
                <w:kern w:val="0"/>
                <w:sz w:val="24"/>
                <w:szCs w:val="24"/>
                <w:highlight w:val="none"/>
                <w:lang w:val="en-US" w:eastAsia="zh-CN" w:bidi="ar"/>
              </w:rPr>
            </w:pPr>
            <w:r>
              <w:rPr>
                <w:rFonts w:hint="default" w:ascii="Times New Roman" w:hAnsi="Times New Roman" w:eastAsia="宋体" w:cs="Times New Roman"/>
                <w:snapToGrid/>
                <w:color w:val="auto"/>
                <w:kern w:val="0"/>
                <w:sz w:val="24"/>
                <w:szCs w:val="24"/>
                <w:highlight w:val="none"/>
                <w:lang w:val="en-US" w:eastAsia="zh-CN" w:bidi="ar"/>
              </w:rPr>
              <w:t>台</w:t>
            </w:r>
          </w:p>
        </w:tc>
        <w:tc>
          <w:tcPr>
            <w:tcW w:w="1392"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snapToGrid/>
                <w:color w:val="auto"/>
                <w:kern w:val="0"/>
                <w:sz w:val="24"/>
                <w:szCs w:val="24"/>
                <w:highlight w:val="none"/>
                <w:lang w:val="en-US" w:eastAsia="zh-CN" w:bidi="ar"/>
              </w:rPr>
            </w:pPr>
            <w:r>
              <w:rPr>
                <w:rFonts w:hint="default" w:ascii="Times New Roman" w:hAnsi="Times New Roman" w:eastAsia="宋体" w:cs="Times New Roman"/>
                <w:snapToGrid/>
                <w:color w:val="auto"/>
                <w:kern w:val="0"/>
                <w:sz w:val="24"/>
                <w:szCs w:val="24"/>
                <w:highlight w:val="none"/>
                <w:lang w:val="en-US" w:eastAsia="zh-CN" w:bidi="ar"/>
              </w:rPr>
              <w:t xml:space="preserve">6.00 </w:t>
            </w:r>
          </w:p>
        </w:tc>
        <w:tc>
          <w:tcPr>
            <w:tcW w:w="261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snapToGrid/>
                <w:color w:val="auto"/>
                <w:kern w:val="0"/>
                <w:sz w:val="24"/>
                <w:szCs w:val="24"/>
                <w:highlight w:val="none"/>
                <w:lang w:val="en-US" w:eastAsia="zh-CN" w:bidi="ar"/>
              </w:rPr>
            </w:pPr>
            <w:r>
              <w:rPr>
                <w:rFonts w:hint="default" w:ascii="Times New Roman" w:hAnsi="Times New Roman" w:eastAsia="宋体" w:cs="Times New Roman"/>
                <w:snapToGrid/>
                <w:color w:val="auto"/>
                <w:kern w:val="0"/>
                <w:sz w:val="24"/>
                <w:szCs w:val="24"/>
                <w:highlight w:val="none"/>
                <w:lang w:val="en-US" w:eastAsia="zh-CN" w:bidi="ar"/>
              </w:rPr>
              <w:t>控制室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28" w:hRule="atLeast"/>
          <w:jc w:val="center"/>
        </w:trPr>
        <w:tc>
          <w:tcPr>
            <w:tcW w:w="935"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eastAsia" w:ascii="Times New Roman" w:hAnsi="Times New Roman" w:cs="Times New Roman"/>
                <w:snapToGrid/>
                <w:color w:val="auto"/>
                <w:kern w:val="0"/>
                <w:sz w:val="24"/>
                <w:szCs w:val="24"/>
                <w:highlight w:val="none"/>
                <w:lang w:val="en-US" w:eastAsia="zh-CN" w:bidi="ar"/>
              </w:rPr>
            </w:pPr>
            <w:r>
              <w:rPr>
                <w:rFonts w:hint="eastAsia" w:ascii="Times New Roman" w:hAnsi="Times New Roman" w:cs="Times New Roman"/>
                <w:snapToGrid/>
                <w:color w:val="auto"/>
                <w:kern w:val="0"/>
                <w:sz w:val="24"/>
                <w:szCs w:val="24"/>
                <w:highlight w:val="none"/>
                <w:lang w:val="en-US" w:eastAsia="zh-CN" w:bidi="ar"/>
              </w:rPr>
              <w:t>1.4</w:t>
            </w:r>
          </w:p>
        </w:tc>
        <w:tc>
          <w:tcPr>
            <w:tcW w:w="2833"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snapToGrid/>
                <w:color w:val="auto"/>
                <w:kern w:val="0"/>
                <w:sz w:val="24"/>
                <w:szCs w:val="24"/>
                <w:highlight w:val="none"/>
                <w:lang w:val="en-US" w:eastAsia="zh-CN" w:bidi="ar"/>
              </w:rPr>
            </w:pPr>
            <w:r>
              <w:rPr>
                <w:rFonts w:hint="default" w:ascii="Times New Roman" w:hAnsi="Times New Roman" w:eastAsia="宋体" w:cs="Times New Roman"/>
                <w:snapToGrid/>
                <w:color w:val="auto"/>
                <w:kern w:val="0"/>
                <w:sz w:val="24"/>
                <w:szCs w:val="24"/>
                <w:highlight w:val="none"/>
                <w:lang w:val="en-US" w:eastAsia="zh-CN" w:bidi="ar"/>
              </w:rPr>
              <w:t>双层铝合金手动调节防雨百叶窗</w:t>
            </w:r>
          </w:p>
        </w:tc>
        <w:tc>
          <w:tcPr>
            <w:tcW w:w="4032"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3000×3000（h）mm，内侧设不锈钢丝防虫网（不锈钢304平织丝网，4目，丝径≥1.2mm)。配安装材料。</w:t>
            </w:r>
          </w:p>
        </w:tc>
        <w:tc>
          <w:tcPr>
            <w:tcW w:w="707"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snapToGrid/>
                <w:color w:val="auto"/>
                <w:kern w:val="0"/>
                <w:sz w:val="24"/>
                <w:szCs w:val="24"/>
                <w:highlight w:val="none"/>
                <w:lang w:val="en-US" w:eastAsia="zh-CN" w:bidi="ar"/>
              </w:rPr>
            </w:pPr>
            <w:r>
              <w:rPr>
                <w:rFonts w:hint="default" w:ascii="Times New Roman" w:hAnsi="Times New Roman" w:eastAsia="宋体" w:cs="Times New Roman"/>
                <w:snapToGrid/>
                <w:color w:val="auto"/>
                <w:kern w:val="0"/>
                <w:sz w:val="24"/>
                <w:szCs w:val="24"/>
                <w:highlight w:val="none"/>
                <w:lang w:val="en-US" w:eastAsia="zh-CN" w:bidi="ar"/>
              </w:rPr>
              <w:t>个</w:t>
            </w:r>
          </w:p>
        </w:tc>
        <w:tc>
          <w:tcPr>
            <w:tcW w:w="1392"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snapToGrid/>
                <w:color w:val="auto"/>
                <w:kern w:val="0"/>
                <w:sz w:val="24"/>
                <w:szCs w:val="24"/>
                <w:highlight w:val="none"/>
                <w:lang w:val="en-US" w:eastAsia="zh-CN" w:bidi="ar"/>
              </w:rPr>
            </w:pPr>
            <w:r>
              <w:rPr>
                <w:rFonts w:hint="default" w:ascii="Times New Roman" w:hAnsi="Times New Roman" w:eastAsia="宋体" w:cs="Times New Roman"/>
                <w:snapToGrid/>
                <w:color w:val="auto"/>
                <w:kern w:val="0"/>
                <w:sz w:val="24"/>
                <w:szCs w:val="24"/>
                <w:highlight w:val="none"/>
                <w:lang w:val="en-US" w:eastAsia="zh-CN" w:bidi="ar"/>
              </w:rPr>
              <w:t xml:space="preserve">6.00 </w:t>
            </w:r>
          </w:p>
        </w:tc>
        <w:tc>
          <w:tcPr>
            <w:tcW w:w="261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snapToGrid/>
                <w:color w:val="auto"/>
                <w:kern w:val="0"/>
                <w:sz w:val="24"/>
                <w:szCs w:val="24"/>
                <w:highlight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28" w:hRule="atLeast"/>
          <w:jc w:val="center"/>
        </w:trPr>
        <w:tc>
          <w:tcPr>
            <w:tcW w:w="935"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eastAsia" w:ascii="Times New Roman" w:hAnsi="Times New Roman" w:cs="Times New Roman"/>
                <w:snapToGrid/>
                <w:color w:val="auto"/>
                <w:kern w:val="0"/>
                <w:sz w:val="24"/>
                <w:szCs w:val="24"/>
                <w:highlight w:val="none"/>
                <w:lang w:val="en-US" w:eastAsia="zh-CN" w:bidi="ar"/>
              </w:rPr>
              <w:t>2</w:t>
            </w:r>
            <w:r>
              <w:rPr>
                <w:rFonts w:hint="default" w:ascii="Times New Roman" w:hAnsi="Times New Roman" w:eastAsia="宋体" w:cs="Times New Roman"/>
                <w:snapToGrid/>
                <w:color w:val="auto"/>
                <w:kern w:val="0"/>
                <w:sz w:val="24"/>
                <w:szCs w:val="24"/>
                <w:highlight w:val="none"/>
                <w:lang w:val="en-US" w:eastAsia="zh-CN" w:bidi="ar"/>
              </w:rPr>
              <w:t>.1</w:t>
            </w:r>
          </w:p>
        </w:tc>
        <w:tc>
          <w:tcPr>
            <w:tcW w:w="2833"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柴油发电机系统</w:t>
            </w:r>
          </w:p>
        </w:tc>
        <w:tc>
          <w:tcPr>
            <w:tcW w:w="4032"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c>
          <w:tcPr>
            <w:tcW w:w="707"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套</w:t>
            </w:r>
          </w:p>
        </w:tc>
        <w:tc>
          <w:tcPr>
            <w:tcW w:w="1392"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1</w:t>
            </w:r>
          </w:p>
        </w:tc>
        <w:tc>
          <w:tcPr>
            <w:tcW w:w="261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含储油系统建设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935"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eastAsia" w:ascii="Times New Roman" w:hAnsi="Times New Roman" w:cs="Times New Roman"/>
                <w:snapToGrid/>
                <w:color w:val="auto"/>
                <w:kern w:val="0"/>
                <w:sz w:val="24"/>
                <w:szCs w:val="24"/>
                <w:highlight w:val="none"/>
                <w:lang w:val="en-US" w:eastAsia="zh-CN" w:bidi="ar"/>
              </w:rPr>
              <w:t>2</w:t>
            </w:r>
            <w:r>
              <w:rPr>
                <w:rFonts w:hint="default" w:ascii="Times New Roman" w:hAnsi="Times New Roman" w:eastAsia="宋体" w:cs="Times New Roman"/>
                <w:snapToGrid/>
                <w:color w:val="auto"/>
                <w:kern w:val="0"/>
                <w:sz w:val="24"/>
                <w:szCs w:val="24"/>
                <w:highlight w:val="none"/>
                <w:lang w:val="en-US" w:eastAsia="zh-CN" w:bidi="ar"/>
              </w:rPr>
              <w:t>.1.1</w:t>
            </w:r>
          </w:p>
        </w:tc>
        <w:tc>
          <w:tcPr>
            <w:tcW w:w="2833"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高压柴发</w:t>
            </w:r>
          </w:p>
        </w:tc>
        <w:tc>
          <w:tcPr>
            <w:tcW w:w="4032"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10kV 2000kW</w:t>
            </w:r>
          </w:p>
        </w:tc>
        <w:tc>
          <w:tcPr>
            <w:tcW w:w="707"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套</w:t>
            </w:r>
          </w:p>
        </w:tc>
        <w:tc>
          <w:tcPr>
            <w:tcW w:w="1392"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5</w:t>
            </w:r>
          </w:p>
        </w:tc>
        <w:tc>
          <w:tcPr>
            <w:tcW w:w="2617"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935"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eastAsia" w:ascii="Times New Roman" w:hAnsi="Times New Roman" w:cs="Times New Roman"/>
                <w:snapToGrid/>
                <w:color w:val="auto"/>
                <w:kern w:val="0"/>
                <w:sz w:val="24"/>
                <w:szCs w:val="24"/>
                <w:highlight w:val="none"/>
                <w:lang w:val="en-US" w:eastAsia="zh-CN" w:bidi="ar"/>
              </w:rPr>
              <w:t>2</w:t>
            </w:r>
            <w:r>
              <w:rPr>
                <w:rFonts w:hint="default" w:ascii="Times New Roman" w:hAnsi="Times New Roman" w:eastAsia="宋体" w:cs="Times New Roman"/>
                <w:snapToGrid/>
                <w:color w:val="auto"/>
                <w:kern w:val="0"/>
                <w:sz w:val="24"/>
                <w:szCs w:val="24"/>
                <w:highlight w:val="none"/>
                <w:lang w:val="en-US" w:eastAsia="zh-CN" w:bidi="ar"/>
              </w:rPr>
              <w:t>.1.1.1</w:t>
            </w:r>
          </w:p>
        </w:tc>
        <w:tc>
          <w:tcPr>
            <w:tcW w:w="2833"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柴油机</w:t>
            </w:r>
          </w:p>
        </w:tc>
        <w:tc>
          <w:tcPr>
            <w:tcW w:w="4032"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c>
          <w:tcPr>
            <w:tcW w:w="707"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台</w:t>
            </w:r>
          </w:p>
        </w:tc>
        <w:tc>
          <w:tcPr>
            <w:tcW w:w="1392"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5</w:t>
            </w:r>
          </w:p>
        </w:tc>
        <w:tc>
          <w:tcPr>
            <w:tcW w:w="2617"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935"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eastAsia" w:ascii="Times New Roman" w:hAnsi="Times New Roman" w:cs="Times New Roman"/>
                <w:snapToGrid/>
                <w:color w:val="auto"/>
                <w:kern w:val="0"/>
                <w:sz w:val="24"/>
                <w:szCs w:val="24"/>
                <w:highlight w:val="none"/>
                <w:lang w:val="en-US" w:eastAsia="zh-CN" w:bidi="ar"/>
              </w:rPr>
              <w:t>2</w:t>
            </w:r>
            <w:r>
              <w:rPr>
                <w:rFonts w:hint="default" w:ascii="Times New Roman" w:hAnsi="Times New Roman" w:eastAsia="宋体" w:cs="Times New Roman"/>
                <w:snapToGrid/>
                <w:color w:val="auto"/>
                <w:kern w:val="0"/>
                <w:sz w:val="24"/>
                <w:szCs w:val="24"/>
                <w:highlight w:val="none"/>
                <w:lang w:val="en-US" w:eastAsia="zh-CN" w:bidi="ar"/>
              </w:rPr>
              <w:t>.1.1.2</w:t>
            </w:r>
          </w:p>
        </w:tc>
        <w:tc>
          <w:tcPr>
            <w:tcW w:w="2833"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发电机</w:t>
            </w:r>
          </w:p>
        </w:tc>
        <w:tc>
          <w:tcPr>
            <w:tcW w:w="4032"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c>
          <w:tcPr>
            <w:tcW w:w="707"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台</w:t>
            </w:r>
          </w:p>
        </w:tc>
        <w:tc>
          <w:tcPr>
            <w:tcW w:w="1392"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5</w:t>
            </w:r>
          </w:p>
        </w:tc>
        <w:tc>
          <w:tcPr>
            <w:tcW w:w="2617"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935"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eastAsia" w:ascii="Times New Roman" w:hAnsi="Times New Roman" w:cs="Times New Roman"/>
                <w:snapToGrid/>
                <w:color w:val="auto"/>
                <w:kern w:val="0"/>
                <w:sz w:val="24"/>
                <w:szCs w:val="24"/>
                <w:highlight w:val="none"/>
                <w:lang w:val="en-US" w:eastAsia="zh-CN" w:bidi="ar"/>
              </w:rPr>
              <w:t>2</w:t>
            </w:r>
            <w:r>
              <w:rPr>
                <w:rFonts w:hint="default" w:ascii="Times New Roman" w:hAnsi="Times New Roman" w:eastAsia="宋体" w:cs="Times New Roman"/>
                <w:snapToGrid/>
                <w:color w:val="auto"/>
                <w:kern w:val="0"/>
                <w:sz w:val="24"/>
                <w:szCs w:val="24"/>
                <w:highlight w:val="none"/>
                <w:lang w:val="en-US" w:eastAsia="zh-CN" w:bidi="ar"/>
              </w:rPr>
              <w:t>.1.1.3</w:t>
            </w:r>
          </w:p>
        </w:tc>
        <w:tc>
          <w:tcPr>
            <w:tcW w:w="2833"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控制器</w:t>
            </w:r>
          </w:p>
        </w:tc>
        <w:tc>
          <w:tcPr>
            <w:tcW w:w="4032"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c>
          <w:tcPr>
            <w:tcW w:w="707"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台</w:t>
            </w:r>
          </w:p>
        </w:tc>
        <w:tc>
          <w:tcPr>
            <w:tcW w:w="1392"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5</w:t>
            </w:r>
          </w:p>
        </w:tc>
        <w:tc>
          <w:tcPr>
            <w:tcW w:w="2617"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935"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eastAsia" w:ascii="Times New Roman" w:hAnsi="Times New Roman" w:cs="Times New Roman"/>
                <w:snapToGrid/>
                <w:color w:val="auto"/>
                <w:kern w:val="0"/>
                <w:sz w:val="24"/>
                <w:szCs w:val="24"/>
                <w:highlight w:val="none"/>
                <w:lang w:val="en-US" w:eastAsia="zh-CN" w:bidi="ar"/>
              </w:rPr>
              <w:t>2</w:t>
            </w:r>
            <w:r>
              <w:rPr>
                <w:rFonts w:hint="default" w:ascii="Times New Roman" w:hAnsi="Times New Roman" w:eastAsia="宋体" w:cs="Times New Roman"/>
                <w:snapToGrid/>
                <w:color w:val="auto"/>
                <w:kern w:val="0"/>
                <w:sz w:val="24"/>
                <w:szCs w:val="24"/>
                <w:highlight w:val="none"/>
                <w:lang w:val="en-US" w:eastAsia="zh-CN" w:bidi="ar"/>
              </w:rPr>
              <w:t>.1.2</w:t>
            </w:r>
          </w:p>
        </w:tc>
        <w:tc>
          <w:tcPr>
            <w:tcW w:w="2833"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移动柴发</w:t>
            </w:r>
          </w:p>
        </w:tc>
        <w:tc>
          <w:tcPr>
            <w:tcW w:w="4032"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400V 600kW集装箱式</w:t>
            </w:r>
          </w:p>
        </w:tc>
        <w:tc>
          <w:tcPr>
            <w:tcW w:w="707"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套</w:t>
            </w:r>
          </w:p>
        </w:tc>
        <w:tc>
          <w:tcPr>
            <w:tcW w:w="1392"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1</w:t>
            </w:r>
          </w:p>
        </w:tc>
        <w:tc>
          <w:tcPr>
            <w:tcW w:w="2617"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935"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b/>
                <w:i w:val="0"/>
                <w:color w:val="auto"/>
                <w:sz w:val="24"/>
                <w:szCs w:val="24"/>
                <w:u w:val="none"/>
              </w:rPr>
            </w:pPr>
            <w:r>
              <w:rPr>
                <w:rFonts w:hint="eastAsia" w:ascii="Times New Roman" w:hAnsi="Times New Roman" w:cs="Times New Roman"/>
                <w:snapToGrid/>
                <w:color w:val="auto"/>
                <w:kern w:val="0"/>
                <w:sz w:val="24"/>
                <w:szCs w:val="24"/>
                <w:highlight w:val="none"/>
                <w:lang w:val="en-US" w:eastAsia="zh-CN" w:bidi="ar"/>
              </w:rPr>
              <w:t>2.</w:t>
            </w:r>
            <w:r>
              <w:rPr>
                <w:rFonts w:hint="default" w:ascii="Times New Roman" w:hAnsi="Times New Roman" w:eastAsia="宋体" w:cs="Times New Roman"/>
                <w:snapToGrid/>
                <w:color w:val="auto"/>
                <w:kern w:val="0"/>
                <w:sz w:val="24"/>
                <w:szCs w:val="24"/>
                <w:highlight w:val="none"/>
                <w:lang w:val="en-US" w:eastAsia="zh-CN" w:bidi="ar"/>
              </w:rPr>
              <w:t>1.2.1</w:t>
            </w:r>
          </w:p>
        </w:tc>
        <w:tc>
          <w:tcPr>
            <w:tcW w:w="2833"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ascii="Times New Roman" w:hAnsi="Times New Roman" w:cs="Times New Roman"/>
                <w:color w:val="auto"/>
              </w:rPr>
            </w:pPr>
            <w:r>
              <w:rPr>
                <w:rFonts w:hint="default" w:ascii="Times New Roman" w:hAnsi="Times New Roman" w:eastAsia="宋体" w:cs="Times New Roman"/>
                <w:snapToGrid/>
                <w:color w:val="auto"/>
                <w:kern w:val="0"/>
                <w:sz w:val="24"/>
                <w:szCs w:val="24"/>
                <w:highlight w:val="none"/>
                <w:lang w:val="en-US" w:eastAsia="zh-CN" w:bidi="ar"/>
              </w:rPr>
              <w:t>柴油机</w:t>
            </w:r>
          </w:p>
        </w:tc>
        <w:tc>
          <w:tcPr>
            <w:tcW w:w="4032"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ascii="Times New Roman" w:hAnsi="Times New Roman" w:cs="Times New Roman"/>
                <w:color w:val="auto"/>
              </w:rPr>
            </w:pPr>
          </w:p>
        </w:tc>
        <w:tc>
          <w:tcPr>
            <w:tcW w:w="707"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ascii="Times New Roman" w:hAnsi="Times New Roman" w:cs="Times New Roman"/>
                <w:color w:val="auto"/>
              </w:rPr>
            </w:pPr>
          </w:p>
        </w:tc>
        <w:tc>
          <w:tcPr>
            <w:tcW w:w="1392"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ascii="Times New Roman" w:hAnsi="Times New Roman" w:cs="Times New Roman"/>
                <w:color w:val="auto"/>
              </w:rPr>
            </w:pPr>
          </w:p>
        </w:tc>
        <w:tc>
          <w:tcPr>
            <w:tcW w:w="2617"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ascii="Times New Roman" w:hAnsi="Times New Roman" w:cs="Times New Roman"/>
                <w:color w:val="auto"/>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64" w:hRule="atLeast"/>
          <w:jc w:val="center"/>
        </w:trPr>
        <w:tc>
          <w:tcPr>
            <w:tcW w:w="935"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eastAsia" w:ascii="Times New Roman" w:hAnsi="Times New Roman" w:cs="Times New Roman"/>
                <w:snapToGrid/>
                <w:color w:val="auto"/>
                <w:kern w:val="0"/>
                <w:sz w:val="24"/>
                <w:szCs w:val="24"/>
                <w:highlight w:val="none"/>
                <w:lang w:val="en-US" w:eastAsia="zh-CN" w:bidi="ar"/>
              </w:rPr>
              <w:t>2</w:t>
            </w:r>
            <w:r>
              <w:rPr>
                <w:rFonts w:hint="default" w:ascii="Times New Roman" w:hAnsi="Times New Roman" w:eastAsia="宋体" w:cs="Times New Roman"/>
                <w:snapToGrid/>
                <w:color w:val="auto"/>
                <w:kern w:val="0"/>
                <w:sz w:val="24"/>
                <w:szCs w:val="24"/>
                <w:highlight w:val="none"/>
                <w:lang w:val="en-US" w:eastAsia="zh-CN" w:bidi="ar"/>
              </w:rPr>
              <w:t>.1.2.2</w:t>
            </w:r>
          </w:p>
        </w:tc>
        <w:tc>
          <w:tcPr>
            <w:tcW w:w="2833"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发电机</w:t>
            </w:r>
          </w:p>
        </w:tc>
        <w:tc>
          <w:tcPr>
            <w:tcW w:w="4032"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c>
          <w:tcPr>
            <w:tcW w:w="707"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c>
          <w:tcPr>
            <w:tcW w:w="1392"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c>
          <w:tcPr>
            <w:tcW w:w="2617"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935"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eastAsia" w:ascii="Times New Roman" w:hAnsi="Times New Roman" w:cs="Times New Roman"/>
                <w:snapToGrid/>
                <w:color w:val="auto"/>
                <w:kern w:val="0"/>
                <w:sz w:val="24"/>
                <w:szCs w:val="24"/>
                <w:highlight w:val="none"/>
                <w:lang w:val="en-US" w:eastAsia="zh-CN" w:bidi="ar"/>
              </w:rPr>
              <w:t>2</w:t>
            </w:r>
            <w:r>
              <w:rPr>
                <w:rFonts w:hint="default" w:ascii="Times New Roman" w:hAnsi="Times New Roman" w:eastAsia="宋体" w:cs="Times New Roman"/>
                <w:snapToGrid/>
                <w:color w:val="auto"/>
                <w:kern w:val="0"/>
                <w:sz w:val="24"/>
                <w:szCs w:val="24"/>
                <w:highlight w:val="none"/>
                <w:lang w:val="en-US" w:eastAsia="zh-CN" w:bidi="ar"/>
              </w:rPr>
              <w:t>.1.2.3</w:t>
            </w:r>
          </w:p>
        </w:tc>
        <w:tc>
          <w:tcPr>
            <w:tcW w:w="2833"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控制器</w:t>
            </w:r>
          </w:p>
        </w:tc>
        <w:tc>
          <w:tcPr>
            <w:tcW w:w="4032"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c>
          <w:tcPr>
            <w:tcW w:w="707"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c>
          <w:tcPr>
            <w:tcW w:w="1392"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c>
          <w:tcPr>
            <w:tcW w:w="2617"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64" w:hRule="atLeast"/>
          <w:jc w:val="center"/>
        </w:trPr>
        <w:tc>
          <w:tcPr>
            <w:tcW w:w="935"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eastAsia" w:ascii="Times New Roman" w:hAnsi="Times New Roman" w:cs="Times New Roman"/>
                <w:snapToGrid/>
                <w:color w:val="auto"/>
                <w:kern w:val="0"/>
                <w:sz w:val="24"/>
                <w:szCs w:val="24"/>
                <w:highlight w:val="none"/>
                <w:lang w:val="en-US" w:eastAsia="zh-CN" w:bidi="ar"/>
              </w:rPr>
              <w:t>2</w:t>
            </w:r>
            <w:r>
              <w:rPr>
                <w:rFonts w:hint="default" w:ascii="Times New Roman" w:hAnsi="Times New Roman" w:eastAsia="宋体" w:cs="Times New Roman"/>
                <w:snapToGrid/>
                <w:color w:val="auto"/>
                <w:kern w:val="0"/>
                <w:sz w:val="24"/>
                <w:szCs w:val="24"/>
                <w:highlight w:val="none"/>
                <w:lang w:val="en-US" w:eastAsia="zh-CN" w:bidi="ar"/>
              </w:rPr>
              <w:t>.1.3</w:t>
            </w:r>
          </w:p>
        </w:tc>
        <w:tc>
          <w:tcPr>
            <w:tcW w:w="2833"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移动柴发车</w:t>
            </w:r>
          </w:p>
        </w:tc>
        <w:tc>
          <w:tcPr>
            <w:tcW w:w="4032"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小型运输车</w:t>
            </w:r>
          </w:p>
        </w:tc>
        <w:tc>
          <w:tcPr>
            <w:tcW w:w="707"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辆</w:t>
            </w:r>
          </w:p>
        </w:tc>
        <w:tc>
          <w:tcPr>
            <w:tcW w:w="1392"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1</w:t>
            </w:r>
          </w:p>
        </w:tc>
        <w:tc>
          <w:tcPr>
            <w:tcW w:w="2617"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64" w:hRule="atLeast"/>
          <w:jc w:val="center"/>
        </w:trPr>
        <w:tc>
          <w:tcPr>
            <w:tcW w:w="935"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eastAsia" w:ascii="Times New Roman" w:hAnsi="Times New Roman" w:cs="Times New Roman"/>
                <w:snapToGrid/>
                <w:color w:val="auto"/>
                <w:kern w:val="0"/>
                <w:sz w:val="24"/>
                <w:szCs w:val="24"/>
                <w:highlight w:val="none"/>
                <w:lang w:val="en-US" w:eastAsia="zh-CN" w:bidi="ar"/>
              </w:rPr>
              <w:t>2</w:t>
            </w:r>
            <w:r>
              <w:rPr>
                <w:rFonts w:hint="default" w:ascii="Times New Roman" w:hAnsi="Times New Roman" w:eastAsia="宋体" w:cs="Times New Roman"/>
                <w:snapToGrid/>
                <w:color w:val="auto"/>
                <w:kern w:val="0"/>
                <w:sz w:val="24"/>
                <w:szCs w:val="24"/>
                <w:highlight w:val="none"/>
                <w:lang w:val="en-US" w:eastAsia="zh-CN" w:bidi="ar"/>
              </w:rPr>
              <w:t>.1.4</w:t>
            </w:r>
          </w:p>
        </w:tc>
        <w:tc>
          <w:tcPr>
            <w:tcW w:w="2833"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系统控制柜</w:t>
            </w:r>
          </w:p>
        </w:tc>
        <w:tc>
          <w:tcPr>
            <w:tcW w:w="4032"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c>
          <w:tcPr>
            <w:tcW w:w="707"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面</w:t>
            </w:r>
          </w:p>
        </w:tc>
        <w:tc>
          <w:tcPr>
            <w:tcW w:w="1392"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1</w:t>
            </w:r>
          </w:p>
        </w:tc>
        <w:tc>
          <w:tcPr>
            <w:tcW w:w="2617"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935"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eastAsia" w:ascii="Times New Roman" w:hAnsi="Times New Roman" w:cs="Times New Roman"/>
                <w:snapToGrid/>
                <w:color w:val="auto"/>
                <w:kern w:val="0"/>
                <w:sz w:val="24"/>
                <w:szCs w:val="24"/>
                <w:highlight w:val="none"/>
                <w:lang w:val="en-US" w:eastAsia="zh-CN" w:bidi="ar"/>
              </w:rPr>
              <w:t>2</w:t>
            </w:r>
            <w:r>
              <w:rPr>
                <w:rFonts w:hint="default" w:ascii="Times New Roman" w:hAnsi="Times New Roman" w:eastAsia="宋体" w:cs="Times New Roman"/>
                <w:snapToGrid/>
                <w:color w:val="auto"/>
                <w:kern w:val="0"/>
                <w:sz w:val="24"/>
                <w:szCs w:val="24"/>
                <w:highlight w:val="none"/>
                <w:lang w:val="en-US" w:eastAsia="zh-CN" w:bidi="ar"/>
              </w:rPr>
              <w:t>.1.5</w:t>
            </w:r>
          </w:p>
        </w:tc>
        <w:tc>
          <w:tcPr>
            <w:tcW w:w="2833"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母联开关柜</w:t>
            </w:r>
          </w:p>
        </w:tc>
        <w:tc>
          <w:tcPr>
            <w:tcW w:w="4032"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c>
          <w:tcPr>
            <w:tcW w:w="707"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面</w:t>
            </w:r>
          </w:p>
        </w:tc>
        <w:tc>
          <w:tcPr>
            <w:tcW w:w="1392"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1</w:t>
            </w:r>
          </w:p>
        </w:tc>
        <w:tc>
          <w:tcPr>
            <w:tcW w:w="2617"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935"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eastAsia" w:ascii="Times New Roman" w:hAnsi="Times New Roman" w:cs="Times New Roman"/>
                <w:snapToGrid/>
                <w:color w:val="auto"/>
                <w:kern w:val="0"/>
                <w:sz w:val="24"/>
                <w:szCs w:val="24"/>
                <w:highlight w:val="none"/>
                <w:lang w:val="en-US" w:eastAsia="zh-CN" w:bidi="ar"/>
              </w:rPr>
              <w:t>2</w:t>
            </w:r>
            <w:r>
              <w:rPr>
                <w:rFonts w:hint="default" w:ascii="Times New Roman" w:hAnsi="Times New Roman" w:eastAsia="宋体" w:cs="Times New Roman"/>
                <w:snapToGrid/>
                <w:color w:val="auto"/>
                <w:kern w:val="0"/>
                <w:sz w:val="24"/>
                <w:szCs w:val="24"/>
                <w:highlight w:val="none"/>
                <w:lang w:val="en-US" w:eastAsia="zh-CN" w:bidi="ar"/>
              </w:rPr>
              <w:t>.1.6</w:t>
            </w:r>
          </w:p>
        </w:tc>
        <w:tc>
          <w:tcPr>
            <w:tcW w:w="2833"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机组输出馈线柜</w:t>
            </w:r>
          </w:p>
        </w:tc>
        <w:tc>
          <w:tcPr>
            <w:tcW w:w="4032"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c>
          <w:tcPr>
            <w:tcW w:w="707"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面</w:t>
            </w:r>
          </w:p>
        </w:tc>
        <w:tc>
          <w:tcPr>
            <w:tcW w:w="1392"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5</w:t>
            </w:r>
          </w:p>
        </w:tc>
        <w:tc>
          <w:tcPr>
            <w:tcW w:w="2617"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64" w:hRule="atLeast"/>
          <w:jc w:val="center"/>
        </w:trPr>
        <w:tc>
          <w:tcPr>
            <w:tcW w:w="935"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eastAsia" w:ascii="Times New Roman" w:hAnsi="Times New Roman" w:cs="Times New Roman"/>
                <w:snapToGrid/>
                <w:color w:val="auto"/>
                <w:kern w:val="0"/>
                <w:sz w:val="24"/>
                <w:szCs w:val="24"/>
                <w:highlight w:val="none"/>
                <w:lang w:val="en-US" w:eastAsia="zh-CN" w:bidi="ar"/>
              </w:rPr>
              <w:t>2</w:t>
            </w:r>
            <w:r>
              <w:rPr>
                <w:rFonts w:hint="default" w:ascii="Times New Roman" w:hAnsi="Times New Roman" w:eastAsia="宋体" w:cs="Times New Roman"/>
                <w:snapToGrid/>
                <w:color w:val="auto"/>
                <w:kern w:val="0"/>
                <w:sz w:val="24"/>
                <w:szCs w:val="24"/>
                <w:highlight w:val="none"/>
                <w:lang w:val="en-US" w:eastAsia="zh-CN" w:bidi="ar"/>
              </w:rPr>
              <w:t>.1.7</w:t>
            </w:r>
          </w:p>
        </w:tc>
        <w:tc>
          <w:tcPr>
            <w:tcW w:w="2833"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假负载输出馈线柜</w:t>
            </w:r>
          </w:p>
        </w:tc>
        <w:tc>
          <w:tcPr>
            <w:tcW w:w="4032"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c>
          <w:tcPr>
            <w:tcW w:w="707"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面</w:t>
            </w:r>
          </w:p>
        </w:tc>
        <w:tc>
          <w:tcPr>
            <w:tcW w:w="1392"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2</w:t>
            </w:r>
          </w:p>
        </w:tc>
        <w:tc>
          <w:tcPr>
            <w:tcW w:w="2617"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935"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eastAsia" w:ascii="Times New Roman" w:hAnsi="Times New Roman" w:cs="Times New Roman"/>
                <w:snapToGrid/>
                <w:color w:val="auto"/>
                <w:kern w:val="0"/>
                <w:sz w:val="24"/>
                <w:szCs w:val="24"/>
                <w:highlight w:val="none"/>
                <w:lang w:val="en-US" w:eastAsia="zh-CN" w:bidi="ar"/>
              </w:rPr>
              <w:t>2</w:t>
            </w:r>
            <w:r>
              <w:rPr>
                <w:rFonts w:hint="default" w:ascii="Times New Roman" w:hAnsi="Times New Roman" w:eastAsia="宋体" w:cs="Times New Roman"/>
                <w:snapToGrid/>
                <w:color w:val="auto"/>
                <w:kern w:val="0"/>
                <w:sz w:val="24"/>
                <w:szCs w:val="24"/>
                <w:highlight w:val="none"/>
                <w:lang w:val="en-US" w:eastAsia="zh-CN" w:bidi="ar"/>
              </w:rPr>
              <w:t>.1.8</w:t>
            </w:r>
          </w:p>
        </w:tc>
        <w:tc>
          <w:tcPr>
            <w:tcW w:w="2833"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负载输出馈线柜</w:t>
            </w:r>
          </w:p>
        </w:tc>
        <w:tc>
          <w:tcPr>
            <w:tcW w:w="4032"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c>
          <w:tcPr>
            <w:tcW w:w="707"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面</w:t>
            </w:r>
          </w:p>
        </w:tc>
        <w:tc>
          <w:tcPr>
            <w:tcW w:w="1392"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2</w:t>
            </w:r>
          </w:p>
        </w:tc>
        <w:tc>
          <w:tcPr>
            <w:tcW w:w="2617"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935"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eastAsia" w:ascii="Times New Roman" w:hAnsi="Times New Roman" w:cs="Times New Roman"/>
                <w:snapToGrid/>
                <w:color w:val="auto"/>
                <w:kern w:val="0"/>
                <w:sz w:val="24"/>
                <w:szCs w:val="24"/>
                <w:highlight w:val="none"/>
                <w:lang w:val="en-US" w:eastAsia="zh-CN" w:bidi="ar"/>
              </w:rPr>
              <w:t>2</w:t>
            </w:r>
            <w:r>
              <w:rPr>
                <w:rFonts w:hint="default" w:ascii="Times New Roman" w:hAnsi="Times New Roman" w:eastAsia="宋体" w:cs="Times New Roman"/>
                <w:snapToGrid/>
                <w:color w:val="auto"/>
                <w:kern w:val="0"/>
                <w:sz w:val="24"/>
                <w:szCs w:val="24"/>
                <w:highlight w:val="none"/>
                <w:lang w:val="en-US" w:eastAsia="zh-CN" w:bidi="ar"/>
              </w:rPr>
              <w:t>.1.9</w:t>
            </w:r>
          </w:p>
        </w:tc>
        <w:tc>
          <w:tcPr>
            <w:tcW w:w="2833"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接地变压器开关柜</w:t>
            </w:r>
          </w:p>
        </w:tc>
        <w:tc>
          <w:tcPr>
            <w:tcW w:w="4032"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c>
          <w:tcPr>
            <w:tcW w:w="707"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面</w:t>
            </w:r>
          </w:p>
        </w:tc>
        <w:tc>
          <w:tcPr>
            <w:tcW w:w="1392"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2</w:t>
            </w:r>
          </w:p>
        </w:tc>
        <w:tc>
          <w:tcPr>
            <w:tcW w:w="2617"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64" w:hRule="atLeast"/>
          <w:jc w:val="center"/>
        </w:trPr>
        <w:tc>
          <w:tcPr>
            <w:tcW w:w="935"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eastAsia" w:ascii="Times New Roman" w:hAnsi="Times New Roman" w:cs="Times New Roman"/>
                <w:snapToGrid/>
                <w:color w:val="auto"/>
                <w:kern w:val="0"/>
                <w:sz w:val="24"/>
                <w:szCs w:val="24"/>
                <w:highlight w:val="none"/>
                <w:lang w:val="en-US" w:eastAsia="zh-CN" w:bidi="ar"/>
              </w:rPr>
              <w:t>2</w:t>
            </w:r>
            <w:r>
              <w:rPr>
                <w:rFonts w:hint="default" w:ascii="Times New Roman" w:hAnsi="Times New Roman" w:eastAsia="宋体" w:cs="Times New Roman"/>
                <w:snapToGrid/>
                <w:color w:val="auto"/>
                <w:kern w:val="0"/>
                <w:sz w:val="24"/>
                <w:szCs w:val="24"/>
                <w:highlight w:val="none"/>
                <w:lang w:val="en-US" w:eastAsia="zh-CN" w:bidi="ar"/>
              </w:rPr>
              <w:t>.1.10</w:t>
            </w:r>
          </w:p>
        </w:tc>
        <w:tc>
          <w:tcPr>
            <w:tcW w:w="2833"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直流屏</w:t>
            </w:r>
          </w:p>
        </w:tc>
        <w:tc>
          <w:tcPr>
            <w:tcW w:w="4032"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c>
          <w:tcPr>
            <w:tcW w:w="707"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面</w:t>
            </w:r>
          </w:p>
        </w:tc>
        <w:tc>
          <w:tcPr>
            <w:tcW w:w="1392"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2</w:t>
            </w:r>
          </w:p>
        </w:tc>
        <w:tc>
          <w:tcPr>
            <w:tcW w:w="2617"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935"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eastAsia" w:ascii="Times New Roman" w:hAnsi="Times New Roman" w:cs="Times New Roman"/>
                <w:snapToGrid/>
                <w:color w:val="auto"/>
                <w:kern w:val="0"/>
                <w:sz w:val="24"/>
                <w:szCs w:val="24"/>
                <w:highlight w:val="none"/>
                <w:lang w:val="en-US" w:eastAsia="zh-CN" w:bidi="ar"/>
              </w:rPr>
              <w:t>2</w:t>
            </w:r>
            <w:r>
              <w:rPr>
                <w:rFonts w:hint="default" w:ascii="Times New Roman" w:hAnsi="Times New Roman" w:eastAsia="宋体" w:cs="Times New Roman"/>
                <w:snapToGrid/>
                <w:color w:val="auto"/>
                <w:kern w:val="0"/>
                <w:sz w:val="24"/>
                <w:szCs w:val="24"/>
                <w:highlight w:val="none"/>
                <w:lang w:val="en-US" w:eastAsia="zh-CN" w:bidi="ar"/>
              </w:rPr>
              <w:t>.1.11</w:t>
            </w:r>
          </w:p>
        </w:tc>
        <w:tc>
          <w:tcPr>
            <w:tcW w:w="2833"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二次柜</w:t>
            </w:r>
          </w:p>
        </w:tc>
        <w:tc>
          <w:tcPr>
            <w:tcW w:w="4032"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c>
          <w:tcPr>
            <w:tcW w:w="707"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面</w:t>
            </w:r>
          </w:p>
        </w:tc>
        <w:tc>
          <w:tcPr>
            <w:tcW w:w="1392"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2</w:t>
            </w:r>
          </w:p>
        </w:tc>
        <w:tc>
          <w:tcPr>
            <w:tcW w:w="2617"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935"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eastAsia" w:ascii="Times New Roman" w:hAnsi="Times New Roman" w:cs="Times New Roman"/>
                <w:snapToGrid/>
                <w:color w:val="auto"/>
                <w:kern w:val="0"/>
                <w:sz w:val="24"/>
                <w:szCs w:val="24"/>
                <w:highlight w:val="none"/>
                <w:lang w:val="en-US" w:eastAsia="zh-CN" w:bidi="ar"/>
              </w:rPr>
              <w:t>2</w:t>
            </w:r>
            <w:r>
              <w:rPr>
                <w:rFonts w:hint="default" w:ascii="Times New Roman" w:hAnsi="Times New Roman" w:eastAsia="宋体" w:cs="Times New Roman"/>
                <w:snapToGrid/>
                <w:color w:val="auto"/>
                <w:kern w:val="0"/>
                <w:sz w:val="24"/>
                <w:szCs w:val="24"/>
                <w:highlight w:val="none"/>
                <w:lang w:val="en-US" w:eastAsia="zh-CN" w:bidi="ar"/>
              </w:rPr>
              <w:t>.2</w:t>
            </w:r>
          </w:p>
        </w:tc>
        <w:tc>
          <w:tcPr>
            <w:tcW w:w="2833"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电缆及送出线路</w:t>
            </w:r>
          </w:p>
        </w:tc>
        <w:tc>
          <w:tcPr>
            <w:tcW w:w="4032"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c>
          <w:tcPr>
            <w:tcW w:w="707"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套</w:t>
            </w:r>
          </w:p>
        </w:tc>
        <w:tc>
          <w:tcPr>
            <w:tcW w:w="1392"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1</w:t>
            </w:r>
          </w:p>
        </w:tc>
        <w:tc>
          <w:tcPr>
            <w:tcW w:w="2617"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935"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eastAsia" w:ascii="Times New Roman" w:hAnsi="Times New Roman" w:cs="Times New Roman"/>
                <w:snapToGrid/>
                <w:color w:val="auto"/>
                <w:kern w:val="0"/>
                <w:sz w:val="24"/>
                <w:szCs w:val="24"/>
                <w:highlight w:val="none"/>
                <w:lang w:val="en-US" w:eastAsia="zh-CN" w:bidi="ar"/>
              </w:rPr>
              <w:t>2</w:t>
            </w:r>
            <w:r>
              <w:rPr>
                <w:rFonts w:hint="default" w:ascii="Times New Roman" w:hAnsi="Times New Roman" w:eastAsia="宋体" w:cs="Times New Roman"/>
                <w:snapToGrid/>
                <w:color w:val="auto"/>
                <w:kern w:val="0"/>
                <w:sz w:val="24"/>
                <w:szCs w:val="24"/>
                <w:highlight w:val="none"/>
                <w:lang w:val="en-US" w:eastAsia="zh-CN" w:bidi="ar"/>
              </w:rPr>
              <w:t>.2.1</w:t>
            </w:r>
          </w:p>
        </w:tc>
        <w:tc>
          <w:tcPr>
            <w:tcW w:w="2833"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一次电缆</w:t>
            </w:r>
          </w:p>
        </w:tc>
        <w:tc>
          <w:tcPr>
            <w:tcW w:w="4032"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ZC-YJV22-8.7/15kV-3*240</w:t>
            </w:r>
          </w:p>
        </w:tc>
        <w:tc>
          <w:tcPr>
            <w:tcW w:w="707"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m</w:t>
            </w:r>
          </w:p>
        </w:tc>
        <w:tc>
          <w:tcPr>
            <w:tcW w:w="1392"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450</w:t>
            </w:r>
          </w:p>
        </w:tc>
        <w:tc>
          <w:tcPr>
            <w:tcW w:w="2617"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宋体"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含电缆头及附件2套，具备防鼠蚁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935"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b/>
                <w:i w:val="0"/>
                <w:color w:val="auto"/>
                <w:sz w:val="24"/>
                <w:szCs w:val="24"/>
                <w:u w:val="none"/>
              </w:rPr>
            </w:pPr>
            <w:r>
              <w:rPr>
                <w:rFonts w:hint="eastAsia" w:ascii="Times New Roman" w:hAnsi="Times New Roman" w:cs="Times New Roman"/>
                <w:snapToGrid/>
                <w:color w:val="auto"/>
                <w:kern w:val="0"/>
                <w:sz w:val="24"/>
                <w:szCs w:val="24"/>
                <w:highlight w:val="none"/>
                <w:lang w:val="en-US" w:eastAsia="zh-CN" w:bidi="ar"/>
              </w:rPr>
              <w:t>2</w:t>
            </w:r>
            <w:r>
              <w:rPr>
                <w:rFonts w:hint="default" w:ascii="Times New Roman" w:hAnsi="Times New Roman" w:eastAsia="宋体" w:cs="Times New Roman"/>
                <w:snapToGrid/>
                <w:color w:val="auto"/>
                <w:kern w:val="0"/>
                <w:sz w:val="24"/>
                <w:szCs w:val="24"/>
                <w:highlight w:val="none"/>
                <w:lang w:val="en-US" w:eastAsia="zh-CN" w:bidi="ar"/>
              </w:rPr>
              <w:t>.2.2</w:t>
            </w:r>
          </w:p>
        </w:tc>
        <w:tc>
          <w:tcPr>
            <w:tcW w:w="2833"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ascii="Times New Roman" w:hAnsi="Times New Roman" w:cs="Times New Roman"/>
                <w:color w:val="auto"/>
              </w:rPr>
            </w:pPr>
            <w:r>
              <w:rPr>
                <w:rFonts w:hint="default" w:ascii="Times New Roman" w:hAnsi="Times New Roman" w:eastAsia="宋体" w:cs="Times New Roman"/>
                <w:snapToGrid/>
                <w:color w:val="auto"/>
                <w:kern w:val="0"/>
                <w:sz w:val="24"/>
                <w:szCs w:val="24"/>
                <w:highlight w:val="none"/>
                <w:lang w:val="en-US" w:eastAsia="zh-CN" w:bidi="ar"/>
              </w:rPr>
              <w:t>一次电缆</w:t>
            </w:r>
          </w:p>
        </w:tc>
        <w:tc>
          <w:tcPr>
            <w:tcW w:w="4032"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ascii="Times New Roman" w:hAnsi="Times New Roman" w:cs="Times New Roman"/>
                <w:color w:val="auto"/>
              </w:rPr>
            </w:pPr>
            <w:r>
              <w:rPr>
                <w:rFonts w:hint="default" w:ascii="Times New Roman" w:hAnsi="Times New Roman" w:eastAsia="宋体" w:cs="Times New Roman"/>
                <w:snapToGrid/>
                <w:color w:val="auto"/>
                <w:kern w:val="0"/>
                <w:sz w:val="24"/>
                <w:szCs w:val="24"/>
                <w:highlight w:val="none"/>
                <w:lang w:val="en-US" w:eastAsia="zh-CN" w:bidi="ar"/>
              </w:rPr>
              <w:t>ZC-YJV22-8.7/15kV-3*95</w:t>
            </w:r>
          </w:p>
        </w:tc>
        <w:tc>
          <w:tcPr>
            <w:tcW w:w="707"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ascii="Times New Roman" w:hAnsi="Times New Roman" w:cs="Times New Roman"/>
                <w:color w:val="auto"/>
              </w:rPr>
            </w:pPr>
            <w:r>
              <w:rPr>
                <w:rFonts w:hint="default" w:ascii="Times New Roman" w:hAnsi="Times New Roman" w:eastAsia="宋体" w:cs="Times New Roman"/>
                <w:snapToGrid/>
                <w:color w:val="auto"/>
                <w:kern w:val="0"/>
                <w:sz w:val="24"/>
                <w:szCs w:val="24"/>
                <w:highlight w:val="none"/>
                <w:lang w:val="en-US" w:eastAsia="zh-CN" w:bidi="ar"/>
              </w:rPr>
              <w:t>m</w:t>
            </w:r>
          </w:p>
        </w:tc>
        <w:tc>
          <w:tcPr>
            <w:tcW w:w="1392"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ascii="Times New Roman" w:hAnsi="Times New Roman" w:cs="Times New Roman"/>
                <w:color w:val="auto"/>
              </w:rPr>
            </w:pPr>
            <w:r>
              <w:rPr>
                <w:rFonts w:hint="default" w:ascii="Times New Roman" w:hAnsi="Times New Roman" w:eastAsia="宋体" w:cs="Times New Roman"/>
                <w:snapToGrid/>
                <w:color w:val="auto"/>
                <w:kern w:val="0"/>
                <w:sz w:val="24"/>
                <w:szCs w:val="24"/>
                <w:highlight w:val="none"/>
                <w:lang w:val="en-US" w:eastAsia="zh-CN" w:bidi="ar"/>
              </w:rPr>
              <w:t>650</w:t>
            </w:r>
          </w:p>
        </w:tc>
        <w:tc>
          <w:tcPr>
            <w:tcW w:w="2617"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ascii="Times New Roman" w:hAnsi="Times New Roman" w:cs="Times New Roman"/>
                <w:color w:val="auto"/>
              </w:rPr>
            </w:pPr>
            <w:r>
              <w:rPr>
                <w:rFonts w:hint="default" w:ascii="Times New Roman" w:hAnsi="Times New Roman" w:eastAsia="宋体" w:cs="Times New Roman"/>
                <w:snapToGrid/>
                <w:color w:val="auto"/>
                <w:kern w:val="0"/>
                <w:sz w:val="24"/>
                <w:szCs w:val="24"/>
                <w:highlight w:val="none"/>
                <w:lang w:val="en-US" w:eastAsia="zh-CN" w:bidi="ar"/>
              </w:rPr>
              <w:t>具备防鼠蚁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935"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eastAsia" w:ascii="Times New Roman" w:hAnsi="Times New Roman" w:cs="Times New Roman"/>
                <w:snapToGrid/>
                <w:color w:val="auto"/>
                <w:kern w:val="0"/>
                <w:sz w:val="24"/>
                <w:szCs w:val="24"/>
                <w:highlight w:val="none"/>
                <w:lang w:val="en-US" w:eastAsia="zh-CN" w:bidi="ar"/>
              </w:rPr>
              <w:t>2</w:t>
            </w:r>
            <w:r>
              <w:rPr>
                <w:rFonts w:hint="default" w:ascii="Times New Roman" w:hAnsi="Times New Roman" w:eastAsia="宋体" w:cs="Times New Roman"/>
                <w:snapToGrid/>
                <w:color w:val="auto"/>
                <w:kern w:val="0"/>
                <w:sz w:val="24"/>
                <w:szCs w:val="24"/>
                <w:highlight w:val="none"/>
                <w:lang w:val="en-US" w:eastAsia="zh-CN" w:bidi="ar"/>
              </w:rPr>
              <w:t>.2.3</w:t>
            </w:r>
          </w:p>
        </w:tc>
        <w:tc>
          <w:tcPr>
            <w:tcW w:w="2833"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二次控制线缆</w:t>
            </w:r>
          </w:p>
        </w:tc>
        <w:tc>
          <w:tcPr>
            <w:tcW w:w="4032"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各种规格</w:t>
            </w:r>
          </w:p>
        </w:tc>
        <w:tc>
          <w:tcPr>
            <w:tcW w:w="707"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m</w:t>
            </w:r>
          </w:p>
        </w:tc>
        <w:tc>
          <w:tcPr>
            <w:tcW w:w="1392"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1500</w:t>
            </w:r>
          </w:p>
        </w:tc>
        <w:tc>
          <w:tcPr>
            <w:tcW w:w="2617"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88" w:hRule="atLeast"/>
          <w:jc w:val="center"/>
        </w:trPr>
        <w:tc>
          <w:tcPr>
            <w:tcW w:w="935"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eastAsia" w:ascii="Times New Roman" w:hAnsi="Times New Roman" w:cs="Times New Roman"/>
                <w:snapToGrid/>
                <w:color w:val="auto"/>
                <w:kern w:val="0"/>
                <w:sz w:val="24"/>
                <w:szCs w:val="24"/>
                <w:highlight w:val="none"/>
                <w:lang w:val="en-US" w:eastAsia="zh-CN" w:bidi="ar"/>
              </w:rPr>
              <w:t>2</w:t>
            </w:r>
            <w:r>
              <w:rPr>
                <w:rFonts w:hint="default" w:ascii="Times New Roman" w:hAnsi="Times New Roman" w:eastAsia="宋体" w:cs="Times New Roman"/>
                <w:snapToGrid/>
                <w:color w:val="auto"/>
                <w:kern w:val="0"/>
                <w:sz w:val="24"/>
                <w:szCs w:val="24"/>
                <w:highlight w:val="none"/>
                <w:lang w:val="en-US" w:eastAsia="zh-CN" w:bidi="ar"/>
              </w:rPr>
              <w:t>.2.</w:t>
            </w:r>
            <w:r>
              <w:rPr>
                <w:rFonts w:hint="eastAsia" w:ascii="Times New Roman" w:hAnsi="Times New Roman" w:cs="Times New Roman"/>
                <w:snapToGrid/>
                <w:color w:val="auto"/>
                <w:kern w:val="0"/>
                <w:sz w:val="24"/>
                <w:szCs w:val="24"/>
                <w:highlight w:val="none"/>
                <w:lang w:val="en-US" w:eastAsia="zh-CN" w:bidi="ar"/>
              </w:rPr>
              <w:t>4</w:t>
            </w:r>
          </w:p>
        </w:tc>
        <w:tc>
          <w:tcPr>
            <w:tcW w:w="2833"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电缆桥架</w:t>
            </w:r>
          </w:p>
        </w:tc>
        <w:tc>
          <w:tcPr>
            <w:tcW w:w="4032"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密闭耐火金属槽盒及其吊支架</w:t>
            </w:r>
          </w:p>
        </w:tc>
        <w:tc>
          <w:tcPr>
            <w:tcW w:w="707"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t</w:t>
            </w:r>
          </w:p>
        </w:tc>
        <w:tc>
          <w:tcPr>
            <w:tcW w:w="1392"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1.2</w:t>
            </w:r>
          </w:p>
        </w:tc>
        <w:tc>
          <w:tcPr>
            <w:tcW w:w="2617"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 w:hRule="atLeast"/>
          <w:jc w:val="center"/>
        </w:trPr>
        <w:tc>
          <w:tcPr>
            <w:tcW w:w="935"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eastAsia" w:ascii="Times New Roman" w:hAnsi="Times New Roman" w:cs="Times New Roman"/>
                <w:snapToGrid/>
                <w:color w:val="auto"/>
                <w:kern w:val="0"/>
                <w:sz w:val="24"/>
                <w:szCs w:val="24"/>
                <w:highlight w:val="none"/>
                <w:lang w:val="en-US" w:eastAsia="zh-CN" w:bidi="ar"/>
              </w:rPr>
              <w:t>2</w:t>
            </w:r>
            <w:r>
              <w:rPr>
                <w:rFonts w:hint="default" w:ascii="Times New Roman" w:hAnsi="Times New Roman" w:eastAsia="宋体" w:cs="Times New Roman"/>
                <w:snapToGrid/>
                <w:color w:val="auto"/>
                <w:kern w:val="0"/>
                <w:sz w:val="24"/>
                <w:szCs w:val="24"/>
                <w:highlight w:val="none"/>
                <w:lang w:val="en-US" w:eastAsia="zh-CN" w:bidi="ar"/>
              </w:rPr>
              <w:t>.</w:t>
            </w:r>
            <w:r>
              <w:rPr>
                <w:rFonts w:hint="eastAsia" w:ascii="Times New Roman" w:hAnsi="Times New Roman" w:cs="Times New Roman"/>
                <w:snapToGrid/>
                <w:color w:val="auto"/>
                <w:kern w:val="0"/>
                <w:sz w:val="24"/>
                <w:szCs w:val="24"/>
                <w:highlight w:val="none"/>
                <w:lang w:val="en-US" w:eastAsia="zh-CN" w:bidi="ar"/>
              </w:rPr>
              <w:t>3</w:t>
            </w:r>
          </w:p>
        </w:tc>
        <w:tc>
          <w:tcPr>
            <w:tcW w:w="2833"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柴发系统整体调试</w:t>
            </w:r>
          </w:p>
        </w:tc>
        <w:tc>
          <w:tcPr>
            <w:tcW w:w="4032"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p>
        </w:tc>
        <w:tc>
          <w:tcPr>
            <w:tcW w:w="707"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项</w:t>
            </w:r>
          </w:p>
        </w:tc>
        <w:tc>
          <w:tcPr>
            <w:tcW w:w="1392"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r>
              <w:rPr>
                <w:rFonts w:hint="default" w:ascii="Times New Roman" w:hAnsi="Times New Roman" w:eastAsia="宋体" w:cs="Times New Roman"/>
                <w:snapToGrid/>
                <w:color w:val="auto"/>
                <w:kern w:val="0"/>
                <w:sz w:val="24"/>
                <w:szCs w:val="24"/>
                <w:highlight w:val="none"/>
                <w:lang w:val="en-US" w:eastAsia="zh-CN" w:bidi="ar"/>
              </w:rPr>
              <w:t>1</w:t>
            </w:r>
          </w:p>
        </w:tc>
        <w:tc>
          <w:tcPr>
            <w:tcW w:w="2617" w:type="dxa"/>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pPr>
              <w:pStyle w:val="19"/>
              <w:keepNext w:val="0"/>
              <w:keepLines w:val="0"/>
              <w:widowControl w:val="0"/>
              <w:suppressLineNumbers w:val="0"/>
              <w:adjustRightInd w:val="0"/>
              <w:snapToGrid w:val="0"/>
              <w:spacing w:before="0" w:beforeAutospacing="0" w:after="0" w:afterAutospacing="0" w:line="400" w:lineRule="exact"/>
              <w:ind w:left="0" w:leftChars="0" w:right="0" w:rightChars="0"/>
              <w:jc w:val="center"/>
              <w:rPr>
                <w:rFonts w:hint="default" w:ascii="Times New Roman" w:hAnsi="Times New Roman" w:eastAsia="等线" w:cs="Times New Roman"/>
                <w:i w:val="0"/>
                <w:color w:val="auto"/>
                <w:sz w:val="24"/>
                <w:szCs w:val="24"/>
                <w:u w:val="none"/>
              </w:rPr>
            </w:pPr>
          </w:p>
        </w:tc>
      </w:tr>
      <w:bookmarkEnd w:id="6"/>
      <w:bookmarkEnd w:id="7"/>
      <w:bookmarkEnd w:id="8"/>
      <w:bookmarkEnd w:id="9"/>
    </w:tbl>
    <w:p>
      <w:pPr>
        <w:rPr>
          <w:rFonts w:hint="eastAsia" w:ascii="仿宋" w:hAnsi="仿宋" w:eastAsia="仿宋" w:cs="仿宋"/>
          <w:color w:val="auto"/>
          <w:highlight w:val="none"/>
        </w:rPr>
      </w:pPr>
    </w:p>
    <w:sectPr>
      <w:pgSz w:w="16838" w:h="11906" w:orient="landscape"/>
      <w:pgMar w:top="1800" w:right="1440" w:bottom="1800" w:left="1440" w:header="851" w:footer="992"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黑体;SimHei">
    <w:altName w:val="黑体"/>
    <w:panose1 w:val="00000000000000000000"/>
    <w:charset w:val="86"/>
    <w:family w:val="roman"/>
    <w:pitch w:val="default"/>
    <w:sig w:usb0="00000000" w:usb1="00000000" w:usb2="00000000" w:usb3="00000000" w:csb0="00000000" w:csb1="00000000"/>
  </w:font>
  <w:font w:name="Arial (W1)">
    <w:altName w:val="Arial"/>
    <w:panose1 w:val="00000000000000000000"/>
    <w:charset w:val="00"/>
    <w:family w:val="swiss"/>
    <w:pitch w:val="default"/>
    <w:sig w:usb0="00000000" w:usb1="00000000" w:usb2="00000008" w:usb3="00000000" w:csb0="000001FF" w:csb1="0000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Times">
    <w:altName w:val="Times New Roman"/>
    <w:panose1 w:val="02020603050405020304"/>
    <w:charset w:val="00"/>
    <w:family w:val="roman"/>
    <w:pitch w:val="default"/>
    <w:sig w:usb0="00000000" w:usb1="00000000" w:usb2="00000009" w:usb3="00000000" w:csb0="000001FF" w:csb1="00000000"/>
  </w:font>
  <w:font w:name="华文细黑">
    <w:altName w:val="微软雅黑"/>
    <w:panose1 w:val="02010600040101010101"/>
    <w:charset w:val="86"/>
    <w:family w:val="auto"/>
    <w:pitch w:val="default"/>
    <w:sig w:usb0="00000000" w:usb1="00000000" w:usb2="00000000" w:usb3="00000000" w:csb0="0004009F" w:csb1="DFD70000"/>
  </w:font>
  <w:font w:name="Noto Sans CJK JP Regular">
    <w:altName w:val="Segoe Print"/>
    <w:panose1 w:val="00000000000000000000"/>
    <w:charset w:val="00"/>
    <w:family w:val="auto"/>
    <w:pitch w:val="default"/>
    <w:sig w:usb0="00000000" w:usb1="00000000" w:usb2="00000000" w:usb3="00000000" w:csb0="00000001" w:csb1="00000000"/>
  </w:font>
  <w:font w:name="宋体;SimSun">
    <w:altName w:val="宋体"/>
    <w:panose1 w:val="00000000000000000000"/>
    <w:charset w:val="86"/>
    <w:family w:val="roman"/>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Segoe Print">
    <w:panose1 w:val="02000600000000000000"/>
    <w:charset w:val="00"/>
    <w:family w:val="auto"/>
    <w:pitch w:val="default"/>
    <w:sig w:usb0="0000028F" w:usb1="00000000" w:usb2="00000000" w:usb3="00000000" w:csb0="2000009F" w:csb1="47010000"/>
  </w:font>
  <w:font w:name="华文中宋">
    <w:altName w:val="宋体"/>
    <w:panose1 w:val="02010600040101010101"/>
    <w:charset w:val="86"/>
    <w:family w:val="auto"/>
    <w:pitch w:val="default"/>
    <w:sig w:usb0="00000000" w:usb1="0000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Cambria Math">
    <w:panose1 w:val="02040503050406030204"/>
    <w:charset w:val="00"/>
    <w:family w:val="auto"/>
    <w:pitch w:val="default"/>
    <w:sig w:usb0="E00006FF" w:usb1="420024FF" w:usb2="02000000" w:usb3="00000000" w:csb0="2000019F"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167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4ufaQ4AgAAc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bi59pDgCAABxBAAADgAAAAAAAAABACAAAAAfAQAAZHJzL2Uyb0RvYy54&#10;bWxQSwUGAAAAAAYABgBZAQAAyQU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167</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4" w:lineRule="auto"/>
      <w:ind w:left="454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312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312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8" w:line="220" w:lineRule="auto"/>
      <w:ind w:left="106"/>
      <w:rPr>
        <w:rFonts w:ascii="Times New Roman" w:hAnsi="Times New Roman" w:eastAsia="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615A34"/>
    <w:multiLevelType w:val="singleLevel"/>
    <w:tmpl w:val="8E615A34"/>
    <w:lvl w:ilvl="0" w:tentative="0">
      <w:start w:val="1"/>
      <w:numFmt w:val="decimalEnclosedCircleChinese"/>
      <w:suff w:val="nothing"/>
      <w:lvlText w:val="%1　"/>
      <w:lvlJc w:val="left"/>
      <w:pPr>
        <w:ind w:left="0" w:firstLine="400"/>
      </w:pPr>
      <w:rPr>
        <w:rFonts w:hint="eastAsia"/>
      </w:rPr>
    </w:lvl>
  </w:abstractNum>
  <w:abstractNum w:abstractNumId="1">
    <w:nsid w:val="AEE6CA93"/>
    <w:multiLevelType w:val="singleLevel"/>
    <w:tmpl w:val="AEE6CA93"/>
    <w:lvl w:ilvl="0" w:tentative="0">
      <w:start w:val="1"/>
      <w:numFmt w:val="decimal"/>
      <w:suff w:val="nothing"/>
      <w:lvlText w:val="%1、"/>
      <w:lvlJc w:val="left"/>
    </w:lvl>
  </w:abstractNum>
  <w:abstractNum w:abstractNumId="2">
    <w:nsid w:val="C6E2AFBA"/>
    <w:multiLevelType w:val="singleLevel"/>
    <w:tmpl w:val="C6E2AFBA"/>
    <w:lvl w:ilvl="0" w:tentative="0">
      <w:start w:val="1"/>
      <w:numFmt w:val="decimal"/>
      <w:lvlText w:val="%1)"/>
      <w:lvlJc w:val="left"/>
      <w:pPr>
        <w:ind w:left="425" w:hanging="425"/>
      </w:pPr>
      <w:rPr>
        <w:rFonts w:hint="default"/>
      </w:rPr>
    </w:lvl>
  </w:abstractNum>
  <w:abstractNum w:abstractNumId="3">
    <w:nsid w:val="E57E8B75"/>
    <w:multiLevelType w:val="singleLevel"/>
    <w:tmpl w:val="E57E8B75"/>
    <w:lvl w:ilvl="0" w:tentative="0">
      <w:start w:val="1"/>
      <w:numFmt w:val="decimalEnclosedCircleChinese"/>
      <w:suff w:val="nothing"/>
      <w:lvlText w:val="%1　"/>
      <w:lvlJc w:val="left"/>
      <w:pPr>
        <w:ind w:left="0" w:firstLine="400"/>
      </w:pPr>
      <w:rPr>
        <w:rFonts w:hint="eastAsia"/>
      </w:rPr>
    </w:lvl>
  </w:abstractNum>
  <w:abstractNum w:abstractNumId="4">
    <w:nsid w:val="F10E6DDD"/>
    <w:multiLevelType w:val="singleLevel"/>
    <w:tmpl w:val="F10E6DDD"/>
    <w:lvl w:ilvl="0" w:tentative="0">
      <w:start w:val="1"/>
      <w:numFmt w:val="decimal"/>
      <w:lvlText w:val="%1)"/>
      <w:lvlJc w:val="left"/>
      <w:pPr>
        <w:ind w:left="425" w:hanging="425"/>
      </w:pPr>
      <w:rPr>
        <w:rFonts w:hint="default"/>
      </w:rPr>
    </w:lvl>
  </w:abstractNum>
  <w:abstractNum w:abstractNumId="5">
    <w:nsid w:val="FFCC57B2"/>
    <w:multiLevelType w:val="singleLevel"/>
    <w:tmpl w:val="FFCC57B2"/>
    <w:lvl w:ilvl="0" w:tentative="0">
      <w:start w:val="1"/>
      <w:numFmt w:val="decimal"/>
      <w:suff w:val="nothing"/>
      <w:lvlText w:val="（%1）"/>
      <w:lvlJc w:val="left"/>
    </w:lvl>
  </w:abstractNum>
  <w:abstractNum w:abstractNumId="6">
    <w:nsid w:val="1180F872"/>
    <w:multiLevelType w:val="singleLevel"/>
    <w:tmpl w:val="1180F872"/>
    <w:lvl w:ilvl="0" w:tentative="0">
      <w:start w:val="1"/>
      <w:numFmt w:val="decimalEnclosedCircleChinese"/>
      <w:suff w:val="nothing"/>
      <w:lvlText w:val="%1　"/>
      <w:lvlJc w:val="left"/>
      <w:pPr>
        <w:ind w:left="0" w:firstLine="400"/>
      </w:pPr>
      <w:rPr>
        <w:rFonts w:hint="eastAsia"/>
      </w:rPr>
    </w:lvl>
  </w:abstractNum>
  <w:abstractNum w:abstractNumId="7">
    <w:nsid w:val="194F015D"/>
    <w:multiLevelType w:val="singleLevel"/>
    <w:tmpl w:val="194F015D"/>
    <w:lvl w:ilvl="0" w:tentative="0">
      <w:start w:val="1"/>
      <w:numFmt w:val="decimal"/>
      <w:lvlText w:val="%1)"/>
      <w:lvlJc w:val="left"/>
      <w:pPr>
        <w:ind w:left="425" w:hanging="425"/>
      </w:pPr>
      <w:rPr>
        <w:rFonts w:hint="default"/>
      </w:rPr>
    </w:lvl>
  </w:abstractNum>
  <w:abstractNum w:abstractNumId="8">
    <w:nsid w:val="29B05D82"/>
    <w:multiLevelType w:val="singleLevel"/>
    <w:tmpl w:val="29B05D82"/>
    <w:lvl w:ilvl="0" w:tentative="0">
      <w:start w:val="1"/>
      <w:numFmt w:val="decimal"/>
      <w:pStyle w:val="39"/>
      <w:suff w:val="nothing"/>
      <w:lvlText w:val="%1、"/>
      <w:lvlJc w:val="left"/>
    </w:lvl>
  </w:abstractNum>
  <w:abstractNum w:abstractNumId="9">
    <w:nsid w:val="30BB3126"/>
    <w:multiLevelType w:val="multilevel"/>
    <w:tmpl w:val="30BB3126"/>
    <w:lvl w:ilvl="0" w:tentative="0">
      <w:start w:val="2"/>
      <w:numFmt w:val="upperLetter"/>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0">
    <w:nsid w:val="321EC141"/>
    <w:multiLevelType w:val="singleLevel"/>
    <w:tmpl w:val="321EC141"/>
    <w:lvl w:ilvl="0" w:tentative="0">
      <w:start w:val="1"/>
      <w:numFmt w:val="decimal"/>
      <w:lvlText w:val="%1)"/>
      <w:lvlJc w:val="left"/>
      <w:pPr>
        <w:ind w:left="425" w:hanging="425"/>
      </w:pPr>
      <w:rPr>
        <w:rFonts w:hint="default"/>
      </w:rPr>
    </w:lvl>
  </w:abstractNum>
  <w:abstractNum w:abstractNumId="11">
    <w:nsid w:val="35FC7D89"/>
    <w:multiLevelType w:val="singleLevel"/>
    <w:tmpl w:val="35FC7D89"/>
    <w:lvl w:ilvl="0" w:tentative="0">
      <w:start w:val="1"/>
      <w:numFmt w:val="decimalEnclosedCircleChinese"/>
      <w:suff w:val="nothing"/>
      <w:lvlText w:val="%1　"/>
      <w:lvlJc w:val="left"/>
      <w:pPr>
        <w:ind w:left="0" w:firstLine="400"/>
      </w:pPr>
      <w:rPr>
        <w:rFonts w:hint="eastAsia"/>
      </w:rPr>
    </w:lvl>
  </w:abstractNum>
  <w:abstractNum w:abstractNumId="12">
    <w:nsid w:val="3CFFDAF6"/>
    <w:multiLevelType w:val="singleLevel"/>
    <w:tmpl w:val="3CFFDAF6"/>
    <w:lvl w:ilvl="0" w:tentative="0">
      <w:start w:val="1"/>
      <w:numFmt w:val="decimal"/>
      <w:pStyle w:val="47"/>
      <w:suff w:val="space"/>
      <w:lvlText w:val="%1."/>
      <w:lvlJc w:val="left"/>
    </w:lvl>
  </w:abstractNum>
  <w:abstractNum w:abstractNumId="13">
    <w:nsid w:val="444A5904"/>
    <w:multiLevelType w:val="singleLevel"/>
    <w:tmpl w:val="444A5904"/>
    <w:lvl w:ilvl="0" w:tentative="0">
      <w:start w:val="1"/>
      <w:numFmt w:val="decimalEnclosedCircleChinese"/>
      <w:suff w:val="nothing"/>
      <w:lvlText w:val="%1　"/>
      <w:lvlJc w:val="left"/>
      <w:pPr>
        <w:ind w:left="0" w:firstLine="400"/>
      </w:pPr>
      <w:rPr>
        <w:rFonts w:hint="eastAsia"/>
      </w:rPr>
    </w:lvl>
  </w:abstractNum>
  <w:abstractNum w:abstractNumId="14">
    <w:nsid w:val="59B43DCB"/>
    <w:multiLevelType w:val="multilevel"/>
    <w:tmpl w:val="59B43DCB"/>
    <w:lvl w:ilvl="0" w:tentative="0">
      <w:start w:val="1"/>
      <w:numFmt w:val="decimal"/>
      <w:lvlText w:val="%1"/>
      <w:lvlJc w:val="left"/>
      <w:pPr>
        <w:tabs>
          <w:tab w:val="left" w:pos="432"/>
        </w:tabs>
        <w:ind w:firstLine="510"/>
      </w:pPr>
      <w:rPr>
        <w:rFonts w:hint="eastAsia"/>
        <w:b/>
        <w:bCs/>
        <w:sz w:val="44"/>
        <w:szCs w:val="44"/>
      </w:rPr>
    </w:lvl>
    <w:lvl w:ilvl="1" w:tentative="0">
      <w:start w:val="1"/>
      <w:numFmt w:val="decimal"/>
      <w:lvlText w:val="%1.%2"/>
      <w:lvlJc w:val="left"/>
      <w:pPr>
        <w:tabs>
          <w:tab w:val="left" w:pos="510"/>
        </w:tabs>
        <w:ind w:firstLine="510"/>
      </w:pPr>
      <w:rPr>
        <w:rFonts w:hint="eastAsia"/>
        <w:b/>
        <w:bCs/>
        <w:sz w:val="32"/>
        <w:szCs w:val="32"/>
      </w:rPr>
    </w:lvl>
    <w:lvl w:ilvl="2" w:tentative="0">
      <w:start w:val="1"/>
      <w:numFmt w:val="decimal"/>
      <w:lvlText w:val="%1.%2.%3"/>
      <w:lvlJc w:val="left"/>
      <w:pPr>
        <w:tabs>
          <w:tab w:val="left" w:pos="510"/>
        </w:tabs>
        <w:ind w:firstLine="510"/>
      </w:pPr>
      <w:rPr>
        <w:rFonts w:hint="eastAsia"/>
        <w:b/>
        <w:bCs/>
        <w:sz w:val="28"/>
        <w:szCs w:val="28"/>
      </w:rPr>
    </w:lvl>
    <w:lvl w:ilvl="3" w:tentative="0">
      <w:start w:val="1"/>
      <w:numFmt w:val="decimal"/>
      <w:lvlText w:val="%1.%2.%3.%4"/>
      <w:lvlJc w:val="left"/>
      <w:pPr>
        <w:tabs>
          <w:tab w:val="left" w:pos="510"/>
        </w:tabs>
        <w:ind w:firstLine="510"/>
      </w:pPr>
      <w:rPr>
        <w:rFonts w:hint="eastAsia"/>
      </w:rPr>
    </w:lvl>
    <w:lvl w:ilvl="4" w:tentative="0">
      <w:start w:val="1"/>
      <w:numFmt w:val="decimal"/>
      <w:pStyle w:val="30"/>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5">
    <w:nsid w:val="5F817480"/>
    <w:multiLevelType w:val="singleLevel"/>
    <w:tmpl w:val="5F817480"/>
    <w:lvl w:ilvl="0" w:tentative="0">
      <w:start w:val="4"/>
      <w:numFmt w:val="decimal"/>
      <w:suff w:val="nothing"/>
      <w:lvlText w:val="%1."/>
      <w:lvlJc w:val="left"/>
    </w:lvl>
  </w:abstractNum>
  <w:abstractNum w:abstractNumId="16">
    <w:nsid w:val="61152908"/>
    <w:multiLevelType w:val="singleLevel"/>
    <w:tmpl w:val="61152908"/>
    <w:lvl w:ilvl="0" w:tentative="0">
      <w:start w:val="1"/>
      <w:numFmt w:val="decimalEnclosedCircleChinese"/>
      <w:suff w:val="nothing"/>
      <w:lvlText w:val="%1　"/>
      <w:lvlJc w:val="left"/>
      <w:pPr>
        <w:ind w:left="0" w:firstLine="400"/>
      </w:pPr>
      <w:rPr>
        <w:rFonts w:hint="eastAsia"/>
      </w:rPr>
    </w:lvl>
  </w:abstractNum>
  <w:abstractNum w:abstractNumId="17">
    <w:nsid w:val="6215F9D7"/>
    <w:multiLevelType w:val="singleLevel"/>
    <w:tmpl w:val="6215F9D7"/>
    <w:lvl w:ilvl="0" w:tentative="0">
      <w:start w:val="1"/>
      <w:numFmt w:val="decimal"/>
      <w:lvlText w:val="%1)"/>
      <w:lvlJc w:val="left"/>
      <w:pPr>
        <w:ind w:left="425" w:hanging="425"/>
      </w:pPr>
      <w:rPr>
        <w:rFonts w:hint="default"/>
        <w:sz w:val="21"/>
        <w:szCs w:val="21"/>
      </w:rPr>
    </w:lvl>
  </w:abstractNum>
  <w:abstractNum w:abstractNumId="18">
    <w:nsid w:val="7112120B"/>
    <w:multiLevelType w:val="multilevel"/>
    <w:tmpl w:val="7112120B"/>
    <w:lvl w:ilvl="0" w:tentative="0">
      <w:start w:val="1"/>
      <w:numFmt w:val="decimal"/>
      <w:lvlText w:val="%1."/>
      <w:lvlJc w:val="left"/>
      <w:pPr>
        <w:ind w:left="420" w:hanging="420"/>
      </w:p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9">
    <w:nsid w:val="7BDF2B75"/>
    <w:multiLevelType w:val="singleLevel"/>
    <w:tmpl w:val="7BDF2B75"/>
    <w:lvl w:ilvl="0" w:tentative="0">
      <w:start w:val="1"/>
      <w:numFmt w:val="decimal"/>
      <w:lvlText w:val="%1)"/>
      <w:lvlJc w:val="left"/>
      <w:pPr>
        <w:ind w:left="425" w:hanging="425"/>
      </w:pPr>
      <w:rPr>
        <w:rFonts w:hint="default"/>
        <w:sz w:val="21"/>
        <w:szCs w:val="21"/>
      </w:rPr>
    </w:lvl>
  </w:abstractNum>
  <w:num w:numId="1">
    <w:abstractNumId w:val="14"/>
  </w:num>
  <w:num w:numId="2">
    <w:abstractNumId w:val="8"/>
  </w:num>
  <w:num w:numId="3">
    <w:abstractNumId w:val="15"/>
  </w:num>
  <w:num w:numId="4">
    <w:abstractNumId w:val="5"/>
  </w:num>
  <w:num w:numId="5">
    <w:abstractNumId w:val="12"/>
  </w:num>
  <w:num w:numId="6">
    <w:abstractNumId w:val="19"/>
  </w:num>
  <w:num w:numId="7">
    <w:abstractNumId w:val="3"/>
  </w:num>
  <w:num w:numId="8">
    <w:abstractNumId w:val="4"/>
  </w:num>
  <w:num w:numId="9">
    <w:abstractNumId w:val="2"/>
  </w:num>
  <w:num w:numId="10">
    <w:abstractNumId w:val="16"/>
  </w:num>
  <w:num w:numId="11">
    <w:abstractNumId w:val="11"/>
  </w:num>
  <w:num w:numId="12">
    <w:abstractNumId w:val="17"/>
  </w:num>
  <w:num w:numId="13">
    <w:abstractNumId w:val="10"/>
  </w:num>
  <w:num w:numId="14">
    <w:abstractNumId w:val="0"/>
  </w:num>
  <w:num w:numId="15">
    <w:abstractNumId w:val="7"/>
  </w:num>
  <w:num w:numId="16">
    <w:abstractNumId w:val="6"/>
  </w:num>
  <w:num w:numId="17">
    <w:abstractNumId w:val="13"/>
  </w:num>
  <w:num w:numId="18">
    <w:abstractNumId w:val="1"/>
  </w:num>
  <w:num w:numId="19">
    <w:abstractNumId w:val="18"/>
  </w:num>
  <w:num w:numId="20">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6DD0BB1"/>
    <w:rsid w:val="00BF0E19"/>
    <w:rsid w:val="00CE72AE"/>
    <w:rsid w:val="01A85250"/>
    <w:rsid w:val="03C41513"/>
    <w:rsid w:val="042752EF"/>
    <w:rsid w:val="058C5022"/>
    <w:rsid w:val="064E7EBD"/>
    <w:rsid w:val="08537D2C"/>
    <w:rsid w:val="0890741D"/>
    <w:rsid w:val="08F178E5"/>
    <w:rsid w:val="090E293E"/>
    <w:rsid w:val="09575B61"/>
    <w:rsid w:val="0ACC17AC"/>
    <w:rsid w:val="0BBB4E83"/>
    <w:rsid w:val="0C383B6D"/>
    <w:rsid w:val="0C4F3999"/>
    <w:rsid w:val="0CED1B1C"/>
    <w:rsid w:val="0DD759F4"/>
    <w:rsid w:val="0EFF7422"/>
    <w:rsid w:val="0FDF6DE2"/>
    <w:rsid w:val="0FE465D5"/>
    <w:rsid w:val="108B0131"/>
    <w:rsid w:val="10B4201D"/>
    <w:rsid w:val="12C24768"/>
    <w:rsid w:val="14F50E56"/>
    <w:rsid w:val="14F60166"/>
    <w:rsid w:val="16CE1821"/>
    <w:rsid w:val="17C11A36"/>
    <w:rsid w:val="188B6F06"/>
    <w:rsid w:val="1BA710FC"/>
    <w:rsid w:val="1C0938FE"/>
    <w:rsid w:val="1D2A0873"/>
    <w:rsid w:val="1F6F0182"/>
    <w:rsid w:val="204F3B10"/>
    <w:rsid w:val="205E6558"/>
    <w:rsid w:val="20A453BF"/>
    <w:rsid w:val="22681537"/>
    <w:rsid w:val="22ED1EAC"/>
    <w:rsid w:val="2350346B"/>
    <w:rsid w:val="235B59DD"/>
    <w:rsid w:val="243A0633"/>
    <w:rsid w:val="24D26ABE"/>
    <w:rsid w:val="24D62669"/>
    <w:rsid w:val="25DD065B"/>
    <w:rsid w:val="282024B6"/>
    <w:rsid w:val="289E3886"/>
    <w:rsid w:val="2CDA29B3"/>
    <w:rsid w:val="2D214E0A"/>
    <w:rsid w:val="2E0C4DEE"/>
    <w:rsid w:val="2FE63FF6"/>
    <w:rsid w:val="3081665F"/>
    <w:rsid w:val="308B46F0"/>
    <w:rsid w:val="31093867"/>
    <w:rsid w:val="313A3229"/>
    <w:rsid w:val="32DA370D"/>
    <w:rsid w:val="33FB7DDF"/>
    <w:rsid w:val="34BF2BBB"/>
    <w:rsid w:val="35D02BA5"/>
    <w:rsid w:val="364B4005"/>
    <w:rsid w:val="36A65B31"/>
    <w:rsid w:val="38924E97"/>
    <w:rsid w:val="38D67AE9"/>
    <w:rsid w:val="39CD4381"/>
    <w:rsid w:val="3A123DFF"/>
    <w:rsid w:val="3AA65E47"/>
    <w:rsid w:val="3B023801"/>
    <w:rsid w:val="3B8561E0"/>
    <w:rsid w:val="3D6C7D85"/>
    <w:rsid w:val="3D842CF1"/>
    <w:rsid w:val="3E8A2015"/>
    <w:rsid w:val="3EBF114C"/>
    <w:rsid w:val="42CE4E8B"/>
    <w:rsid w:val="43D63A7D"/>
    <w:rsid w:val="44D77AAC"/>
    <w:rsid w:val="47DB78B4"/>
    <w:rsid w:val="4A075C10"/>
    <w:rsid w:val="4ACD6A16"/>
    <w:rsid w:val="4B166E55"/>
    <w:rsid w:val="4B683B54"/>
    <w:rsid w:val="4CA960F1"/>
    <w:rsid w:val="4F8B1163"/>
    <w:rsid w:val="51981FF4"/>
    <w:rsid w:val="5212760A"/>
    <w:rsid w:val="52193C6A"/>
    <w:rsid w:val="52E2243E"/>
    <w:rsid w:val="53312A7E"/>
    <w:rsid w:val="53EE4E13"/>
    <w:rsid w:val="54520EFE"/>
    <w:rsid w:val="58A92390"/>
    <w:rsid w:val="593F00D1"/>
    <w:rsid w:val="5C2F7D76"/>
    <w:rsid w:val="5CF637D8"/>
    <w:rsid w:val="5DD12FD7"/>
    <w:rsid w:val="5DF46540"/>
    <w:rsid w:val="5EDB5F93"/>
    <w:rsid w:val="5EE94CC5"/>
    <w:rsid w:val="5F7B45AA"/>
    <w:rsid w:val="6068187F"/>
    <w:rsid w:val="61253A01"/>
    <w:rsid w:val="62D31A04"/>
    <w:rsid w:val="64041AE8"/>
    <w:rsid w:val="64D63239"/>
    <w:rsid w:val="66783F59"/>
    <w:rsid w:val="669058B5"/>
    <w:rsid w:val="66AE57C5"/>
    <w:rsid w:val="66DD0BB1"/>
    <w:rsid w:val="681C583C"/>
    <w:rsid w:val="694E373D"/>
    <w:rsid w:val="69E74515"/>
    <w:rsid w:val="6BAE4605"/>
    <w:rsid w:val="6DA57E98"/>
    <w:rsid w:val="6F77E9D7"/>
    <w:rsid w:val="6FFE125A"/>
    <w:rsid w:val="710C022E"/>
    <w:rsid w:val="715A71EC"/>
    <w:rsid w:val="73D43285"/>
    <w:rsid w:val="73FC4259"/>
    <w:rsid w:val="748702F8"/>
    <w:rsid w:val="768A3C8B"/>
    <w:rsid w:val="76EB5DC9"/>
    <w:rsid w:val="7855070D"/>
    <w:rsid w:val="7872538E"/>
    <w:rsid w:val="78C11252"/>
    <w:rsid w:val="7908320E"/>
    <w:rsid w:val="7A972D4B"/>
    <w:rsid w:val="7B7FAE81"/>
    <w:rsid w:val="7C372792"/>
    <w:rsid w:val="7C5A2796"/>
    <w:rsid w:val="7C653614"/>
    <w:rsid w:val="7C8D70BD"/>
    <w:rsid w:val="7CFE028F"/>
    <w:rsid w:val="7DE60785"/>
    <w:rsid w:val="7ECD724F"/>
    <w:rsid w:val="B6FB14FF"/>
    <w:rsid w:val="BFFC0624"/>
    <w:rsid w:val="EF7D7883"/>
    <w:rsid w:val="FBDF6099"/>
    <w:rsid w:val="FFEF179C"/>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qFormat="1" w:unhideWhenUsed="0" w:uiPriority="99"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paragraph" w:styleId="2">
    <w:name w:val="heading 1"/>
    <w:basedOn w:val="1"/>
    <w:next w:val="1"/>
    <w:qFormat/>
    <w:uiPriority w:val="99"/>
    <w:pPr>
      <w:keepNext/>
      <w:keepLines/>
      <w:spacing w:before="340" w:after="330" w:line="576" w:lineRule="auto"/>
      <w:outlineLvl w:val="0"/>
    </w:pPr>
    <w:rPr>
      <w:b/>
      <w:bCs/>
      <w:kern w:val="44"/>
      <w:sz w:val="44"/>
      <w:szCs w:val="44"/>
    </w:rPr>
  </w:style>
  <w:style w:type="paragraph" w:styleId="3">
    <w:name w:val="heading 2"/>
    <w:basedOn w:val="1"/>
    <w:next w:val="1"/>
    <w:qFormat/>
    <w:uiPriority w:val="99"/>
    <w:pPr>
      <w:keepNext/>
      <w:keepLines/>
      <w:spacing w:before="260" w:after="260" w:line="415" w:lineRule="auto"/>
      <w:outlineLvl w:val="1"/>
    </w:pPr>
    <w:rPr>
      <w:rFonts w:ascii="Arial" w:hAnsi="Arial" w:eastAsia="黑体" w:cs="Arial"/>
      <w:b/>
      <w:bCs/>
      <w:sz w:val="32"/>
      <w:szCs w:val="32"/>
    </w:rPr>
  </w:style>
  <w:style w:type="paragraph" w:styleId="4">
    <w:name w:val="heading 3"/>
    <w:basedOn w:val="1"/>
    <w:next w:val="1"/>
    <w:link w:val="31"/>
    <w:qFormat/>
    <w:uiPriority w:val="99"/>
    <w:pPr>
      <w:keepNext/>
      <w:keepLines/>
      <w:spacing w:before="120" w:after="120" w:line="360" w:lineRule="auto"/>
      <w:outlineLvl w:val="2"/>
    </w:pPr>
    <w:rPr>
      <w:rFonts w:ascii="宋体" w:hAnsi="宋体" w:cs="黑体"/>
      <w:b/>
      <w:sz w:val="28"/>
      <w:szCs w:val="28"/>
    </w:rPr>
  </w:style>
  <w:style w:type="paragraph" w:styleId="5">
    <w:name w:val="heading 4"/>
    <w:basedOn w:val="4"/>
    <w:next w:val="1"/>
    <w:qFormat/>
    <w:uiPriority w:val="99"/>
    <w:pPr>
      <w:keepNext/>
      <w:keepLines/>
      <w:spacing w:before="120" w:after="120" w:line="360" w:lineRule="auto"/>
      <w:jc w:val="left"/>
      <w:outlineLvl w:val="3"/>
    </w:pPr>
    <w:rPr>
      <w:rFonts w:ascii="Arial" w:hAnsi="Arial" w:cs="Arial"/>
      <w:bCs/>
      <w:sz w:val="24"/>
      <w:szCs w:val="28"/>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6">
    <w:name w:val="Normal Indent"/>
    <w:basedOn w:val="1"/>
    <w:qFormat/>
    <w:uiPriority w:val="99"/>
    <w:pPr>
      <w:ind w:firstLine="420" w:firstLineChars="200"/>
    </w:pPr>
  </w:style>
  <w:style w:type="paragraph" w:styleId="7">
    <w:name w:val="caption"/>
    <w:basedOn w:val="1"/>
    <w:next w:val="1"/>
    <w:qFormat/>
    <w:uiPriority w:val="0"/>
    <w:rPr>
      <w:rFonts w:ascii="等线 Light" w:hAnsi="等线 Light" w:eastAsia="黑体;SimHei"/>
      <w:sz w:val="20"/>
    </w:rPr>
  </w:style>
  <w:style w:type="paragraph" w:styleId="8">
    <w:name w:val="annotation text"/>
    <w:basedOn w:val="1"/>
    <w:qFormat/>
    <w:uiPriority w:val="99"/>
    <w:pPr>
      <w:jc w:val="left"/>
    </w:pPr>
  </w:style>
  <w:style w:type="paragraph" w:styleId="9">
    <w:name w:val="Body Text 3"/>
    <w:basedOn w:val="1"/>
    <w:qFormat/>
    <w:uiPriority w:val="99"/>
    <w:rPr>
      <w:rFonts w:ascii="宋体" w:cs="宋体"/>
      <w:sz w:val="24"/>
      <w:szCs w:val="24"/>
    </w:rPr>
  </w:style>
  <w:style w:type="paragraph" w:styleId="10">
    <w:name w:val="Body Text"/>
    <w:basedOn w:val="1"/>
    <w:qFormat/>
    <w:uiPriority w:val="99"/>
    <w:pPr>
      <w:spacing w:after="120"/>
    </w:pPr>
  </w:style>
  <w:style w:type="paragraph" w:styleId="11">
    <w:name w:val="Body Text Indent"/>
    <w:basedOn w:val="1"/>
    <w:qFormat/>
    <w:uiPriority w:val="99"/>
    <w:pPr>
      <w:spacing w:after="120"/>
      <w:ind w:left="420" w:leftChars="200"/>
    </w:pPr>
  </w:style>
  <w:style w:type="paragraph" w:styleId="12">
    <w:name w:val="toc 3"/>
    <w:basedOn w:val="1"/>
    <w:next w:val="1"/>
    <w:qFormat/>
    <w:uiPriority w:val="39"/>
    <w:pPr>
      <w:ind w:left="420"/>
      <w:jc w:val="left"/>
    </w:pPr>
    <w:rPr>
      <w:sz w:val="20"/>
      <w:szCs w:val="20"/>
    </w:rPr>
  </w:style>
  <w:style w:type="paragraph" w:styleId="13">
    <w:name w:val="Plain Text"/>
    <w:basedOn w:val="1"/>
    <w:qFormat/>
    <w:uiPriority w:val="99"/>
    <w:pPr>
      <w:adjustRightInd w:val="0"/>
      <w:spacing w:line="360" w:lineRule="atLeast"/>
      <w:textAlignment w:val="baseline"/>
    </w:pPr>
    <w:rPr>
      <w:rFonts w:ascii="宋体" w:cs="宋体"/>
    </w:rPr>
  </w:style>
  <w:style w:type="paragraph" w:styleId="14">
    <w:name w:val="Body Text Indent 2"/>
    <w:basedOn w:val="1"/>
    <w:qFormat/>
    <w:uiPriority w:val="0"/>
    <w:pPr>
      <w:ind w:firstLine="480"/>
    </w:pPr>
    <w:rPr>
      <w:sz w:val="24"/>
    </w:rPr>
  </w:style>
  <w:style w:type="paragraph" w:styleId="15">
    <w:name w:val="footer"/>
    <w:basedOn w:val="1"/>
    <w:qFormat/>
    <w:uiPriority w:val="99"/>
    <w:pPr>
      <w:tabs>
        <w:tab w:val="center" w:pos="4153"/>
        <w:tab w:val="right" w:pos="8306"/>
      </w:tabs>
      <w:snapToGrid w:val="0"/>
      <w:jc w:val="left"/>
    </w:pPr>
    <w:rPr>
      <w:sz w:val="18"/>
      <w:szCs w:val="18"/>
    </w:rPr>
  </w:style>
  <w:style w:type="paragraph" w:styleId="16">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17">
    <w:name w:val="toc 1"/>
    <w:basedOn w:val="1"/>
    <w:next w:val="1"/>
    <w:qFormat/>
    <w:uiPriority w:val="39"/>
    <w:pPr>
      <w:spacing w:before="120" w:after="120"/>
      <w:jc w:val="left"/>
    </w:pPr>
    <w:rPr>
      <w:b/>
      <w:bCs/>
      <w:caps/>
      <w:sz w:val="20"/>
      <w:szCs w:val="20"/>
    </w:rPr>
  </w:style>
  <w:style w:type="paragraph" w:styleId="18">
    <w:name w:val="toc 2"/>
    <w:basedOn w:val="1"/>
    <w:next w:val="1"/>
    <w:qFormat/>
    <w:uiPriority w:val="39"/>
    <w:pPr>
      <w:ind w:left="210"/>
      <w:jc w:val="left"/>
    </w:pPr>
    <w:rPr>
      <w:smallCaps/>
      <w:sz w:val="20"/>
      <w:szCs w:val="20"/>
    </w:rPr>
  </w:style>
  <w:style w:type="paragraph" w:styleId="19">
    <w:name w:val="Normal (Web)"/>
    <w:basedOn w:val="1"/>
    <w:qFormat/>
    <w:uiPriority w:val="99"/>
    <w:pPr>
      <w:spacing w:beforeAutospacing="1" w:afterAutospacing="1"/>
      <w:jc w:val="left"/>
    </w:pPr>
    <w:rPr>
      <w:kern w:val="0"/>
      <w:sz w:val="24"/>
      <w:szCs w:val="24"/>
    </w:rPr>
  </w:style>
  <w:style w:type="paragraph" w:styleId="20">
    <w:name w:val="Body Text First Indent"/>
    <w:basedOn w:val="10"/>
    <w:next w:val="1"/>
    <w:qFormat/>
    <w:uiPriority w:val="99"/>
    <w:pPr>
      <w:spacing w:line="312" w:lineRule="auto"/>
      <w:ind w:firstLine="420"/>
    </w:pPr>
  </w:style>
  <w:style w:type="paragraph" w:styleId="21">
    <w:name w:val="Body Text First Indent 2"/>
    <w:basedOn w:val="11"/>
    <w:qFormat/>
    <w:uiPriority w:val="99"/>
    <w:pPr>
      <w:ind w:firstLine="420" w:firstLineChars="200"/>
    </w:pPr>
  </w:style>
  <w:style w:type="table" w:styleId="23">
    <w:name w:val="Table Grid"/>
    <w:basedOn w:val="22"/>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character" w:styleId="25">
    <w:name w:val="Hyperlink"/>
    <w:basedOn w:val="24"/>
    <w:qFormat/>
    <w:uiPriority w:val="99"/>
    <w:rPr>
      <w:color w:val="0000FF"/>
      <w:u w:val="single"/>
    </w:rPr>
  </w:style>
  <w:style w:type="character" w:styleId="26">
    <w:name w:val="annotation reference"/>
    <w:qFormat/>
    <w:uiPriority w:val="99"/>
    <w:rPr>
      <w:sz w:val="21"/>
      <w:szCs w:val="21"/>
    </w:rPr>
  </w:style>
  <w:style w:type="paragraph" w:customStyle="1" w:styleId="27">
    <w:name w:val="RFI Heading 2nd Level Char"/>
    <w:next w:val="1"/>
    <w:qFormat/>
    <w:uiPriority w:val="0"/>
    <w:pPr>
      <w:spacing w:before="240" w:after="240"/>
      <w:ind w:left="1152" w:hanging="1152"/>
      <w:jc w:val="both"/>
      <w:outlineLvl w:val="1"/>
    </w:pPr>
    <w:rPr>
      <w:rFonts w:ascii="Arial (W1)" w:hAnsi="Times New Roman" w:eastAsia="Times New Roman" w:cs="Times New Roman"/>
      <w:b/>
      <w:color w:val="3366FF"/>
      <w:sz w:val="24"/>
      <w:lang w:val="en-US" w:eastAsia="zh-CN" w:bidi="ar-SA"/>
    </w:rPr>
  </w:style>
  <w:style w:type="paragraph" w:customStyle="1" w:styleId="28">
    <w:name w:val="Default"/>
    <w:qFormat/>
    <w:uiPriority w:val="99"/>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29">
    <w:name w:val="正文缩进1"/>
    <w:basedOn w:val="1"/>
    <w:qFormat/>
    <w:uiPriority w:val="99"/>
    <w:pPr>
      <w:ind w:firstLine="420"/>
    </w:pPr>
  </w:style>
  <w:style w:type="paragraph" w:customStyle="1" w:styleId="30">
    <w:name w:val="样式 正文缩进正文（首行缩进两字）特点ALT+Z表正文正文非缩进四号段1Normal Indent Char2...4"/>
    <w:basedOn w:val="11"/>
    <w:qFormat/>
    <w:uiPriority w:val="99"/>
    <w:pPr>
      <w:widowControl/>
      <w:numPr>
        <w:ilvl w:val="4"/>
        <w:numId w:val="1"/>
      </w:numPr>
      <w:tabs>
        <w:tab w:val="left" w:pos="0"/>
        <w:tab w:val="left" w:pos="432"/>
      </w:tabs>
      <w:spacing w:after="0" w:line="300" w:lineRule="auto"/>
      <w:ind w:left="0" w:leftChars="0"/>
    </w:pPr>
    <w:rPr>
      <w:rFonts w:ascii="宋体" w:cs="宋体"/>
      <w:color w:val="000000"/>
      <w:kern w:val="0"/>
      <w:sz w:val="24"/>
      <w:szCs w:val="24"/>
    </w:rPr>
  </w:style>
  <w:style w:type="character" w:customStyle="1" w:styleId="31">
    <w:name w:val="标题 3 字符"/>
    <w:link w:val="4"/>
    <w:qFormat/>
    <w:locked/>
    <w:uiPriority w:val="99"/>
    <w:rPr>
      <w:rFonts w:ascii="宋体" w:hAnsi="宋体" w:cs="黑体"/>
      <w:b/>
      <w:sz w:val="28"/>
      <w:szCs w:val="28"/>
    </w:rPr>
  </w:style>
  <w:style w:type="paragraph" w:customStyle="1" w:styleId="32">
    <w:name w:val="CM99"/>
    <w:basedOn w:val="28"/>
    <w:next w:val="28"/>
    <w:qFormat/>
    <w:uiPriority w:val="99"/>
    <w:pPr>
      <w:spacing w:after="443"/>
    </w:pPr>
    <w:rPr>
      <w:color w:val="auto"/>
    </w:rPr>
  </w:style>
  <w:style w:type="paragraph" w:customStyle="1" w:styleId="33">
    <w:name w:val="CM91"/>
    <w:basedOn w:val="28"/>
    <w:next w:val="28"/>
    <w:qFormat/>
    <w:uiPriority w:val="99"/>
    <w:pPr>
      <w:spacing w:after="160"/>
    </w:pPr>
    <w:rPr>
      <w:color w:val="auto"/>
    </w:rPr>
  </w:style>
  <w:style w:type="paragraph" w:customStyle="1" w:styleId="34">
    <w:name w:val="CM98"/>
    <w:basedOn w:val="28"/>
    <w:next w:val="28"/>
    <w:qFormat/>
    <w:uiPriority w:val="99"/>
    <w:pPr>
      <w:spacing w:after="570"/>
    </w:pPr>
    <w:rPr>
      <w:color w:val="auto"/>
    </w:rPr>
  </w:style>
  <w:style w:type="paragraph" w:customStyle="1" w:styleId="35">
    <w:name w:val="CM93"/>
    <w:basedOn w:val="28"/>
    <w:next w:val="28"/>
    <w:qFormat/>
    <w:uiPriority w:val="99"/>
    <w:pPr>
      <w:spacing w:after="628"/>
    </w:pPr>
    <w:rPr>
      <w:color w:val="auto"/>
    </w:rPr>
  </w:style>
  <w:style w:type="paragraph" w:customStyle="1" w:styleId="36">
    <w:name w:val="Table Text"/>
    <w:basedOn w:val="1"/>
    <w:semiHidden/>
    <w:qFormat/>
    <w:uiPriority w:val="0"/>
    <w:rPr>
      <w:rFonts w:ascii="微软雅黑" w:hAnsi="微软雅黑" w:eastAsia="微软雅黑" w:cs="微软雅黑"/>
      <w:lang w:eastAsia="en-US"/>
    </w:rPr>
  </w:style>
  <w:style w:type="paragraph" w:customStyle="1" w:styleId="37">
    <w:name w:val="TOC Heading"/>
    <w:basedOn w:val="2"/>
    <w:next w:val="1"/>
    <w:unhideWhenUsed/>
    <w:qFormat/>
    <w:uiPriority w:val="39"/>
    <w:pPr>
      <w:widowControl/>
      <w:spacing w:before="240" w:after="0" w:line="259" w:lineRule="auto"/>
      <w:jc w:val="left"/>
      <w:outlineLvl w:val="9"/>
    </w:pPr>
    <w:rPr>
      <w:rFonts w:ascii="Cambria" w:hAnsi="Cambria" w:eastAsia="宋体" w:cs="Times New Roman"/>
      <w:b w:val="0"/>
      <w:color w:val="366091"/>
      <w:kern w:val="0"/>
      <w:sz w:val="32"/>
      <w:szCs w:val="32"/>
    </w:rPr>
  </w:style>
  <w:style w:type="paragraph" w:customStyle="1" w:styleId="38">
    <w:name w:val="TOC 标题2"/>
    <w:basedOn w:val="2"/>
    <w:next w:val="1"/>
    <w:qFormat/>
    <w:uiPriority w:val="0"/>
    <w:pPr>
      <w:spacing w:before="260" w:after="260" w:line="413" w:lineRule="auto"/>
      <w:jc w:val="center"/>
    </w:pPr>
    <w:rPr>
      <w:rFonts w:ascii="宋体" w:hAnsi="宋体"/>
      <w:sz w:val="36"/>
      <w:lang w:val="zh-CN"/>
    </w:rPr>
  </w:style>
  <w:style w:type="paragraph" w:customStyle="1" w:styleId="39">
    <w:name w:val="协议书标题2"/>
    <w:basedOn w:val="3"/>
    <w:next w:val="1"/>
    <w:qFormat/>
    <w:uiPriority w:val="0"/>
    <w:pPr>
      <w:keepNext w:val="0"/>
      <w:keepLines w:val="0"/>
      <w:widowControl/>
      <w:numPr>
        <w:ilvl w:val="0"/>
        <w:numId w:val="2"/>
      </w:numPr>
      <w:tabs>
        <w:tab w:val="left" w:pos="567"/>
      </w:tabs>
      <w:wordWrap w:val="0"/>
      <w:topLinePunct/>
      <w:adjustRightInd w:val="0"/>
      <w:snapToGrid w:val="0"/>
      <w:spacing w:before="0" w:after="120" w:afterLines="50" w:line="360" w:lineRule="auto"/>
      <w:jc w:val="left"/>
    </w:pPr>
    <w:rPr>
      <w:rFonts w:ascii="宋体" w:hAnsi="宋体" w:eastAsia="宋体"/>
      <w:kern w:val="0"/>
      <w:sz w:val="24"/>
    </w:rPr>
  </w:style>
  <w:style w:type="paragraph" w:customStyle="1" w:styleId="40">
    <w:name w:val="table"/>
    <w:qFormat/>
    <w:uiPriority w:val="0"/>
    <w:pPr>
      <w:framePr w:hSpace="180" w:wrap="around" w:vAnchor="text" w:hAnchor="margin" w:y="1418"/>
      <w:adjustRightInd w:val="0"/>
      <w:snapToGrid w:val="0"/>
    </w:pPr>
    <w:rPr>
      <w:rFonts w:ascii="宋体" w:hAnsi="Calibri" w:eastAsia="宋体" w:cs="Times New Roman"/>
      <w:kern w:val="2"/>
      <w:sz w:val="24"/>
      <w:szCs w:val="22"/>
      <w:lang w:val="en-US" w:eastAsia="zh-CN" w:bidi="ar-SA"/>
    </w:rPr>
  </w:style>
  <w:style w:type="paragraph" w:customStyle="1" w:styleId="41">
    <w:name w:val="通用标题2"/>
    <w:basedOn w:val="3"/>
    <w:next w:val="1"/>
    <w:qFormat/>
    <w:uiPriority w:val="0"/>
    <w:pPr>
      <w:keepNext w:val="0"/>
      <w:keepLines w:val="0"/>
      <w:widowControl/>
      <w:tabs>
        <w:tab w:val="left" w:pos="993"/>
      </w:tabs>
      <w:wordWrap w:val="0"/>
      <w:topLinePunct/>
      <w:adjustRightInd w:val="0"/>
      <w:snapToGrid w:val="0"/>
      <w:spacing w:before="0" w:after="120" w:afterLines="50" w:line="360" w:lineRule="auto"/>
    </w:pPr>
    <w:rPr>
      <w:rFonts w:ascii="黑体" w:hAnsi="黑体"/>
      <w:kern w:val="0"/>
      <w:sz w:val="28"/>
    </w:rPr>
  </w:style>
  <w:style w:type="paragraph" w:customStyle="1" w:styleId="42">
    <w:name w:val="通用标题3"/>
    <w:next w:val="1"/>
    <w:qFormat/>
    <w:uiPriority w:val="0"/>
    <w:pPr>
      <w:widowControl w:val="0"/>
      <w:numPr>
        <w:ilvl w:val="1"/>
        <w:numId w:val="3"/>
      </w:numPr>
      <w:tabs>
        <w:tab w:val="left" w:pos="851"/>
      </w:tabs>
      <w:adjustRightInd w:val="0"/>
      <w:snapToGrid w:val="0"/>
      <w:spacing w:after="120" w:afterLines="50" w:line="360" w:lineRule="auto"/>
      <w:jc w:val="both"/>
      <w:outlineLvl w:val="2"/>
    </w:pPr>
    <w:rPr>
      <w:rFonts w:ascii="黑体" w:hAnsi="黑体" w:eastAsia="黑体" w:cs="Times New Roman"/>
      <w:b/>
      <w:kern w:val="2"/>
      <w:sz w:val="24"/>
      <w:szCs w:val="24"/>
      <w:lang w:val="en-US" w:eastAsia="zh-CN" w:bidi="ar-SA"/>
    </w:rPr>
  </w:style>
  <w:style w:type="paragraph" w:customStyle="1" w:styleId="43">
    <w:name w:val="通用标题4"/>
    <w:next w:val="1"/>
    <w:qFormat/>
    <w:uiPriority w:val="0"/>
    <w:pPr>
      <w:numPr>
        <w:ilvl w:val="2"/>
        <w:numId w:val="3"/>
      </w:numPr>
      <w:tabs>
        <w:tab w:val="left" w:pos="851"/>
      </w:tabs>
      <w:adjustRightInd w:val="0"/>
      <w:snapToGrid w:val="0"/>
      <w:spacing w:after="120" w:afterLines="50" w:line="360" w:lineRule="auto"/>
      <w:jc w:val="both"/>
      <w:outlineLvl w:val="3"/>
    </w:pPr>
    <w:rPr>
      <w:rFonts w:ascii="宋体" w:hAnsi="宋体" w:eastAsia="宋体" w:cs="Times New Roman"/>
      <w:kern w:val="2"/>
      <w:sz w:val="24"/>
      <w:szCs w:val="21"/>
      <w:lang w:val="en-US" w:eastAsia="zh-CN" w:bidi="ar-SA"/>
    </w:rPr>
  </w:style>
  <w:style w:type="paragraph" w:customStyle="1" w:styleId="44">
    <w:name w:val="通用标题5"/>
    <w:qFormat/>
    <w:uiPriority w:val="0"/>
    <w:pPr>
      <w:widowControl w:val="0"/>
      <w:numPr>
        <w:ilvl w:val="3"/>
        <w:numId w:val="3"/>
      </w:numPr>
      <w:tabs>
        <w:tab w:val="left" w:pos="1134"/>
      </w:tabs>
      <w:autoSpaceDE w:val="0"/>
      <w:autoSpaceDN w:val="0"/>
      <w:adjustRightInd w:val="0"/>
      <w:snapToGrid w:val="0"/>
      <w:spacing w:after="120" w:afterLines="50" w:line="360" w:lineRule="auto"/>
      <w:jc w:val="both"/>
    </w:pPr>
    <w:rPr>
      <w:rFonts w:ascii="宋体" w:hAnsi="宋体" w:eastAsia="宋体" w:cs="Times New Roman"/>
      <w:kern w:val="2"/>
      <w:sz w:val="24"/>
      <w:szCs w:val="21"/>
      <w:lang w:val="en-US" w:eastAsia="zh-CN" w:bidi="ar-SA"/>
    </w:rPr>
  </w:style>
  <w:style w:type="paragraph" w:customStyle="1" w:styleId="45">
    <w:name w:val="通用标题6"/>
    <w:basedOn w:val="1"/>
    <w:qFormat/>
    <w:uiPriority w:val="0"/>
    <w:pPr>
      <w:widowControl/>
      <w:numPr>
        <w:ilvl w:val="4"/>
        <w:numId w:val="4"/>
      </w:numPr>
      <w:tabs>
        <w:tab w:val="left" w:pos="993"/>
      </w:tabs>
      <w:adjustRightInd w:val="0"/>
      <w:snapToGrid w:val="0"/>
      <w:spacing w:after="120" w:afterLines="50" w:line="360" w:lineRule="auto"/>
    </w:pPr>
    <w:rPr>
      <w:rFonts w:ascii="宋体" w:hAnsi="宋体" w:cs="Times New Roman"/>
      <w:kern w:val="0"/>
      <w:sz w:val="24"/>
      <w:szCs w:val="20"/>
    </w:rPr>
  </w:style>
  <w:style w:type="paragraph" w:customStyle="1" w:styleId="46">
    <w:name w:val="专用标题2"/>
    <w:basedOn w:val="3"/>
    <w:next w:val="1"/>
    <w:qFormat/>
    <w:uiPriority w:val="0"/>
    <w:pPr>
      <w:keepNext w:val="0"/>
      <w:keepLines w:val="0"/>
      <w:widowControl/>
      <w:tabs>
        <w:tab w:val="left" w:pos="993"/>
      </w:tabs>
      <w:adjustRightInd w:val="0"/>
      <w:snapToGrid w:val="0"/>
      <w:spacing w:before="0" w:after="120" w:afterLines="50" w:line="360" w:lineRule="auto"/>
    </w:pPr>
    <w:rPr>
      <w:rFonts w:ascii="宋体" w:hAnsi="宋体" w:eastAsia="宋体" w:cs="Times"/>
      <w:kern w:val="0"/>
      <w:sz w:val="28"/>
    </w:rPr>
  </w:style>
  <w:style w:type="paragraph" w:customStyle="1" w:styleId="47">
    <w:name w:val="附件标题"/>
    <w:basedOn w:val="3"/>
    <w:next w:val="1"/>
    <w:qFormat/>
    <w:uiPriority w:val="0"/>
    <w:pPr>
      <w:widowControl/>
      <w:numPr>
        <w:ilvl w:val="0"/>
        <w:numId w:val="5"/>
      </w:numPr>
      <w:tabs>
        <w:tab w:val="left" w:pos="1134"/>
      </w:tabs>
      <w:wordWrap w:val="0"/>
      <w:topLinePunct/>
      <w:adjustRightInd w:val="0"/>
      <w:snapToGrid w:val="0"/>
      <w:spacing w:before="0" w:after="120" w:afterLines="50" w:line="360" w:lineRule="auto"/>
      <w:jc w:val="center"/>
    </w:pPr>
    <w:rPr>
      <w:rFonts w:ascii="黑体" w:hAnsi="黑体"/>
      <w:kern w:val="0"/>
      <w:sz w:val="30"/>
      <w:szCs w:val="30"/>
    </w:rPr>
  </w:style>
  <w:style w:type="paragraph" w:customStyle="1" w:styleId="48">
    <w:name w:val="表格"/>
    <w:basedOn w:val="1"/>
    <w:qFormat/>
    <w:uiPriority w:val="99"/>
    <w:pPr>
      <w:jc w:val="center"/>
      <w:textAlignment w:val="center"/>
    </w:pPr>
    <w:rPr>
      <w:rFonts w:ascii="华文细黑" w:hAnsi="华文细黑" w:cs="华文细黑"/>
      <w:kern w:val="0"/>
    </w:rPr>
  </w:style>
  <w:style w:type="paragraph" w:customStyle="1" w:styleId="49">
    <w:name w:val="1"/>
    <w:basedOn w:val="1"/>
    <w:qFormat/>
    <w:uiPriority w:val="99"/>
  </w:style>
  <w:style w:type="paragraph" w:customStyle="1" w:styleId="50">
    <w:name w:val="Table Paragraph"/>
    <w:basedOn w:val="1"/>
    <w:qFormat/>
    <w:uiPriority w:val="99"/>
    <w:pPr>
      <w:autoSpaceDE w:val="0"/>
      <w:autoSpaceDN w:val="0"/>
      <w:jc w:val="left"/>
    </w:pPr>
    <w:rPr>
      <w:rFonts w:ascii="Noto Sans CJK JP Regular" w:hAnsi="Noto Sans CJK JP Regular" w:cs="Noto Sans CJK JP Regular"/>
      <w:sz w:val="22"/>
      <w:szCs w:val="22"/>
      <w:lang w:eastAsia="en-US"/>
    </w:rPr>
  </w:style>
  <w:style w:type="paragraph" w:customStyle="1" w:styleId="51">
    <w:name w:val="正文格式"/>
    <w:basedOn w:val="1"/>
    <w:qFormat/>
    <w:uiPriority w:val="0"/>
    <w:pPr>
      <w:topLinePunct/>
      <w:ind w:firstLine="420" w:firstLineChars="200"/>
    </w:pPr>
    <w:rPr>
      <w:rFonts w:ascii="宋体" w:hAnsi="宋体"/>
      <w:bCs/>
      <w:szCs w:val="21"/>
    </w:rPr>
  </w:style>
  <w:style w:type="paragraph" w:styleId="52">
    <w:name w:val="List Paragraph"/>
    <w:basedOn w:val="1"/>
    <w:qFormat/>
    <w:uiPriority w:val="99"/>
    <w:pPr>
      <w:ind w:firstLine="420" w:firstLineChars="200"/>
    </w:pPr>
  </w:style>
  <w:style w:type="paragraph" w:customStyle="1" w:styleId="53">
    <w:name w:val="正  文"/>
    <w:basedOn w:val="1"/>
    <w:qFormat/>
    <w:uiPriority w:val="0"/>
    <w:pPr>
      <w:ind w:firstLine="200" w:firstLineChars="200"/>
      <w:textAlignment w:val="baseline"/>
    </w:pPr>
    <w:rPr>
      <w:rFonts w:ascii="Calibri" w:hAnsi="Calibri" w:eastAsia="宋体" w:cs="Times New Roman"/>
      <w:sz w:val="24"/>
      <w:szCs w:val="28"/>
    </w:rPr>
  </w:style>
  <w:style w:type="paragraph" w:customStyle="1" w:styleId="54">
    <w:name w:val="列表段落3"/>
    <w:basedOn w:val="1"/>
    <w:qFormat/>
    <w:uiPriority w:val="0"/>
    <w:pPr>
      <w:ind w:firstLine="420" w:firstLineChars="200"/>
    </w:pPr>
  </w:style>
  <w:style w:type="paragraph" w:customStyle="1" w:styleId="55">
    <w:name w:val="Table"/>
    <w:qFormat/>
    <w:uiPriority w:val="0"/>
    <w:pPr>
      <w:jc w:val="center"/>
    </w:pPr>
    <w:rPr>
      <w:rFonts w:ascii="Times New Roman" w:hAnsi="Times New Roman" w:eastAsia="宋体" w:cs="Times New Roman"/>
      <w:kern w:val="2"/>
      <w:sz w:val="21"/>
      <w:szCs w:val="24"/>
      <w:lang w:val="en-US" w:eastAsia="zh-CN" w:bidi="ar-SA"/>
    </w:rPr>
  </w:style>
  <w:style w:type="paragraph" w:customStyle="1" w:styleId="56">
    <w:name w:val="表"/>
    <w:basedOn w:val="7"/>
    <w:qFormat/>
    <w:uiPriority w:val="0"/>
    <w:pPr>
      <w:jc w:val="center"/>
    </w:pPr>
    <w:rPr>
      <w:rFonts w:ascii="宋体;SimSun" w:hAnsi="宋体;SimSun" w:eastAsia="宋体;SimSun" w:cs="宋体;SimSun"/>
      <w:b/>
      <w:sz w:val="21"/>
    </w:rPr>
  </w:style>
  <w:style w:type="paragraph" w:customStyle="1" w:styleId="57">
    <w:name w:val="其他"/>
    <w:basedOn w:val="1"/>
    <w:qFormat/>
    <w:uiPriority w:val="0"/>
    <w:pPr>
      <w:spacing w:line="352" w:lineRule="auto"/>
    </w:pPr>
    <w:rPr>
      <w:rFonts w:ascii="宋体" w:hAnsi="宋体" w:cs="宋体"/>
      <w:sz w:val="22"/>
      <w:lang w:val="zh-CN" w:bidi="zh-CN"/>
    </w:rPr>
  </w:style>
</w:styles>
</file>

<file path=word/_rels/document.xml.rels><?xml version="1.0" encoding="UTF-8" standalone="yes"?>
<Relationships xmlns="http://schemas.openxmlformats.org/package/2006/relationships"><Relationship Id="rId9" Type="http://schemas.openxmlformats.org/officeDocument/2006/relationships/oleObject" Target="embeddings/oleObject1.bin"/><Relationship Id="rId8" Type="http://schemas.openxmlformats.org/officeDocument/2006/relationships/image" Target="media/image2.pn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1.jpeg"/><Relationship Id="rId18" Type="http://schemas.openxmlformats.org/officeDocument/2006/relationships/image" Target="file:///E:\&#28023;&#21335;&#39033;&#30446;-&#65288;&#20844;&#24320;&#65289;\2025&#24180;&#39033;&#30446;&#65288;&#20844;&#24320;&#65289;\01-&#28023;&#21335;&#21830;&#21457;&#20108;&#26399;&#39033;&#30446;\03-&#29616;&#22330;&#24037;&#20316;&#25991;&#20214;\04-&#21021;&#27493;&#35774;&#35745;&#25253;&#21578;\14-&#28023;&#21335;&#21830;&#19994;&#33322;&#22825;&#21457;&#23556;&#22330;&#39033;&#30446;&#65288;&#20108;&#26399;&#65289;&#21021;&#27493;&#35774;&#35745;20250519-&#27807;&#36890;&#21518;&#26356;&#25913;\00-&#20108;&#26399;&#39033;&#30446;&#26368;&#32456;&#19978;&#25253;&#31295;\00-&#21830;&#21457;&#25171;&#21360;&#65288;&#20844;&#24320;&#65289;\../../&#31070;&#33311;&#35774;&#35745;&#38498;/&#31070;&#33311;&#35774;~1/AppData/Local/Temp/ksohtml25560/wps405.jpg" TargetMode="External"/><Relationship Id="rId17" Type="http://schemas.openxmlformats.org/officeDocument/2006/relationships/image" Target="media/image10.jpeg"/><Relationship Id="rId16" Type="http://schemas.openxmlformats.org/officeDocument/2006/relationships/image" Target="media/image9.png"/><Relationship Id="rId15" Type="http://schemas.openxmlformats.org/officeDocument/2006/relationships/image" Target="media/image8.png"/><Relationship Id="rId14" Type="http://schemas.openxmlformats.org/officeDocument/2006/relationships/image" Target="media/image7.png"/><Relationship Id="rId13" Type="http://schemas.openxmlformats.org/officeDocument/2006/relationships/image" Target="media/image6.png"/><Relationship Id="rId12" Type="http://schemas.openxmlformats.org/officeDocument/2006/relationships/image" Target="media/image5.png"/><Relationship Id="rId11" Type="http://schemas.openxmlformats.org/officeDocument/2006/relationships/image" Target="media/image4.png"/><Relationship Id="rId10" Type="http://schemas.openxmlformats.org/officeDocument/2006/relationships/image" Target="media/image3.wmf"/><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11</Pages>
  <Words>22955</Words>
  <Characters>25099</Characters>
  <Lines>0</Lines>
  <Paragraphs>0</Paragraphs>
  <TotalTime>18</TotalTime>
  <ScaleCrop>false</ScaleCrop>
  <LinksUpToDate>false</LinksUpToDate>
  <CharactersWithSpaces>25432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2025-08-21T09:37:00Z</dcterms:created>
  <dc:creator>建银咨询</dc:creator>
  <cp:lastModifiedBy>黄凤仙</cp:lastModifiedBy>
  <dcterms:modified xsi:type="dcterms:W3CDTF">2025-09-15T10:14:06Z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725174E661C3456C87E9912D8F23875B</vt:lpwstr>
  </property>
  <property fmtid="{D5CDD505-2E9C-101B-9397-08002B2CF9AE}" pid="4" name="KSOTemplateDocerSaveRecord">
    <vt:lpwstr>eyJoZGlkIjoiNDNlZGNmNTE1ZDEzM2VlOGVhM2NkYzhlMzFiZWM0MGYiLCJ1c2VySWQiOiI1NzIxNDAxODIifQ==</vt:lpwstr>
  </property>
</Properties>
</file>