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245"/>
        <w:gridCol w:w="1200"/>
        <w:gridCol w:w="879"/>
        <w:gridCol w:w="891"/>
        <w:gridCol w:w="1455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8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WAPI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(CPE设备）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华为ZK-WAP5-C220F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87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台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成交通知书发布后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个工作日内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，货物需提供一年质保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WAPI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（室内型AP）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华为AirEngine5700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13</w:t>
            </w:r>
          </w:p>
        </w:tc>
        <w:tc>
          <w:tcPr>
            <w:tcW w:w="8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台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成交通知书发布后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个工作日内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，货物需提供一年质保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20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AC4F7F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4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dcterms:modified xsi:type="dcterms:W3CDTF">2025-09-03T08:55:05Z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</Properties>
</file>