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color w:val="000000" w:themeColor="text1"/>
          <w:sz w:val="30"/>
          <w:szCs w:val="30"/>
          <w14:textFill>
            <w14:solidFill>
              <w14:schemeClr w14:val="tx1"/>
            </w14:solidFill>
          </w14:textFill>
        </w:rPr>
      </w:pPr>
      <w:r>
        <w:rPr>
          <w:rFonts w:hint="eastAsia" w:ascii="方正小标宋_GBK" w:hAnsi="方正小标宋_GBK" w:eastAsia="方正小标宋_GBK" w:cs="方正小标宋_GBK"/>
          <w:color w:val="000000" w:themeColor="text1"/>
          <w:sz w:val="30"/>
          <w:szCs w:val="30"/>
          <w14:textFill>
            <w14:solidFill>
              <w14:schemeClr w14:val="tx1"/>
            </w14:solidFill>
          </w14:textFill>
        </w:rPr>
        <w:t>2025年云南十里阳光发展有限公司</w:t>
      </w:r>
    </w:p>
    <w:p>
      <w:pPr>
        <w:spacing w:line="560" w:lineRule="exact"/>
        <w:jc w:val="center"/>
        <w:rPr>
          <w:rFonts w:hint="eastAsia" w:ascii="方正小标宋_GBK" w:hAnsi="方正小标宋_GBK" w:eastAsia="方正小标宋_GBK" w:cs="方正小标宋_GBK"/>
          <w:color w:val="000000" w:themeColor="text1"/>
          <w:sz w:val="30"/>
          <w:szCs w:val="30"/>
          <w14:textFill>
            <w14:solidFill>
              <w14:schemeClr w14:val="tx1"/>
            </w14:solidFill>
          </w14:textFill>
        </w:rPr>
      </w:pPr>
      <w:r>
        <w:rPr>
          <w:rFonts w:hint="eastAsia" w:ascii="方正小标宋_GBK" w:hAnsi="方正小标宋_GBK" w:eastAsia="方正小标宋_GBK" w:cs="方正小标宋_GBK"/>
          <w:color w:val="000000" w:themeColor="text1"/>
          <w:sz w:val="30"/>
          <w:szCs w:val="30"/>
          <w:lang w:eastAsia="zh-CN"/>
          <w14:textFill>
            <w14:solidFill>
              <w14:schemeClr w14:val="tx1"/>
            </w14:solidFill>
          </w14:textFill>
        </w:rPr>
        <w:t>技术维护服务</w:t>
      </w:r>
      <w:r>
        <w:rPr>
          <w:rFonts w:hint="eastAsia" w:ascii="方正小标宋_GBK" w:hAnsi="方正小标宋_GBK" w:eastAsia="方正小标宋_GBK" w:cs="方正小标宋_GBK"/>
          <w:color w:val="000000" w:themeColor="text1"/>
          <w:sz w:val="30"/>
          <w:szCs w:val="30"/>
          <w14:textFill>
            <w14:solidFill>
              <w14:schemeClr w14:val="tx1"/>
            </w14:solidFill>
          </w14:textFill>
        </w:rPr>
        <w:t>采购项目规范书</w:t>
      </w:r>
    </w:p>
    <w:p>
      <w:pPr>
        <w:spacing w:line="560" w:lineRule="exact"/>
        <w:rPr>
          <w:rFonts w:hint="eastAsia" w:ascii="仿宋" w:hAnsi="仿宋" w:eastAsia="仿宋" w:cs="仿宋"/>
          <w:b/>
          <w:bCs/>
          <w:color w:val="000000" w:themeColor="text1"/>
          <w:sz w:val="24"/>
          <w:szCs w:val="24"/>
          <w14:textFill>
            <w14:solidFill>
              <w14:schemeClr w14:val="tx1"/>
            </w14:solidFill>
          </w14:textFill>
        </w:rPr>
      </w:pPr>
      <w:bookmarkStart w:id="0" w:name="_Toc441159752"/>
      <w:bookmarkEnd w:id="0"/>
    </w:p>
    <w:p>
      <w:pPr>
        <w:spacing w:line="56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一.项目概要</w:t>
      </w:r>
    </w:p>
    <w:p>
      <w:pPr>
        <w:spacing w:line="560" w:lineRule="exact"/>
        <w:ind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云南十里阳光发展有限公司（以下简称：“公司”），为保障高尔夫信息管理系统稳定运行</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需采购年度技术维护服务</w:t>
      </w:r>
      <w:r>
        <w:rPr>
          <w:rFonts w:hint="eastAsia" w:ascii="仿宋" w:hAnsi="仿宋" w:eastAsia="仿宋" w:cs="仿宋"/>
          <w:color w:val="000000" w:themeColor="text1"/>
          <w:sz w:val="24"/>
          <w:szCs w:val="24"/>
          <w:lang w:eastAsia="zh-CN"/>
          <w14:textFill>
            <w14:solidFill>
              <w14:schemeClr w14:val="tx1"/>
            </w14:solidFill>
          </w14:textFill>
        </w:rPr>
        <w:t>。</w:t>
      </w:r>
    </w:p>
    <w:p>
      <w:pPr>
        <w:spacing w:line="56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二.采购内容</w:t>
      </w:r>
    </w:p>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远古高尔夫俱乐部管理系统7.5版</w:t>
      </w:r>
      <w:r>
        <w:rPr>
          <w:rFonts w:hint="eastAsia" w:ascii="仿宋" w:hAnsi="仿宋" w:eastAsia="仿宋" w:cs="仿宋"/>
          <w:color w:val="000000" w:themeColor="text1"/>
          <w:sz w:val="24"/>
          <w:szCs w:val="24"/>
          <w14:textFill>
            <w14:solidFill>
              <w14:schemeClr w14:val="tx1"/>
            </w14:solidFill>
          </w14:textFill>
        </w:rPr>
        <w:t>年度技术维护服务。</w:t>
      </w:r>
    </w:p>
    <w:p>
      <w:pPr>
        <w:pStyle w:val="9"/>
        <w:numPr>
          <w:ilvl w:val="0"/>
          <w:numId w:val="1"/>
        </w:numPr>
        <w:spacing w:line="560" w:lineRule="exact"/>
        <w:ind w:left="0" w:leftChars="0" w:firstLine="0" w:firstLineChars="0"/>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维护服务标准表（技术参数）</w:t>
      </w:r>
    </w:p>
    <w:p>
      <w:pPr>
        <w:pStyle w:val="9"/>
        <w:numPr>
          <w:ilvl w:val="0"/>
          <w:numId w:val="0"/>
        </w:numPr>
        <w:spacing w:line="560" w:lineRule="exact"/>
        <w:ind w:leftChars="100" w:firstLine="240" w:firstLineChars="1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具体维护内容如下：</w:t>
      </w:r>
    </w:p>
    <w:tbl>
      <w:tblPr>
        <w:tblStyle w:val="10"/>
        <w:tblpPr w:leftFromText="180" w:rightFromText="180" w:vertAnchor="text" w:horzAnchor="page" w:tblpX="1619" w:tblpY="695"/>
        <w:tblOverlap w:val="never"/>
        <w:tblW w:w="97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350"/>
        <w:gridCol w:w="4438"/>
        <w:gridCol w:w="3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shd w:val="clear" w:color="auto" w:fill="F3F3F3"/>
            <w:vAlign w:val="center"/>
          </w:tcPr>
          <w:p>
            <w:pPr>
              <w:spacing w:line="360" w:lineRule="auto"/>
              <w:ind w:right="-107" w:rightChars="-51"/>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编号</w:t>
            </w:r>
          </w:p>
        </w:tc>
        <w:tc>
          <w:tcPr>
            <w:tcW w:w="1350"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服务项目</w:t>
            </w:r>
          </w:p>
        </w:tc>
        <w:tc>
          <w:tcPr>
            <w:tcW w:w="4438"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具体内容</w:t>
            </w:r>
          </w:p>
        </w:tc>
        <w:tc>
          <w:tcPr>
            <w:tcW w:w="3238"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专业级服务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响应时间</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需求提交后的反应速度</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电话支持4小时内反应</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网络支持2个工作日内反应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系统故障</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系统瘫痪</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故障情况严重影响系统使用</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需要技术帮助但不影响系统工作</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系统瘫痪及严重故障立即响应</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非严重故障处理等级为4小时响应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热线支持</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电话查询与解答</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7＊12小时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bookmarkStart w:id="1" w:name="_GoBack"/>
            <w:bookmarkEnd w:id="1"/>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程序查错</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功能报错或无法实现</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数据查错</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营业数据出错，账不平功能使用不当</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程序修改</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（符合现有系统数据库逻辑）功能修改</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5个工作日内的修改量免费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报表修改</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普通报表：现有报表修改</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新增报表：增加报表</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普通报表修改</w:t>
            </w:r>
            <w:r>
              <w:rPr>
                <w:rFonts w:hint="eastAsia" w:ascii="仿宋" w:hAnsi="仿宋" w:eastAsia="仿宋" w:cs="仿宋"/>
                <w:color w:val="000000" w:themeColor="text1"/>
                <w:sz w:val="24"/>
                <w:szCs w:val="24"/>
                <w:lang w:val="en-US" w:eastAsia="zh-CN"/>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张</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新增报表5张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上门拜访</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清理数据</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数据备份整理</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收取修改意见</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技术沟通</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流程梳理</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硬件设备检修</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系统顾问服务</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检查各种安全隐患</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每年至少一次5日内上门拜访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网管培训</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功能设置培训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全部功能操作培训</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操作培训</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模块对不同操作人员的培训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强化操作</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数据清理与备份</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整理历史数据并备份</w:t>
            </w:r>
          </w:p>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1次/年，客户服务中心统一安排处理</w:t>
            </w:r>
          </w:p>
        </w:tc>
      </w:tr>
    </w:tbl>
    <w:p>
      <w:pPr>
        <w:spacing w:line="56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p>
    <w:p>
      <w:pPr>
        <w:spacing w:line="560" w:lineRule="exact"/>
        <w:ind w:firstLine="241" w:firstLineChars="1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四、</w:t>
      </w: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 xml:space="preserve">维护与服务事项的具体要求 </w:t>
      </w:r>
    </w:p>
    <w:p>
      <w:pPr>
        <w:spacing w:line="560" w:lineRule="exact"/>
        <w:ind w:firstLine="240" w:firstLineChars="1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w:t>
      </w:r>
      <w:r>
        <w:rPr>
          <w:rFonts w:hint="eastAsia" w:ascii="仿宋" w:hAnsi="仿宋" w:eastAsia="仿宋" w:cs="仿宋"/>
          <w:color w:val="000000" w:themeColor="text1"/>
          <w:sz w:val="24"/>
          <w:szCs w:val="24"/>
          <w:lang w:val="en-US" w:eastAsia="zh-CN"/>
          <w14:textFill>
            <w14:solidFill>
              <w14:schemeClr w14:val="tx1"/>
            </w14:solidFill>
          </w14:textFill>
        </w:rPr>
        <w:t>维护服务授权</w:t>
      </w:r>
    </w:p>
    <w:p>
      <w:pPr>
        <w:spacing w:line="560" w:lineRule="exact"/>
        <w:ind w:firstLine="720" w:firstLineChars="3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需具有系统开发商深圳市赛银远古实业发展有限公司技术维护服务授权。</w:t>
      </w:r>
    </w:p>
    <w:p>
      <w:pPr>
        <w:spacing w:line="560" w:lineRule="exact"/>
        <w:ind w:firstLine="240" w:firstLineChars="1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（二）</w:t>
      </w:r>
      <w:r>
        <w:rPr>
          <w:rFonts w:hint="eastAsia" w:ascii="仿宋" w:hAnsi="仿宋" w:eastAsia="仿宋" w:cs="仿宋"/>
          <w:color w:val="000000" w:themeColor="text1"/>
          <w:sz w:val="24"/>
          <w:szCs w:val="24"/>
          <w14:textFill>
            <w14:solidFill>
              <w14:schemeClr w14:val="tx1"/>
            </w14:solidFill>
          </w14:textFill>
        </w:rPr>
        <w:t>维护与服务期限</w:t>
      </w:r>
    </w:p>
    <w:p>
      <w:pPr>
        <w:pStyle w:val="2"/>
        <w:ind w:left="0" w:leftChars="0" w:firstLine="240" w:firstLineChars="100"/>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维护与服务期限为</w:t>
      </w:r>
      <w:r>
        <w:rPr>
          <w:rFonts w:hint="eastAsia" w:ascii="仿宋" w:hAnsi="仿宋" w:eastAsia="仿宋" w:cs="仿宋"/>
          <w:color w:val="000000" w:themeColor="text1"/>
          <w:sz w:val="24"/>
          <w:szCs w:val="24"/>
          <w:lang w:eastAsia="zh-CN"/>
          <w14:textFill>
            <w14:solidFill>
              <w14:schemeClr w14:val="tx1"/>
            </w14:solidFill>
          </w14:textFill>
        </w:rPr>
        <w:t>一年，自</w:t>
      </w:r>
      <w:r>
        <w:rPr>
          <w:rFonts w:hint="eastAsia" w:ascii="仿宋" w:hAnsi="仿宋" w:eastAsia="仿宋" w:cs="仿宋"/>
          <w:color w:val="000000" w:themeColor="text1"/>
          <w:sz w:val="24"/>
          <w:szCs w:val="24"/>
          <w:lang w:val="en-US" w:eastAsia="zh-CN"/>
          <w14:textFill>
            <w14:solidFill>
              <w14:schemeClr w14:val="tx1"/>
            </w14:solidFill>
          </w14:textFill>
        </w:rPr>
        <w:t>2025年10月1日起至2026年9月30日止。</w:t>
      </w:r>
    </w:p>
    <w:p>
      <w:pPr>
        <w:spacing w:line="560" w:lineRule="exact"/>
        <w:ind w:firstLine="240" w:firstLineChars="1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三</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付款条款</w:t>
      </w:r>
    </w:p>
    <w:p>
      <w:pPr>
        <w:spacing w:line="560" w:lineRule="exact"/>
        <w:ind w:firstLine="720" w:firstLineChars="3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分期支付方式如下：</w:t>
      </w:r>
    </w:p>
    <w:p>
      <w:pPr>
        <w:spacing w:line="560" w:lineRule="exact"/>
        <w:ind w:firstLine="240" w:firstLineChars="1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1、</w:t>
      </w:r>
      <w:r>
        <w:rPr>
          <w:rFonts w:hint="eastAsia" w:ascii="仿宋" w:hAnsi="仿宋" w:eastAsia="仿宋" w:cs="仿宋"/>
          <w:color w:val="000000" w:themeColor="text1"/>
          <w:sz w:val="24"/>
          <w:szCs w:val="24"/>
          <w:lang w:eastAsia="zh-CN"/>
          <w14:textFill>
            <w14:solidFill>
              <w14:schemeClr w14:val="tx1"/>
            </w14:solidFill>
          </w14:textFill>
        </w:rPr>
        <w:t>首期30%：采购完后，收到增值税专用发票且经业务系统使用部门确认无遗留问题后的15个工作日内，支付当年30%维护费用；</w:t>
      </w:r>
    </w:p>
    <w:p>
      <w:pPr>
        <w:spacing w:line="560" w:lineRule="exact"/>
        <w:ind w:firstLine="720" w:firstLineChars="3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eastAsia="zh-CN"/>
          <w14:textFill>
            <w14:solidFill>
              <w14:schemeClr w14:val="tx1"/>
            </w14:solidFill>
          </w14:textFill>
        </w:rPr>
        <w:t>二期35%：202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eastAsia="zh-CN"/>
          <w14:textFill>
            <w14:solidFill>
              <w14:schemeClr w14:val="tx1"/>
            </w14:solidFill>
          </w14:textFill>
        </w:rPr>
        <w:t>年3月15日前，在收到增值税专用发票且经业务系统使用部门确认无遗留问题后的15个工作日内，</w:t>
      </w:r>
      <w:r>
        <w:rPr>
          <w:rFonts w:hint="eastAsia" w:ascii="仿宋" w:hAnsi="仿宋" w:eastAsia="仿宋" w:cs="仿宋"/>
          <w:color w:val="000000" w:themeColor="text1"/>
          <w:sz w:val="24"/>
          <w:szCs w:val="24"/>
          <w:lang w:eastAsia="zh-CN"/>
          <w14:textFill>
            <w14:solidFill>
              <w14:schemeClr w14:val="tx1"/>
            </w14:solidFill>
          </w14:textFill>
        </w:rPr>
        <w:t>需</w:t>
      </w:r>
      <w:r>
        <w:rPr>
          <w:rFonts w:hint="default" w:ascii="仿宋" w:hAnsi="仿宋" w:eastAsia="仿宋" w:cs="仿宋"/>
          <w:color w:val="000000" w:themeColor="text1"/>
          <w:sz w:val="24"/>
          <w:szCs w:val="24"/>
          <w:lang w:eastAsia="zh-CN"/>
          <w14:textFill>
            <w14:solidFill>
              <w14:schemeClr w14:val="tx1"/>
            </w14:solidFill>
          </w14:textFill>
        </w:rPr>
        <w:t>支付剩余35%的维护费。如有未解决的远古系统需求，则在需求解决确认后再进行付款</w:t>
      </w:r>
      <w:r>
        <w:rPr>
          <w:rFonts w:hint="eastAsia" w:ascii="仿宋" w:hAnsi="仿宋" w:eastAsia="仿宋" w:cs="仿宋"/>
          <w:color w:val="000000" w:themeColor="text1"/>
          <w:sz w:val="24"/>
          <w:szCs w:val="24"/>
          <w:lang w:eastAsia="zh-CN"/>
          <w14:textFill>
            <w14:solidFill>
              <w14:schemeClr w14:val="tx1"/>
            </w14:solidFill>
          </w14:textFill>
        </w:rPr>
        <w:t>；</w:t>
      </w:r>
    </w:p>
    <w:p>
      <w:pPr>
        <w:spacing w:line="560" w:lineRule="exact"/>
        <w:ind w:firstLine="720" w:firstLineChars="3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eastAsia="zh-CN"/>
          <w14:textFill>
            <w14:solidFill>
              <w14:schemeClr w14:val="tx1"/>
            </w14:solidFill>
          </w14:textFill>
        </w:rPr>
        <w:t>尾款35%： 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eastAsia="zh-CN"/>
          <w14:textFill>
            <w14:solidFill>
              <w14:schemeClr w14:val="tx1"/>
            </w14:solidFill>
          </w14:textFill>
        </w:rPr>
        <w:t>年9月1日前，在收到增值税专用发票且经业务系统使用部门确认无遗留问题后的15个工作日内，</w:t>
      </w:r>
      <w:r>
        <w:rPr>
          <w:rFonts w:hint="eastAsia" w:ascii="仿宋" w:hAnsi="仿宋" w:eastAsia="仿宋" w:cs="仿宋"/>
          <w:color w:val="000000" w:themeColor="text1"/>
          <w:sz w:val="24"/>
          <w:szCs w:val="24"/>
          <w:lang w:eastAsia="zh-CN"/>
          <w14:textFill>
            <w14:solidFill>
              <w14:schemeClr w14:val="tx1"/>
            </w14:solidFill>
          </w14:textFill>
        </w:rPr>
        <w:t>再</w:t>
      </w:r>
      <w:r>
        <w:rPr>
          <w:rFonts w:hint="default" w:ascii="仿宋" w:hAnsi="仿宋" w:eastAsia="仿宋" w:cs="仿宋"/>
          <w:color w:val="000000" w:themeColor="text1"/>
          <w:sz w:val="24"/>
          <w:szCs w:val="24"/>
          <w:lang w:eastAsia="zh-CN"/>
          <w14:textFill>
            <w14:solidFill>
              <w14:schemeClr w14:val="tx1"/>
            </w14:solidFill>
          </w14:textFill>
        </w:rPr>
        <w:t>支付剩余35%的维护费。如有未解决的远古系统需求，则在需求解决确认后再进行付款</w:t>
      </w:r>
      <w:r>
        <w:rPr>
          <w:rFonts w:hint="eastAsia" w:ascii="仿宋" w:hAnsi="仿宋" w:eastAsia="仿宋" w:cs="仿宋"/>
          <w:color w:val="000000" w:themeColor="text1"/>
          <w:sz w:val="24"/>
          <w:szCs w:val="24"/>
          <w:lang w:eastAsia="zh-CN"/>
          <w14:textFill>
            <w14:solidFill>
              <w14:schemeClr w14:val="tx1"/>
            </w14:solidFill>
          </w14:textFill>
        </w:rPr>
        <w:t>。</w:t>
      </w:r>
    </w:p>
    <w:p>
      <w:pPr>
        <w:spacing w:line="560" w:lineRule="exact"/>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五</w:t>
      </w:r>
      <w:r>
        <w:rPr>
          <w:rFonts w:hint="eastAsia" w:ascii="仿宋" w:hAnsi="仿宋" w:eastAsia="仿宋" w:cs="仿宋"/>
          <w:b/>
          <w:bCs/>
          <w:color w:val="000000" w:themeColor="text1"/>
          <w:sz w:val="24"/>
          <w:szCs w:val="24"/>
          <w14:textFill>
            <w14:solidFill>
              <w14:schemeClr w14:val="tx1"/>
            </w14:solidFill>
          </w14:textFill>
        </w:rPr>
        <w:t>、产品验收</w:t>
      </w:r>
    </w:p>
    <w:p>
      <w:pPr>
        <w:widowControl/>
        <w:adjustRightInd w:val="0"/>
        <w:snapToGrid w:val="0"/>
        <w:spacing w:line="560" w:lineRule="exact"/>
        <w:ind w:firstLine="480" w:firstLineChars="200"/>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1.验收地点：云南省昆明市盘龙区昆曲高速公路6公里处云南十里阳光发展有限公司。</w:t>
      </w:r>
    </w:p>
    <w:p>
      <w:pPr>
        <w:widowControl/>
        <w:adjustRightInd w:val="0"/>
        <w:snapToGrid w:val="0"/>
        <w:spacing w:line="560" w:lineRule="exact"/>
        <w:ind w:firstLine="480" w:firstLineChars="200"/>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2.验收方式：</w:t>
      </w:r>
      <w:r>
        <w:rPr>
          <w:rFonts w:hint="eastAsia" w:ascii="仿宋" w:hAnsi="仿宋" w:eastAsia="仿宋" w:cs="仿宋"/>
          <w:color w:val="000000" w:themeColor="text1"/>
          <w:kern w:val="0"/>
          <w:sz w:val="24"/>
          <w:szCs w:val="24"/>
          <w:lang w:eastAsia="zh-CN"/>
          <w14:textFill>
            <w14:solidFill>
              <w14:schemeClr w14:val="tx1"/>
            </w14:solidFill>
          </w14:textFill>
        </w:rPr>
        <w:t>远程</w:t>
      </w:r>
      <w:r>
        <w:rPr>
          <w:rFonts w:hint="eastAsia" w:ascii="仿宋" w:hAnsi="仿宋" w:eastAsia="仿宋" w:cs="仿宋"/>
          <w:color w:val="000000" w:themeColor="text1"/>
          <w:kern w:val="0"/>
          <w:sz w:val="24"/>
          <w:szCs w:val="24"/>
          <w14:textFill>
            <w14:solidFill>
              <w14:schemeClr w14:val="tx1"/>
            </w14:solidFill>
          </w14:textFill>
        </w:rPr>
        <w:t>验收。</w:t>
      </w:r>
    </w:p>
    <w:p>
      <w:pPr>
        <w:pStyle w:val="2"/>
        <w:rPr>
          <w:rFonts w:hint="eastAsia"/>
          <w:color w:val="000000" w:themeColor="text1"/>
          <w14:textFill>
            <w14:solidFill>
              <w14:schemeClr w14:val="tx1"/>
            </w14:solidFill>
          </w14:textFill>
        </w:rPr>
      </w:pP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六、保密要求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3.报价方有义务妥善保管保密信息，报价方对于从采购方得到的保密信息，安全管理要求不得低于国家、行业和采购方相关的安全管理要求。</w:t>
      </w:r>
    </w:p>
    <w:p>
      <w:pPr>
        <w:keepNext w:val="0"/>
        <w:keepLines w:val="0"/>
        <w:pageBreakBefore w:val="0"/>
        <w:kinsoku/>
        <w:wordWrap/>
        <w:overflowPunct/>
        <w:topLinePunct w:val="0"/>
        <w:bidi w:val="0"/>
        <w:spacing w:line="560" w:lineRule="exact"/>
        <w:ind w:firstLine="480" w:firstLineChars="200"/>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注：此采购项目税率为1%。</w:t>
      </w:r>
    </w:p>
    <w:p>
      <w:pPr>
        <w:rPr>
          <w:color w:val="000000" w:themeColor="text1"/>
          <w14:textFill>
            <w14:solidFill>
              <w14:schemeClr w14:val="tx1"/>
            </w14:solidFill>
          </w14:textFill>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6B"/>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30F6D"/>
    <w:rsid w:val="00347639"/>
    <w:rsid w:val="003871F5"/>
    <w:rsid w:val="003921BD"/>
    <w:rsid w:val="003A2C6B"/>
    <w:rsid w:val="003A5B5C"/>
    <w:rsid w:val="003F301A"/>
    <w:rsid w:val="003F4E5B"/>
    <w:rsid w:val="004116A8"/>
    <w:rsid w:val="00454922"/>
    <w:rsid w:val="004A3667"/>
    <w:rsid w:val="004C082E"/>
    <w:rsid w:val="004C0F3F"/>
    <w:rsid w:val="00500D46"/>
    <w:rsid w:val="00550EF4"/>
    <w:rsid w:val="00591657"/>
    <w:rsid w:val="0059487B"/>
    <w:rsid w:val="005B147F"/>
    <w:rsid w:val="0061537E"/>
    <w:rsid w:val="00627843"/>
    <w:rsid w:val="0068556A"/>
    <w:rsid w:val="00744D89"/>
    <w:rsid w:val="00773BDA"/>
    <w:rsid w:val="00774A94"/>
    <w:rsid w:val="00791262"/>
    <w:rsid w:val="007B2BA9"/>
    <w:rsid w:val="007C4A85"/>
    <w:rsid w:val="007D5A5E"/>
    <w:rsid w:val="007D64D0"/>
    <w:rsid w:val="008047C9"/>
    <w:rsid w:val="00850436"/>
    <w:rsid w:val="00861EEF"/>
    <w:rsid w:val="0086206F"/>
    <w:rsid w:val="00875F82"/>
    <w:rsid w:val="008A3925"/>
    <w:rsid w:val="008C57C4"/>
    <w:rsid w:val="0090064F"/>
    <w:rsid w:val="009719FF"/>
    <w:rsid w:val="00991CFA"/>
    <w:rsid w:val="009A4C7C"/>
    <w:rsid w:val="009D20C4"/>
    <w:rsid w:val="009F4E35"/>
    <w:rsid w:val="00A072FB"/>
    <w:rsid w:val="00A3045B"/>
    <w:rsid w:val="00A52E9A"/>
    <w:rsid w:val="00AB02DE"/>
    <w:rsid w:val="00AB7FD9"/>
    <w:rsid w:val="00AC5870"/>
    <w:rsid w:val="00AE68DE"/>
    <w:rsid w:val="00AF24BB"/>
    <w:rsid w:val="00AF7973"/>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CC236B"/>
    <w:rsid w:val="00CE72F0"/>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A37"/>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322BF1"/>
    <w:rsid w:val="093539EA"/>
    <w:rsid w:val="093707CB"/>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50C2B"/>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6C63A4"/>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1D539F"/>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013D"/>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9782F"/>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93AD7"/>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2FF0270"/>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3789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C25A6"/>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318D1"/>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25F5"/>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C004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925E9"/>
    <w:rsid w:val="50895278"/>
    <w:rsid w:val="508C7A1D"/>
    <w:rsid w:val="508F31C7"/>
    <w:rsid w:val="5095550E"/>
    <w:rsid w:val="509727E6"/>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654EF"/>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A6228"/>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8553E"/>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2DE"/>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792698"/>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00417"/>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DD7AB1"/>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5"/>
    <w:next w:val="5"/>
    <w:qFormat/>
    <w:uiPriority w:val="0"/>
    <w:pPr>
      <w:spacing w:after="120"/>
      <w:jc w:val="both"/>
    </w:pPr>
    <w:rPr>
      <w:sz w:val="21"/>
    </w:r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ody Text Indent"/>
    <w:basedOn w:val="1"/>
    <w:qFormat/>
    <w:uiPriority w:val="0"/>
    <w:pPr>
      <w:spacing w:after="120"/>
      <w:ind w:left="420"/>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Body Text First Indent 2"/>
    <w:basedOn w:val="6"/>
    <w:qFormat/>
    <w:uiPriority w:val="0"/>
    <w:pPr>
      <w:ind w:left="200" w:leftChars="200"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4">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510</Words>
  <Characters>2907</Characters>
  <Lines>24</Lines>
  <Paragraphs>6</Paragraphs>
  <TotalTime>10</TotalTime>
  <ScaleCrop>false</ScaleCrop>
  <LinksUpToDate>false</LinksUpToDate>
  <CharactersWithSpaces>3411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2025-06-04T07:02:00Z</dcterms:created>
  <dc:creator>Adminydtf</dc:creator>
  <cp:lastModifiedBy>杨海波</cp:lastModifiedBy>
  <dcterms:modified xsi:type="dcterms:W3CDTF">2025-09-15T03:55:45Z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9A89880370E1483D9059BAC0A087D315</vt:lpwstr>
  </property>
  <property fmtid="{D5CDD505-2E9C-101B-9397-08002B2CF9AE}" pid="4" name="KSOTemplateDocerSaveRecord">
    <vt:lpwstr>eyJoZGlkIjoiYzYwMTM1NTI0NmVmN2RhNWQ4YzI1Mzc4N2Y3N2VlODUiLCJ1c2VySWQiOiI2MjUxNDEzNjcifQ==</vt:lpwstr>
  </property>
</Properties>
</file>