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B50E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Times New Roman" w:hAnsi="Times New Roman" w:eastAsia="宋体" w:cs="Times New Roman"/>
          <w:b/>
          <w:sz w:val="40"/>
          <w:szCs w:val="40"/>
          <w:lang w:val="en-US" w:eastAsia="zh-CN"/>
        </w:rPr>
      </w:pPr>
      <w:r>
        <w:rPr>
          <w:rFonts w:hint="eastAsia" w:ascii="Times New Roman" w:hAnsi="Times New Roman" w:eastAsia="宋体" w:cs="Times New Roman"/>
          <w:b/>
          <w:sz w:val="40"/>
          <w:szCs w:val="40"/>
        </w:rPr>
        <w:t>2025年南网绿能科技公司</w:t>
      </w:r>
      <w:r>
        <w:rPr>
          <w:rFonts w:hint="eastAsia" w:ascii="Times New Roman" w:hAnsi="Times New Roman" w:eastAsia="宋体" w:cs="Times New Roman"/>
          <w:b/>
          <w:sz w:val="40"/>
          <w:szCs w:val="40"/>
          <w:lang w:val="en-US" w:eastAsia="zh-CN"/>
        </w:rPr>
        <w:t>复合型配网智能声光驱鸟器研发及应用技术服务零星采购综合最优评分说明</w:t>
      </w:r>
    </w:p>
    <w:p w14:paraId="14E5B2B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9"/>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2025年南网绿能科技公司复合型配网智能声光</w:t>
      </w:r>
      <w:bookmarkStart w:id="0" w:name="_GoBack"/>
      <w:bookmarkEnd w:id="0"/>
      <w:r>
        <w:rPr>
          <w:rFonts w:hint="eastAsia" w:ascii="宋体" w:hAnsi="宋体" w:eastAsia="宋体" w:cs="宋体"/>
          <w:kern w:val="0"/>
          <w:sz w:val="24"/>
          <w:szCs w:val="24"/>
          <w:highlight w:val="none"/>
          <w:lang w:val="en-US" w:eastAsia="zh-CN" w:bidi="ar-SA"/>
        </w:rPr>
        <w:t>驱鸟器研发及应用技术服务零星采购选择综合最优者中标，为进一步明确项目综合最优评分标准，特此说明规则：</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4536"/>
        <w:gridCol w:w="1134"/>
      </w:tblGrid>
      <w:tr w14:paraId="0F08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vAlign w:val="center"/>
          </w:tcPr>
          <w:p w14:paraId="7D41F428">
            <w:pPr>
              <w:spacing w:line="400" w:lineRule="exact"/>
              <w:jc w:val="center"/>
            </w:pPr>
            <w:r>
              <w:rPr>
                <w:b/>
              </w:rPr>
              <w:t>序号</w:t>
            </w:r>
          </w:p>
        </w:tc>
        <w:tc>
          <w:tcPr>
            <w:tcW w:w="1701" w:type="dxa"/>
            <w:vAlign w:val="center"/>
          </w:tcPr>
          <w:p w14:paraId="5BCD3E44">
            <w:pPr>
              <w:spacing w:line="400" w:lineRule="exact"/>
              <w:jc w:val="center"/>
            </w:pPr>
            <w:r>
              <w:rPr>
                <w:b/>
              </w:rPr>
              <w:t>详细评审项</w:t>
            </w:r>
          </w:p>
        </w:tc>
        <w:tc>
          <w:tcPr>
            <w:tcW w:w="4536" w:type="dxa"/>
            <w:vAlign w:val="center"/>
          </w:tcPr>
          <w:p w14:paraId="2D866387">
            <w:pPr>
              <w:spacing w:line="400" w:lineRule="exact"/>
              <w:jc w:val="center"/>
            </w:pPr>
            <w:r>
              <w:rPr>
                <w:b/>
              </w:rPr>
              <w:t>详细评审分项要素</w:t>
            </w:r>
          </w:p>
        </w:tc>
        <w:tc>
          <w:tcPr>
            <w:tcW w:w="1134" w:type="dxa"/>
            <w:vAlign w:val="center"/>
          </w:tcPr>
          <w:p w14:paraId="1CC268B4">
            <w:pPr>
              <w:spacing w:line="400" w:lineRule="exact"/>
              <w:jc w:val="center"/>
            </w:pPr>
            <w:r>
              <w:rPr>
                <w:b/>
              </w:rPr>
              <w:t>分值</w:t>
            </w:r>
          </w:p>
        </w:tc>
      </w:tr>
      <w:tr w14:paraId="32BD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14:paraId="7FBEF53E">
            <w:pPr>
              <w:spacing w:line="400" w:lineRule="exact"/>
              <w:jc w:val="center"/>
              <w:rPr>
                <w:rFonts w:hint="eastAsia" w:eastAsiaTheme="minorEastAsia"/>
                <w:lang w:val="en-US" w:eastAsia="zh-CN"/>
              </w:rPr>
            </w:pPr>
            <w:r>
              <w:t>1</w:t>
            </w:r>
          </w:p>
        </w:tc>
        <w:tc>
          <w:tcPr>
            <w:tcW w:w="1701" w:type="dxa"/>
            <w:vMerge w:val="restart"/>
            <w:vAlign w:val="center"/>
          </w:tcPr>
          <w:p w14:paraId="141F5D80">
            <w:pPr>
              <w:spacing w:line="400" w:lineRule="exact"/>
              <w:jc w:val="center"/>
              <w:rPr>
                <w:rFonts w:hint="default" w:eastAsiaTheme="minorEastAsia"/>
                <w:lang w:val="en-US" w:eastAsia="zh-CN"/>
              </w:rPr>
            </w:pPr>
            <w:r>
              <w:rPr>
                <w:rFonts w:hint="eastAsia"/>
                <w:lang w:val="en-US" w:eastAsia="zh-CN"/>
              </w:rPr>
              <w:t>企业资质</w:t>
            </w:r>
          </w:p>
        </w:tc>
        <w:tc>
          <w:tcPr>
            <w:tcW w:w="4536" w:type="dxa"/>
            <w:vAlign w:val="center"/>
          </w:tcPr>
          <w:p w14:paraId="53C7D074">
            <w:pPr>
              <w:spacing w:line="400" w:lineRule="exact"/>
              <w:jc w:val="left"/>
              <w:rPr>
                <w:rFonts w:hint="eastAsia"/>
                <w:highlight w:val="none"/>
                <w:lang w:val="en-US" w:eastAsia="zh-CN"/>
              </w:rPr>
            </w:pPr>
            <w:r>
              <w:rPr>
                <w:rFonts w:hint="eastAsia"/>
                <w:highlight w:val="none"/>
                <w:lang w:val="en-US" w:eastAsia="zh-CN"/>
              </w:rPr>
              <w:t>具有职业健康管理体系认证证书（ISO45001）、质量管理体系认证证书（ISO9001）、环境管理体系认证证书（ISO14001）以及信息安全管理体系认证证书（ISO27001）等采购项目领域相关专业证书，每项5分，最高分值为20分。</w:t>
            </w:r>
          </w:p>
          <w:p w14:paraId="3CF89550">
            <w:pPr>
              <w:spacing w:line="400" w:lineRule="exact"/>
              <w:jc w:val="left"/>
              <w:rPr>
                <w:rFonts w:hint="default"/>
                <w:highlight w:val="none"/>
                <w:lang w:val="en-US" w:eastAsia="zh-CN"/>
              </w:rPr>
            </w:pPr>
            <w:r>
              <w:rPr>
                <w:rFonts w:hint="eastAsia"/>
                <w:highlight w:val="none"/>
                <w:lang w:val="en-US" w:eastAsia="zh-CN"/>
              </w:rPr>
              <w:t>注：提供认证证书等证明材料，证书在有效期内，未提供佐证材料相关证书不得分。</w:t>
            </w:r>
          </w:p>
        </w:tc>
        <w:tc>
          <w:tcPr>
            <w:tcW w:w="1134" w:type="dxa"/>
            <w:vAlign w:val="center"/>
          </w:tcPr>
          <w:p w14:paraId="40996B53">
            <w:pPr>
              <w:spacing w:line="400" w:lineRule="exact"/>
              <w:jc w:val="center"/>
              <w:rPr>
                <w:rFonts w:hint="default"/>
                <w:lang w:val="en-US"/>
              </w:rPr>
            </w:pPr>
            <w:r>
              <w:rPr>
                <w:rFonts w:hint="eastAsia"/>
                <w:lang w:val="en-US" w:eastAsia="zh-CN"/>
              </w:rPr>
              <w:t>20</w:t>
            </w:r>
          </w:p>
        </w:tc>
      </w:tr>
      <w:tr w14:paraId="1A5F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14:paraId="6443264C">
            <w:pPr>
              <w:spacing w:line="400" w:lineRule="exact"/>
              <w:jc w:val="center"/>
              <w:rPr>
                <w:rFonts w:hint="eastAsia" w:eastAsiaTheme="minorEastAsia"/>
                <w:lang w:val="en-US" w:eastAsia="zh-CN"/>
              </w:rPr>
            </w:pPr>
          </w:p>
        </w:tc>
        <w:tc>
          <w:tcPr>
            <w:tcW w:w="1701" w:type="dxa"/>
            <w:vMerge w:val="continue"/>
            <w:vAlign w:val="center"/>
          </w:tcPr>
          <w:p w14:paraId="5496A9AA">
            <w:pPr>
              <w:spacing w:line="400" w:lineRule="exact"/>
              <w:jc w:val="center"/>
              <w:rPr>
                <w:rFonts w:hint="eastAsia"/>
                <w:lang w:val="en-US" w:eastAsia="zh-CN"/>
              </w:rPr>
            </w:pPr>
          </w:p>
        </w:tc>
        <w:tc>
          <w:tcPr>
            <w:tcW w:w="4536" w:type="dxa"/>
            <w:vAlign w:val="center"/>
          </w:tcPr>
          <w:p w14:paraId="1D806211">
            <w:pPr>
              <w:spacing w:line="400" w:lineRule="exact"/>
              <w:jc w:val="left"/>
              <w:rPr>
                <w:rFonts w:hint="default"/>
                <w:highlight w:val="none"/>
                <w:lang w:val="en-US" w:eastAsia="zh-CN"/>
              </w:rPr>
            </w:pPr>
            <w:r>
              <w:rPr>
                <w:rFonts w:hint="eastAsia"/>
                <w:highlight w:val="none"/>
                <w:lang w:val="en-US" w:eastAsia="zh-CN"/>
              </w:rPr>
              <w:t>获得高新技术企业认证。提供认证证书等证明材料，证书在有效期内，未提供佐证材料相关证书不得分。</w:t>
            </w:r>
          </w:p>
        </w:tc>
        <w:tc>
          <w:tcPr>
            <w:tcW w:w="1134" w:type="dxa"/>
            <w:vAlign w:val="center"/>
          </w:tcPr>
          <w:p w14:paraId="29BA305C">
            <w:pPr>
              <w:spacing w:line="400" w:lineRule="exact"/>
              <w:jc w:val="center"/>
              <w:rPr>
                <w:rFonts w:hint="default"/>
                <w:lang w:val="en-US" w:eastAsia="zh-CN"/>
              </w:rPr>
            </w:pPr>
            <w:r>
              <w:rPr>
                <w:rFonts w:hint="eastAsia"/>
                <w:lang w:val="en-US" w:eastAsia="zh-CN"/>
              </w:rPr>
              <w:t>10</w:t>
            </w:r>
          </w:p>
        </w:tc>
      </w:tr>
      <w:tr w14:paraId="2758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5E06AD01">
            <w:pPr>
              <w:spacing w:line="400" w:lineRule="exact"/>
              <w:jc w:val="center"/>
              <w:rPr>
                <w:rFonts w:hint="default" w:eastAsiaTheme="minorEastAsia"/>
                <w:lang w:val="en-US" w:eastAsia="zh-CN"/>
              </w:rPr>
            </w:pPr>
            <w:r>
              <w:rPr>
                <w:rFonts w:hint="eastAsia"/>
                <w:lang w:val="en-US" w:eastAsia="zh-CN"/>
              </w:rPr>
              <w:t>2</w:t>
            </w:r>
          </w:p>
        </w:tc>
        <w:tc>
          <w:tcPr>
            <w:tcW w:w="1701" w:type="dxa"/>
            <w:vAlign w:val="center"/>
          </w:tcPr>
          <w:p w14:paraId="15D73287">
            <w:pPr>
              <w:spacing w:line="400" w:lineRule="exact"/>
              <w:jc w:val="center"/>
              <w:rPr>
                <w:rFonts w:hint="default"/>
                <w:lang w:val="en-US" w:eastAsia="zh-CN"/>
              </w:rPr>
            </w:pPr>
            <w:r>
              <w:rPr>
                <w:rFonts w:hint="eastAsia"/>
                <w:lang w:val="en-US" w:eastAsia="zh-CN"/>
              </w:rPr>
              <w:t>价格计算得分</w:t>
            </w:r>
          </w:p>
        </w:tc>
        <w:tc>
          <w:tcPr>
            <w:tcW w:w="4536" w:type="dxa"/>
            <w:vAlign w:val="center"/>
          </w:tcPr>
          <w:p w14:paraId="75639CA1">
            <w:pPr>
              <w:spacing w:line="400" w:lineRule="exact"/>
              <w:jc w:val="left"/>
              <w:rPr>
                <w:rFonts w:hint="eastAsia"/>
                <w:lang w:val="en-US" w:eastAsia="zh-CN"/>
              </w:rPr>
            </w:pPr>
            <w:r>
              <w:t>按照</w:t>
            </w:r>
            <w:r>
              <w:rPr>
                <w:rFonts w:hint="eastAsia"/>
                <w:lang w:val="en-US" w:eastAsia="zh-CN"/>
              </w:rPr>
              <w:t>价格</w:t>
            </w:r>
            <w:r>
              <w:t>数值由</w:t>
            </w:r>
            <w:r>
              <w:rPr>
                <w:rFonts w:hint="eastAsia"/>
                <w:lang w:val="en-US" w:eastAsia="zh-CN"/>
              </w:rPr>
              <w:t>小</w:t>
            </w:r>
            <w:r>
              <w:t>到</w:t>
            </w:r>
            <w:r>
              <w:rPr>
                <w:rFonts w:hint="eastAsia"/>
                <w:lang w:val="en-US" w:eastAsia="zh-CN"/>
              </w:rPr>
              <w:t>大</w:t>
            </w:r>
            <w:r>
              <w:t>横向排名，第一名得满分，每下降一名扣相应比例分数（总分/通过</w:t>
            </w:r>
            <w:r>
              <w:rPr>
                <w:rFonts w:hint="eastAsia"/>
                <w:lang w:val="en-US" w:eastAsia="zh-CN"/>
              </w:rPr>
              <w:t>初审</w:t>
            </w:r>
            <w:r>
              <w:t>的投标人数量）。相同数值排名一致，之后排名依次增加（如排名第一者有2家，则之后一家按排名第二处理），最后得分四舍五入保留2位小数。</w:t>
            </w:r>
          </w:p>
        </w:tc>
        <w:tc>
          <w:tcPr>
            <w:tcW w:w="1134" w:type="dxa"/>
            <w:vAlign w:val="center"/>
          </w:tcPr>
          <w:p w14:paraId="2A0F4BFB">
            <w:pPr>
              <w:spacing w:line="400" w:lineRule="exact"/>
              <w:jc w:val="center"/>
              <w:rPr>
                <w:rFonts w:hint="default"/>
                <w:lang w:val="en-US" w:eastAsia="zh-CN"/>
              </w:rPr>
            </w:pPr>
            <w:r>
              <w:rPr>
                <w:rFonts w:hint="eastAsia"/>
                <w:lang w:val="en-US" w:eastAsia="zh-CN"/>
              </w:rPr>
              <w:t>35</w:t>
            </w:r>
          </w:p>
        </w:tc>
      </w:tr>
      <w:tr w14:paraId="164C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55011384">
            <w:pPr>
              <w:spacing w:line="400" w:lineRule="exact"/>
              <w:jc w:val="center"/>
              <w:rPr>
                <w:rFonts w:hint="default"/>
                <w:lang w:val="en-US" w:eastAsia="zh-CN"/>
              </w:rPr>
            </w:pPr>
            <w:r>
              <w:rPr>
                <w:rFonts w:hint="eastAsia"/>
                <w:lang w:val="en-US" w:eastAsia="zh-CN"/>
              </w:rPr>
              <w:t>3</w:t>
            </w:r>
          </w:p>
        </w:tc>
        <w:tc>
          <w:tcPr>
            <w:tcW w:w="1701" w:type="dxa"/>
            <w:vAlign w:val="center"/>
          </w:tcPr>
          <w:p w14:paraId="51136AE6">
            <w:pPr>
              <w:spacing w:line="400" w:lineRule="exact"/>
              <w:jc w:val="center"/>
              <w:rPr>
                <w:rFonts w:hint="default"/>
                <w:lang w:val="en-US" w:eastAsia="zh-CN"/>
              </w:rPr>
            </w:pPr>
            <w:r>
              <w:rPr>
                <w:rFonts w:hint="eastAsia"/>
                <w:lang w:val="en-US" w:eastAsia="zh-CN"/>
              </w:rPr>
              <w:t>研发团队</w:t>
            </w:r>
          </w:p>
        </w:tc>
        <w:tc>
          <w:tcPr>
            <w:tcW w:w="4536" w:type="dxa"/>
            <w:vAlign w:val="center"/>
          </w:tcPr>
          <w:p w14:paraId="1416AEF6">
            <w:pPr>
              <w:spacing w:line="400" w:lineRule="exact"/>
              <w:jc w:val="left"/>
              <w:rPr>
                <w:rFonts w:hint="default"/>
                <w:lang w:val="en-US" w:eastAsia="zh-CN"/>
              </w:rPr>
            </w:pPr>
            <w:r>
              <w:rPr>
                <w:rFonts w:hint="eastAsia"/>
                <w:lang w:val="en-US" w:eastAsia="zh-CN"/>
              </w:rPr>
              <w:t>团队成员10人以上的，</w:t>
            </w:r>
            <w:r>
              <w:rPr>
                <w:rFonts w:hint="default"/>
                <w:lang w:val="en-US" w:eastAsia="zh-CN"/>
              </w:rPr>
              <w:t>得</w:t>
            </w:r>
            <w:r>
              <w:rPr>
                <w:rFonts w:hint="eastAsia"/>
                <w:lang w:val="en-US" w:eastAsia="zh-CN"/>
              </w:rPr>
              <w:t>基础分20</w:t>
            </w:r>
            <w:r>
              <w:rPr>
                <w:rFonts w:hint="default"/>
                <w:lang w:val="en-US" w:eastAsia="zh-CN"/>
              </w:rPr>
              <w:t>分</w:t>
            </w:r>
            <w:r>
              <w:rPr>
                <w:rFonts w:hint="eastAsia"/>
                <w:lang w:val="en-US" w:eastAsia="zh-CN"/>
              </w:rPr>
              <w:t>；</w:t>
            </w:r>
            <w:r>
              <w:rPr>
                <w:rFonts w:hint="default"/>
                <w:lang w:val="en-US" w:eastAsia="zh-CN"/>
              </w:rPr>
              <w:t>其中技术人员</w:t>
            </w:r>
            <w:r>
              <w:rPr>
                <w:rFonts w:hint="eastAsia"/>
                <w:lang w:val="en-US" w:eastAsia="zh-CN"/>
              </w:rPr>
              <w:t>学历为本科及以上的，每人加3分；技术人员</w:t>
            </w:r>
            <w:r>
              <w:rPr>
                <w:rFonts w:hint="default"/>
                <w:lang w:val="en-US" w:eastAsia="zh-CN"/>
              </w:rPr>
              <w:t>为高级工程师</w:t>
            </w:r>
            <w:r>
              <w:rPr>
                <w:rFonts w:hint="eastAsia"/>
                <w:lang w:val="en-US" w:eastAsia="zh-CN"/>
              </w:rPr>
              <w:t>或持PMP项目管理证书的，</w:t>
            </w:r>
            <w:r>
              <w:rPr>
                <w:rFonts w:hint="default"/>
                <w:lang w:val="en-US" w:eastAsia="zh-CN"/>
              </w:rPr>
              <w:t>每</w:t>
            </w:r>
            <w:r>
              <w:rPr>
                <w:rFonts w:hint="eastAsia"/>
                <w:lang w:val="en-US" w:eastAsia="zh-CN"/>
              </w:rPr>
              <w:t>1</w:t>
            </w:r>
            <w:r>
              <w:rPr>
                <w:rFonts w:hint="default"/>
                <w:lang w:val="en-US" w:eastAsia="zh-CN"/>
              </w:rPr>
              <w:t>人加</w:t>
            </w:r>
            <w:r>
              <w:rPr>
                <w:rFonts w:hint="eastAsia"/>
                <w:lang w:val="en-US" w:eastAsia="zh-CN"/>
              </w:rPr>
              <w:t>3</w:t>
            </w:r>
            <w:r>
              <w:rPr>
                <w:rFonts w:hint="default"/>
                <w:lang w:val="en-US" w:eastAsia="zh-CN"/>
              </w:rPr>
              <w:t>分</w:t>
            </w:r>
            <w:r>
              <w:rPr>
                <w:rFonts w:hint="eastAsia"/>
                <w:lang w:val="en-US" w:eastAsia="zh-CN"/>
              </w:rPr>
              <w:t>，</w:t>
            </w:r>
            <w:r>
              <w:rPr>
                <w:rFonts w:hint="default"/>
                <w:lang w:val="en-US" w:eastAsia="zh-CN"/>
              </w:rPr>
              <w:t>最多加</w:t>
            </w:r>
            <w:r>
              <w:rPr>
                <w:rFonts w:hint="eastAsia"/>
                <w:lang w:val="en-US" w:eastAsia="zh-CN"/>
              </w:rPr>
              <w:t>15</w:t>
            </w:r>
            <w:r>
              <w:rPr>
                <w:rFonts w:hint="default"/>
                <w:lang w:val="en-US" w:eastAsia="zh-CN"/>
              </w:rPr>
              <w:t>分</w:t>
            </w:r>
            <w:r>
              <w:rPr>
                <w:rFonts w:hint="eastAsia"/>
                <w:lang w:val="en-US" w:eastAsia="zh-CN"/>
              </w:rPr>
              <w:t>。</w:t>
            </w:r>
          </w:p>
          <w:p w14:paraId="3F0D43C6">
            <w:pPr>
              <w:spacing w:line="400" w:lineRule="exact"/>
              <w:jc w:val="left"/>
              <w:rPr>
                <w:rFonts w:hint="default"/>
                <w:lang w:val="en-US" w:eastAsia="zh-CN"/>
              </w:rPr>
            </w:pPr>
            <w:r>
              <w:rPr>
                <w:rFonts w:hint="eastAsia"/>
                <w:lang w:val="en-US" w:eastAsia="zh-CN"/>
              </w:rPr>
              <w:t>注：</w:t>
            </w:r>
            <w:r>
              <w:rPr>
                <w:rFonts w:hint="default"/>
                <w:lang w:val="en-US" w:eastAsia="zh-CN"/>
              </w:rPr>
              <w:t>提供相关人员近半年社保证明、学历证书、职称证书等相关证明材料</w:t>
            </w:r>
            <w:r>
              <w:rPr>
                <w:rFonts w:hint="eastAsia"/>
                <w:lang w:val="en-US" w:eastAsia="zh-CN"/>
              </w:rPr>
              <w:t>，</w:t>
            </w:r>
            <w:r>
              <w:rPr>
                <w:rFonts w:hint="eastAsia"/>
                <w:highlight w:val="none"/>
                <w:lang w:val="en-US" w:eastAsia="zh-CN"/>
              </w:rPr>
              <w:t>未提供佐证材料相关证书不得分。</w:t>
            </w:r>
          </w:p>
        </w:tc>
        <w:tc>
          <w:tcPr>
            <w:tcW w:w="1134" w:type="dxa"/>
            <w:vAlign w:val="center"/>
          </w:tcPr>
          <w:p w14:paraId="67D71B69">
            <w:pPr>
              <w:spacing w:line="400" w:lineRule="exact"/>
              <w:jc w:val="center"/>
              <w:rPr>
                <w:rFonts w:hint="default"/>
                <w:lang w:val="en-US" w:eastAsia="zh-CN"/>
              </w:rPr>
            </w:pPr>
            <w:r>
              <w:rPr>
                <w:rFonts w:hint="eastAsia"/>
                <w:lang w:val="en-US" w:eastAsia="zh-CN"/>
              </w:rPr>
              <w:t>35</w:t>
            </w:r>
          </w:p>
        </w:tc>
      </w:tr>
    </w:tbl>
    <w:p w14:paraId="41C9FBC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9"/>
        <w:rPr>
          <w:rFonts w:hint="default" w:ascii="微软雅黑" w:hAnsi="微软雅黑" w:eastAsia="微软雅黑" w:cs="微软雅黑"/>
          <w:i w:val="0"/>
          <w:iCs w:val="0"/>
          <w:caps w:val="0"/>
          <w:color w:val="333333"/>
          <w:spacing w:val="0"/>
          <w:sz w:val="21"/>
          <w:szCs w:val="21"/>
          <w:shd w:val="clear" w:fill="FFFFFF"/>
          <w:lang w:val="en-US" w:eastAsia="zh-CN"/>
        </w:rPr>
      </w:pPr>
      <w:r>
        <w:rPr>
          <w:rFonts w:hint="eastAsia" w:ascii="宋体" w:hAnsi="宋体" w:eastAsia="宋体" w:cs="宋体"/>
          <w:kern w:val="0"/>
          <w:sz w:val="24"/>
          <w:szCs w:val="24"/>
          <w:highlight w:val="none"/>
          <w:lang w:val="en-US" w:eastAsia="zh-CN" w:bidi="ar-SA"/>
        </w:rPr>
        <w:t>根据计算得分最高作为综合最优中标单位，如果得分最高中出现同分，得分最高中价低者作为综合最优中标单位。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B96231"/>
    <w:rsid w:val="104B26C9"/>
    <w:rsid w:val="1524070B"/>
    <w:rsid w:val="1998223B"/>
    <w:rsid w:val="1DA90A2F"/>
    <w:rsid w:val="2D591A09"/>
    <w:rsid w:val="31426F60"/>
    <w:rsid w:val="32CF24C2"/>
    <w:rsid w:val="347921E3"/>
    <w:rsid w:val="38720266"/>
    <w:rsid w:val="49A12AC4"/>
    <w:rsid w:val="5A6B76D7"/>
    <w:rsid w:val="5F4973A1"/>
    <w:rsid w:val="615B6E86"/>
    <w:rsid w:val="701906BA"/>
    <w:rsid w:val="74B7053E"/>
    <w:rsid w:val="7D6A5E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Body Text First Indent"/>
    <w:basedOn w:val="1"/>
    <w:qFormat/>
    <w:uiPriority w:val="0"/>
    <w:pPr>
      <w:adjustRightInd/>
      <w:ind w:firstLine="560" w:firstLineChars="200"/>
      <w:jc w:val="left"/>
      <w:textAlignment w:val="auto"/>
    </w:pPr>
    <w:rPr>
      <w:rFonts w:ascii="Arial" w:hAnsi="Arial"/>
      <w:kern w:val="2"/>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594</Words>
  <Characters>637</Characters>
  <Lines>0</Lines>
  <Paragraphs>0</Paragraphs>
  <TotalTime>3</TotalTime>
  <ScaleCrop>false</ScaleCrop>
  <LinksUpToDate>false</LinksUpToDate>
  <CharactersWithSpaces>637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2025-02-07T16:12:00Z</dcterms:created>
  <dc:creator>zhouwu</dc:creator>
  <cp:lastModifiedBy>woo张炜</cp:lastModifiedBy>
  <cp:lastPrinted>2025-03-14T09:03:00Z</cp:lastPrinted>
  <dcterms:modified xsi:type="dcterms:W3CDTF">2025-08-21T01:11:49Z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372EAD0AEB2C4FB8AB3B8FD364C65EB7_13</vt:lpwstr>
  </property>
  <property fmtid="{D5CDD505-2E9C-101B-9397-08002B2CF9AE}" pid="4" name="KSOTemplateDocerSaveRecord">
    <vt:lpwstr>eyJoZGlkIjoiZTkyZWQ0NTljOWU1ZTQwMGY0NDkwYzc5YTA1NWM0NGEiLCJ1c2VySWQiOiIzMDU4OTYxMTkifQ==</vt:lpwstr>
  </property>
</Properties>
</file>