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b/>
          <w:bCs/>
          <w:sz w:val="28"/>
          <w:szCs w:val="24"/>
        </w:rPr>
      </w:pPr>
      <w:r>
        <w:rPr>
          <w:rFonts w:hint="eastAsia"/>
          <w:b/>
          <w:bCs/>
          <w:sz w:val="28"/>
          <w:szCs w:val="24"/>
          <w:lang w:val="en-US" w:eastAsia="zh-CN"/>
        </w:rPr>
        <w:t>南方电网财务有限公司</w:t>
      </w:r>
    </w:p>
    <w:p>
      <w:pPr>
        <w:bidi w:val="0"/>
        <w:jc w:val="center"/>
        <w:rPr>
          <w:rFonts w:hint="eastAsia"/>
          <w:b/>
          <w:bCs/>
          <w:sz w:val="28"/>
          <w:szCs w:val="24"/>
        </w:rPr>
      </w:pPr>
      <w:r>
        <w:rPr>
          <w:rFonts w:hint="eastAsia"/>
          <w:b/>
          <w:bCs/>
          <w:sz w:val="28"/>
          <w:szCs w:val="24"/>
          <w:lang w:val="en-US" w:eastAsia="zh-CN"/>
        </w:rPr>
        <w:t>2025年度银行账簿利率风险管理体系建设服务采购</w:t>
      </w:r>
      <w:r>
        <w:rPr>
          <w:rFonts w:hint="eastAsia"/>
          <w:b/>
          <w:bCs/>
          <w:sz w:val="28"/>
          <w:szCs w:val="24"/>
        </w:rPr>
        <w:t>项目</w:t>
      </w:r>
    </w:p>
    <w:p>
      <w:pPr>
        <w:bidi w:val="0"/>
        <w:jc w:val="center"/>
        <w:rPr>
          <w:rFonts w:hint="eastAsia"/>
          <w:b/>
          <w:bCs/>
          <w:sz w:val="28"/>
          <w:szCs w:val="24"/>
        </w:rPr>
      </w:pPr>
      <w:r>
        <w:rPr>
          <w:rFonts w:hint="eastAsia"/>
          <w:b/>
          <w:bCs/>
          <w:sz w:val="28"/>
          <w:szCs w:val="24"/>
        </w:rPr>
        <w:t>零星采购技术附件</w:t>
      </w:r>
    </w:p>
    <w:p>
      <w:pPr>
        <w:spacing w:beforeLines="0" w:afterLines="0"/>
        <w:jc w:val="left"/>
        <w:rPr>
          <w:rFonts w:hint="eastAsia" w:ascii="宋体" w:hAnsi="宋体" w:eastAsia="宋体"/>
          <w:b/>
          <w:bCs/>
          <w:color w:val="000000"/>
          <w:sz w:val="28"/>
          <w:szCs w:val="36"/>
        </w:rPr>
      </w:pPr>
      <w:r>
        <w:rPr>
          <w:rFonts w:hint="eastAsia" w:ascii="宋体" w:hAnsi="宋体" w:eastAsia="宋体"/>
          <w:b/>
          <w:bCs/>
          <w:color w:val="000000"/>
          <w:sz w:val="28"/>
          <w:szCs w:val="36"/>
        </w:rPr>
        <w:t>一、采购范围及要求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jc w:val="both"/>
        <w:textAlignment w:val="auto"/>
        <w:rPr>
          <w:rFonts w:hint="default"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开展南方电网财务有限公司银行账簿利率风险管理体系建设服务相关工作，根据最新的相关国家政策、行业信息和甲方提供的材料，协助完成公司银行帐簿利率风险管理体系建设。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jc w:val="both"/>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主要内容包括：</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jc w:val="both"/>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协助甲方搜集、整理、完善所需材料，完成公司银行账簿利率风险管理制度体系建设（包括但不限于治理架构、政策制度、识别与计量、管理与控制等）；</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jc w:val="both"/>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根据财务公司行业特点及公司实际，协助完善银行账簿利率风险管理各计量模型构建及模型落地实施；</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20"/>
        <w:jc w:val="both"/>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提供相关咨询意见和建议，协助开展培训；</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20"/>
        <w:jc w:val="both"/>
        <w:textAlignment w:val="auto"/>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费用包含：咨询费、辅导费、税费等费</w:t>
      </w:r>
      <w:bookmarkStart w:id="0" w:name="_GoBack"/>
      <w:bookmarkEnd w:id="0"/>
      <w:r>
        <w:rPr>
          <w:rFonts w:hint="eastAsia" w:ascii="仿宋_GB2312" w:hAnsi="仿宋_GB2312" w:eastAsia="仿宋_GB2312" w:cs="仿宋_GB2312"/>
          <w:sz w:val="24"/>
          <w:szCs w:val="32"/>
          <w:lang w:val="en-US" w:eastAsia="zh-CN"/>
        </w:rPr>
        <w:t>用。</w:t>
      </w:r>
    </w:p>
    <w:p>
      <w:pPr>
        <w:spacing w:beforeLines="0" w:afterLines="0"/>
        <w:jc w:val="left"/>
        <w:rPr>
          <w:rFonts w:hint="eastAsia" w:ascii="宋体" w:hAnsi="宋体" w:eastAsia="宋体"/>
          <w:color w:val="0000FF"/>
          <w:sz w:val="21"/>
          <w:szCs w:val="24"/>
        </w:rPr>
      </w:pPr>
    </w:p>
    <w:p>
      <w:pPr>
        <w:numPr>
          <w:ilvl w:val="0"/>
          <w:numId w:val="3"/>
        </w:numPr>
        <w:rPr>
          <w:rFonts w:hint="eastAsia" w:ascii="宋体" w:hAnsi="宋体" w:eastAsia="宋体"/>
          <w:b/>
          <w:bCs/>
          <w:color w:val="000000"/>
          <w:sz w:val="28"/>
          <w:szCs w:val="36"/>
        </w:rPr>
      </w:pPr>
      <w:r>
        <w:rPr>
          <w:rFonts w:hint="eastAsia" w:ascii="宋体" w:hAnsi="宋体" w:eastAsia="宋体"/>
          <w:b/>
          <w:bCs/>
          <w:color w:val="000000"/>
          <w:sz w:val="28"/>
          <w:szCs w:val="36"/>
        </w:rPr>
        <w:t>资格条件</w:t>
      </w:r>
    </w:p>
    <w:tbl>
      <w:tblPr>
        <w:tblStyle w:val="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7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序号</w:t>
            </w:r>
          </w:p>
        </w:tc>
        <w:tc>
          <w:tcPr>
            <w:tcW w:w="4582"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1</w:t>
            </w:r>
          </w:p>
        </w:tc>
        <w:tc>
          <w:tcPr>
            <w:tcW w:w="4582"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2</w:t>
            </w:r>
          </w:p>
        </w:tc>
        <w:tc>
          <w:tcPr>
            <w:tcW w:w="4582"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3</w:t>
            </w:r>
          </w:p>
        </w:tc>
        <w:tc>
          <w:tcPr>
            <w:tcW w:w="4582"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报价单位没有被中国南方电网有限责任公司暂停或取消其投标资格的。</w:t>
            </w:r>
          </w:p>
        </w:tc>
      </w:tr>
    </w:tbl>
    <w:p>
      <w:pPr>
        <w:numPr>
          <w:ilvl w:val="0"/>
          <w:numId w:val="0"/>
        </w:numPr>
        <w:rPr>
          <w:rFonts w:hint="eastAsia" w:ascii="宋体" w:hAnsi="宋体" w:eastAsia="宋体"/>
          <w:b/>
          <w:bCs/>
          <w:color w:val="000000"/>
          <w:sz w:val="28"/>
          <w:szCs w:val="36"/>
        </w:rPr>
      </w:pPr>
    </w:p>
    <w:p>
      <w:pPr>
        <w:numPr>
          <w:ilvl w:val="0"/>
          <w:numId w:val="3"/>
        </w:numPr>
        <w:rPr>
          <w:rFonts w:hint="eastAsia" w:ascii="宋体" w:hAnsi="宋体" w:eastAsia="宋体" w:cs="Times New Roman"/>
          <w:b/>
          <w:bCs/>
          <w:color w:val="000000"/>
          <w:sz w:val="28"/>
          <w:szCs w:val="36"/>
        </w:rPr>
      </w:pPr>
      <w:r>
        <w:rPr>
          <w:rFonts w:hint="eastAsia" w:ascii="宋体" w:hAnsi="宋体" w:eastAsia="宋体" w:cs="Times New Roman"/>
          <w:b/>
          <w:bCs/>
          <w:color w:val="000000"/>
          <w:sz w:val="28"/>
          <w:szCs w:val="36"/>
        </w:rPr>
        <w:t>成交办法</w:t>
      </w:r>
    </w:p>
    <w:p>
      <w:pPr>
        <w:numPr>
          <w:ilvl w:val="0"/>
          <w:numId w:val="0"/>
        </w:numPr>
        <w:ind w:firstLine="480" w:firstLineChars="20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根据《中国南方电网有限责任公司零星采购管理业务指导书》，对于技术要求高、服务质量影响大的标的，可推荐“质量、价格、售后”综合最优的作为成交供应商，由承办人说明原因并提交评审意见报审。</w:t>
      </w:r>
    </w:p>
    <w:p>
      <w:pPr>
        <w:numPr>
          <w:ilvl w:val="0"/>
          <w:numId w:val="0"/>
        </w:numPr>
        <w:ind w:firstLine="0" w:firstLineChars="0"/>
        <w:jc w:val="both"/>
        <w:rPr>
          <w:rFonts w:hint="eastAsia" w:ascii="仿宋_GB2312" w:hAnsi="仿宋_GB2312" w:eastAsia="仿宋_GB2312" w:cs="仿宋_GB2312"/>
          <w:sz w:val="24"/>
          <w:szCs w:val="24"/>
        </w:rPr>
      </w:pPr>
    </w:p>
    <w:p>
      <w:pPr>
        <w:numPr>
          <w:ilvl w:val="0"/>
          <w:numId w:val="0"/>
        </w:numPr>
        <w:ind w:firstLine="0" w:firstLineChars="0"/>
        <w:jc w:val="both"/>
        <w:rPr>
          <w:rFonts w:hint="eastAsia" w:ascii="仿宋_GB2312" w:hAnsi="仿宋_GB2312" w:eastAsia="仿宋_GB2312" w:cs="仿宋_GB2312"/>
          <w:sz w:val="24"/>
          <w:szCs w:val="24"/>
        </w:rPr>
      </w:pPr>
    </w:p>
    <w:p>
      <w:pPr>
        <w:numPr>
          <w:ilvl w:val="0"/>
          <w:numId w:val="3"/>
        </w:numPr>
        <w:rPr>
          <w:rFonts w:hint="eastAsia" w:ascii="宋体" w:hAnsi="宋体" w:eastAsia="宋体" w:cs="Times New Roman"/>
          <w:b/>
          <w:bCs/>
          <w:color w:val="000000"/>
          <w:sz w:val="28"/>
          <w:szCs w:val="36"/>
          <w:lang w:val="en-US" w:eastAsia="zh-CN"/>
        </w:rPr>
      </w:pPr>
      <w:r>
        <w:rPr>
          <w:rFonts w:hint="eastAsia" w:ascii="宋体" w:hAnsi="宋体" w:eastAsia="宋体" w:cs="Times New Roman"/>
          <w:b/>
          <w:bCs/>
          <w:color w:val="000000"/>
          <w:sz w:val="28"/>
          <w:szCs w:val="36"/>
          <w:lang w:val="en-US" w:eastAsia="zh-CN"/>
        </w:rPr>
        <w:t>报价表</w:t>
      </w:r>
    </w:p>
    <w:p>
      <w:pPr>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表1 报价明细表</w:t>
      </w:r>
    </w:p>
    <w:tbl>
      <w:tblPr>
        <w:tblStyle w:val="2"/>
        <w:tblW w:w="5011" w:type="pct"/>
        <w:jc w:val="center"/>
        <w:tblLayout w:type="autofit"/>
        <w:tblCellMar>
          <w:top w:w="0" w:type="dxa"/>
          <w:left w:w="0" w:type="dxa"/>
          <w:bottom w:w="0" w:type="dxa"/>
          <w:right w:w="0" w:type="dxa"/>
        </w:tblCellMar>
      </w:tblPr>
      <w:tblGrid>
        <w:gridCol w:w="630"/>
        <w:gridCol w:w="3139"/>
        <w:gridCol w:w="724"/>
        <w:gridCol w:w="1304"/>
        <w:gridCol w:w="1124"/>
        <w:gridCol w:w="1416"/>
      </w:tblGrid>
      <w:tr>
        <w:tblPrEx>
          <w:tblCellMar>
            <w:top w:w="0" w:type="dxa"/>
            <w:left w:w="0" w:type="dxa"/>
            <w:bottom w:w="0" w:type="dxa"/>
            <w:right w:w="0" w:type="dxa"/>
          </w:tblCellMar>
        </w:tblPrEx>
        <w:trPr>
          <w:trHeight w:val="511" w:hRule="atLeast"/>
          <w:jc w:val="center"/>
        </w:trPr>
        <w:tc>
          <w:tcPr>
            <w:tcW w:w="378" w:type="pct"/>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b/>
                <w:bCs/>
                <w:color w:val="000000"/>
                <w:sz w:val="21"/>
                <w:szCs w:val="21"/>
              </w:rPr>
              <w:t>序号</w:t>
            </w:r>
          </w:p>
        </w:tc>
        <w:tc>
          <w:tcPr>
            <w:tcW w:w="1882" w:type="pct"/>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b/>
                <w:bCs/>
                <w:color w:val="000000"/>
                <w:sz w:val="21"/>
                <w:szCs w:val="21"/>
              </w:rPr>
              <w:t>报价项目</w:t>
            </w:r>
          </w:p>
        </w:tc>
        <w:tc>
          <w:tcPr>
            <w:tcW w:w="434"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color w:val="000000"/>
                <w:sz w:val="21"/>
                <w:szCs w:val="21"/>
              </w:rPr>
            </w:pPr>
            <w:r>
              <w:rPr>
                <w:rFonts w:hint="eastAsia" w:ascii="仿宋_GB2312" w:hAnsi="仿宋_GB2312" w:eastAsia="仿宋_GB2312" w:cs="仿宋_GB2312"/>
                <w:b/>
                <w:color w:val="000000"/>
                <w:sz w:val="21"/>
                <w:szCs w:val="21"/>
              </w:rPr>
              <w:t>数量</w:t>
            </w:r>
          </w:p>
        </w:tc>
        <w:tc>
          <w:tcPr>
            <w:tcW w:w="782"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color w:val="000000"/>
                <w:sz w:val="21"/>
                <w:szCs w:val="21"/>
                <w:lang w:eastAsia="zh-CN"/>
              </w:rPr>
            </w:pPr>
            <w:r>
              <w:rPr>
                <w:rFonts w:hint="eastAsia" w:ascii="仿宋_GB2312" w:hAnsi="仿宋_GB2312" w:eastAsia="仿宋_GB2312" w:cs="仿宋_GB2312"/>
                <w:b/>
                <w:color w:val="000000"/>
                <w:sz w:val="21"/>
                <w:szCs w:val="21"/>
                <w:lang w:val="en-US" w:eastAsia="zh-CN"/>
              </w:rPr>
              <w:t>含税</w:t>
            </w:r>
            <w:r>
              <w:rPr>
                <w:rFonts w:hint="eastAsia" w:ascii="仿宋_GB2312" w:hAnsi="仿宋_GB2312" w:eastAsia="仿宋_GB2312" w:cs="仿宋_GB2312"/>
                <w:b/>
                <w:color w:val="000000"/>
                <w:sz w:val="21"/>
                <w:szCs w:val="21"/>
              </w:rPr>
              <w:t>单价</w:t>
            </w:r>
            <w:r>
              <w:rPr>
                <w:rFonts w:hint="eastAsia" w:ascii="仿宋_GB2312" w:hAnsi="仿宋_GB2312" w:eastAsia="仿宋_GB2312" w:cs="仿宋_GB2312"/>
                <w:b/>
                <w:color w:val="000000"/>
                <w:sz w:val="21"/>
                <w:szCs w:val="21"/>
                <w:lang w:eastAsia="zh-CN"/>
              </w:rPr>
              <w:t>（元）</w:t>
            </w:r>
          </w:p>
        </w:tc>
        <w:tc>
          <w:tcPr>
            <w:tcW w:w="674"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bCs/>
                <w:color w:val="000000"/>
                <w:sz w:val="21"/>
                <w:szCs w:val="21"/>
                <w:lang w:val="en-US" w:eastAsia="zh-CN"/>
              </w:rPr>
            </w:pPr>
            <w:r>
              <w:rPr>
                <w:rFonts w:hint="eastAsia" w:ascii="仿宋_GB2312" w:hAnsi="仿宋_GB2312" w:eastAsia="仿宋_GB2312" w:cs="仿宋_GB2312"/>
                <w:b/>
                <w:bCs/>
                <w:color w:val="000000"/>
                <w:sz w:val="21"/>
                <w:szCs w:val="21"/>
                <w:lang w:val="en-US" w:eastAsia="zh-CN"/>
              </w:rPr>
              <w:t>税率</w:t>
            </w:r>
          </w:p>
        </w:tc>
        <w:tc>
          <w:tcPr>
            <w:tcW w:w="848"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color w:val="000000"/>
                <w:sz w:val="21"/>
                <w:szCs w:val="21"/>
                <w:lang w:eastAsia="zh-CN"/>
              </w:rPr>
            </w:pPr>
            <w:r>
              <w:rPr>
                <w:rFonts w:hint="eastAsia" w:ascii="仿宋_GB2312" w:hAnsi="仿宋_GB2312" w:eastAsia="仿宋_GB2312" w:cs="仿宋_GB2312"/>
                <w:b/>
                <w:bCs/>
                <w:color w:val="000000"/>
                <w:sz w:val="21"/>
                <w:szCs w:val="21"/>
                <w:lang w:val="en-US" w:eastAsia="zh-CN"/>
              </w:rPr>
              <w:t>含税总</w:t>
            </w:r>
            <w:r>
              <w:rPr>
                <w:rFonts w:hint="eastAsia" w:ascii="仿宋_GB2312" w:hAnsi="仿宋_GB2312" w:eastAsia="仿宋_GB2312" w:cs="仿宋_GB2312"/>
                <w:b/>
                <w:bCs/>
                <w:color w:val="000000"/>
                <w:sz w:val="21"/>
                <w:szCs w:val="21"/>
              </w:rPr>
              <w:t>价</w:t>
            </w:r>
            <w:r>
              <w:rPr>
                <w:rFonts w:hint="eastAsia" w:ascii="仿宋_GB2312" w:hAnsi="仿宋_GB2312" w:eastAsia="仿宋_GB2312" w:cs="仿宋_GB2312"/>
                <w:b/>
                <w:bCs/>
                <w:color w:val="000000"/>
                <w:sz w:val="21"/>
                <w:szCs w:val="21"/>
                <w:lang w:eastAsia="zh-CN"/>
              </w:rPr>
              <w:t>（元）</w:t>
            </w:r>
          </w:p>
        </w:tc>
      </w:tr>
      <w:tr>
        <w:tblPrEx>
          <w:tblCellMar>
            <w:top w:w="0" w:type="dxa"/>
            <w:left w:w="0" w:type="dxa"/>
            <w:bottom w:w="0" w:type="dxa"/>
            <w:right w:w="0" w:type="dxa"/>
          </w:tblCellMar>
        </w:tblPrEx>
        <w:trPr>
          <w:trHeight w:val="511" w:hRule="atLeast"/>
          <w:jc w:val="center"/>
        </w:trPr>
        <w:tc>
          <w:tcPr>
            <w:tcW w:w="378" w:type="pct"/>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contextualSpacing/>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w:t>
            </w:r>
          </w:p>
        </w:tc>
        <w:tc>
          <w:tcPr>
            <w:tcW w:w="1882" w:type="pct"/>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jc w:val="center"/>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南方电网财务有限公司</w:t>
            </w:r>
          </w:p>
          <w:p>
            <w:pPr>
              <w:widowControl/>
              <w:numPr>
                <w:ilvl w:val="0"/>
                <w:numId w:val="0"/>
              </w:numPr>
              <w:jc w:val="center"/>
              <w:rPr>
                <w:rFonts w:hint="default" w:ascii="仿宋_GB2312" w:hAnsi="仿宋_GB2312" w:eastAsia="仿宋_GB2312" w:cs="仿宋_GB2312"/>
                <w:sz w:val="21"/>
                <w:szCs w:val="21"/>
                <w:lang w:val="en-US"/>
              </w:rPr>
            </w:pPr>
            <w:r>
              <w:rPr>
                <w:rFonts w:hint="eastAsia" w:ascii="仿宋_GB2312" w:hAnsi="仿宋_GB2312" w:eastAsia="仿宋_GB2312" w:cs="仿宋_GB2312"/>
                <w:sz w:val="24"/>
                <w:szCs w:val="32"/>
                <w:lang w:val="en-US" w:eastAsia="zh-CN"/>
              </w:rPr>
              <w:t>银行账簿利率风险管理体系建设服务项目</w:t>
            </w:r>
          </w:p>
        </w:tc>
        <w:tc>
          <w:tcPr>
            <w:tcW w:w="434"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contextualSpacing/>
              <w:jc w:val="center"/>
              <w:rPr>
                <w:rFonts w:hint="default"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1</w:t>
            </w:r>
          </w:p>
        </w:tc>
        <w:tc>
          <w:tcPr>
            <w:tcW w:w="782"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contextualSpacing/>
              <w:jc w:val="center"/>
              <w:rPr>
                <w:rFonts w:hint="eastAsia" w:ascii="仿宋_GB2312" w:hAnsi="仿宋_GB2312" w:eastAsia="仿宋_GB2312" w:cs="仿宋_GB2312"/>
                <w:color w:val="000000"/>
                <w:sz w:val="21"/>
                <w:szCs w:val="21"/>
              </w:rPr>
            </w:pPr>
          </w:p>
        </w:tc>
        <w:tc>
          <w:tcPr>
            <w:tcW w:w="674"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p>
        </w:tc>
        <w:tc>
          <w:tcPr>
            <w:tcW w:w="848"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p>
        </w:tc>
      </w:tr>
      <w:tr>
        <w:tblPrEx>
          <w:tblCellMar>
            <w:top w:w="0" w:type="dxa"/>
            <w:left w:w="0" w:type="dxa"/>
            <w:bottom w:w="0" w:type="dxa"/>
            <w:right w:w="0" w:type="dxa"/>
          </w:tblCellMar>
        </w:tblPrEx>
        <w:trPr>
          <w:trHeight w:val="511" w:hRule="atLeast"/>
          <w:jc w:val="center"/>
        </w:trPr>
        <w:tc>
          <w:tcPr>
            <w:tcW w:w="378" w:type="pct"/>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合计</w:t>
            </w:r>
          </w:p>
        </w:tc>
        <w:tc>
          <w:tcPr>
            <w:tcW w:w="4621" w:type="pct"/>
            <w:gridSpan w:val="5"/>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jc w:val="center"/>
              <w:rPr>
                <w:rFonts w:hint="eastAsia" w:ascii="仿宋_GB2312" w:hAnsi="仿宋_GB2312" w:eastAsia="仿宋_GB2312" w:cs="仿宋_GB2312"/>
                <w:sz w:val="21"/>
                <w:szCs w:val="21"/>
                <w:u w:val="single"/>
                <w:lang w:val="en-US" w:eastAsia="zh-CN"/>
              </w:rPr>
            </w:pPr>
            <w:r>
              <w:rPr>
                <w:rFonts w:hint="eastAsia" w:ascii="仿宋_GB2312" w:hAnsi="仿宋_GB2312" w:eastAsia="仿宋_GB2312" w:cs="仿宋_GB2312"/>
                <w:sz w:val="21"/>
                <w:szCs w:val="21"/>
                <w:lang w:eastAsia="zh-CN"/>
              </w:rPr>
              <w:t>小写：￥</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none"/>
                <w:lang w:val="en-US" w:eastAsia="zh-CN"/>
              </w:rPr>
              <w:t>元，大写：人民币</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none"/>
                <w:lang w:val="en-US" w:eastAsia="zh-CN"/>
              </w:rPr>
              <w:t>元整</w:t>
            </w:r>
          </w:p>
        </w:tc>
      </w:tr>
    </w:tbl>
    <w:p>
      <w:pPr>
        <w:spacing w:line="360" w:lineRule="auto"/>
        <w:jc w:val="left"/>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备注：本报价应包括采购范围内的全部费用。</w:t>
      </w:r>
    </w:p>
    <w:p>
      <w:pPr>
        <w:spacing w:line="360" w:lineRule="auto"/>
        <w:jc w:val="left"/>
        <w:rPr>
          <w:rFonts w:hint="eastAsia" w:ascii="仿宋_GB2312" w:hAnsi="仿宋_GB2312" w:eastAsia="仿宋_GB2312" w:cs="仿宋_GB2312"/>
          <w:sz w:val="21"/>
          <w:szCs w:val="21"/>
          <w:lang w:eastAsia="zh-CN"/>
        </w:rPr>
      </w:pPr>
    </w:p>
    <w:p>
      <w:pPr>
        <w:spacing w:line="360" w:lineRule="auto"/>
        <w:ind w:left="5950" w:firstLine="425"/>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报价</w:t>
      </w:r>
      <w:r>
        <w:rPr>
          <w:rFonts w:hint="eastAsia" w:ascii="仿宋_GB2312" w:hAnsi="仿宋_GB2312" w:eastAsia="仿宋_GB2312" w:cs="仿宋_GB2312"/>
          <w:sz w:val="28"/>
          <w:szCs w:val="28"/>
        </w:rPr>
        <w:t>人（盖章)</w:t>
      </w:r>
    </w:p>
    <w:p>
      <w:pPr>
        <w:numPr>
          <w:ilvl w:val="0"/>
          <w:numId w:val="0"/>
        </w:numPr>
        <w:ind w:leftChars="0"/>
        <w:jc w:val="right"/>
        <w:rPr>
          <w:rFonts w:hint="eastAsia" w:ascii="仿宋_GB2312" w:hAnsi="仿宋_GB2312" w:eastAsia="仿宋_GB2312" w:cs="仿宋_GB2312"/>
          <w:lang w:val="en-US" w:eastAsia="zh-CN"/>
        </w:rPr>
      </w:pPr>
      <w:r>
        <w:rPr>
          <w:rFonts w:hint="eastAsia" w:ascii="仿宋_GB2312" w:hAnsi="仿宋_GB2312" w:eastAsia="仿宋_GB2312" w:cs="仿宋_GB2312"/>
          <w:snapToGrid w:val="0"/>
          <w:kern w:val="24"/>
          <w:sz w:val="28"/>
          <w:szCs w:val="28"/>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992912"/>
    <w:multiLevelType w:val="singleLevel"/>
    <w:tmpl w:val="B8992912"/>
    <w:lvl w:ilvl="0" w:tentative="0">
      <w:start w:val="3"/>
      <w:numFmt w:val="decimal"/>
      <w:suff w:val="nothing"/>
      <w:lvlText w:val="%1、"/>
      <w:lvlJc w:val="left"/>
    </w:lvl>
  </w:abstractNum>
  <w:abstractNum w:abstractNumId="1">
    <w:nsid w:val="DA0C58C2"/>
    <w:multiLevelType w:val="singleLevel"/>
    <w:tmpl w:val="DA0C58C2"/>
    <w:lvl w:ilvl="0" w:tentative="0">
      <w:start w:val="2"/>
      <w:numFmt w:val="chineseCounting"/>
      <w:suff w:val="nothing"/>
      <w:lvlText w:val="%1、"/>
      <w:lvlJc w:val="left"/>
      <w:rPr>
        <w:rFonts w:hint="eastAsia"/>
      </w:rPr>
    </w:lvl>
  </w:abstractNum>
  <w:abstractNum w:abstractNumId="2">
    <w:nsid w:val="66C1335F"/>
    <w:multiLevelType w:val="singleLevel"/>
    <w:tmpl w:val="66C1335F"/>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15987"/>
    <w:rsid w:val="05DE0DAD"/>
    <w:rsid w:val="460B740D"/>
    <w:rsid w:val="4CE30774"/>
    <w:rsid w:val="5220737E"/>
    <w:rsid w:val="654D1E9C"/>
    <w:rsid w:val="7D2C2A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2"/>
      <w:sz w:val="21"/>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667</Words>
  <Characters>670</Characters>
  <Lines>0</Lines>
  <Paragraphs>0</Paragraphs>
  <TotalTime>87</TotalTime>
  <ScaleCrop>false</ScaleCrop>
  <LinksUpToDate>false</LinksUpToDate>
  <CharactersWithSpaces>715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2025-09-02T09:28:00Z</dcterms:created>
  <dc:creator>xxppl</dc:creator>
  <cp:lastModifiedBy>廖培翔</cp:lastModifiedBy>
  <dcterms:modified xsi:type="dcterms:W3CDTF">2025-09-04T02:32:57Z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eyJoZGlkIjoiNzI1MzljODBiNDliMzEyMzFlZWNlN2EzYjU0N2YzMWEiLCJ1c2VySWQiOiIyODQzNzQzNjMifQ==</vt:lpwstr>
  </property>
  <property fmtid="{D5CDD505-2E9C-101B-9397-08002B2CF9AE}" pid="4" name="ICV">
    <vt:lpwstr>88705A5AB75F47FE80E30400919D34A0</vt:lpwstr>
  </property>
</Properties>
</file>