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9BFEB">
      <w:pPr>
        <w:jc w:val="center"/>
        <w:rPr>
          <w:b/>
          <w:bCs/>
          <w:sz w:val="36"/>
          <w:szCs w:val="44"/>
        </w:rPr>
      </w:pPr>
      <w:r>
        <w:rPr>
          <w:rFonts w:hint="eastAsia"/>
          <w:b/>
          <w:bCs/>
          <w:sz w:val="36"/>
          <w:szCs w:val="44"/>
          <w:highlight w:val="yellow"/>
        </w:rPr>
        <w:t>电力科研院应用于高压直流不停电地线融冰的大容量紧凑型移动装置设计服务零星采购项目技术要求附件</w:t>
      </w:r>
    </w:p>
    <w:tbl>
      <w:tblPr>
        <w:tblStyle w:val="5"/>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14:paraId="4E3C7224">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14:paraId="679464D9">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宋体"/>
                <w:color w:val="000000"/>
                <w:kern w:val="0"/>
                <w:sz w:val="22"/>
                <w:szCs w:val="22"/>
                <w:highlight w:val="red"/>
                <w:lang w:bidi="ar"/>
              </w:rPr>
              <w:t>采购</w:t>
            </w:r>
            <w:r>
              <w:rPr>
                <w:rFonts w:hint="eastAsia" w:ascii="宋体" w:hAnsi="宋体" w:cs="宋体"/>
                <w:color w:val="000000"/>
                <w:kern w:val="0"/>
                <w:sz w:val="22"/>
                <w:szCs w:val="22"/>
                <w:highlight w:val="red"/>
                <w:lang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42EDC7CD">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
                <w:color w:val="000000"/>
                <w:szCs w:val="21"/>
                <w:highlight w:val="red"/>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14:paraId="3716DDB0">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03437717">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cs="宋体"/>
                <w:bCs/>
                <w:color w:val="000000"/>
                <w:szCs w:val="21"/>
                <w:highlight w:val="red"/>
              </w:rPr>
              <w:t>发票税率</w:t>
            </w:r>
          </w:p>
        </w:tc>
      </w:tr>
      <w:tr w14:paraId="3F34FDB9">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14:paraId="7FF39F2D">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Times New Roman"/>
                <w:color w:val="FF0000"/>
                <w:szCs w:val="21"/>
                <w:highlight w:val="red"/>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402E78DC">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14:paraId="51DF5EF8">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14:paraId="014B4224">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14:paraId="02AE023B">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14:paraId="6EF68736">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14:paraId="5A046BB8">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vAlign w:val="center"/>
          </w:tcPr>
          <w:p w14:paraId="68983C37">
            <w:pPr>
              <w:jc w:val="center"/>
            </w:pPr>
            <w:r>
              <w:rPr>
                <w:rFonts w:hint="eastAsia"/>
              </w:rPr>
              <w:t>采购明细一览表</w:t>
            </w:r>
          </w:p>
          <w:p w14:paraId="334AFF52">
            <w:pPr>
              <w:pStyle w:val="2"/>
            </w:pPr>
            <w:r>
              <w:rPr>
                <w:rFonts w:hint="eastAsia" w:ascii="宋体" w:hAnsi="宋体" w:eastAsia="宋体" w:cs="Times New Roman"/>
                <w:color w:val="FF0000"/>
                <w:szCs w:val="21"/>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vAlign w:val="center"/>
          </w:tcPr>
          <w:p w14:paraId="5F31C880">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705" w:type="dxa"/>
            <w:tcBorders>
              <w:top w:val="single" w:color="auto" w:sz="4" w:space="0"/>
              <w:left w:val="single" w:color="auto" w:sz="4" w:space="0"/>
              <w:bottom w:val="single" w:color="000000" w:sz="4" w:space="0"/>
              <w:right w:val="single" w:color="auto" w:sz="4" w:space="0"/>
            </w:tcBorders>
            <w:vAlign w:val="center"/>
          </w:tcPr>
          <w:p w14:paraId="13E5BCEE">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675" w:type="dxa"/>
            <w:gridSpan w:val="2"/>
            <w:tcBorders>
              <w:top w:val="single" w:color="auto" w:sz="4" w:space="0"/>
              <w:left w:val="single" w:color="auto" w:sz="4" w:space="0"/>
              <w:bottom w:val="single" w:color="000000" w:sz="4" w:space="0"/>
              <w:right w:val="single" w:color="auto" w:sz="4" w:space="0"/>
            </w:tcBorders>
            <w:vAlign w:val="center"/>
          </w:tcPr>
          <w:p w14:paraId="6F8DB58C">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1860" w:type="dxa"/>
            <w:gridSpan w:val="2"/>
            <w:tcBorders>
              <w:top w:val="single" w:color="auto" w:sz="4" w:space="0"/>
              <w:left w:val="single" w:color="auto" w:sz="4" w:space="0"/>
              <w:bottom w:val="single" w:color="000000" w:sz="4" w:space="0"/>
              <w:right w:val="single" w:color="auto" w:sz="4" w:space="0"/>
            </w:tcBorders>
            <w:vAlign w:val="center"/>
          </w:tcPr>
          <w:p w14:paraId="2A7AB9D1">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975" w:type="dxa"/>
            <w:tcBorders>
              <w:top w:val="single" w:color="auto" w:sz="4" w:space="0"/>
              <w:left w:val="single" w:color="auto" w:sz="4" w:space="0"/>
              <w:bottom w:val="single" w:color="000000" w:sz="4" w:space="0"/>
              <w:right w:val="single" w:color="auto" w:sz="4" w:space="0"/>
            </w:tcBorders>
            <w:vAlign w:val="center"/>
          </w:tcPr>
          <w:p w14:paraId="41374770">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14:paraId="00BC7C97">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14:paraId="1BFBE099">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vAlign w:val="center"/>
          </w:tcPr>
          <w:p w14:paraId="76A55AE4">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14:paraId="409CDB75">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高压直流不停电地线融冰车主回路、控制保护系统设计方案</w:t>
            </w:r>
          </w:p>
        </w:tc>
        <w:tc>
          <w:tcPr>
            <w:tcW w:w="705" w:type="dxa"/>
            <w:tcBorders>
              <w:top w:val="single" w:color="auto" w:sz="4" w:space="0"/>
              <w:left w:val="single" w:color="auto" w:sz="4" w:space="0"/>
              <w:bottom w:val="single" w:color="000000" w:sz="4" w:space="0"/>
              <w:right w:val="single" w:color="auto" w:sz="4" w:space="0"/>
            </w:tcBorders>
            <w:vAlign w:val="center"/>
          </w:tcPr>
          <w:p w14:paraId="5C9BF071">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14:paraId="65641031">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14:paraId="4ACE0C47">
            <w:pPr>
              <w:rPr>
                <w:rFonts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要求</w:t>
            </w:r>
            <w:r>
              <w:rPr>
                <w:rFonts w:hint="eastAsia" w:ascii="Times New Roman" w:hAnsi="Times New Roman" w:eastAsia="宋体" w:cs="Times New Roman"/>
                <w:sz w:val="24"/>
                <w:szCs w:val="32"/>
              </w:rPr>
              <w:t>：针对地线融冰的MMC型直流融冰装置主回路、控制保护系统研究及设计，集成感应电压抑制装置、站用变、启动回路，确定主体方案。</w:t>
            </w:r>
          </w:p>
        </w:tc>
        <w:tc>
          <w:tcPr>
            <w:tcW w:w="975" w:type="dxa"/>
            <w:tcBorders>
              <w:top w:val="single" w:color="auto" w:sz="4" w:space="0"/>
              <w:left w:val="single" w:color="auto" w:sz="4" w:space="0"/>
              <w:bottom w:val="single" w:color="000000" w:sz="4" w:space="0"/>
              <w:right w:val="single" w:color="auto" w:sz="4" w:space="0"/>
            </w:tcBorders>
            <w:vAlign w:val="center"/>
          </w:tcPr>
          <w:p w14:paraId="5DB9EFE2">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4134A71D">
            <w:pPr>
              <w:jc w:val="left"/>
              <w:rPr>
                <w:rFonts w:ascii="Times New Roman" w:hAnsi="Times New Roman" w:eastAsia="宋体" w:cs="Times New Roman"/>
                <w:sz w:val="24"/>
                <w:szCs w:val="32"/>
              </w:rPr>
            </w:pPr>
          </w:p>
        </w:tc>
      </w:tr>
      <w:tr w14:paraId="3834971B">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vAlign w:val="center"/>
          </w:tcPr>
          <w:p w14:paraId="28E417FD">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14:paraId="5179068C">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高压直流不停电地线融冰车阀组结构设计方案及图纸</w:t>
            </w:r>
          </w:p>
        </w:tc>
        <w:tc>
          <w:tcPr>
            <w:tcW w:w="705" w:type="dxa"/>
            <w:tcBorders>
              <w:top w:val="single" w:color="auto" w:sz="4" w:space="0"/>
              <w:left w:val="single" w:color="auto" w:sz="4" w:space="0"/>
              <w:bottom w:val="single" w:color="000000" w:sz="4" w:space="0"/>
              <w:right w:val="single" w:color="auto" w:sz="4" w:space="0"/>
            </w:tcBorders>
            <w:vAlign w:val="center"/>
          </w:tcPr>
          <w:p w14:paraId="2AFD0732">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14:paraId="4809D6F1">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14:paraId="3C87A3DB">
            <w:pPr>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val="en-US" w:eastAsia="zh-CN"/>
              </w:rPr>
              <w:t>要求</w:t>
            </w:r>
            <w:r>
              <w:rPr>
                <w:rFonts w:hint="eastAsia"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针对</w:t>
            </w:r>
            <w:r>
              <w:rPr>
                <w:rFonts w:hint="eastAsia" w:ascii="Times New Roman" w:hAnsi="Times New Roman" w:eastAsia="宋体" w:cs="Times New Roman"/>
                <w:sz w:val="24"/>
                <w:szCs w:val="32"/>
              </w:rPr>
              <w:t>阀组结构</w:t>
            </w:r>
            <w:r>
              <w:rPr>
                <w:rFonts w:hint="eastAsia" w:ascii="Times New Roman" w:hAnsi="Times New Roman" w:eastAsia="宋体" w:cs="Times New Roman"/>
                <w:sz w:val="24"/>
                <w:szCs w:val="32"/>
                <w:lang w:val="en-US" w:eastAsia="zh-CN"/>
              </w:rPr>
              <w:t>进行</w:t>
            </w:r>
            <w:r>
              <w:rPr>
                <w:rFonts w:hint="eastAsia" w:ascii="Times New Roman" w:hAnsi="Times New Roman" w:eastAsia="宋体" w:cs="Times New Roman"/>
                <w:sz w:val="24"/>
                <w:szCs w:val="32"/>
              </w:rPr>
              <w:t>优化设计，提高功率密度，减小体积，适用于车载形式</w:t>
            </w:r>
            <w:r>
              <w:rPr>
                <w:rFonts w:hint="eastAsia" w:ascii="Times New Roman" w:hAnsi="Times New Roman" w:eastAsia="宋体" w:cs="Times New Roman"/>
                <w:sz w:val="24"/>
                <w:szCs w:val="32"/>
                <w:lang w:eastAsia="zh-CN"/>
              </w:rPr>
              <w:t>。</w:t>
            </w:r>
          </w:p>
        </w:tc>
        <w:tc>
          <w:tcPr>
            <w:tcW w:w="975" w:type="dxa"/>
            <w:tcBorders>
              <w:top w:val="single" w:color="auto" w:sz="4" w:space="0"/>
              <w:left w:val="single" w:color="auto" w:sz="4" w:space="0"/>
              <w:bottom w:val="single" w:color="000000" w:sz="4" w:space="0"/>
              <w:right w:val="single" w:color="auto" w:sz="4" w:space="0"/>
            </w:tcBorders>
            <w:vAlign w:val="center"/>
          </w:tcPr>
          <w:p w14:paraId="3AA5ED43">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0A8C01FA">
            <w:pPr>
              <w:jc w:val="left"/>
              <w:rPr>
                <w:rFonts w:ascii="Times New Roman" w:hAnsi="Times New Roman" w:eastAsia="宋体" w:cs="Times New Roman"/>
                <w:sz w:val="24"/>
                <w:szCs w:val="32"/>
              </w:rPr>
            </w:pPr>
          </w:p>
        </w:tc>
      </w:tr>
      <w:tr w14:paraId="6B396290">
        <w:tblPrEx>
          <w:tblCellMar>
            <w:top w:w="15" w:type="dxa"/>
            <w:left w:w="15" w:type="dxa"/>
            <w:bottom w:w="15" w:type="dxa"/>
            <w:right w:w="15" w:type="dxa"/>
          </w:tblCellMar>
        </w:tblPrEx>
        <w:trPr>
          <w:trHeight w:val="807" w:hRule="atLeast"/>
        </w:trPr>
        <w:tc>
          <w:tcPr>
            <w:tcW w:w="1738" w:type="dxa"/>
            <w:vMerge w:val="continue"/>
            <w:tcBorders>
              <w:left w:val="single" w:color="000000" w:sz="4" w:space="0"/>
              <w:right w:val="single" w:color="000000" w:sz="4" w:space="0"/>
            </w:tcBorders>
            <w:vAlign w:val="center"/>
          </w:tcPr>
          <w:p w14:paraId="5495C4FE">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14:paraId="10B32A7B">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高压直流不停电地线融冰车热仿真报告、换热系统设计方案及图纸</w:t>
            </w:r>
          </w:p>
        </w:tc>
        <w:tc>
          <w:tcPr>
            <w:tcW w:w="705" w:type="dxa"/>
            <w:tcBorders>
              <w:top w:val="single" w:color="auto" w:sz="4" w:space="0"/>
              <w:left w:val="single" w:color="auto" w:sz="4" w:space="0"/>
              <w:bottom w:val="single" w:color="000000" w:sz="4" w:space="0"/>
              <w:right w:val="single" w:color="auto" w:sz="4" w:space="0"/>
            </w:tcBorders>
            <w:vAlign w:val="center"/>
          </w:tcPr>
          <w:p w14:paraId="44715ADE">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14:paraId="4BB7DA9A">
            <w:pPr>
              <w:jc w:val="center"/>
              <w:rPr>
                <w:rFonts w:ascii="Times New Roman" w:hAnsi="Times New Roman" w:eastAsia="宋体" w:cs="Times New Roman"/>
                <w:sz w:val="24"/>
                <w:szCs w:val="32"/>
              </w:rPr>
            </w:pPr>
            <w:r>
              <w:rPr>
                <w:rFonts w:hint="eastAsia" w:ascii="Times New Roman" w:hAnsi="Times New Roman" w:eastAsia="宋体" w:cs="Times New Roman"/>
                <w:sz w:val="24"/>
                <w:szCs w:val="32"/>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14:paraId="674A2B9F">
            <w:pPr>
              <w:rPr>
                <w:rFonts w:hint="eastAsia" w:eastAsia="宋体"/>
                <w:lang w:eastAsia="zh-CN"/>
              </w:rPr>
            </w:pPr>
            <w:r>
              <w:rPr>
                <w:rFonts w:hint="eastAsia" w:ascii="Times New Roman" w:hAnsi="Times New Roman" w:eastAsia="宋体" w:cs="Times New Roman"/>
                <w:sz w:val="24"/>
                <w:szCs w:val="32"/>
                <w:lang w:val="en-US" w:eastAsia="zh-CN"/>
              </w:rPr>
              <w:t>要求</w:t>
            </w:r>
            <w:r>
              <w:rPr>
                <w:rFonts w:hint="eastAsia"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进行</w:t>
            </w:r>
            <w:r>
              <w:rPr>
                <w:rFonts w:hint="eastAsia" w:ascii="Times New Roman" w:hAnsi="Times New Roman" w:eastAsia="宋体" w:cs="Times New Roman"/>
                <w:sz w:val="24"/>
                <w:szCs w:val="32"/>
              </w:rPr>
              <w:t>热仿真及换热系统设计，提出适用于融冰车的散热方式及具体方案</w:t>
            </w:r>
            <w:r>
              <w:rPr>
                <w:rFonts w:hint="eastAsia" w:ascii="Times New Roman" w:hAnsi="Times New Roman" w:eastAsia="宋体" w:cs="Times New Roman"/>
                <w:sz w:val="24"/>
                <w:szCs w:val="32"/>
                <w:lang w:eastAsia="zh-CN"/>
              </w:rPr>
              <w:t>。</w:t>
            </w:r>
          </w:p>
        </w:tc>
        <w:tc>
          <w:tcPr>
            <w:tcW w:w="975" w:type="dxa"/>
            <w:tcBorders>
              <w:top w:val="single" w:color="auto" w:sz="4" w:space="0"/>
              <w:left w:val="single" w:color="auto" w:sz="4" w:space="0"/>
              <w:bottom w:val="single" w:color="000000" w:sz="4" w:space="0"/>
              <w:right w:val="single" w:color="auto" w:sz="4" w:space="0"/>
            </w:tcBorders>
            <w:vAlign w:val="center"/>
          </w:tcPr>
          <w:p w14:paraId="23785F43">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14:paraId="5BEB416A">
            <w:pPr>
              <w:jc w:val="left"/>
              <w:rPr>
                <w:rFonts w:ascii="Times New Roman" w:hAnsi="Times New Roman" w:eastAsia="宋体" w:cs="Times New Roman"/>
                <w:sz w:val="24"/>
                <w:szCs w:val="32"/>
              </w:rPr>
            </w:pPr>
          </w:p>
        </w:tc>
      </w:tr>
      <w:tr w14:paraId="5EFD7E18">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vAlign w:val="center"/>
          </w:tcPr>
          <w:p w14:paraId="13870D1A">
            <w:pPr>
              <w:jc w:val="center"/>
              <w:rPr>
                <w:rFonts w:hint="eastAsia" w:ascii="宋体" w:hAnsi="宋体" w:eastAsia="宋体" w:cs="Times New Roman"/>
                <w:color w:val="000000"/>
                <w:sz w:val="24"/>
              </w:rPr>
            </w:pPr>
          </w:p>
        </w:tc>
        <w:tc>
          <w:tcPr>
            <w:tcW w:w="4905" w:type="dxa"/>
            <w:gridSpan w:val="7"/>
            <w:tcBorders>
              <w:top w:val="single" w:color="auto" w:sz="4" w:space="0"/>
              <w:left w:val="single" w:color="000000" w:sz="4" w:space="0"/>
              <w:bottom w:val="single" w:color="000000" w:sz="4" w:space="0"/>
              <w:right w:val="single" w:color="auto" w:sz="4" w:space="0"/>
            </w:tcBorders>
            <w:vAlign w:val="center"/>
          </w:tcPr>
          <w:p w14:paraId="3F0E4961">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975" w:type="dxa"/>
            <w:tcBorders>
              <w:top w:val="single" w:color="auto" w:sz="4" w:space="0"/>
              <w:left w:val="single" w:color="auto" w:sz="4" w:space="0"/>
              <w:bottom w:val="single" w:color="000000" w:sz="4" w:space="0"/>
              <w:right w:val="single" w:color="auto" w:sz="4" w:space="0"/>
            </w:tcBorders>
            <w:vAlign w:val="center"/>
          </w:tcPr>
          <w:p w14:paraId="2221EB27">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14:paraId="0A46F3A4">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14:paraId="0D04F12D">
        <w:tblPrEx>
          <w:tblCellMar>
            <w:top w:w="15" w:type="dxa"/>
            <w:left w:w="15" w:type="dxa"/>
            <w:bottom w:w="15" w:type="dxa"/>
            <w:right w:w="15" w:type="dxa"/>
          </w:tblCellMar>
        </w:tblPrEx>
        <w:trPr>
          <w:trHeight w:val="401" w:hRule="atLeast"/>
        </w:trPr>
        <w:tc>
          <w:tcPr>
            <w:tcW w:w="1738" w:type="dxa"/>
            <w:tcBorders>
              <w:top w:val="single" w:color="000000" w:sz="4" w:space="0"/>
              <w:left w:val="single" w:color="000000" w:sz="4" w:space="0"/>
              <w:bottom w:val="single" w:color="000000" w:sz="4" w:space="0"/>
              <w:right w:val="single" w:color="000000" w:sz="4" w:space="0"/>
            </w:tcBorders>
            <w:vAlign w:val="center"/>
          </w:tcPr>
          <w:p w14:paraId="3DDB3C4E">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14:paraId="1EA55128">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14:paraId="472736AF">
            <w:pPr>
              <w:pStyle w:val="2"/>
              <w:rPr>
                <w:rFonts w:hint="eastAsia" w:ascii="宋体" w:hAnsi="宋体" w:eastAsia="宋体" w:cs="Times New Roman"/>
                <w:sz w:val="24"/>
              </w:rPr>
            </w:pPr>
            <w:r>
              <w:rPr>
                <w:rFonts w:hint="eastAsia" w:ascii="宋体" w:hAnsi="宋体" w:eastAsia="宋体" w:cs="Times New Roman"/>
                <w:sz w:val="24"/>
              </w:rPr>
              <w:t>服务：</w:t>
            </w:r>
          </w:p>
          <w:p w14:paraId="7D5F195E">
            <w:pPr>
              <w:pStyle w:val="2"/>
              <w:rPr>
                <w:rFonts w:hint="eastAsia" w:ascii="宋体" w:hAnsi="宋体" w:eastAsia="宋体" w:cs="Times New Roman"/>
                <w:sz w:val="24"/>
              </w:rPr>
            </w:pPr>
            <w:r>
              <w:rPr>
                <w:rFonts w:hint="eastAsia" w:ascii="宋体" w:hAnsi="宋体" w:eastAsia="宋体" w:cs="Times New Roman"/>
                <w:sz w:val="24"/>
                <w:lang w:val="en-US" w:eastAsia="zh-CN"/>
              </w:rPr>
              <w:t>1、</w:t>
            </w:r>
            <w:r>
              <w:rPr>
                <w:rFonts w:hint="eastAsia" w:ascii="宋体" w:hAnsi="宋体" w:eastAsia="宋体" w:cs="Times New Roman"/>
                <w:sz w:val="24"/>
              </w:rPr>
              <w:t>针对地线融冰的MMC型直流融冰装置主回路、控制保护系统研究及设计，集成感应电压抑制装置、站用变、启动回路，确定主体方案；</w:t>
            </w:r>
          </w:p>
          <w:p w14:paraId="55C74B03">
            <w:pPr>
              <w:pStyle w:val="2"/>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rPr>
              <w:t>阀组结构优化设计，提高功率密度，减小体积，适用于车载形式；</w:t>
            </w:r>
          </w:p>
          <w:p w14:paraId="5B920CE1">
            <w:pPr>
              <w:pStyle w:val="2"/>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热仿真及换热系统设计，提出适用于融冰车的散热方式及具体方案。</w:t>
            </w:r>
          </w:p>
        </w:tc>
      </w:tr>
      <w:tr w14:paraId="641E831C">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vAlign w:val="center"/>
          </w:tcPr>
          <w:p w14:paraId="11A5123C">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14:paraId="04B934D5">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auto" w:sz="4" w:space="0"/>
              <w:right w:val="single" w:color="000000" w:sz="4" w:space="0"/>
            </w:tcBorders>
            <w:vAlign w:val="center"/>
          </w:tcPr>
          <w:p w14:paraId="502C8939">
            <w:pPr>
              <w:jc w:val="left"/>
              <w:rPr>
                <w:rFonts w:ascii="Times New Roman" w:hAnsi="Times New Roman" w:eastAsia="宋体" w:cs="Times New Roman"/>
                <w:sz w:val="24"/>
              </w:rPr>
            </w:pPr>
            <w:r>
              <w:rPr>
                <w:rFonts w:hint="eastAsia" w:ascii="Times New Roman" w:hAnsi="Times New Roman" w:eastAsia="宋体" w:cs="Times New Roman"/>
                <w:sz w:val="24"/>
              </w:rPr>
              <w:t>1、采购对象资质要求：无</w:t>
            </w:r>
          </w:p>
          <w:p w14:paraId="5799323D">
            <w:pPr>
              <w:jc w:val="left"/>
              <w:rPr>
                <w:rFonts w:ascii="Times New Roman" w:hAnsi="Times New Roman" w:eastAsia="宋体" w:cs="Times New Roman"/>
                <w:sz w:val="24"/>
              </w:rPr>
            </w:pPr>
            <w:r>
              <w:rPr>
                <w:rFonts w:hint="eastAsia" w:ascii="Times New Roman" w:hAnsi="Times New Roman" w:eastAsia="宋体" w:cs="Times New Roman"/>
                <w:sz w:val="24"/>
              </w:rPr>
              <w:t>2、采购对象业绩要求：无</w:t>
            </w:r>
          </w:p>
          <w:p w14:paraId="2B292288">
            <w:pPr>
              <w:jc w:val="left"/>
              <w:rPr>
                <w:rFonts w:hint="eastAsia" w:ascii="宋体" w:hAnsi="宋体" w:eastAsia="宋体" w:cs="Times New Roman"/>
                <w:color w:val="000000"/>
                <w:sz w:val="24"/>
              </w:rPr>
            </w:pPr>
            <w:r>
              <w:rPr>
                <w:rFonts w:hint="eastAsia" w:ascii="Times New Roman" w:hAnsi="Times New Roman" w:eastAsia="宋体" w:cs="Times New Roman"/>
                <w:sz w:val="24"/>
              </w:rPr>
              <w:t>3、采购对象其他要求：无</w:t>
            </w:r>
          </w:p>
        </w:tc>
      </w:tr>
      <w:tr w14:paraId="465F1CE9">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vAlign w:val="center"/>
          </w:tcPr>
          <w:p w14:paraId="0198C2DC">
            <w:pPr>
              <w:jc w:val="center"/>
            </w:pPr>
            <w:r>
              <w:rPr>
                <w:rFonts w:hint="eastAsia"/>
              </w:rPr>
              <w:t>供应商对以上内容响应情况</w:t>
            </w:r>
          </w:p>
          <w:p w14:paraId="5C7824CC">
            <w:pPr>
              <w:pStyle w:val="2"/>
            </w:pPr>
            <w:r>
              <w:rPr>
                <w:rFonts w:hint="eastAsia" w:ascii="宋体" w:hAnsi="宋体" w:eastAsia="宋体" w:cs="Times New Roman"/>
                <w:color w:val="FF0000"/>
                <w:szCs w:val="21"/>
              </w:rPr>
              <w:t>（供应商填写）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14:paraId="08288CC4">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本公司对以上要求无偏差响应。</w:t>
            </w:r>
          </w:p>
          <w:p w14:paraId="16ACF44D">
            <w:pPr>
              <w:numPr>
                <w:ilvl w:val="0"/>
                <w:numId w:val="1"/>
              </w:numPr>
              <w:ind w:firstLine="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本公司能开具</w:t>
            </w:r>
            <w:r>
              <w:rPr>
                <w:rFonts w:hint="eastAsia" w:ascii="宋体" w:hAnsi="宋体" w:eastAsia="宋体" w:cs="宋体"/>
                <w:color w:val="FF0000"/>
                <w:kern w:val="0"/>
                <w:sz w:val="24"/>
                <w:lang w:bidi="ar"/>
              </w:rPr>
              <w:t>符合规定税项和税率的全额增值税专用发票</w:t>
            </w:r>
            <w:r>
              <w:rPr>
                <w:rFonts w:hint="eastAsia" w:ascii="Times New Roman" w:hAnsi="Times New Roman" w:eastAsia="宋体" w:cs="Times New Roman"/>
                <w:color w:val="FF0000"/>
                <w:sz w:val="24"/>
                <w:szCs w:val="32"/>
              </w:rPr>
              <w:t>。</w:t>
            </w:r>
          </w:p>
          <w:p w14:paraId="0424F130">
            <w:pPr>
              <w:pStyle w:val="2"/>
              <w:numPr>
                <w:ilvl w:val="0"/>
                <w:numId w:val="1"/>
              </w:numPr>
              <w:ind w:firstLine="0"/>
              <w:rPr>
                <w:rFonts w:hint="eastAsia" w:ascii="宋体" w:hAnsi="宋体" w:eastAsia="宋体" w:cs="宋体"/>
                <w:color w:val="FF0000"/>
                <w:kern w:val="0"/>
                <w:sz w:val="24"/>
                <w:lang w:bidi="ar"/>
              </w:rPr>
            </w:pP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承诺所提供的产品或服务不涉及知识产权纠纷，若出现任何知识产权问题，由</w:t>
            </w:r>
            <w:r>
              <w:rPr>
                <w:rFonts w:hint="eastAsia" w:ascii="宋体" w:hAnsi="宋体" w:eastAsia="宋体" w:cs="宋体"/>
                <w:color w:val="FF0000"/>
                <w:kern w:val="0"/>
                <w:sz w:val="24"/>
                <w:lang w:bidi="ar"/>
              </w:rPr>
              <w:t>本公司</w:t>
            </w:r>
            <w:r>
              <w:rPr>
                <w:rFonts w:ascii="宋体" w:hAnsi="宋体" w:eastAsia="宋体" w:cs="宋体"/>
                <w:color w:val="FF0000"/>
                <w:kern w:val="0"/>
                <w:sz w:val="24"/>
                <w:lang w:bidi="ar"/>
              </w:rPr>
              <w:t>承担全部责任</w:t>
            </w:r>
            <w:r>
              <w:rPr>
                <w:rFonts w:hint="eastAsia" w:ascii="宋体" w:hAnsi="宋体" w:eastAsia="宋体" w:cs="宋体"/>
                <w:color w:val="FF0000"/>
                <w:kern w:val="0"/>
                <w:sz w:val="24"/>
                <w:lang w:bidi="ar"/>
              </w:rPr>
              <w:t>。</w:t>
            </w:r>
          </w:p>
          <w:p w14:paraId="18456F4B">
            <w:pPr>
              <w:jc w:val="left"/>
              <w:rPr>
                <w:rFonts w:ascii="Times New Roman" w:hAnsi="Times New Roman" w:eastAsia="宋体" w:cs="Times New Roman"/>
                <w:color w:val="FF0000"/>
                <w:sz w:val="24"/>
                <w:szCs w:val="32"/>
              </w:rPr>
            </w:pPr>
          </w:p>
          <w:p w14:paraId="3ACB5435">
            <w:pPr>
              <w:jc w:val="left"/>
              <w:rPr>
                <w:rFonts w:ascii="Times New Roman" w:hAnsi="Times New Roman" w:eastAsia="宋体" w:cs="Times New Roman"/>
                <w:color w:val="FF0000"/>
                <w:sz w:val="24"/>
                <w:szCs w:val="32"/>
              </w:rPr>
            </w:pPr>
          </w:p>
          <w:p w14:paraId="256A456E">
            <w:pPr>
              <w:ind w:firstLine="2400" w:firstLineChars="10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法人代表/授权代表签字：</w:t>
            </w:r>
          </w:p>
          <w:p w14:paraId="78F64E12">
            <w:pPr>
              <w:ind w:firstLine="3840" w:firstLineChars="1600"/>
              <w:jc w:val="left"/>
              <w:rPr>
                <w:rFonts w:ascii="Times New Roman" w:hAnsi="Times New Roman" w:eastAsia="宋体" w:cs="Times New Roman"/>
                <w:color w:val="FF0000"/>
                <w:sz w:val="24"/>
                <w:szCs w:val="32"/>
              </w:rPr>
            </w:pPr>
          </w:p>
          <w:p w14:paraId="1C1E02D3">
            <w:pPr>
              <w:ind w:firstLine="3840" w:firstLineChars="1600"/>
              <w:jc w:val="left"/>
              <w:rPr>
                <w:rFonts w:ascii="Times New Roman" w:hAnsi="Times New Roman" w:eastAsia="宋体" w:cs="Times New Roman"/>
                <w:color w:val="FF0000"/>
                <w:sz w:val="24"/>
                <w:szCs w:val="32"/>
              </w:rPr>
            </w:pPr>
            <w:r>
              <w:rPr>
                <w:rFonts w:hint="eastAsia" w:ascii="Times New Roman" w:hAnsi="Times New Roman" w:eastAsia="宋体" w:cs="Times New Roman"/>
                <w:color w:val="FF0000"/>
                <w:sz w:val="24"/>
                <w:szCs w:val="32"/>
              </w:rPr>
              <w:t>（盖公章）</w:t>
            </w:r>
          </w:p>
        </w:tc>
      </w:tr>
    </w:tbl>
    <w:p w14:paraId="49E502B1">
      <w:pPr>
        <w:spacing w:line="360" w:lineRule="auto"/>
        <w:rPr>
          <w:b/>
          <w:bCs/>
          <w:sz w:val="24"/>
        </w:rPr>
      </w:pPr>
      <w:r>
        <w:rPr>
          <w:rFonts w:hint="eastAsia"/>
          <w:b/>
          <w:bCs/>
          <w:sz w:val="24"/>
        </w:rPr>
        <w:t>报价须知：</w:t>
      </w:r>
    </w:p>
    <w:p w14:paraId="71A5174A">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14:paraId="657B6DAA">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14:paraId="4B2AEF4B">
      <w:pPr>
        <w:pStyle w:val="2"/>
        <w:numPr>
          <w:ilvl w:val="0"/>
          <w:numId w:val="2"/>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14:paraId="492AF699">
      <w:pPr>
        <w:pStyle w:val="2"/>
        <w:rPr>
          <w:rFonts w:ascii="Times New Roman" w:hAnsi="Times New Roman" w:eastAsia="黑体" w:cs="Times New Roman"/>
          <w:b/>
          <w:sz w:val="32"/>
          <w:szCs w:val="32"/>
        </w:rPr>
      </w:pPr>
    </w:p>
    <w:p w14:paraId="10432A12">
      <w:pPr>
        <w:pStyle w:val="2"/>
        <w:rPr>
          <w:rFonts w:ascii="Times New Roman" w:hAnsi="Times New Roman" w:eastAsia="黑体" w:cs="Times New Roman"/>
          <w:b/>
          <w:sz w:val="32"/>
          <w:szCs w:val="32"/>
        </w:rPr>
      </w:pPr>
    </w:p>
    <w:p w14:paraId="7BB1A9E2">
      <w:pPr>
        <w:pStyle w:val="2"/>
        <w:rPr>
          <w:rFonts w:ascii="Times New Roman" w:hAnsi="Times New Roman" w:eastAsia="黑体" w:cs="Times New Roman"/>
          <w:b/>
          <w:sz w:val="32"/>
          <w:szCs w:val="32"/>
        </w:rPr>
      </w:pPr>
    </w:p>
    <w:p w14:paraId="69CF4FE4">
      <w:pPr>
        <w:pStyle w:val="2"/>
        <w:rPr>
          <w:rFonts w:ascii="Times New Roman" w:hAnsi="Times New Roman" w:eastAsia="黑体" w:cs="Times New Roman"/>
          <w:b/>
          <w:sz w:val="32"/>
          <w:szCs w:val="32"/>
        </w:rPr>
      </w:pPr>
    </w:p>
    <w:p w14:paraId="5138C35B">
      <w:pPr>
        <w:pStyle w:val="2"/>
        <w:rPr>
          <w:rFonts w:ascii="Times New Roman" w:hAnsi="Times New Roman" w:eastAsia="黑体" w:cs="Times New Roman"/>
          <w:b/>
          <w:sz w:val="32"/>
          <w:szCs w:val="32"/>
        </w:rPr>
      </w:pPr>
    </w:p>
    <w:p w14:paraId="09AB589F">
      <w:pPr>
        <w:pStyle w:val="2"/>
        <w:rPr>
          <w:rFonts w:ascii="Times New Roman" w:hAnsi="Times New Roman" w:eastAsia="黑体" w:cs="Times New Roman"/>
          <w:b/>
          <w:sz w:val="32"/>
          <w:szCs w:val="32"/>
        </w:rPr>
      </w:pPr>
    </w:p>
    <w:p w14:paraId="0D738815">
      <w:pPr>
        <w:pStyle w:val="2"/>
        <w:rPr>
          <w:rFonts w:ascii="Times New Roman" w:hAnsi="Times New Roman" w:eastAsia="黑体" w:cs="Times New Roman"/>
          <w:b/>
          <w:sz w:val="32"/>
          <w:szCs w:val="32"/>
        </w:rPr>
      </w:pPr>
    </w:p>
    <w:p w14:paraId="24384993">
      <w:pPr>
        <w:pStyle w:val="2"/>
        <w:rPr>
          <w:rFonts w:ascii="Times New Roman" w:hAnsi="Times New Roman" w:eastAsia="黑体" w:cs="Times New Roman"/>
          <w:b/>
          <w:sz w:val="32"/>
          <w:szCs w:val="32"/>
        </w:rPr>
      </w:pPr>
    </w:p>
    <w:p w14:paraId="1E6B4BDE">
      <w:pPr>
        <w:pStyle w:val="2"/>
        <w:rPr>
          <w:rFonts w:ascii="Times New Roman" w:hAnsi="Times New Roman" w:eastAsia="黑体" w:cs="Times New Roman"/>
          <w:b/>
          <w:sz w:val="32"/>
          <w:szCs w:val="32"/>
        </w:rPr>
      </w:pPr>
    </w:p>
    <w:p w14:paraId="154A57B9">
      <w:pPr>
        <w:pStyle w:val="2"/>
        <w:rPr>
          <w:rFonts w:ascii="Times New Roman" w:hAnsi="Times New Roman" w:eastAsia="黑体" w:cs="Times New Roman"/>
          <w:b/>
          <w:sz w:val="32"/>
          <w:szCs w:val="32"/>
        </w:rPr>
      </w:pPr>
    </w:p>
    <w:p w14:paraId="6014000A">
      <w:pPr>
        <w:pStyle w:val="2"/>
        <w:rPr>
          <w:rFonts w:ascii="Times New Roman" w:hAnsi="Times New Roman" w:eastAsia="黑体" w:cs="Times New Roman"/>
          <w:b/>
          <w:sz w:val="32"/>
          <w:szCs w:val="32"/>
        </w:rPr>
      </w:pPr>
    </w:p>
    <w:p w14:paraId="7A52636F">
      <w:pPr>
        <w:pStyle w:val="2"/>
        <w:rPr>
          <w:rFonts w:ascii="Times New Roman" w:hAnsi="Times New Roman" w:eastAsia="黑体" w:cs="Times New Roman"/>
          <w:b/>
          <w:sz w:val="32"/>
          <w:szCs w:val="32"/>
        </w:rPr>
      </w:pPr>
    </w:p>
    <w:p w14:paraId="45BD976E">
      <w:pPr>
        <w:pStyle w:val="2"/>
        <w:rPr>
          <w:rFonts w:ascii="Times New Roman" w:hAnsi="Times New Roman" w:eastAsia="黑体" w:cs="Times New Roman"/>
          <w:b/>
          <w:sz w:val="32"/>
          <w:szCs w:val="32"/>
        </w:rPr>
      </w:pPr>
    </w:p>
    <w:p w14:paraId="1567256A">
      <w:pPr>
        <w:pStyle w:val="2"/>
        <w:rPr>
          <w:rFonts w:ascii="Times New Roman" w:hAnsi="Times New Roman" w:eastAsia="黑体" w:cs="Times New Roman"/>
          <w:b/>
          <w:sz w:val="32"/>
          <w:szCs w:val="32"/>
        </w:rPr>
      </w:pPr>
    </w:p>
    <w:p w14:paraId="31130DCE">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附件：资质文件</w:t>
      </w:r>
    </w:p>
    <w:p w14:paraId="43055773">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营业执照：</w:t>
      </w:r>
    </w:p>
    <w:p w14:paraId="3EF8B8C9">
      <w:pPr>
        <w:pStyle w:val="2"/>
        <w:rPr>
          <w:rFonts w:ascii="Times New Roman" w:hAnsi="Times New Roman" w:eastAsia="黑体" w:cs="Times New Roman"/>
          <w:b/>
          <w:sz w:val="32"/>
          <w:szCs w:val="32"/>
        </w:rPr>
      </w:pPr>
      <w:r>
        <w:rPr>
          <w:rFonts w:hint="eastAsia" w:eastAsia="黑体" w:cs="Times New Roman"/>
          <w:b/>
          <w:sz w:val="32"/>
          <w:szCs w:val="32"/>
        </w:rPr>
        <w:t>法人授权委托书：</w:t>
      </w:r>
    </w:p>
    <w:p w14:paraId="4C92F3DA">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024BCB"/>
    <w:rsid w:val="00037C83"/>
    <w:rsid w:val="00085423"/>
    <w:rsid w:val="000A4F8D"/>
    <w:rsid w:val="000B18DE"/>
    <w:rsid w:val="000B46F1"/>
    <w:rsid w:val="000C2F52"/>
    <w:rsid w:val="000C4245"/>
    <w:rsid w:val="000F6853"/>
    <w:rsid w:val="00182C7E"/>
    <w:rsid w:val="001A3CCA"/>
    <w:rsid w:val="001C1B71"/>
    <w:rsid w:val="001E6A35"/>
    <w:rsid w:val="00243421"/>
    <w:rsid w:val="002436F7"/>
    <w:rsid w:val="002B11B2"/>
    <w:rsid w:val="00321427"/>
    <w:rsid w:val="0035403B"/>
    <w:rsid w:val="003700CA"/>
    <w:rsid w:val="00382591"/>
    <w:rsid w:val="00401633"/>
    <w:rsid w:val="00427F17"/>
    <w:rsid w:val="004577AD"/>
    <w:rsid w:val="004A1A23"/>
    <w:rsid w:val="004F5F52"/>
    <w:rsid w:val="00502EA1"/>
    <w:rsid w:val="00557800"/>
    <w:rsid w:val="00561699"/>
    <w:rsid w:val="0060005A"/>
    <w:rsid w:val="0063496C"/>
    <w:rsid w:val="006926C0"/>
    <w:rsid w:val="00707417"/>
    <w:rsid w:val="00715039"/>
    <w:rsid w:val="0077079B"/>
    <w:rsid w:val="0087701B"/>
    <w:rsid w:val="00881FEC"/>
    <w:rsid w:val="008D29A0"/>
    <w:rsid w:val="008D59FA"/>
    <w:rsid w:val="008F044E"/>
    <w:rsid w:val="00902A8D"/>
    <w:rsid w:val="009567D6"/>
    <w:rsid w:val="00960A6D"/>
    <w:rsid w:val="00990580"/>
    <w:rsid w:val="00995717"/>
    <w:rsid w:val="009F40E5"/>
    <w:rsid w:val="00A60AF5"/>
    <w:rsid w:val="00A87368"/>
    <w:rsid w:val="00AA2741"/>
    <w:rsid w:val="00B060DA"/>
    <w:rsid w:val="00B21694"/>
    <w:rsid w:val="00B45194"/>
    <w:rsid w:val="00B70028"/>
    <w:rsid w:val="00B7217C"/>
    <w:rsid w:val="00B72C4D"/>
    <w:rsid w:val="00B81511"/>
    <w:rsid w:val="00B9490E"/>
    <w:rsid w:val="00BA0792"/>
    <w:rsid w:val="00C92614"/>
    <w:rsid w:val="00CB1EC3"/>
    <w:rsid w:val="00D02911"/>
    <w:rsid w:val="00D150CD"/>
    <w:rsid w:val="00D22176"/>
    <w:rsid w:val="00D2372A"/>
    <w:rsid w:val="00D265C8"/>
    <w:rsid w:val="00DE6706"/>
    <w:rsid w:val="00E61F9A"/>
    <w:rsid w:val="00FC5935"/>
    <w:rsid w:val="00FD1746"/>
    <w:rsid w:val="00FD2AF3"/>
    <w:rsid w:val="00FF2D50"/>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1A542F"/>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2071BBB"/>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6A15F52"/>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720</Words>
  <Characters>755</Characters>
  <Lines>6</Lines>
  <Paragraphs>1</Paragraphs>
  <TotalTime>0</TotalTime>
  <ScaleCrop>false</ScaleCrop>
  <LinksUpToDate>false</LinksUpToDate>
  <CharactersWithSpaces>755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2024-03-13T08:11:00Z</dcterms:created>
  <dc:creator>刘蔚盈</dc:creator>
  <cp:lastModifiedBy>A.W.Einstein</cp:lastModifiedBy>
  <dcterms:modified xsi:type="dcterms:W3CDTF">2025-09-08T15:20:20Z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3E67E6B0AE3E4BE7B739AD12D52DDCDD_13</vt:lpwstr>
  </property>
  <property fmtid="{D5CDD505-2E9C-101B-9397-08002B2CF9AE}" pid="4" name="KSOTemplateDocerSaveRecord">
    <vt:lpwstr>eyJoZGlkIjoiNTU0ZmIwYTQ3NzlmZGUxZmU3Zjk0M2IyZTNmM2IxNjAiLCJ1c2VySWQiOiI0MDk4NjExOTAifQ==</vt:lpwstr>
  </property>
</Properties>
</file>