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6"/>
          <w:szCs w:val="44"/>
        </w:rPr>
      </w:pPr>
      <w:r>
        <w:rPr>
          <w:rFonts w:hint="eastAsia"/>
          <w:b/>
          <w:bCs/>
          <w:sz w:val="36"/>
          <w:szCs w:val="44"/>
          <w:highlight w:val="yellow"/>
        </w:rPr>
        <w:t>电力科研院直流避雷器泄露试验智能数据采集装置测试加工服务零星采购项目技术要求附件</w:t>
      </w:r>
    </w:p>
    <w:tbl>
      <w:tblPr>
        <w:tblStyle w:val="5"/>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宋体"/>
                <w:color w:val="000000"/>
                <w:kern w:val="0"/>
                <w:sz w:val="22"/>
                <w:szCs w:val="22"/>
                <w:highlight w:val="red"/>
                <w:lang w:bidi="ar"/>
              </w:rPr>
              <w:t>采购</w:t>
            </w:r>
            <w:r>
              <w:rPr>
                <w:rFonts w:hint="eastAsia" w:ascii="宋体" w:hAnsi="宋体" w:cs="宋体"/>
                <w:color w:val="000000"/>
                <w:kern w:val="0"/>
                <w:sz w:val="22"/>
                <w:szCs w:val="22"/>
                <w:highlight w:val="red"/>
                <w:lang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
                <w:color w:val="000000"/>
                <w:szCs w:val="21"/>
                <w:highlight w:val="red"/>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Times New Roman"/>
                <w:color w:val="FF0000"/>
                <w:szCs w:val="21"/>
                <w:highlight w:val="red"/>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vAlign w:val="center"/>
          </w:tcPr>
          <w:p>
            <w:pPr>
              <w:jc w:val="center"/>
            </w:pPr>
            <w:r>
              <w:rPr>
                <w:rFonts w:hint="eastAsia"/>
              </w:rPr>
              <w:t>采购明细一览表</w:t>
            </w:r>
          </w:p>
          <w:p>
            <w:pPr>
              <w:pStyle w:val="2"/>
            </w:pPr>
            <w:r>
              <w:rPr>
                <w:rFonts w:hint="eastAsia" w:ascii="宋体" w:hAnsi="宋体" w:eastAsia="宋体" w:cs="Times New Roman"/>
                <w:color w:val="FF0000"/>
                <w:szCs w:val="21"/>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97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直流避雷器泄漏电流采集装置加工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val="en-US" w:eastAsia="zh-CN"/>
              </w:rPr>
              <w:t>6</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rPr>
                <w:rFonts w:hint="eastAsia" w:eastAsia="宋体"/>
                <w:sz w:val="18"/>
              </w:rPr>
            </w:pPr>
            <w:r>
              <w:rPr>
                <w:rFonts w:hint="eastAsia" w:eastAsia="宋体"/>
                <w:sz w:val="18"/>
                <w:lang w:eastAsia="zh-CN"/>
              </w:rPr>
              <w:t>要求</w:t>
            </w:r>
            <w:r>
              <w:rPr>
                <w:rFonts w:hint="eastAsia" w:eastAsia="宋体"/>
                <w:sz w:val="18"/>
              </w:rPr>
              <w:t>：</w:t>
            </w:r>
          </w:p>
          <w:p>
            <w:pPr>
              <w:rPr>
                <w:rFonts w:eastAsia="宋体"/>
                <w:sz w:val="18"/>
              </w:rPr>
            </w:pPr>
            <w:r>
              <w:rPr>
                <w:rFonts w:hint="eastAsia" w:eastAsia="宋体"/>
                <w:sz w:val="18"/>
                <w:lang w:val="en-US" w:eastAsia="zh-CN"/>
              </w:rPr>
              <w:t>（1）</w:t>
            </w:r>
            <w:r>
              <w:rPr>
                <w:rFonts w:hint="eastAsia" w:eastAsia="宋体"/>
                <w:sz w:val="18"/>
                <w:lang w:eastAsia="zh-CN"/>
              </w:rPr>
              <w:t>可实现高精度采集直流避雷器泄漏试验中微安级电流的采集，精度不低于</w:t>
            </w:r>
            <w:r>
              <w:rPr>
                <w:rFonts w:hint="eastAsia" w:eastAsia="宋体"/>
                <w:sz w:val="18"/>
                <w:lang w:val="en-US" w:eastAsia="zh-CN"/>
              </w:rPr>
              <w:t>1%</w:t>
            </w:r>
            <w:r>
              <w:rPr>
                <w:rFonts w:hint="eastAsia" w:eastAsia="宋体"/>
                <w:sz w:val="18"/>
              </w:rPr>
              <w:t>；</w:t>
            </w:r>
          </w:p>
          <w:p>
            <w:pPr>
              <w:rPr>
                <w:rFonts w:hint="eastAsia" w:eastAsia="宋体"/>
                <w:sz w:val="18"/>
                <w:lang w:val="en-US" w:eastAsia="zh-CN"/>
              </w:rPr>
            </w:pPr>
            <w:r>
              <w:rPr>
                <w:rFonts w:hint="eastAsia" w:eastAsia="宋体"/>
                <w:sz w:val="18"/>
                <w:lang w:val="en-US" w:eastAsia="zh-CN"/>
              </w:rPr>
              <w:t>（2）数据传输线须具备抗强干扰能力，满足电流采集精度要求；</w:t>
            </w:r>
          </w:p>
          <w:p>
            <w:pPr>
              <w:pStyle w:val="2"/>
              <w:rPr>
                <w:rFonts w:hint="default"/>
                <w:lang w:val="en-US" w:eastAsia="zh-CN"/>
              </w:rPr>
            </w:pPr>
            <w:r>
              <w:rPr>
                <w:rFonts w:hint="eastAsia" w:ascii="Times New Roman" w:hAnsi="Times New Roman" w:eastAsia="宋体" w:cs="Times New Roman"/>
                <w:sz w:val="18"/>
                <w:szCs w:val="32"/>
                <w:lang w:val="en-US" w:eastAsia="zh-CN"/>
              </w:rPr>
              <w:t>（3）电流采集装置应配置相应成套的附件线及转接头。</w:t>
            </w: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lang w:eastAsia="zh-CN"/>
              </w:rPr>
              <w:t>直流避雷器泄漏电压采集装置加工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rPr>
                <w:rFonts w:hint="eastAsia" w:ascii="Times New Roman" w:hAnsi="Times New Roman" w:eastAsia="宋体" w:cs="Times New Roman"/>
                <w:color w:val="000000"/>
                <w:kern w:val="2"/>
                <w:sz w:val="18"/>
                <w:szCs w:val="32"/>
                <w:lang w:val="en-US" w:eastAsia="zh-CN" w:bidi="ar-SA"/>
              </w:rPr>
            </w:pPr>
            <w:r>
              <w:rPr>
                <w:rFonts w:hint="eastAsia" w:ascii="Times New Roman" w:hAnsi="Times New Roman" w:eastAsia="宋体" w:cs="Times New Roman"/>
                <w:color w:val="000000"/>
                <w:kern w:val="2"/>
                <w:sz w:val="18"/>
                <w:szCs w:val="32"/>
                <w:lang w:val="en-US" w:eastAsia="zh-CN" w:bidi="ar-SA"/>
              </w:rPr>
              <w:t>要求：</w:t>
            </w:r>
          </w:p>
          <w:p>
            <w:pPr>
              <w:rPr>
                <w:rFonts w:hint="eastAsia" w:ascii="Times New Roman" w:hAnsi="Times New Roman" w:eastAsia="宋体" w:cs="Times New Roman"/>
                <w:color w:val="000000"/>
                <w:kern w:val="2"/>
                <w:sz w:val="18"/>
                <w:szCs w:val="32"/>
                <w:lang w:val="en-US" w:eastAsia="zh-CN" w:bidi="ar-SA"/>
              </w:rPr>
            </w:pPr>
            <w:r>
              <w:rPr>
                <w:rFonts w:hint="eastAsia" w:ascii="Times New Roman" w:hAnsi="Times New Roman" w:eastAsia="宋体" w:cs="Times New Roman"/>
                <w:color w:val="000000"/>
                <w:kern w:val="2"/>
                <w:sz w:val="18"/>
                <w:szCs w:val="32"/>
                <w:lang w:val="en-US" w:eastAsia="zh-CN" w:bidi="ar-SA"/>
              </w:rPr>
              <w:t>（1）可实现高精度采集直流分压器二次电压的功能，电压精度不低于1%；</w:t>
            </w:r>
          </w:p>
          <w:p>
            <w:pPr>
              <w:rPr>
                <w:rFonts w:hint="eastAsia" w:ascii="Times New Roman" w:hAnsi="Times New Roman" w:eastAsia="宋体" w:cs="Times New Roman"/>
                <w:color w:val="000000"/>
                <w:kern w:val="2"/>
                <w:sz w:val="18"/>
                <w:szCs w:val="32"/>
                <w:lang w:val="en-US" w:eastAsia="zh-CN" w:bidi="ar-SA"/>
              </w:rPr>
            </w:pPr>
            <w:r>
              <w:rPr>
                <w:rFonts w:hint="eastAsia" w:ascii="Times New Roman" w:hAnsi="Times New Roman" w:eastAsia="宋体" w:cs="Times New Roman"/>
                <w:color w:val="000000"/>
                <w:kern w:val="2"/>
                <w:sz w:val="18"/>
                <w:szCs w:val="32"/>
                <w:lang w:val="en-US" w:eastAsia="zh-CN" w:bidi="ar-SA"/>
              </w:rPr>
              <w:t>（2）数据传输线须具备抗强干扰能力，满足电压采集精度要求；</w:t>
            </w:r>
          </w:p>
          <w:p>
            <w:pPr>
              <w:pStyle w:val="2"/>
              <w:rPr>
                <w:rFonts w:hint="default"/>
                <w:lang w:val="en-US" w:eastAsia="zh-CN"/>
              </w:rPr>
            </w:pPr>
            <w:r>
              <w:rPr>
                <w:rFonts w:hint="eastAsia" w:ascii="Times New Roman" w:hAnsi="Times New Roman" w:eastAsia="宋体" w:cs="Times New Roman"/>
                <w:sz w:val="18"/>
                <w:szCs w:val="32"/>
                <w:lang w:val="en-US" w:eastAsia="zh-CN"/>
              </w:rPr>
              <w:t>（3）电压采集装置应配置相应成套的附件线及转接头。</w:t>
            </w: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322"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测试软件编辑和调试</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rPr>
                <w:rFonts w:hint="eastAsia"/>
                <w:lang w:val="en-US" w:eastAsia="zh-CN"/>
              </w:rPr>
            </w:pPr>
            <w:r>
              <w:rPr>
                <w:rFonts w:hint="eastAsia"/>
                <w:lang w:val="en-US" w:eastAsia="zh-CN"/>
              </w:rPr>
              <w:t>要求：</w:t>
            </w:r>
          </w:p>
          <w:p>
            <w:pPr>
              <w:rPr>
                <w:rFonts w:hint="eastAsia"/>
                <w:lang w:val="en-US" w:eastAsia="zh-CN"/>
              </w:rPr>
            </w:pPr>
            <w:r>
              <w:rPr>
                <w:rFonts w:hint="eastAsia"/>
                <w:lang w:val="en-US" w:eastAsia="zh-CN"/>
              </w:rPr>
              <w:t>（1）该软件须具备将多避雷器试验中的多组参考电压和泄露电流数据在同一界面同时显示、读取、存储，以及测试数据根据作业表单格式实现数据的导出功能；</w:t>
            </w:r>
          </w:p>
          <w:p>
            <w:pPr>
              <w:rPr>
                <w:rFonts w:hint="eastAsia"/>
                <w:lang w:val="en-US" w:eastAsia="zh-CN"/>
              </w:rPr>
            </w:pPr>
            <w:r>
              <w:rPr>
                <w:rFonts w:hint="eastAsia"/>
                <w:lang w:val="en-US" w:eastAsia="zh-CN"/>
              </w:rPr>
              <w:t>（2）该软件需兼容win7、win10系统；</w:t>
            </w:r>
          </w:p>
          <w:p>
            <w:pPr>
              <w:pStyle w:val="2"/>
              <w:rPr>
                <w:rFonts w:hint="default"/>
                <w:lang w:val="en-US" w:eastAsia="zh-CN"/>
              </w:rPr>
            </w:pPr>
            <w:r>
              <w:rPr>
                <w:rFonts w:hint="eastAsia" w:ascii="Times New Roman" w:hAnsi="Times New Roman" w:eastAsia="宋体" w:cs="Times New Roman"/>
                <w:color w:val="000000"/>
                <w:kern w:val="2"/>
                <w:sz w:val="18"/>
                <w:szCs w:val="32"/>
                <w:lang w:val="en-US" w:eastAsia="zh-CN" w:bidi="ar-SA"/>
              </w:rPr>
              <w:t>（3）软件须与电流、电压采集装置实现联调联试，满足正常使用的要求。</w:t>
            </w: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4905" w:type="dxa"/>
            <w:gridSpan w:val="7"/>
            <w:tcBorders>
              <w:top w:val="single" w:color="auto" w:sz="4" w:space="0"/>
              <w:left w:val="single" w:color="000000" w:sz="4" w:space="0"/>
              <w:bottom w:val="single" w:color="000000" w:sz="4" w:space="0"/>
              <w:right w:val="single" w:color="auto" w:sz="4" w:space="0"/>
            </w:tcBorders>
            <w:vAlign w:val="center"/>
          </w:tcPr>
          <w:p>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97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tblPrEx>
          <w:tblCellMar>
            <w:top w:w="15" w:type="dxa"/>
            <w:left w:w="15" w:type="dxa"/>
            <w:bottom w:w="15" w:type="dxa"/>
            <w:right w:w="15" w:type="dxa"/>
          </w:tblCellMar>
        </w:tblPrEx>
        <w:trPr>
          <w:trHeight w:val="401"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技术要求</w:t>
            </w:r>
          </w:p>
          <w:p>
            <w:pPr>
              <w:jc w:val="center"/>
              <w:rPr>
                <w:rFonts w:hint="eastAsia" w:ascii="宋体" w:hAnsi="宋体" w:eastAsia="宋体" w:cs="Times New Roman"/>
                <w:color w:val="000000"/>
                <w:sz w:val="24"/>
                <w:highlight w:val="yellow"/>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pStyle w:val="2"/>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服务：</w:t>
            </w:r>
          </w:p>
          <w:p>
            <w:pPr>
              <w:pStyle w:val="2"/>
              <w:numPr>
                <w:ilvl w:val="0"/>
                <w:numId w:val="1"/>
              </w:numPr>
              <w:rPr>
                <w:rFonts w:hint="eastAsia" w:ascii="宋体" w:hAnsi="宋体" w:eastAsia="宋体" w:cs="Times New Roman"/>
                <w:b w:val="0"/>
                <w:bCs w:val="0"/>
                <w:sz w:val="18"/>
                <w:highlight w:val="none"/>
              </w:rPr>
            </w:pPr>
            <w:r>
              <w:rPr>
                <w:rFonts w:hint="eastAsia" w:ascii="宋体" w:hAnsi="宋体" w:eastAsia="宋体" w:cs="Times New Roman"/>
                <w:b w:val="0"/>
                <w:bCs w:val="0"/>
                <w:sz w:val="18"/>
                <w:highlight w:val="none"/>
              </w:rPr>
              <w:t>技术服务内容（含工作量）：</w:t>
            </w:r>
          </w:p>
          <w:p>
            <w:pPr>
              <w:pStyle w:val="2"/>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pP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配合采购单位开展直流避雷器泄露试验智能数据采集装置的加工及调试工作，具体包括以下三项：</w:t>
            </w:r>
          </w:p>
          <w:p>
            <w:pPr>
              <w:pStyle w:val="2"/>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pP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w:t>
            </w:r>
            <w:r>
              <w:rPr>
                <w:rFonts w:hint="eastAsia" w:ascii="微软雅黑" w:hAnsi="微软雅黑" w:eastAsia="宋体" w:cs="微软雅黑"/>
                <w:b w:val="0"/>
                <w:bCs w:val="0"/>
                <w:i w:val="0"/>
                <w:iCs w:val="0"/>
                <w:caps w:val="0"/>
                <w:color w:val="333333"/>
                <w:spacing w:val="0"/>
                <w:sz w:val="18"/>
                <w:szCs w:val="21"/>
                <w:highlight w:val="none"/>
                <w:shd w:val="clear" w:fill="FFFFFF"/>
                <w:lang w:val="en-US" w:eastAsia="zh-CN"/>
              </w:rPr>
              <w:t>1</w:t>
            </w: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按照采购单位需求加工试制一套能够适用于现场使用的直流避雷器泄露试验智能数据采集装置，具备高压直流电压采集、多路微安级泄露电流采集、多路泄露电流采集模块自动编码功能，可实现对直流场多避雷器平台组单支避雷器参考电压和泄露电流测试试验的批量性测试等功能的直流避雷器泄露试验智能数据采集装置，该装置主要包括加工6套电流采集装置、1套电压采集装置和1套测试软件。</w:t>
            </w:r>
          </w:p>
          <w:p>
            <w:pPr>
              <w:pStyle w:val="2"/>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pP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w:t>
            </w:r>
            <w:r>
              <w:rPr>
                <w:rFonts w:hint="eastAsia" w:ascii="微软雅黑" w:hAnsi="微软雅黑" w:eastAsia="宋体" w:cs="微软雅黑"/>
                <w:b w:val="0"/>
                <w:bCs w:val="0"/>
                <w:i w:val="0"/>
                <w:iCs w:val="0"/>
                <w:caps w:val="0"/>
                <w:color w:val="333333"/>
                <w:spacing w:val="0"/>
                <w:sz w:val="18"/>
                <w:szCs w:val="21"/>
                <w:highlight w:val="none"/>
                <w:shd w:val="clear" w:fill="FFFFFF"/>
                <w:lang w:val="en-US" w:eastAsia="zh-CN"/>
              </w:rPr>
              <w:t>2</w:t>
            </w: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）配合开展直流避雷器泄露试验智能数据采集装置的调试试验及改进工作。</w:t>
            </w:r>
          </w:p>
          <w:p>
            <w:pPr>
              <w:pStyle w:val="2"/>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pP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w:t>
            </w:r>
            <w:r>
              <w:rPr>
                <w:rFonts w:hint="eastAsia" w:ascii="微软雅黑" w:hAnsi="微软雅黑" w:eastAsia="宋体" w:cs="微软雅黑"/>
                <w:b w:val="0"/>
                <w:bCs w:val="0"/>
                <w:i w:val="0"/>
                <w:iCs w:val="0"/>
                <w:caps w:val="0"/>
                <w:color w:val="333333"/>
                <w:spacing w:val="0"/>
                <w:sz w:val="18"/>
                <w:szCs w:val="21"/>
                <w:highlight w:val="none"/>
                <w:shd w:val="clear" w:fill="FFFFFF"/>
                <w:lang w:val="en-US" w:eastAsia="zh-CN"/>
              </w:rPr>
              <w:t>3</w:t>
            </w:r>
            <w:r>
              <w:rPr>
                <w:rFonts w:hint="eastAsia" w:ascii="微软雅黑" w:hAnsi="微软雅黑" w:eastAsia="宋体" w:cs="微软雅黑"/>
                <w:b w:val="0"/>
                <w:bCs w:val="0"/>
                <w:i w:val="0"/>
                <w:iCs w:val="0"/>
                <w:caps w:val="0"/>
                <w:color w:val="333333"/>
                <w:spacing w:val="0"/>
                <w:sz w:val="18"/>
                <w:szCs w:val="21"/>
                <w:highlight w:val="none"/>
                <w:shd w:val="clear" w:fill="FFFFFF"/>
                <w:lang w:eastAsia="zh-CN"/>
              </w:rPr>
              <w:t>）调试完成后将直流避雷器泄露试验智能数据采集装置运送至云南省昆明市经济技术开发区玉缘路21号。</w:t>
            </w:r>
          </w:p>
          <w:p>
            <w:pPr>
              <w:pStyle w:val="2"/>
              <w:rPr>
                <w:rFonts w:hint="eastAsia" w:ascii="宋体" w:hAnsi="宋体" w:eastAsia="宋体" w:cs="Times New Roman"/>
                <w:b w:val="0"/>
                <w:bCs w:val="0"/>
                <w:sz w:val="18"/>
                <w:highlight w:val="none"/>
              </w:rPr>
            </w:pPr>
            <w:r>
              <w:rPr>
                <w:rFonts w:hint="eastAsia" w:ascii="宋体" w:hAnsi="宋体" w:eastAsia="宋体" w:cs="Times New Roman"/>
                <w:b w:val="0"/>
                <w:bCs w:val="0"/>
                <w:sz w:val="18"/>
                <w:highlight w:val="none"/>
              </w:rPr>
              <w:t>2、报价及结算要求：按照项目</w:t>
            </w:r>
            <w:r>
              <w:rPr>
                <w:rFonts w:hint="eastAsia" w:ascii="宋体" w:hAnsi="宋体" w:eastAsia="宋体" w:cs="Times New Roman"/>
                <w:b w:val="0"/>
                <w:bCs w:val="0"/>
                <w:sz w:val="18"/>
                <w:highlight w:val="none"/>
                <w:lang w:eastAsia="zh-CN"/>
              </w:rPr>
              <w:t>分项</w:t>
            </w:r>
            <w:r>
              <w:rPr>
                <w:rFonts w:hint="eastAsia" w:ascii="宋体" w:hAnsi="宋体" w:eastAsia="宋体" w:cs="Times New Roman"/>
                <w:b w:val="0"/>
                <w:bCs w:val="0"/>
                <w:sz w:val="18"/>
                <w:highlight w:val="none"/>
              </w:rPr>
              <w:t>进行报价，根据实际开展的</w:t>
            </w:r>
            <w:r>
              <w:rPr>
                <w:rFonts w:hint="eastAsia" w:ascii="宋体" w:hAnsi="宋体" w:eastAsia="宋体" w:cs="Times New Roman"/>
                <w:b w:val="0"/>
                <w:bCs w:val="0"/>
                <w:sz w:val="18"/>
                <w:highlight w:val="none"/>
                <w:lang w:eastAsia="zh-CN"/>
              </w:rPr>
              <w:t>加工服务</w:t>
            </w:r>
            <w:r>
              <w:rPr>
                <w:rFonts w:hint="eastAsia" w:ascii="宋体" w:hAnsi="宋体" w:eastAsia="宋体" w:cs="Times New Roman"/>
                <w:b w:val="0"/>
                <w:bCs w:val="0"/>
                <w:sz w:val="18"/>
                <w:highlight w:val="none"/>
              </w:rPr>
              <w:t>工作进行结算。</w:t>
            </w:r>
          </w:p>
          <w:p>
            <w:pPr>
              <w:pStyle w:val="2"/>
              <w:rPr>
                <w:rFonts w:hint="eastAsia" w:ascii="宋体" w:hAnsi="宋体" w:eastAsia="宋体" w:cs="Times New Roman"/>
                <w:sz w:val="24"/>
              </w:rPr>
            </w:pPr>
            <w:r>
              <w:rPr>
                <w:rFonts w:hint="eastAsia" w:ascii="宋体" w:hAnsi="宋体" w:eastAsia="宋体" w:cs="Times New Roman"/>
                <w:b w:val="0"/>
                <w:bCs w:val="0"/>
                <w:sz w:val="18"/>
                <w:highlight w:val="none"/>
              </w:rPr>
              <w:t>3、技术服务质量要求及验收标准：</w:t>
            </w:r>
            <w:r>
              <w:rPr>
                <w:rFonts w:hint="eastAsia" w:eastAsia="宋体"/>
                <w:b w:val="0"/>
                <w:bCs w:val="0"/>
                <w:sz w:val="18"/>
                <w:szCs w:val="44"/>
                <w:highlight w:val="none"/>
              </w:rPr>
              <w:t>直流避雷器泄露试验智能数据采集装置</w:t>
            </w:r>
            <w:r>
              <w:rPr>
                <w:rFonts w:hint="eastAsia" w:ascii="宋体" w:hAnsi="宋体" w:eastAsia="宋体" w:cs="Times New Roman"/>
                <w:b w:val="0"/>
                <w:bCs w:val="0"/>
                <w:sz w:val="18"/>
                <w:highlight w:val="none"/>
              </w:rPr>
              <w:t>各项功能正常并提供</w:t>
            </w:r>
            <w:r>
              <w:rPr>
                <w:rFonts w:hint="eastAsia" w:ascii="宋体" w:hAnsi="宋体" w:eastAsia="宋体" w:cs="Times New Roman"/>
                <w:b w:val="0"/>
                <w:bCs w:val="0"/>
                <w:sz w:val="18"/>
                <w:highlight w:val="none"/>
                <w:lang w:eastAsia="zh-CN"/>
              </w:rPr>
              <w:t>测试</w:t>
            </w:r>
            <w:r>
              <w:rPr>
                <w:rFonts w:hint="eastAsia" w:ascii="宋体" w:hAnsi="宋体" w:eastAsia="宋体" w:cs="Times New Roman"/>
                <w:b w:val="0"/>
                <w:bCs w:val="0"/>
                <w:sz w:val="18"/>
                <w:highlight w:val="none"/>
              </w:rPr>
              <w:t>报告。</w:t>
            </w:r>
            <w:bookmarkStart w:id="0" w:name="_GoBack"/>
            <w:bookmarkEnd w:id="0"/>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采购对象资格要求</w:t>
            </w:r>
          </w:p>
          <w:p>
            <w:pPr>
              <w:jc w:val="center"/>
              <w:rPr>
                <w:rFonts w:hint="eastAsia" w:ascii="宋体" w:hAnsi="宋体" w:eastAsia="宋体" w:cs="宋体"/>
                <w:kern w:val="0"/>
                <w:sz w:val="24"/>
                <w:highlight w:val="yellow"/>
                <w:lang w:bidi="ar"/>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auto" w:sz="4" w:space="0"/>
              <w:right w:val="single" w:color="000000" w:sz="4" w:space="0"/>
            </w:tcBorders>
            <w:vAlign w:val="center"/>
          </w:tcPr>
          <w:p>
            <w:pPr>
              <w:jc w:val="left"/>
              <w:rPr>
                <w:rFonts w:ascii="Times New Roman" w:hAnsi="Times New Roman" w:eastAsia="宋体" w:cs="Times New Roman"/>
                <w:sz w:val="24"/>
              </w:rPr>
            </w:pPr>
            <w:r>
              <w:rPr>
                <w:rFonts w:hint="eastAsia" w:ascii="Times New Roman" w:hAnsi="Times New Roman" w:eastAsia="宋体" w:cs="Times New Roman"/>
                <w:sz w:val="24"/>
              </w:rPr>
              <w:t>1、采购对象资质要求：无</w:t>
            </w:r>
          </w:p>
          <w:p>
            <w:pPr>
              <w:jc w:val="left"/>
              <w:rPr>
                <w:rFonts w:ascii="Times New Roman" w:hAnsi="Times New Roman" w:eastAsia="宋体" w:cs="Times New Roman"/>
                <w:sz w:val="24"/>
              </w:rPr>
            </w:pPr>
            <w:r>
              <w:rPr>
                <w:rFonts w:hint="eastAsia" w:ascii="Times New Roman" w:hAnsi="Times New Roman" w:eastAsia="宋体" w:cs="Times New Roman"/>
                <w:sz w:val="24"/>
              </w:rPr>
              <w:t>2、采购对象业绩要求：无</w:t>
            </w:r>
          </w:p>
          <w:p>
            <w:pPr>
              <w:jc w:val="left"/>
              <w:rPr>
                <w:rFonts w:hint="eastAsia" w:ascii="宋体" w:hAnsi="宋体" w:eastAsia="宋体" w:cs="Times New Roman"/>
                <w:color w:val="000000"/>
                <w:sz w:val="24"/>
              </w:rPr>
            </w:pPr>
            <w:r>
              <w:rPr>
                <w:rFonts w:hint="eastAsia" w:ascii="Times New Roman" w:hAnsi="Times New Roman" w:eastAsia="宋体" w:cs="Times New Roman"/>
                <w:sz w:val="24"/>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pPr>
            <w:r>
              <w:rPr>
                <w:rFonts w:hint="eastAsia"/>
              </w:rPr>
              <w:t>供应商对以上内容响应情况</w:t>
            </w:r>
          </w:p>
          <w:p>
            <w:pPr>
              <w:pStyle w:val="2"/>
            </w:pPr>
            <w:r>
              <w:rPr>
                <w:rFonts w:hint="eastAsia" w:ascii="宋体" w:hAnsi="宋体" w:eastAsia="宋体" w:cs="Times New Roman"/>
                <w:color w:val="FF0000"/>
                <w:szCs w:val="21"/>
              </w:rPr>
              <w:t>（供应商填写）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numPr>
                <w:ilvl w:val="0"/>
                <w:numId w:val="2"/>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本公司对以上要求无偏差响应。</w:t>
            </w:r>
          </w:p>
          <w:p>
            <w:pPr>
              <w:numPr>
                <w:ilvl w:val="0"/>
                <w:numId w:val="2"/>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本公司能开具</w:t>
            </w:r>
            <w:r>
              <w:rPr>
                <w:rFonts w:hint="eastAsia" w:ascii="宋体" w:hAnsi="宋体" w:eastAsia="宋体" w:cs="宋体"/>
                <w:color w:val="FF0000"/>
                <w:kern w:val="0"/>
                <w:sz w:val="24"/>
                <w:lang w:bidi="ar"/>
              </w:rPr>
              <w:t>符合规定税项和税率的全额增值税专用发票</w:t>
            </w:r>
            <w:r>
              <w:rPr>
                <w:rFonts w:hint="eastAsia" w:ascii="Times New Roman" w:hAnsi="Times New Roman" w:eastAsia="宋体" w:cs="Times New Roman"/>
                <w:color w:val="FF0000"/>
                <w:sz w:val="24"/>
                <w:szCs w:val="32"/>
              </w:rPr>
              <w:t>。</w:t>
            </w:r>
          </w:p>
          <w:p>
            <w:pPr>
              <w:pStyle w:val="2"/>
              <w:numPr>
                <w:ilvl w:val="0"/>
                <w:numId w:val="2"/>
              </w:numPr>
              <w:ind w:firstLine="0"/>
              <w:rPr>
                <w:rFonts w:hint="eastAsia" w:ascii="宋体" w:hAnsi="宋体" w:eastAsia="宋体" w:cs="宋体"/>
                <w:color w:val="FF0000"/>
                <w:kern w:val="0"/>
                <w:sz w:val="24"/>
                <w:lang w:bidi="ar"/>
              </w:rPr>
            </w:pP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承诺所提供的产品或服务不涉及知识产权纠纷，若出现任何知识产权问题，由</w:t>
            </w: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承担全部责任</w:t>
            </w:r>
            <w:r>
              <w:rPr>
                <w:rFonts w:hint="eastAsia" w:ascii="宋体" w:hAnsi="宋体" w:eastAsia="宋体" w:cs="宋体"/>
                <w:color w:val="FF0000"/>
                <w:kern w:val="0"/>
                <w:sz w:val="24"/>
                <w:lang w:bidi="ar"/>
              </w:rPr>
              <w:t>。</w:t>
            </w:r>
          </w:p>
          <w:p>
            <w:pPr>
              <w:jc w:val="left"/>
              <w:rPr>
                <w:rFonts w:ascii="Times New Roman" w:hAnsi="Times New Roman" w:eastAsia="宋体" w:cs="Times New Roman"/>
                <w:color w:val="FF0000"/>
                <w:sz w:val="24"/>
                <w:szCs w:val="32"/>
              </w:rPr>
            </w:pPr>
          </w:p>
          <w:p>
            <w:pPr>
              <w:jc w:val="left"/>
              <w:rPr>
                <w:rFonts w:ascii="Times New Roman" w:hAnsi="Times New Roman" w:eastAsia="宋体" w:cs="Times New Roman"/>
                <w:color w:val="FF0000"/>
                <w:sz w:val="24"/>
                <w:szCs w:val="32"/>
              </w:rPr>
            </w:pPr>
          </w:p>
          <w:p>
            <w:pPr>
              <w:ind w:firstLine="2400" w:firstLineChars="10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法人代表/授权代表签字：</w:t>
            </w:r>
          </w:p>
          <w:p>
            <w:pPr>
              <w:ind w:firstLine="3840" w:firstLineChars="1600"/>
              <w:jc w:val="left"/>
              <w:rPr>
                <w:rFonts w:ascii="Times New Roman" w:hAnsi="Times New Roman" w:eastAsia="宋体" w:cs="Times New Roman"/>
                <w:color w:val="FF0000"/>
                <w:sz w:val="24"/>
                <w:szCs w:val="32"/>
              </w:rPr>
            </w:pPr>
          </w:p>
          <w:p>
            <w:pPr>
              <w:ind w:firstLine="3840" w:firstLineChars="16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（盖公章）</w:t>
            </w:r>
          </w:p>
        </w:tc>
      </w:tr>
    </w:tbl>
    <w:p>
      <w:pPr>
        <w:spacing w:line="360" w:lineRule="auto"/>
        <w:rPr>
          <w:b/>
          <w:bCs/>
          <w:sz w:val="24"/>
        </w:rPr>
      </w:pPr>
      <w:r>
        <w:rPr>
          <w:rFonts w:hint="eastAsia"/>
          <w:b/>
          <w:bCs/>
          <w:sz w:val="24"/>
        </w:rPr>
        <w:t>报价须知：</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附件：资质文件</w:t>
      </w: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营业执照：</w:t>
      </w:r>
    </w:p>
    <w:p>
      <w:pPr>
        <w:pStyle w:val="2"/>
        <w:rPr>
          <w:rFonts w:ascii="Times New Roman" w:hAnsi="Times New Roman" w:eastAsia="黑体" w:cs="Times New Roman"/>
          <w:b/>
          <w:sz w:val="32"/>
          <w:szCs w:val="32"/>
        </w:rPr>
      </w:pPr>
      <w:r>
        <w:rPr>
          <w:rFonts w:hint="eastAsia" w:eastAsia="黑体" w:cs="Times New Roman"/>
          <w:b/>
          <w:sz w:val="32"/>
          <w:szCs w:val="32"/>
        </w:rPr>
        <w:t>法人授权委托书：</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2242B8DD"/>
    <w:multiLevelType w:val="singleLevel"/>
    <w:tmpl w:val="2242B8DD"/>
    <w:lvl w:ilvl="0" w:tentative="0">
      <w:start w:val="1"/>
      <w:numFmt w:val="decimal"/>
      <w:suff w:val="nothing"/>
      <w:lvlText w:val="%1、"/>
      <w:lvlJc w:val="left"/>
    </w:lvl>
  </w:abstractNum>
  <w:abstractNum w:abstractNumId="2">
    <w:nsid w:val="6888BE65"/>
    <w:multiLevelType w:val="singleLevel"/>
    <w:tmpl w:val="6888BE65"/>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024BCB"/>
    <w:rsid w:val="00037C83"/>
    <w:rsid w:val="00085423"/>
    <w:rsid w:val="000A4F8D"/>
    <w:rsid w:val="000B18DE"/>
    <w:rsid w:val="000B46F1"/>
    <w:rsid w:val="000C2F52"/>
    <w:rsid w:val="000C4245"/>
    <w:rsid w:val="000F6853"/>
    <w:rsid w:val="00182C7E"/>
    <w:rsid w:val="001A3CCA"/>
    <w:rsid w:val="001C1B71"/>
    <w:rsid w:val="001E6A35"/>
    <w:rsid w:val="00243421"/>
    <w:rsid w:val="002436F7"/>
    <w:rsid w:val="002B11B2"/>
    <w:rsid w:val="00321427"/>
    <w:rsid w:val="0035403B"/>
    <w:rsid w:val="003700CA"/>
    <w:rsid w:val="00382591"/>
    <w:rsid w:val="00401633"/>
    <w:rsid w:val="00427F17"/>
    <w:rsid w:val="004577AD"/>
    <w:rsid w:val="004A1A23"/>
    <w:rsid w:val="004F5F52"/>
    <w:rsid w:val="00502EA1"/>
    <w:rsid w:val="00557800"/>
    <w:rsid w:val="00561699"/>
    <w:rsid w:val="0060005A"/>
    <w:rsid w:val="0063496C"/>
    <w:rsid w:val="006926C0"/>
    <w:rsid w:val="00707417"/>
    <w:rsid w:val="00715039"/>
    <w:rsid w:val="0077079B"/>
    <w:rsid w:val="0087701B"/>
    <w:rsid w:val="00881FEC"/>
    <w:rsid w:val="008D29A0"/>
    <w:rsid w:val="008D59FA"/>
    <w:rsid w:val="008F044E"/>
    <w:rsid w:val="00902A8D"/>
    <w:rsid w:val="009567D6"/>
    <w:rsid w:val="00960A6D"/>
    <w:rsid w:val="00990580"/>
    <w:rsid w:val="00995717"/>
    <w:rsid w:val="009F40E5"/>
    <w:rsid w:val="00A60AF5"/>
    <w:rsid w:val="00A87368"/>
    <w:rsid w:val="00AA2741"/>
    <w:rsid w:val="00B060DA"/>
    <w:rsid w:val="00B21694"/>
    <w:rsid w:val="00B45194"/>
    <w:rsid w:val="00B70028"/>
    <w:rsid w:val="00B7217C"/>
    <w:rsid w:val="00B72C4D"/>
    <w:rsid w:val="00B81511"/>
    <w:rsid w:val="00B9490E"/>
    <w:rsid w:val="00BA0792"/>
    <w:rsid w:val="00C92614"/>
    <w:rsid w:val="00CB1EC3"/>
    <w:rsid w:val="00D02911"/>
    <w:rsid w:val="00D150CD"/>
    <w:rsid w:val="00D22176"/>
    <w:rsid w:val="00D2372A"/>
    <w:rsid w:val="00D265C8"/>
    <w:rsid w:val="00DE6706"/>
    <w:rsid w:val="00E61F9A"/>
    <w:rsid w:val="00FC5935"/>
    <w:rsid w:val="00FD1746"/>
    <w:rsid w:val="00FD2AF3"/>
    <w:rsid w:val="00FF2D50"/>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B69BF"/>
    <w:rsid w:val="141A542F"/>
    <w:rsid w:val="15B91F57"/>
    <w:rsid w:val="166E6C8D"/>
    <w:rsid w:val="17305C2B"/>
    <w:rsid w:val="17383650"/>
    <w:rsid w:val="175F324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122239D"/>
    <w:rsid w:val="32071BBB"/>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C519A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C6F250F"/>
    <w:rsid w:val="4D135CBE"/>
    <w:rsid w:val="4D685FB2"/>
    <w:rsid w:val="4DC8271E"/>
    <w:rsid w:val="4EB05AB4"/>
    <w:rsid w:val="4F16270C"/>
    <w:rsid w:val="4F2C3312"/>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236235"/>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paragraph" w:styleId="3">
    <w:name w:val="footer"/>
    <w:basedOn w:val="1"/>
    <w:link w:val="8"/>
    <w:uiPriority w:val="0"/>
    <w:pPr>
      <w:tabs>
        <w:tab w:val="center" w:pos="4153"/>
        <w:tab w:val="right" w:pos="8306"/>
      </w:tabs>
      <w:snapToGrid w:val="0"/>
      <w:jc w:val="left"/>
    </w:pPr>
    <w:rPr>
      <w:sz w:val="18"/>
      <w:szCs w:val="18"/>
    </w:rPr>
  </w:style>
  <w:style w:type="paragraph" w:styleId="4">
    <w:name w:val="header"/>
    <w:basedOn w:val="1"/>
    <w:link w:val="7"/>
    <w:uiPriority w:val="0"/>
    <w:pPr>
      <w:tabs>
        <w:tab w:val="center" w:pos="4153"/>
        <w:tab w:val="right" w:pos="8306"/>
      </w:tabs>
      <w:snapToGrid w:val="0"/>
      <w:jc w:val="center"/>
    </w:pPr>
    <w:rPr>
      <w:sz w:val="18"/>
      <w:szCs w:val="18"/>
    </w:rPr>
  </w:style>
  <w:style w:type="character" w:customStyle="1" w:styleId="7">
    <w:name w:val="页眉 字符"/>
    <w:basedOn w:val="6"/>
    <w:link w:val="4"/>
    <w:uiPriority w:val="0"/>
    <w:rPr>
      <w:kern w:val="2"/>
      <w:sz w:val="18"/>
      <w:szCs w:val="18"/>
    </w:rPr>
  </w:style>
  <w:style w:type="character" w:customStyle="1" w:styleId="8">
    <w:name w:val="页脚 字符"/>
    <w:basedOn w:val="6"/>
    <w:link w:val="3"/>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1207</Words>
  <Characters>1234</Characters>
  <Lines>6</Lines>
  <Paragraphs>1</Paragraphs>
  <TotalTime>16</TotalTime>
  <ScaleCrop>false</ScaleCrop>
  <LinksUpToDate>false</LinksUpToDate>
  <CharactersWithSpaces>1234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2024-03-13T08:11:00Z</dcterms:created>
  <dc:creator>刘蔚盈</dc:creator>
  <cp:lastModifiedBy>金辉</cp:lastModifiedBy>
  <dcterms:modified xsi:type="dcterms:W3CDTF">2025-09-17T03:13:45Z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3E67E6B0AE3E4BE7B739AD12D52DDCDD_13</vt:lpwstr>
  </property>
  <property fmtid="{D5CDD505-2E9C-101B-9397-08002B2CF9AE}" pid="4" name="KSOTemplateDocerSaveRecord">
    <vt:lpwstr>eyJoZGlkIjoiZWRjNjQ3MGMyMzVmMzgyYmNhMjBkYWQyNjJkYjc0Y2UiLCJ1c2VySWQiOiI0NjEwODY5NDIifQ==</vt:lpwstr>
  </property>
</Properties>
</file>