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sz w:val="40"/>
        </w:rPr>
      </w:pPr>
      <w:r>
        <w:rPr>
          <w:rFonts w:hint="eastAsia"/>
          <w:b/>
          <w:sz w:val="40"/>
        </w:rPr>
        <w:t>南方电网科学研究院有限责任公司</w:t>
      </w:r>
    </w:p>
    <w:p>
      <w:pPr>
        <w:jc w:val="center"/>
        <w:rPr>
          <w:rFonts w:hint="eastAsia"/>
          <w:b/>
          <w:sz w:val="40"/>
        </w:rPr>
      </w:pPr>
      <w:r>
        <w:rPr>
          <w:rFonts w:hint="eastAsia"/>
          <w:b/>
          <w:sz w:val="40"/>
        </w:rPr>
        <w:t>南网科研院电力系统智能仿真训练推理优化平台概念验证技术服务</w:t>
      </w:r>
    </w:p>
    <w:p>
      <w:pPr>
        <w:jc w:val="center"/>
        <w:rPr>
          <w:b/>
          <w:sz w:val="40"/>
        </w:rPr>
      </w:pPr>
      <w:r>
        <w:rPr>
          <w:rFonts w:hint="eastAsia"/>
          <w:b/>
          <w:sz w:val="40"/>
        </w:rPr>
        <w:t>零星采购技术附件</w:t>
      </w:r>
    </w:p>
    <w:p/>
    <w:p>
      <w:pPr>
        <w:ind w:firstLine="562" w:firstLineChars="200"/>
        <w:rPr>
          <w:rFonts w:hint="eastAsia"/>
          <w:b/>
          <w:sz w:val="28"/>
          <w:szCs w:val="28"/>
        </w:rPr>
      </w:pPr>
      <w:r>
        <w:rPr>
          <w:rFonts w:hint="eastAsia"/>
          <w:b/>
          <w:sz w:val="28"/>
          <w:szCs w:val="28"/>
        </w:rPr>
        <w:t>一、采购范围及要求</w:t>
      </w:r>
    </w:p>
    <w:p>
      <w:pPr>
        <w:ind w:firstLine="560" w:firstLineChars="200"/>
        <w:rPr>
          <w:sz w:val="28"/>
          <w:szCs w:val="28"/>
        </w:rPr>
      </w:pPr>
      <w:r>
        <w:rPr>
          <w:rFonts w:hint="eastAsia"/>
          <w:sz w:val="28"/>
          <w:szCs w:val="28"/>
        </w:rPr>
        <w:t>基于</w:t>
      </w:r>
      <w:r>
        <w:rPr>
          <w:rFonts w:hint="eastAsia"/>
          <w:sz w:val="28"/>
          <w:szCs w:val="28"/>
          <w:lang w:val="en-US" w:eastAsia="zh-CN"/>
        </w:rPr>
        <w:t>采购方</w:t>
      </w:r>
      <w:r>
        <w:rPr>
          <w:rFonts w:hint="eastAsia"/>
          <w:sz w:val="28"/>
          <w:szCs w:val="28"/>
        </w:rPr>
        <w:t>所提供的软硬件平台环境，提供电力系统智能仿真训练推理优化平台概念验证技术服务，具体包括：</w:t>
      </w:r>
    </w:p>
    <w:p>
      <w:pPr>
        <w:ind w:firstLine="560" w:firstLineChars="200"/>
        <w:rPr>
          <w:sz w:val="28"/>
          <w:szCs w:val="28"/>
        </w:rPr>
      </w:pPr>
      <w:r>
        <w:rPr>
          <w:sz w:val="28"/>
          <w:szCs w:val="28"/>
        </w:rPr>
        <w:t>（</w:t>
      </w:r>
      <w:r>
        <w:rPr>
          <w:rFonts w:hint="eastAsia"/>
          <w:sz w:val="28"/>
          <w:szCs w:val="28"/>
        </w:rPr>
        <w:t>1</w:t>
      </w:r>
      <w:r>
        <w:rPr>
          <w:sz w:val="28"/>
          <w:szCs w:val="28"/>
        </w:rPr>
        <w:t>）搭建概念验证平台。平台硬件由</w:t>
      </w:r>
      <w:r>
        <w:rPr>
          <w:rFonts w:hint="eastAsia"/>
          <w:sz w:val="28"/>
          <w:szCs w:val="28"/>
          <w:lang w:val="en-US" w:eastAsia="zh-CN"/>
        </w:rPr>
        <w:t>采购</w:t>
      </w:r>
      <w:r>
        <w:rPr>
          <w:sz w:val="28"/>
          <w:szCs w:val="28"/>
        </w:rPr>
        <w:t>方或</w:t>
      </w:r>
      <w:r>
        <w:rPr>
          <w:rFonts w:hint="eastAsia"/>
          <w:sz w:val="28"/>
          <w:szCs w:val="28"/>
          <w:lang w:val="en-US" w:eastAsia="zh-CN"/>
        </w:rPr>
        <w:t>采购方</w:t>
      </w:r>
      <w:r>
        <w:rPr>
          <w:sz w:val="28"/>
          <w:szCs w:val="28"/>
        </w:rPr>
        <w:t>指定的合作伙伴提供（包括但不限于</w:t>
      </w:r>
      <w:r>
        <w:rPr>
          <w:rFonts w:hint="eastAsia"/>
          <w:sz w:val="28"/>
          <w:szCs w:val="28"/>
        </w:rPr>
        <w:t>C</w:t>
      </w:r>
      <w:r>
        <w:rPr>
          <w:sz w:val="28"/>
          <w:szCs w:val="28"/>
        </w:rPr>
        <w:t>PU服务器、</w:t>
      </w:r>
      <w:r>
        <w:rPr>
          <w:rFonts w:hint="eastAsia"/>
          <w:sz w:val="28"/>
          <w:szCs w:val="28"/>
        </w:rPr>
        <w:t>G</w:t>
      </w:r>
      <w:r>
        <w:rPr>
          <w:sz w:val="28"/>
          <w:szCs w:val="28"/>
        </w:rPr>
        <w:t>PU服务器、人工智能训练推理服务器等），</w:t>
      </w:r>
      <w:r>
        <w:rPr>
          <w:rFonts w:hint="eastAsia"/>
          <w:sz w:val="28"/>
          <w:szCs w:val="28"/>
          <w:lang w:val="en-US" w:eastAsia="zh-CN"/>
        </w:rPr>
        <w:t>报价单位</w:t>
      </w:r>
      <w:r>
        <w:rPr>
          <w:sz w:val="28"/>
          <w:szCs w:val="28"/>
        </w:rPr>
        <w:t>在特定的硬件环境下，部署</w:t>
      </w:r>
      <w:r>
        <w:rPr>
          <w:rFonts w:hint="eastAsia"/>
          <w:sz w:val="28"/>
          <w:szCs w:val="28"/>
        </w:rPr>
        <w:t>电力系统智能仿真训练推理优化平台概念验证平台。</w:t>
      </w:r>
    </w:p>
    <w:p>
      <w:pPr>
        <w:ind w:firstLine="560" w:firstLineChars="200"/>
        <w:rPr>
          <w:sz w:val="28"/>
          <w:szCs w:val="28"/>
        </w:rPr>
      </w:pPr>
      <w:r>
        <w:rPr>
          <w:rFonts w:hint="eastAsia"/>
          <w:sz w:val="28"/>
          <w:szCs w:val="28"/>
        </w:rPr>
        <w:t>（2）开发平台功能模块。训练推理优化平台需包括数据管理、数据分析、模型部署、模型更新四大模块和底层开发平台，具体如下：</w:t>
      </w:r>
    </w:p>
    <w:p>
      <w:pPr>
        <w:ind w:firstLine="560" w:firstLineChars="200"/>
        <w:rPr>
          <w:rFonts w:hint="eastAsia"/>
          <w:sz w:val="28"/>
          <w:szCs w:val="28"/>
        </w:rPr>
      </w:pPr>
      <w:r>
        <w:rPr>
          <w:rFonts w:hint="eastAsia"/>
          <w:sz w:val="28"/>
          <w:szCs w:val="28"/>
        </w:rPr>
        <w:t>1）数据管理模块存储着所有预处理后的原始数据，同时归总其他所有模块产生的训练推理数据集、应用监控信息等，按需为其他模块提供数据；</w:t>
      </w:r>
    </w:p>
    <w:p>
      <w:pPr>
        <w:ind w:firstLine="560" w:firstLineChars="200"/>
        <w:rPr>
          <w:rFonts w:hint="eastAsia"/>
          <w:sz w:val="28"/>
          <w:szCs w:val="28"/>
        </w:rPr>
      </w:pPr>
      <w:r>
        <w:rPr>
          <w:rFonts w:hint="eastAsia"/>
          <w:sz w:val="28"/>
          <w:szCs w:val="28"/>
        </w:rPr>
        <w:t>2）数据分析模块专门对训练推理数据集、结果做分析和可视化，形成分析报告，存储于数据管理模块；</w:t>
      </w:r>
    </w:p>
    <w:p>
      <w:pPr>
        <w:ind w:firstLine="560" w:firstLineChars="200"/>
        <w:rPr>
          <w:rFonts w:hint="eastAsia"/>
          <w:sz w:val="28"/>
          <w:szCs w:val="28"/>
        </w:rPr>
      </w:pPr>
      <w:r>
        <w:rPr>
          <w:rFonts w:hint="eastAsia"/>
          <w:sz w:val="28"/>
          <w:szCs w:val="28"/>
        </w:rPr>
        <w:t>3）模型部署模块旨在构建L0级基础模型并形成可部署镜像，支持私有化一键部署到不同电网、应用场景的L1、L2级模型迁移训练；</w:t>
      </w:r>
    </w:p>
    <w:p>
      <w:pPr>
        <w:ind w:firstLine="560" w:firstLineChars="200"/>
        <w:rPr>
          <w:rFonts w:hint="eastAsia"/>
          <w:sz w:val="28"/>
          <w:szCs w:val="28"/>
        </w:rPr>
      </w:pPr>
      <w:r>
        <w:rPr>
          <w:rFonts w:hint="eastAsia"/>
          <w:sz w:val="28"/>
          <w:szCs w:val="28"/>
        </w:rPr>
        <w:t>4）模型更新模块在已部署模型上，根据既定的规则触发持续学习流程，选择不同的微调模式来更新模型参数，同时后台持续进行评价并收集训练推理日志。</w:t>
      </w:r>
    </w:p>
    <w:p>
      <w:pPr>
        <w:ind w:firstLine="560" w:firstLineChars="200"/>
        <w:rPr>
          <w:sz w:val="28"/>
          <w:szCs w:val="28"/>
        </w:rPr>
      </w:pPr>
      <w:r>
        <w:rPr>
          <w:rFonts w:hint="eastAsia"/>
          <w:sz w:val="28"/>
          <w:szCs w:val="28"/>
        </w:rPr>
        <w:t>5）开发平台支撑以上模块的核心代码开发与整合，具备以下能力：标准化的开发环境，支持一键复用，提升团队弹性扩容空间；远程访问，提高开发效率；开发全流程管控能力，包括版本管理、团队管理、流程管理、应用管理等能力。</w:t>
      </w:r>
    </w:p>
    <w:p>
      <w:pPr>
        <w:ind w:firstLine="560" w:firstLineChars="200"/>
        <w:rPr>
          <w:rFonts w:hint="eastAsia"/>
          <w:sz w:val="28"/>
          <w:szCs w:val="28"/>
        </w:rPr>
      </w:pPr>
      <w:r>
        <w:rPr>
          <w:sz w:val="28"/>
          <w:szCs w:val="28"/>
        </w:rPr>
        <w:t>（</w:t>
      </w:r>
      <w:r>
        <w:rPr>
          <w:rFonts w:hint="eastAsia"/>
          <w:sz w:val="28"/>
          <w:szCs w:val="28"/>
        </w:rPr>
        <w:t>3</w:t>
      </w:r>
      <w:r>
        <w:rPr>
          <w:sz w:val="28"/>
          <w:szCs w:val="28"/>
        </w:rPr>
        <w:t>）提供驻场服务。</w:t>
      </w:r>
      <w:r>
        <w:rPr>
          <w:rFonts w:hint="eastAsia"/>
          <w:sz w:val="28"/>
          <w:szCs w:val="28"/>
          <w:lang w:val="en-US" w:eastAsia="zh-CN"/>
        </w:rPr>
        <w:t>报价单位</w:t>
      </w:r>
      <w:r>
        <w:rPr>
          <w:sz w:val="28"/>
          <w:szCs w:val="28"/>
        </w:rPr>
        <w:t>需提供至少</w:t>
      </w:r>
      <w:r>
        <w:rPr>
          <w:rFonts w:hint="eastAsia"/>
          <w:sz w:val="28"/>
          <w:szCs w:val="28"/>
          <w:lang w:val="en-US" w:eastAsia="zh-CN"/>
        </w:rPr>
        <w:t>2</w:t>
      </w:r>
      <w:r>
        <w:rPr>
          <w:sz w:val="28"/>
          <w:szCs w:val="28"/>
        </w:rPr>
        <w:t>0人天的驻场服务（服务地址：广州市黄埔区科学城科翔路</w:t>
      </w:r>
      <w:r>
        <w:rPr>
          <w:rFonts w:hint="eastAsia"/>
          <w:sz w:val="28"/>
          <w:szCs w:val="28"/>
        </w:rPr>
        <w:t>1</w:t>
      </w:r>
      <w:r>
        <w:rPr>
          <w:sz w:val="28"/>
          <w:szCs w:val="28"/>
        </w:rPr>
        <w:t>1号南方电网科学研究院）。</w:t>
      </w:r>
    </w:p>
    <w:p>
      <w:pPr>
        <w:ind w:firstLine="560" w:firstLineChars="200"/>
        <w:rPr>
          <w:sz w:val="28"/>
          <w:szCs w:val="28"/>
        </w:rPr>
      </w:pPr>
      <w:r>
        <w:rPr>
          <w:rFonts w:hint="eastAsia"/>
          <w:sz w:val="28"/>
          <w:szCs w:val="28"/>
        </w:rPr>
        <w:t>在</w:t>
      </w:r>
      <w:r>
        <w:rPr>
          <w:rFonts w:hint="eastAsia"/>
          <w:sz w:val="28"/>
          <w:szCs w:val="28"/>
          <w:lang w:val="en-US" w:eastAsia="zh-CN"/>
        </w:rPr>
        <w:t>技术服务</w:t>
      </w:r>
      <w:r>
        <w:rPr>
          <w:rFonts w:hint="eastAsia"/>
          <w:sz w:val="28"/>
          <w:szCs w:val="28"/>
        </w:rPr>
        <w:t>结束前完成相应的系统部署</w:t>
      </w:r>
      <w:bookmarkStart w:id="0" w:name="_GoBack"/>
      <w:bookmarkEnd w:id="0"/>
      <w:r>
        <w:rPr>
          <w:rFonts w:hint="eastAsia"/>
          <w:sz w:val="28"/>
          <w:szCs w:val="28"/>
        </w:rPr>
        <w:t>及功能开发，并通过甲方的验收。</w:t>
      </w:r>
    </w:p>
    <w:p>
      <w:pPr>
        <w:autoSpaceDE w:val="0"/>
        <w:autoSpaceDN w:val="0"/>
        <w:adjustRightInd w:val="0"/>
        <w:ind w:firstLine="562" w:firstLineChars="200"/>
        <w:jc w:val="left"/>
        <w:rPr>
          <w:rFonts w:ascii="宋体" w:eastAsia="宋体" w:cs="宋体"/>
          <w:b/>
          <w:kern w:val="0"/>
          <w:sz w:val="28"/>
          <w:szCs w:val="28"/>
        </w:rPr>
      </w:pPr>
      <w:r>
        <w:rPr>
          <w:b/>
          <w:sz w:val="28"/>
          <w:szCs w:val="28"/>
        </w:rPr>
        <w:t>二、</w:t>
      </w:r>
      <w:r>
        <w:rPr>
          <w:rFonts w:hint="eastAsia" w:ascii="宋体" w:eastAsia="宋体" w:cs="宋体"/>
          <w:b/>
          <w:kern w:val="0"/>
          <w:sz w:val="28"/>
          <w:szCs w:val="28"/>
        </w:rPr>
        <w:t>资格条件</w:t>
      </w:r>
    </w:p>
    <w:tbl>
      <w:tblPr>
        <w:tblStyle w:val="3"/>
        <w:tblW w:w="83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6"/>
        <w:gridCol w:w="73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6" w:type="dxa"/>
          </w:tcPr>
          <w:p>
            <w:pPr>
              <w:autoSpaceDE w:val="0"/>
              <w:autoSpaceDN w:val="0"/>
              <w:adjustRightInd w:val="0"/>
              <w:jc w:val="left"/>
              <w:rPr>
                <w:rFonts w:ascii="宋体" w:eastAsia="宋体" w:cs="宋体"/>
                <w:kern w:val="0"/>
                <w:sz w:val="28"/>
                <w:szCs w:val="28"/>
              </w:rPr>
            </w:pPr>
            <w:r>
              <w:rPr>
                <w:rFonts w:ascii="宋体" w:eastAsia="宋体" w:cs="宋体"/>
                <w:kern w:val="0"/>
                <w:sz w:val="28"/>
                <w:szCs w:val="28"/>
              </w:rPr>
              <w:t>序号</w:t>
            </w:r>
          </w:p>
        </w:tc>
        <w:tc>
          <w:tcPr>
            <w:tcW w:w="7303" w:type="dxa"/>
          </w:tcPr>
          <w:p>
            <w:pPr>
              <w:autoSpaceDE w:val="0"/>
              <w:autoSpaceDN w:val="0"/>
              <w:adjustRightInd w:val="0"/>
              <w:jc w:val="left"/>
              <w:rPr>
                <w:rFonts w:ascii="宋体" w:eastAsia="宋体" w:cs="宋体"/>
                <w:kern w:val="0"/>
                <w:sz w:val="28"/>
                <w:szCs w:val="28"/>
              </w:rPr>
            </w:pPr>
            <w:r>
              <w:rPr>
                <w:rFonts w:hint="eastAsia" w:ascii="宋体" w:eastAsia="宋体" w:cs="宋体"/>
                <w:kern w:val="0"/>
                <w:sz w:val="28"/>
                <w:szCs w:val="28"/>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6" w:type="dxa"/>
          </w:tcPr>
          <w:p>
            <w:pPr>
              <w:autoSpaceDE w:val="0"/>
              <w:autoSpaceDN w:val="0"/>
              <w:adjustRightInd w:val="0"/>
              <w:jc w:val="center"/>
              <w:rPr>
                <w:rFonts w:ascii="宋体" w:eastAsia="宋体" w:cs="宋体"/>
                <w:kern w:val="0"/>
                <w:sz w:val="28"/>
                <w:szCs w:val="28"/>
              </w:rPr>
            </w:pPr>
            <w:r>
              <w:rPr>
                <w:rFonts w:hint="eastAsia" w:ascii="宋体" w:eastAsia="宋体" w:cs="宋体"/>
                <w:kern w:val="0"/>
                <w:sz w:val="28"/>
                <w:szCs w:val="28"/>
              </w:rPr>
              <w:t>1</w:t>
            </w:r>
          </w:p>
        </w:tc>
        <w:tc>
          <w:tcPr>
            <w:tcW w:w="7303" w:type="dxa"/>
          </w:tcPr>
          <w:p>
            <w:pPr>
              <w:autoSpaceDE w:val="0"/>
              <w:autoSpaceDN w:val="0"/>
              <w:adjustRightInd w:val="0"/>
              <w:jc w:val="left"/>
              <w:rPr>
                <w:rFonts w:hint="eastAsia"/>
                <w:sz w:val="28"/>
                <w:szCs w:val="28"/>
              </w:rPr>
            </w:pPr>
            <w:r>
              <w:rPr>
                <w:rFonts w:hint="eastAsia" w:ascii="宋体" w:eastAsia="宋体" w:cs="宋体"/>
                <w:kern w:val="0"/>
                <w:sz w:val="28"/>
                <w:szCs w:val="28"/>
              </w:rPr>
              <w:t>报价单位为企业的，应提供有效的营业执照（海外及港澳台企业如无营业执照应提供有效登记注册证明文件；企业分支机构应同时提供总公司出具的项目授权）；报价单位为事业单位或社团的，应提供有效的事业单位法人证书或社团法人证书；报价单位为非法人组织的，应当提供有关监管机构颁发的执业许可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6" w:type="dxa"/>
          </w:tcPr>
          <w:p>
            <w:pPr>
              <w:autoSpaceDE w:val="0"/>
              <w:autoSpaceDN w:val="0"/>
              <w:adjustRightInd w:val="0"/>
              <w:jc w:val="center"/>
              <w:rPr>
                <w:rFonts w:ascii="宋体" w:eastAsia="宋体" w:cs="宋体"/>
                <w:kern w:val="0"/>
                <w:sz w:val="28"/>
                <w:szCs w:val="28"/>
              </w:rPr>
            </w:pPr>
            <w:r>
              <w:rPr>
                <w:rFonts w:hint="eastAsia" w:ascii="宋体" w:eastAsia="宋体" w:cs="宋体"/>
                <w:kern w:val="0"/>
                <w:sz w:val="28"/>
                <w:szCs w:val="28"/>
              </w:rPr>
              <w:t>2</w:t>
            </w:r>
          </w:p>
        </w:tc>
        <w:tc>
          <w:tcPr>
            <w:tcW w:w="7303" w:type="dxa"/>
          </w:tcPr>
          <w:p>
            <w:pPr>
              <w:autoSpaceDE w:val="0"/>
              <w:autoSpaceDN w:val="0"/>
              <w:adjustRightInd w:val="0"/>
              <w:jc w:val="left"/>
              <w:rPr>
                <w:rFonts w:ascii="宋体" w:eastAsia="宋体" w:cs="宋体"/>
                <w:kern w:val="0"/>
                <w:sz w:val="28"/>
                <w:szCs w:val="28"/>
              </w:rPr>
            </w:pPr>
            <w:r>
              <w:rPr>
                <w:rFonts w:hint="eastAsia" w:ascii="宋体" w:eastAsia="宋体" w:cs="宋体"/>
                <w:kern w:val="0"/>
                <w:sz w:val="28"/>
                <w:szCs w:val="28"/>
              </w:rPr>
              <w:t>单位负责人为同一人或者存在控股、管理关系的不同单位，不得同时参加报价；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6" w:type="dxa"/>
          </w:tcPr>
          <w:p>
            <w:pPr>
              <w:jc w:val="center"/>
              <w:rPr>
                <w:sz w:val="28"/>
                <w:szCs w:val="28"/>
              </w:rPr>
            </w:pPr>
            <w:r>
              <w:rPr>
                <w:rFonts w:ascii="宋体" w:eastAsia="宋体" w:cs="宋体"/>
                <w:kern w:val="0"/>
                <w:sz w:val="28"/>
                <w:szCs w:val="28"/>
              </w:rPr>
              <w:t>3</w:t>
            </w:r>
          </w:p>
        </w:tc>
        <w:tc>
          <w:tcPr>
            <w:tcW w:w="7303" w:type="dxa"/>
          </w:tcPr>
          <w:p>
            <w:pPr>
              <w:jc w:val="left"/>
              <w:rPr>
                <w:sz w:val="28"/>
                <w:szCs w:val="28"/>
              </w:rPr>
            </w:pPr>
            <w:r>
              <w:rPr>
                <w:rFonts w:hint="eastAsia" w:ascii="宋体" w:eastAsia="宋体" w:cs="宋体"/>
                <w:kern w:val="0"/>
                <w:sz w:val="28"/>
                <w:szCs w:val="28"/>
              </w:rPr>
              <w:t>报价单位没有被中国南方电网有限责任公司暂停或取消其投标资格的。</w:t>
            </w:r>
          </w:p>
        </w:tc>
      </w:tr>
    </w:tbl>
    <w:p>
      <w:pPr>
        <w:autoSpaceDE w:val="0"/>
        <w:autoSpaceDN w:val="0"/>
        <w:adjustRightInd w:val="0"/>
        <w:ind w:firstLine="560" w:firstLineChars="200"/>
        <w:jc w:val="left"/>
        <w:rPr>
          <w:rFonts w:ascii="宋体" w:eastAsia="宋体" w:cs="宋体"/>
          <w:kern w:val="0"/>
          <w:sz w:val="28"/>
          <w:szCs w:val="28"/>
        </w:rPr>
      </w:pPr>
    </w:p>
    <w:p>
      <w:pPr>
        <w:autoSpaceDE w:val="0"/>
        <w:autoSpaceDN w:val="0"/>
        <w:adjustRightInd w:val="0"/>
        <w:ind w:firstLine="562" w:firstLineChars="200"/>
        <w:jc w:val="left"/>
        <w:rPr>
          <w:rFonts w:ascii="宋体" w:eastAsia="宋体" w:cs="宋体"/>
          <w:b/>
          <w:kern w:val="0"/>
          <w:sz w:val="28"/>
          <w:szCs w:val="28"/>
        </w:rPr>
      </w:pPr>
      <w:r>
        <w:rPr>
          <w:rFonts w:hint="eastAsia" w:ascii="宋体" w:eastAsia="宋体" w:cs="宋体"/>
          <w:b/>
          <w:kern w:val="0"/>
          <w:sz w:val="28"/>
          <w:szCs w:val="28"/>
        </w:rPr>
        <w:t>三、成交办法</w:t>
      </w:r>
    </w:p>
    <w:p>
      <w:pPr>
        <w:autoSpaceDE w:val="0"/>
        <w:autoSpaceDN w:val="0"/>
        <w:adjustRightInd w:val="0"/>
        <w:ind w:firstLine="560" w:firstLineChars="200"/>
        <w:jc w:val="left"/>
        <w:rPr>
          <w:rFonts w:hint="eastAsia" w:ascii="宋体" w:eastAsia="宋体" w:cs="宋体"/>
          <w:kern w:val="0"/>
          <w:sz w:val="28"/>
          <w:szCs w:val="28"/>
        </w:rPr>
      </w:pPr>
      <w:r>
        <w:rPr>
          <w:rFonts w:hint="eastAsia" w:ascii="宋体" w:eastAsia="宋体" w:cs="宋体"/>
          <w:kern w:val="0"/>
          <w:sz w:val="28"/>
          <w:szCs w:val="28"/>
        </w:rPr>
        <w:t>根据满足资格条件的各家单位有效报价，选择报价最低者为成交对象。</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E37"/>
    <w:rsid w:val="00600E37"/>
    <w:rsid w:val="008A1FAE"/>
    <w:rsid w:val="00943DA0"/>
    <w:rsid w:val="00F307AE"/>
    <w:rsid w:val="35A27001"/>
    <w:rsid w:val="64B91FB5"/>
    <w:rsid w:val="6B211D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table" w:styleId="3">
    <w:name w:val="Table Grid"/>
    <w:basedOn w:val="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SEPRI</Company>
  <Pages>3</Pages>
  <Words>151</Words>
  <Characters>861</Characters>
  <Lines>7</Lines>
  <Paragraphs>2</Paragraphs>
  <TotalTime>17</TotalTime>
  <ScaleCrop>false</ScaleCrop>
  <LinksUpToDate>false</LinksUpToDate>
  <CharactersWithSpaces>1010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2025-09-15T01:04:00Z</dcterms:created>
  <dc:creator>Microsoft 帐户</dc:creator>
  <cp:lastModifiedBy>zhouth</cp:lastModifiedBy>
  <dcterms:modified xsi:type="dcterms:W3CDTF">2025-09-17T05:29:15Z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093A7AA6579A44AAB7967D5DA0D8571C</vt:lpwstr>
  </property>
</Properties>
</file>