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rPr>
          <w:rFonts w:hint="eastAsia" w:ascii="黑体" w:hAnsi="黑体" w:eastAsia="黑体"/>
          <w:i w:val="0"/>
          <w:iCs w:val="0"/>
          <w:color w:val="auto"/>
          <w:sz w:val="36"/>
          <w:szCs w:val="36"/>
          <w:highlight w:val="none"/>
          <w:lang w:eastAsia="zh-CN"/>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0" w:name="_Toc349031711"/>
      <w:r>
        <w:rPr>
          <w:i w:val="0"/>
          <w:iCs w:val="0"/>
          <w:color w:val="auto"/>
          <w:sz w:val="24"/>
          <w:highlight w:val="none"/>
        </w:rPr>
        <mc:AlternateContent>
          <mc:Choice Requires="wps">
            <w:drawing>
              <wp:anchor distT="0" distB="0" distL="114300" distR="114300" simplePos="0" relativeHeight="251664384" behindDoc="0" locked="0" layoutInCell="1" allowOverlap="1">
                <wp:simplePos x="0" y="0"/>
                <wp:positionH relativeFrom="column">
                  <wp:posOffset>-101600</wp:posOffset>
                </wp:positionH>
                <wp:positionV relativeFrom="paragraph">
                  <wp:posOffset>2795270</wp:posOffset>
                </wp:positionV>
                <wp:extent cx="5534025" cy="1468120"/>
                <wp:effectExtent l="0" t="0" r="0" b="0"/>
                <wp:wrapNone/>
                <wp:docPr id="60" name="矩形 5"/>
                <wp:cNvGraphicFramePr/>
                <a:graphic xmlns:a="http://schemas.openxmlformats.org/drawingml/2006/main">
                  <a:graphicData uri="http://schemas.microsoft.com/office/word/2010/wordprocessingShape">
                    <wps:wsp>
                      <wps:cNvSpPr/>
                      <wps:spPr>
                        <a:xfrm>
                          <a:off x="0" y="0"/>
                          <a:ext cx="5534025" cy="1468120"/>
                        </a:xfrm>
                        <a:prstGeom prst="rect">
                          <a:avLst/>
                        </a:prstGeom>
                        <a:noFill/>
                        <a:ln>
                          <a:noFill/>
                        </a:ln>
                      </wps:spPr>
                      <wps:txbx>
                        <w:txbxContent>
                          <w:p>
                            <w:pPr>
                              <w:spacing w:before="156" w:after="156"/>
                              <w:jc w:val="right"/>
                              <w:rPr>
                                <w:rFonts w:hint="eastAsia" w:ascii="方正粗宋简体" w:eastAsia="方正粗宋简体"/>
                                <w:b/>
                                <w:color w:val="000080"/>
                                <w:sz w:val="44"/>
                                <w:szCs w:val="44"/>
                                <w:lang w:eastAsia="zh-CN"/>
                              </w:rPr>
                            </w:pPr>
                            <w:bookmarkStart w:id="85" w:name="TXT_09B98C3489C3EB1154979B7B4B28ECF7_1"/>
                            <w:r>
                              <w:rPr>
                                <w:rFonts w:hint="eastAsia" w:ascii="方正粗宋简体" w:eastAsia="方正粗宋简体"/>
                                <w:b/>
                                <w:color w:val="000080"/>
                                <w:sz w:val="44"/>
                                <w:szCs w:val="44"/>
                                <w:u w:val="single"/>
                                <w:lang w:eastAsia="zh-CN"/>
                              </w:rPr>
                              <w:t>南网人才发展中心2025-2026年信息系统维护等8个数字化项目(二次采购)</w:t>
                            </w:r>
                            <w:bookmarkEnd w:id="85"/>
                          </w:p>
                          <w:p>
                            <w:pPr>
                              <w:pStyle w:val="3"/>
                              <w:jc w:val="right"/>
                              <w:rPr>
                                <w:rFonts w:hint="eastAsia" w:ascii="方正粗宋简体" w:hAnsi="Times New Roman" w:eastAsia="方正粗宋简体"/>
                                <w:i w:val="0"/>
                                <w:color w:val="000080"/>
                                <w:sz w:val="44"/>
                                <w:szCs w:val="44"/>
                              </w:rPr>
                            </w:pPr>
                          </w:p>
                        </w:txbxContent>
                      </wps:txbx>
                      <wps:bodyPr rot="0" spcFirstLastPara="0" vertOverflow="overflow" horzOverflow="overflow" vert="horz" wrap="square" lIns="91440" tIns="45720" rIns="91440" bIns="45720" numCol="1" anchor="ctr" upright="1">
                        <a:noAutofit/>
                      </wps:bodyPr>
                    </wps:wsp>
                  </a:graphicData>
                </a:graphic>
              </wp:anchor>
            </w:drawing>
          </mc:Choice>
          <mc:Fallback>
            <w:pict>
              <v:rect id="矩形 5" o:spid="_x0000_s1026" o:spt="1" style="position:absolute;left:0pt;margin-left:-8pt;margin-top:220.1pt;height:115.6pt;width:435.75pt;z-index:251664384;v-text-anchor:middle;mso-width-relative:page;mso-height-relative:page;" filled="f" stroked="f" coordsize="21600,21600" o:gfxdata="UEsDBAoAAAAAAIdO4kAAAAAAAAAAAAAAAAAEAAAAZHJzL1BLAwQUAAAACACHTuJAZW27NtcAAAAL&#10;AQAADwAAAGRycy9kb3ducmV2LnhtbE2PzU7DMBCE70i8g7VI3FrbVRKqEKcSRb1wo1Tiuo23cYR/&#10;othNw9tjTnAczWjmm2a3OMtmmuIQvAK5FsDId0EPvldw+jistsBiQq/RBk8KvinCrr2/a7DW4ebf&#10;aT6mnuUSH2tUYFIaa85jZ8hhXIeRfPYuYXKYspx6rie85XJn+UaIijscfF4wONLeUPd1vDoFy8sn&#10;8mANXZA78TYf5KvcW6UeH6R4BpZoSX9h+MXP6NBmpnO4eh2ZVbCSVf6SFBSF2ADLiW1ZlsDOCqon&#10;WQBvG/7/Q/sDUEsDBBQAAAAIAIdO4kBKWdRrDAIAABAEAAAOAAAAZHJzL2Uyb0RvYy54bWytU8GO&#10;0zAQvSPxD5bvNE1py1I1XSGqIqQVW2nhA1zHaSzFHjN2mpafQeLGR/A5K36DsRO6ZeGwBy7OeGby&#10;Zt6b8fL6aBp2UOg12ILnozFnykootd0X/NPHzYsrznwQthQNWFXwk/L8evX82bJzCzWBGppSISMQ&#10;6xedK3gdgltkmZe1MsKPwClLwQrQiEBX3Gclio7QTZNNxuN51gGWDkEq78m77oN8QMSnAEJVaanW&#10;IFujbOhRUTUiECVfa+f5KnVbVUqG26ryKrCm4MQ0pJOKkL2LZ7ZaisUehau1HFoQT2nhEScjtKWi&#10;Z6i1CIK1qP+CMloieKjCSILJeiJJEWKRjx9pc1cLpxIXktq7s+j+/8HKD4ctMl0WfE6SWGFo4j+/&#10;fr//8Y3Nojid8wvKuXNbHG6ezMj0WKGJX+LAjknQ01lQdQxMknM2ezkdT2acSYrl0/lVPkmSZw+/&#10;O/ThnQLDolFwpIklIcXhxgcqSam/U2I1CxvdNGlqjf3DQYnRk8WO+x6jFY6749D4DsoTcUXol8A7&#10;udFU80b4sBVIUycB6F2EWzqqBrqCw2BxVgN++Zc/5tMwKMpZR1tUcP+5Fag4a95bGtPrfDqNa5cu&#10;09kros/wMrK7jNjWvAVa1JwzYSWhFlwG5Kx1qPc1FcqTNBbetAEqneSJJHtmA3dalKTasNRxEy/v&#10;KevhIa9+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GVtuzbXAAAACwEAAA8AAAAAAAAAAQAgAAAA&#10;IgAAAGRycy9kb3ducmV2LnhtbFBLAQIUABQAAAAIAIdO4kBKWdRrDAIAABAEAAAOAAAAAAAAAAEA&#10;IAAAACYBAABkcnMvZTJvRG9jLnhtbFBLBQYAAAAABgAGAFkBAACkBQAAAAA=&#10;">
                <v:fill on="f" focussize="0,0"/>
                <v:stroke on="f"/>
                <v:imagedata o:title=""/>
                <o:lock v:ext="edit" aspectratio="f"/>
                <v:textbox>
                  <w:txbxContent>
                    <w:p>
                      <w:pPr>
                        <w:spacing w:before="156" w:after="156"/>
                        <w:jc w:val="right"/>
                        <w:rPr>
                          <w:rFonts w:hint="eastAsia" w:ascii="方正粗宋简体" w:eastAsia="方正粗宋简体"/>
                          <w:b/>
                          <w:color w:val="000080"/>
                          <w:sz w:val="44"/>
                          <w:szCs w:val="44"/>
                          <w:lang w:eastAsia="zh-CN"/>
                        </w:rPr>
                      </w:pPr>
                      <w:bookmarkStart w:id="85" w:name="TXT_09B98C3489C3EB1154979B7B4B28ECF7_1"/>
                      <w:r>
                        <w:rPr>
                          <w:rFonts w:hint="eastAsia" w:ascii="方正粗宋简体" w:eastAsia="方正粗宋简体"/>
                          <w:b/>
                          <w:color w:val="000080"/>
                          <w:sz w:val="44"/>
                          <w:szCs w:val="44"/>
                          <w:u w:val="single"/>
                          <w:lang w:eastAsia="zh-CN"/>
                        </w:rPr>
                        <w:t>南网人才发展中心2025-2026年信息系统维护等8个数字化项目(二次采购)</w:t>
                      </w:r>
                      <w:bookmarkEnd w:id="85"/>
                    </w:p>
                    <w:p>
                      <w:pPr>
                        <w:pStyle w:val="3"/>
                        <w:jc w:val="right"/>
                        <w:rPr>
                          <w:rFonts w:hint="eastAsia" w:ascii="方正粗宋简体" w:hAnsi="Times New Roman" w:eastAsia="方正粗宋简体"/>
                          <w:i w:val="0"/>
                          <w:color w:val="000080"/>
                          <w:sz w:val="44"/>
                          <w:szCs w:val="44"/>
                        </w:rPr>
                      </w:pPr>
                    </w:p>
                  </w:txbxContent>
                </v:textbox>
              </v:rect>
            </w:pict>
          </mc:Fallback>
        </mc:AlternateContent>
      </w:r>
      <w:r>
        <w:rPr>
          <w:i w:val="0"/>
          <w:iCs w:val="0"/>
          <w:color w:val="auto"/>
          <w:sz w:val="24"/>
          <w:highlight w:val="none"/>
        </w:rPr>
        <mc:AlternateContent>
          <mc:Choice Requires="wps">
            <w:drawing>
              <wp:anchor distT="0" distB="0" distL="114300" distR="114300" simplePos="0" relativeHeight="251661312" behindDoc="0" locked="0" layoutInCell="1" allowOverlap="1">
                <wp:simplePos x="0" y="0"/>
                <wp:positionH relativeFrom="margin">
                  <wp:posOffset>0</wp:posOffset>
                </wp:positionH>
                <wp:positionV relativeFrom="paragraph">
                  <wp:posOffset>1578610</wp:posOffset>
                </wp:positionV>
                <wp:extent cx="4036060" cy="495300"/>
                <wp:effectExtent l="0" t="0" r="0" b="0"/>
                <wp:wrapNone/>
                <wp:docPr id="61" name="矩形 9"/>
                <wp:cNvGraphicFramePr/>
                <a:graphic xmlns:a="http://schemas.openxmlformats.org/drawingml/2006/main">
                  <a:graphicData uri="http://schemas.microsoft.com/office/word/2010/wordprocessingShape">
                    <wps:wsp>
                      <wps:cNvSpPr/>
                      <wps:spPr>
                        <a:xfrm>
                          <a:off x="0" y="0"/>
                          <a:ext cx="4036060" cy="495300"/>
                        </a:xfrm>
                        <a:prstGeom prst="rect">
                          <a:avLst/>
                        </a:prstGeom>
                        <a:noFill/>
                        <a:ln>
                          <a:noFill/>
                        </a:ln>
                      </wps:spPr>
                      <wps:txbx>
                        <w:txbxContent>
                          <w:p>
                            <w:pPr>
                              <w:spacing w:before="156" w:after="156"/>
                              <w:rPr>
                                <w:rFonts w:ascii="宋体" w:cs="宋体"/>
                                <w:b/>
                                <w:color w:val="000000"/>
                                <w:sz w:val="32"/>
                                <w:szCs w:val="32"/>
                                <w:lang w:val="zh-CN"/>
                              </w:rPr>
                            </w:pPr>
                            <w:r>
                              <w:rPr>
                                <w:rFonts w:hint="eastAsia" w:ascii="宋体" w:cs="宋体"/>
                                <w:b/>
                                <w:color w:val="000000"/>
                                <w:sz w:val="32"/>
                                <w:szCs w:val="32"/>
                                <w:lang w:val="en-US" w:eastAsia="zh-CN"/>
                              </w:rPr>
                              <w:t>采购</w:t>
                            </w:r>
                            <w:r>
                              <w:rPr>
                                <w:rFonts w:hint="eastAsia" w:ascii="宋体" w:cs="宋体"/>
                                <w:b/>
                                <w:color w:val="000000"/>
                                <w:sz w:val="32"/>
                                <w:szCs w:val="32"/>
                                <w:lang w:val="zh-CN"/>
                              </w:rPr>
                              <w:t>编号：</w:t>
                            </w:r>
                            <w:bookmarkStart w:id="86" w:name="TXT_190116188AC3EB11B894BDED378877FD_1"/>
                            <w:r>
                              <w:rPr>
                                <w:rFonts w:hint="eastAsia" w:ascii="宋体" w:cs="宋体"/>
                                <w:b/>
                                <w:color w:val="000000"/>
                                <w:sz w:val="32"/>
                                <w:szCs w:val="32"/>
                                <w:u w:val="single"/>
                                <w:lang w:val="zh-CN"/>
                              </w:rPr>
                              <w:t>CG1600062002118804</w:t>
                            </w:r>
                            <w:bookmarkEnd w:id="86"/>
                          </w:p>
                          <w:p>
                            <w:pPr>
                              <w:spacing w:before="156" w:after="156"/>
                            </w:pPr>
                          </w:p>
                        </w:txbxContent>
                      </wps:txbx>
                      <wps:bodyPr rot="0" spcFirstLastPara="0" vertOverflow="overflow" horzOverflow="overflow" vert="horz" wrap="square" lIns="91440" tIns="45720" rIns="91440" bIns="45720" numCol="1" anchor="t" upright="1">
                        <a:noAutofit/>
                      </wps:bodyPr>
                    </wps:wsp>
                  </a:graphicData>
                </a:graphic>
              </wp:anchor>
            </w:drawing>
          </mc:Choice>
          <mc:Fallback>
            <w:pict>
              <v:rect id="矩形 9" o:spid="_x0000_s1026" o:spt="1" style="position:absolute;left:0pt;margin-left:0pt;margin-top:124.3pt;height:39pt;width:317.8pt;mso-position-horizontal-relative:margin;z-index:251661312;mso-width-relative:page;mso-height-relative:page;" filled="f" stroked="f" coordsize="21600,21600" o:gfxdata="UEsDBAoAAAAAAIdO4kAAAAAAAAAAAAAAAAAEAAAAZHJzL1BLAwQUAAAACACHTuJAqLWPRdkAAAAI&#10;AQAADwAAAGRycy9kb3ducmV2LnhtbE2PQUvDQBCF74L/YRnBi9hNU11KzKSHglhEKE215212TYLZ&#10;2TS7Teq/dzzp7Q1veO97+eriOjHaIbSeEOazBISlypuWaoT3/fP9EkSImozuPFmEbxtgVVxf5Toz&#10;fqKdHctYCw6hkGmEJsY+kzJUjXU6zHxvib1PPzgd+RxqaQY9cbjrZJokSjrdEjc0urfrxlZf5dkh&#10;TNV2POzfXuT27rDxdNqc1uXHK+LtzTx5AhHtJf49wy8+o0PBTEd/JhNEh8BDIkL6sFQg2FaLRxZH&#10;hEWqFMgil/8HFD9QSwMEFAAAAAgAh07iQDZuNfQJAgAADQQAAA4AAABkcnMvZTJvRG9jLnhtbK1T&#10;zY7TMBC+I/EOlu80abdbaNV0haiKkFZspYUHcB2nsRR7zNhpWl4GiRsPweMgXoOxE7pl4bAHLu78&#10;9Zv5vpksb46mYQeFXoMt+HiUc6ashFLbfcE/fti8eMWZD8KWogGrCn5Snt+snj9bdm6hJlBDUypk&#10;BGL9onMFr0NwiyzzslZG+BE4ZSlZARoRyMV9VqLoCN002STPZ1kHWDoEqbyn6LpP8gERnwIIVaWl&#10;WoNsjbKhR0XViECUfK2d56s0bVUpGe6qyqvAmoIT05BeakL2Lr7ZaikWexSu1nIYQTxlhEecjNCW&#10;mp6h1iII1qL+C8poieChCiMJJuuJJEWIxTh/pM19LZxKXEhq786i+/8HK98ftsh0WfDZmDMrDG38&#10;55dvP75/ZfMoTuf8gmru3RYHz5MZmR4rNPGXOLBjEvR0FlQdA5MUnOZXs3xGWkvKTefXV3lSPHv4&#10;t0Mf3iowLBoFR1pY0lEcbn2gjlT6uyQ2s7DRTZOW1tg/AlQYI1kcuB8xWuG4Ow5z76A8EVWE/ga8&#10;kxtNPW+FD1uBtHQakz6LcEdP1UBXcBgszmrAz/+Kx3raBWU56+iICu4/tQIVZ807S1uaj6fTeHXJ&#10;mV6/nJCDl5ndZca25g3QndIihJWEWvDAWetQ72tqM07CWHjdBqh0EidS7HkNzOlKkmbDRcczvPRT&#10;1cNXvPo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qLWPRdkAAAAIAQAADwAAAAAAAAABACAAAAAi&#10;AAAAZHJzL2Rvd25yZXYueG1sUEsBAhQAFAAAAAgAh07iQDZuNfQJAgAADQQAAA4AAAAAAAAAAQAg&#10;AAAAKAEAAGRycy9lMm9Eb2MueG1sUEsFBgAAAAAGAAYAWQEAAKMFAAAAAA==&#10;">
                <v:fill on="f" focussize="0,0"/>
                <v:stroke on="f"/>
                <v:imagedata o:title=""/>
                <o:lock v:ext="edit" aspectratio="f"/>
                <v:textbox>
                  <w:txbxContent>
                    <w:p>
                      <w:pPr>
                        <w:spacing w:before="156" w:after="156"/>
                        <w:rPr>
                          <w:rFonts w:ascii="宋体" w:cs="宋体"/>
                          <w:b/>
                          <w:color w:val="000000"/>
                          <w:sz w:val="32"/>
                          <w:szCs w:val="32"/>
                          <w:lang w:val="zh-CN"/>
                        </w:rPr>
                      </w:pPr>
                      <w:r>
                        <w:rPr>
                          <w:rFonts w:hint="eastAsia" w:ascii="宋体" w:cs="宋体"/>
                          <w:b/>
                          <w:color w:val="000000"/>
                          <w:sz w:val="32"/>
                          <w:szCs w:val="32"/>
                          <w:lang w:val="en-US" w:eastAsia="zh-CN"/>
                        </w:rPr>
                        <w:t>采购</w:t>
                      </w:r>
                      <w:r>
                        <w:rPr>
                          <w:rFonts w:hint="eastAsia" w:ascii="宋体" w:cs="宋体"/>
                          <w:b/>
                          <w:color w:val="000000"/>
                          <w:sz w:val="32"/>
                          <w:szCs w:val="32"/>
                          <w:lang w:val="zh-CN"/>
                        </w:rPr>
                        <w:t>编号：</w:t>
                      </w:r>
                      <w:bookmarkStart w:id="86" w:name="TXT_190116188AC3EB11B894BDED378877FD_1"/>
                      <w:r>
                        <w:rPr>
                          <w:rFonts w:hint="eastAsia" w:ascii="宋体" w:cs="宋体"/>
                          <w:b/>
                          <w:color w:val="000000"/>
                          <w:sz w:val="32"/>
                          <w:szCs w:val="32"/>
                          <w:u w:val="single"/>
                          <w:lang w:val="zh-CN"/>
                        </w:rPr>
                        <w:t>CG1600062002118804</w:t>
                      </w:r>
                      <w:bookmarkEnd w:id="86"/>
                    </w:p>
                    <w:p>
                      <w:pPr>
                        <w:spacing w:before="156" w:after="156"/>
                      </w:pPr>
                    </w:p>
                  </w:txbxContent>
                </v:textbox>
              </v:rect>
            </w:pict>
          </mc:Fallback>
        </mc:AlternateContent>
      </w:r>
      <w:r>
        <w:rPr>
          <w:i w:val="0"/>
          <w:iCs w:val="0"/>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2845435</wp:posOffset>
                </wp:positionH>
                <wp:positionV relativeFrom="paragraph">
                  <wp:posOffset>4371975</wp:posOffset>
                </wp:positionV>
                <wp:extent cx="2428875" cy="1010920"/>
                <wp:effectExtent l="0" t="0" r="0" b="0"/>
                <wp:wrapNone/>
                <wp:docPr id="62" name="文本框 10"/>
                <wp:cNvGraphicFramePr/>
                <a:graphic xmlns:a="http://schemas.openxmlformats.org/drawingml/2006/main">
                  <a:graphicData uri="http://schemas.microsoft.com/office/word/2010/wordprocessingShape">
                    <wps:wsp>
                      <wps:cNvSpPr/>
                      <wps:spPr>
                        <a:xfrm>
                          <a:off x="0" y="0"/>
                          <a:ext cx="2428875" cy="1010920"/>
                        </a:xfrm>
                        <a:prstGeom prst="rect">
                          <a:avLst/>
                        </a:prstGeom>
                        <a:noFill/>
                        <a:ln>
                          <a:noFill/>
                        </a:ln>
                      </wps:spPr>
                      <wps:txbx>
                        <w:txbxContent>
                          <w:p>
                            <w:pPr>
                              <w:wordWrap w:val="0"/>
                              <w:spacing w:before="156" w:after="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w:t>
                            </w:r>
                            <w:r>
                              <w:rPr>
                                <w:rFonts w:hint="eastAsia" w:ascii="方正粗宋简体" w:eastAsia="方正粗宋简体"/>
                                <w:b/>
                                <w:color w:val="000080"/>
                                <w:sz w:val="84"/>
                                <w:szCs w:val="84"/>
                              </w:rPr>
                              <w:t>方案</w:t>
                            </w:r>
                          </w:p>
                        </w:txbxContent>
                      </wps:txbx>
                      <wps:bodyPr rot="0" spcFirstLastPara="0" vertOverflow="overflow" horzOverflow="overflow" vert="horz" wrap="square" lIns="91440" tIns="45720" rIns="91440" bIns="45720" numCol="1" anchor="t" upright="1">
                        <a:noAutofit/>
                      </wps:bodyPr>
                    </wps:wsp>
                  </a:graphicData>
                </a:graphic>
              </wp:anchor>
            </w:drawing>
          </mc:Choice>
          <mc:Fallback>
            <w:pict>
              <v:rect id="文本框 10" o:spid="_x0000_s1026" o:spt="1" style="position:absolute;left:0pt;margin-left:224.05pt;margin-top:344.25pt;height:79.6pt;width:191.25pt;mso-position-horizontal-relative:margin;z-index:251662336;mso-width-relative:page;mso-height-relative:page;" filled="f" stroked="f" coordsize="21600,21600" o:gfxdata="UEsDBAoAAAAAAIdO4kAAAAAAAAAAAAAAAAAEAAAAZHJzL1BLAwQUAAAACACHTuJA6WTN3twAAAAL&#10;AQAADwAAAGRycy9kb3ducmV2LnhtbE2PwU7DMAyG70i8Q2QkLoglhdJFpekOkxATQproYOesCW1F&#10;43RN1o63x5zgZsuffn9/sTq7nk12DJ1HBclCALNYe9Nho+B993QrgYWo0ejeo1XwbQOsysuLQufG&#10;z/hmpyo2jEIw5FpBG+OQcx7q1jodFn6wSLdPPzodaR0bbkY9U7jr+Z0QGXe6Q/rQ6sGuW1t/VSen&#10;YK630373+sy3N/uNx+PmuK4+XpS6vkrEI7Boz/EPhl99UoeSnA7+hCawXkGayoRQBZmUD8CIkPci&#10;A3agIV0ugZcF/9+h/AFQSwMEFAAAAAgAh07iQKU+3Q0OAgAAEgQAAA4AAABkcnMvZTJvRG9jLnht&#10;bK1TwY7TMBC9I/EPlu80TdTd7VZNV4iqCGnFVlr4ANdxGku2x9hOk/IB8AecuHDnu/odjN3QloXD&#10;Hrg445nJm3lvxvO7XiuyE85LMCXNR2NKhOFQSbMt6ccPq1dTSnxgpmIKjCjpXnh6t3j5Yt7ZmSig&#10;AVUJRxDE+FlnS9qEYGdZ5nkjNPMjsMJgsAanWcCr22aVYx2ia5UV4/F11oGrrAMuvEfv8hikA6J7&#10;DiDUteRiCbzVwoQjqhOKBaTkG2k9XaRu61rw8FDXXgSiSopMQzqxCNqbeGaLOZttHbON5EML7Dkt&#10;POGkmTRY9AS1ZIGR1sm/oLTkDjzUYcRBZ0ciSRFkkY+faPPYMCsSF5Ta25Po/v/B8ve7tSOyKul1&#10;QYlhGid++Pb18P3n4ccXkieBOutnmPdo1w7lijePZmTb107HL/IgfRJ1fxJV9IFwdBaTYjq9uaKE&#10;YyxHkrdFQs3Ov1vnw1sBmkSjpA6nlsRku3sfsCSm/k6J1QyspFJpcsr84cDE6MnOPUYr9Jt+aHwD&#10;1R75Ojgugrd8JbHmPfNhzRxOHvcC30Z4wKNW0JUUBouSBtznf/ljPg4Eo5R0uEkl9Z9a5gQl6p3B&#10;Ud3mk0lcvXSZXN0gfeIuI5vLiGn1G8BlzSlhhiNqSQMlrXVy22CZPAlj4HUboJZJnEjxyGtgjquS&#10;NBvWOu7i5T1lnZ/y4h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pZM3e3AAAAAsBAAAPAAAAAAAA&#10;AAEAIAAAACIAAABkcnMvZG93bnJldi54bWxQSwECFAAUAAAACACHTuJApT7dDQ4CAAASBAAADgAA&#10;AAAAAAABACAAAAArAQAAZHJzL2Uyb0RvYy54bWxQSwUGAAAAAAYABgBZAQAAqwUAAAAA&#10;">
                <v:fill on="f" focussize="0,0"/>
                <v:stroke on="f"/>
                <v:imagedata o:title=""/>
                <o:lock v:ext="edit" aspectratio="f"/>
                <v:textbox>
                  <w:txbxContent>
                    <w:p>
                      <w:pPr>
                        <w:wordWrap w:val="0"/>
                        <w:spacing w:before="156" w:after="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w:t>
                      </w:r>
                      <w:r>
                        <w:rPr>
                          <w:rFonts w:hint="eastAsia" w:ascii="方正粗宋简体" w:eastAsia="方正粗宋简体"/>
                          <w:b/>
                          <w:color w:val="000080"/>
                          <w:sz w:val="84"/>
                          <w:szCs w:val="84"/>
                        </w:rPr>
                        <w:t>方案</w:t>
                      </w:r>
                    </w:p>
                  </w:txbxContent>
                </v:textbox>
              </v:rect>
            </w:pict>
          </mc:Fallback>
        </mc:AlternateContent>
      </w:r>
      <w:r>
        <w:rPr>
          <w:i w:val="0"/>
          <w:iCs w:val="0"/>
          <w:color w:val="auto"/>
          <w:sz w:val="24"/>
          <w:highlight w:val="none"/>
        </w:rPr>
        <w:drawing>
          <wp:anchor distT="0" distB="0" distL="114300" distR="114300" simplePos="0" relativeHeight="251659264" behindDoc="1" locked="0" layoutInCell="1" allowOverlap="1">
            <wp:simplePos x="0" y="0"/>
            <wp:positionH relativeFrom="page">
              <wp:align>left</wp:align>
            </wp:positionH>
            <wp:positionV relativeFrom="paragraph">
              <wp:posOffset>-911860</wp:posOffset>
            </wp:positionV>
            <wp:extent cx="7569835" cy="7791450"/>
            <wp:effectExtent l="0" t="0" r="12065" b="0"/>
            <wp:wrapNone/>
            <wp:docPr id="63" name="图片 5"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5" descr="未命名"/>
                    <pic:cNvPicPr>
                      <a:picLocks noChangeAspect="1"/>
                    </pic:cNvPicPr>
                  </pic:nvPicPr>
                  <pic:blipFill>
                    <a:blip r:embed="rId6"/>
                    <a:stretch>
                      <a:fillRect/>
                    </a:stretch>
                  </pic:blipFill>
                  <pic:spPr>
                    <a:xfrm>
                      <a:off x="0" y="0"/>
                      <a:ext cx="7569835" cy="7791450"/>
                    </a:xfrm>
                    <a:prstGeom prst="rect">
                      <a:avLst/>
                    </a:prstGeom>
                    <a:noFill/>
                    <a:ln>
                      <a:noFill/>
                    </a:ln>
                  </pic:spPr>
                </pic:pic>
              </a:graphicData>
            </a:graphic>
          </wp:anchor>
        </w:drawing>
      </w:r>
      <w:r>
        <w:rPr>
          <w:i w:val="0"/>
          <w:iCs w:val="0"/>
          <w:color w:val="auto"/>
          <w:highlight w:val="none"/>
        </w:rPr>
        <mc:AlternateContent>
          <mc:Choice Requires="wps">
            <w:drawing>
              <wp:anchor distT="0" distB="0" distL="114300" distR="114300" simplePos="0" relativeHeight="251663360" behindDoc="0" locked="0" layoutInCell="1" allowOverlap="1">
                <wp:simplePos x="0" y="0"/>
                <wp:positionH relativeFrom="margin">
                  <wp:posOffset>-506095</wp:posOffset>
                </wp:positionH>
                <wp:positionV relativeFrom="paragraph">
                  <wp:posOffset>8317865</wp:posOffset>
                </wp:positionV>
                <wp:extent cx="6401435" cy="544195"/>
                <wp:effectExtent l="0" t="0" r="0" b="0"/>
                <wp:wrapNone/>
                <wp:docPr id="64" name="文本框 6"/>
                <wp:cNvGraphicFramePr/>
                <a:graphic xmlns:a="http://schemas.openxmlformats.org/drawingml/2006/main">
                  <a:graphicData uri="http://schemas.microsoft.com/office/word/2010/wordprocessingShape">
                    <wps:wsp>
                      <wps:cNvSpPr/>
                      <wps:spPr>
                        <a:xfrm>
                          <a:off x="0" y="0"/>
                          <a:ext cx="6401435" cy="544195"/>
                        </a:xfrm>
                        <a:prstGeom prst="rect">
                          <a:avLst/>
                        </a:prstGeom>
                        <a:noFill/>
                        <a:ln>
                          <a:noFill/>
                        </a:ln>
                      </wps:spPr>
                      <wps:txbx>
                        <w:txbxContent>
                          <w:p>
                            <w:pPr>
                              <w:autoSpaceDE w:val="0"/>
                              <w:autoSpaceDN w:val="0"/>
                              <w:adjustRightInd w:val="0"/>
                              <w:spacing w:before="156" w:after="156"/>
                              <w:jc w:val="center"/>
                              <w:rPr>
                                <w:rFonts w:eastAsia="仿宋"/>
                                <w:b/>
                                <w:sz w:val="32"/>
                                <w:szCs w:val="32"/>
                              </w:rPr>
                            </w:pPr>
                            <w:bookmarkStart w:id="87" w:name="TXT_600BB79FC4694713AD309179EEB39CA6_1"/>
                            <w:r>
                              <w:rPr>
                                <w:rFonts w:hint="eastAsia" w:eastAsia="仿宋"/>
                                <w:b/>
                                <w:sz w:val="32"/>
                                <w:szCs w:val="32"/>
                                <w:u w:val="single"/>
                                <w:lang w:eastAsia="zh-CN"/>
                              </w:rPr>
                              <w:t>2025-09-08</w:t>
                            </w:r>
                            <w:bookmarkEnd w:id="87"/>
                          </w:p>
                        </w:txbxContent>
                      </wps:txbx>
                      <wps:bodyPr rot="0" spcFirstLastPara="0" vertOverflow="overflow" horzOverflow="overflow" vert="horz" wrap="square" lIns="91440" tIns="45720" rIns="91440" bIns="45720" numCol="1" anchor="t" upright="1">
                        <a:noAutofit/>
                      </wps:bodyPr>
                    </wps:wsp>
                  </a:graphicData>
                </a:graphic>
              </wp:anchor>
            </w:drawing>
          </mc:Choice>
          <mc:Fallback>
            <w:pict>
              <v:rect id="文本框 6" o:spid="_x0000_s1026" o:spt="1" style="position:absolute;left:0pt;margin-left:-39.85pt;margin-top:654.95pt;height:42.85pt;width:504.05pt;mso-position-horizontal-relative:margin;z-index:251663360;mso-width-relative:page;mso-height-relative:page;" filled="f" stroked="f" coordsize="21600,21600" o:gfxdata="UEsDBAoAAAAAAIdO4kAAAAAAAAAAAAAAAAAEAAAAZHJzL1BLAwQUAAAACACHTuJA0jfo290AAAAN&#10;AQAADwAAAGRycy9kb3ducmV2LnhtbE2PwU7CQBCG7ya+w2ZMvBjYBRXY2i0HEiMxJsQinJfu0DZ2&#10;Z0t3afHtXU56nPm//PNNurzYhvXY+dqRgslYAEMqnKmpVPC1fR0tgPmgyejGESr4QQ/L7PYm1Ylx&#10;A31in4eSxRLyiVZQhdAmnPuiQqv92LVIMTu6zuoQx67kptNDLLcNnwox41bXFC9UusVVhcV3frYK&#10;hmLT77cfb3zzsF87Oq1Pq3z3rtT93US8AAt4CX8wXPWjOmTR6eDOZDxrFIzmch7RGDwKKYFFRE4X&#10;T8AO15V8ngHPUv7/i+wXUEsDBBQAAAAIAIdO4kAF0ZZ0DgIAABAEAAAOAAAAZHJzL2Uyb0RvYy54&#10;bWytU82O0zAQviPxDpbvNE1JCxs1XSGqIqQVW2nhAVzHbizFHmM7TcoDwBtw4rJ3nqvPwTgJ3bJw&#10;2AMXd/76zXzfTJbXna7JQTivwBQ0nUwpEYZDqcy+oJ8+bl68psQHZkpWgxEFPQpPr1fPny1bm4sZ&#10;VFCXwhEEMT5vbUGrEGyeJJ5XQjM/ASsMJiU4zQK6bp+UjrWIrutkNp0ukhZcaR1w4T1G10OSjoju&#10;KYAgpeJiDbzRwoQB1YmaBaTkK2U9XfXTSil4uJXSi0DqgiLT0L/YBO1dfJPVkuV7x2yl+DgCe8oI&#10;jzhppgw2PUOtWWCkceovKK24Aw8yTDjoZCDSK4Is0ukjbe4qZkXPBaX29iy6/3+w/MNh64gqC7rI&#10;KDFM48ZP37+dfvw83X8li6hPa32OZXd260bPoxnJdtLp+Is0SNdrejxrKrpAOAYX2TTNXs4p4Zib&#10;Z1l6NY+gycO/rfPhnQBNolFQhzvrpWSHGx+G0t8lsZmBjaprjLO8Nn8EEDNGkjjwMGK0Qrfrxrl3&#10;UB6RrYPhDLzlG4U9b5gPW+Zw73gV+GWEW3xkDW1BYbQoqcB9+Vc81uM6MEtJi3dUUP+5YU5QUr83&#10;uKirNMvi4fVONn81Q8ddZnaXGdPot4CnmlLCDEfUggZKGuvUvsI2aS+MgTdNAKl6cSLFgdfIHA+l&#10;l3c86niJl35f9fAhr34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0jfo290AAAANAQAADwAAAAAA&#10;AAABACAAAAAiAAAAZHJzL2Rvd25yZXYueG1sUEsBAhQAFAAAAAgAh07iQAXRlnQOAgAAEAQAAA4A&#10;AAAAAAAAAQAgAAAALAEAAGRycy9lMm9Eb2MueG1sUEsFBgAAAAAGAAYAWQEAAKwFAAAAAA==&#10;">
                <v:fill on="f" focussize="0,0"/>
                <v:stroke on="f"/>
                <v:imagedata o:title=""/>
                <o:lock v:ext="edit" aspectratio="f"/>
                <v:textbox>
                  <w:txbxContent>
                    <w:p>
                      <w:pPr>
                        <w:autoSpaceDE w:val="0"/>
                        <w:autoSpaceDN w:val="0"/>
                        <w:adjustRightInd w:val="0"/>
                        <w:spacing w:before="156" w:after="156"/>
                        <w:jc w:val="center"/>
                        <w:rPr>
                          <w:rFonts w:eastAsia="仿宋"/>
                          <w:b/>
                          <w:sz w:val="32"/>
                          <w:szCs w:val="32"/>
                        </w:rPr>
                      </w:pPr>
                      <w:bookmarkStart w:id="87" w:name="TXT_600BB79FC4694713AD309179EEB39CA6_1"/>
                      <w:r>
                        <w:rPr>
                          <w:rFonts w:hint="eastAsia" w:eastAsia="仿宋"/>
                          <w:b/>
                          <w:sz w:val="32"/>
                          <w:szCs w:val="32"/>
                          <w:u w:val="single"/>
                          <w:lang w:eastAsia="zh-CN"/>
                        </w:rPr>
                        <w:t>2025-09-08</w:t>
                      </w:r>
                      <w:bookmarkEnd w:id="87"/>
                    </w:p>
                  </w:txbxContent>
                </v:textbox>
              </v:rect>
            </w:pict>
          </mc:Fallback>
        </mc:AlternateContent>
      </w:r>
      <w:r>
        <w:rPr>
          <w:i w:val="0"/>
          <w:iCs w:val="0"/>
          <w:color w:val="auto"/>
          <w:sz w:val="24"/>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589280</wp:posOffset>
            </wp:positionV>
            <wp:extent cx="3459480" cy="813435"/>
            <wp:effectExtent l="0" t="0" r="7620" b="5715"/>
            <wp:wrapNone/>
            <wp:docPr id="65" name="图片 7" descr="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7" descr="中国南方电网公司---横向标准组合"/>
                    <pic:cNvPicPr>
                      <a:picLocks noChangeAspect="1"/>
                    </pic:cNvPicPr>
                  </pic:nvPicPr>
                  <pic:blipFill>
                    <a:blip r:embed="rId7"/>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beforeLines="50" w:line="360" w:lineRule="auto"/>
        <w:ind w:firstLine="562" w:firstLineChars="200"/>
        <w:jc w:val="center"/>
        <w:outlineLvl w:val="9"/>
        <w:rPr>
          <w:rFonts w:hint="eastAsia" w:eastAsia="宋体" w:cs="Times New Roman"/>
          <w:b/>
          <w:i w:val="0"/>
          <w:iCs w:val="0"/>
          <w:color w:val="000000"/>
          <w:sz w:val="28"/>
          <w:szCs w:val="28"/>
          <w:u w:val="single"/>
          <w:lang w:eastAsia="zh-CN"/>
        </w:rPr>
      </w:pPr>
      <w:bookmarkStart w:id="1" w:name="TXT_09B98C3489C3EB1154979B7B4B28ECF7_2"/>
      <w:r>
        <w:rPr>
          <w:rFonts w:hint="eastAsia" w:eastAsia="宋体" w:cs="Times New Roman"/>
          <w:b/>
          <w:i w:val="0"/>
          <w:iCs w:val="0"/>
          <w:color w:val="000000"/>
          <w:sz w:val="28"/>
          <w:szCs w:val="28"/>
          <w:u w:val="single"/>
          <w:lang w:eastAsia="zh-CN"/>
        </w:rPr>
        <w:t>南网人才发展中心2025-2026年信息系统维护等8个数字化项目(二次采购)</w:t>
      </w:r>
      <w:bookmarkEnd w:id="1"/>
    </w:p>
    <w:p>
      <w:pPr>
        <w:adjustRightInd w:val="0"/>
        <w:snapToGrid w:val="0"/>
        <w:spacing w:before="156" w:beforeLines="50" w:line="360" w:lineRule="auto"/>
        <w:ind w:firstLine="562" w:firstLineChars="200"/>
        <w:jc w:val="center"/>
        <w:outlineLvl w:val="0"/>
        <w:rPr>
          <w:rFonts w:hint="eastAsia" w:eastAsia="宋体" w:cs="Times New Roman"/>
          <w:b/>
          <w:i w:val="0"/>
          <w:iCs w:val="0"/>
          <w:color w:val="000000"/>
          <w:sz w:val="28"/>
          <w:szCs w:val="28"/>
        </w:rPr>
      </w:pPr>
      <w:r>
        <w:rPr>
          <w:rFonts w:hint="eastAsia" w:cs="Times New Roman"/>
          <w:b/>
          <w:i w:val="0"/>
          <w:iCs w:val="0"/>
          <w:color w:val="000000"/>
          <w:sz w:val="28"/>
          <w:szCs w:val="28"/>
          <w:lang w:eastAsia="zh-CN"/>
        </w:rPr>
        <w:t>采购方案</w:t>
      </w:r>
      <w:r>
        <w:rPr>
          <w:rFonts w:hint="eastAsia" w:eastAsia="宋体" w:cs="Times New Roman"/>
          <w:b/>
          <w:i w:val="0"/>
          <w:iCs w:val="0"/>
          <w:color w:val="000000"/>
          <w:sz w:val="28"/>
          <w:szCs w:val="28"/>
        </w:rPr>
        <w:t>摘要</w:t>
      </w:r>
    </w:p>
    <w:tbl>
      <w:tblPr>
        <w:tblStyle w:val="22"/>
        <w:tblW w:w="97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
        <w:gridCol w:w="1109"/>
        <w:gridCol w:w="7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84" w:type="dxa"/>
            <w:noWrap w:val="0"/>
            <w:vAlign w:val="center"/>
          </w:tcPr>
          <w:p>
            <w:pPr>
              <w:pStyle w:val="19"/>
              <w:jc w:val="center"/>
              <w:rPr>
                <w:rFonts w:hint="default" w:ascii="Times New Roman" w:hAnsi="Times New Roman" w:cs="Times New Roman"/>
                <w:b/>
                <w:i w:val="0"/>
                <w:iCs w:val="0"/>
                <w:color w:val="auto"/>
                <w:sz w:val="21"/>
                <w:szCs w:val="21"/>
                <w:highlight w:val="none"/>
              </w:rPr>
            </w:pPr>
            <w:r>
              <w:rPr>
                <w:rFonts w:hint="default" w:ascii="Times New Roman" w:hAnsi="Times New Roman" w:cs="Times New Roman"/>
                <w:b/>
                <w:i w:val="0"/>
                <w:iCs w:val="0"/>
                <w:color w:val="auto"/>
                <w:sz w:val="21"/>
                <w:szCs w:val="21"/>
                <w:highlight w:val="none"/>
              </w:rPr>
              <w:t>序号</w:t>
            </w:r>
          </w:p>
        </w:tc>
        <w:tc>
          <w:tcPr>
            <w:tcW w:w="1109" w:type="dxa"/>
            <w:noWrap w:val="0"/>
            <w:vAlign w:val="center"/>
          </w:tcPr>
          <w:p>
            <w:pPr>
              <w:pStyle w:val="19"/>
              <w:jc w:val="center"/>
              <w:rPr>
                <w:rFonts w:hint="default" w:ascii="Times New Roman" w:hAnsi="Times New Roman" w:cs="Times New Roman"/>
                <w:b/>
                <w:i w:val="0"/>
                <w:iCs w:val="0"/>
                <w:color w:val="auto"/>
                <w:sz w:val="21"/>
                <w:szCs w:val="21"/>
                <w:highlight w:val="none"/>
              </w:rPr>
            </w:pPr>
            <w:r>
              <w:rPr>
                <w:rFonts w:hint="default" w:ascii="Times New Roman" w:hAnsi="Times New Roman" w:cs="Times New Roman"/>
                <w:b/>
                <w:i w:val="0"/>
                <w:iCs w:val="0"/>
                <w:color w:val="auto"/>
                <w:sz w:val="21"/>
                <w:szCs w:val="21"/>
                <w:highlight w:val="none"/>
              </w:rPr>
              <w:t>条款</w:t>
            </w:r>
          </w:p>
        </w:tc>
        <w:tc>
          <w:tcPr>
            <w:tcW w:w="7956" w:type="dxa"/>
            <w:noWrap w:val="0"/>
            <w:vAlign w:val="center"/>
          </w:tcPr>
          <w:p>
            <w:pPr>
              <w:pStyle w:val="19"/>
              <w:jc w:val="center"/>
              <w:rPr>
                <w:rFonts w:hint="default" w:ascii="Times New Roman" w:hAnsi="Times New Roman" w:cs="Times New Roman"/>
                <w:b/>
                <w:i w:val="0"/>
                <w:iCs w:val="0"/>
                <w:color w:val="auto"/>
                <w:sz w:val="21"/>
                <w:szCs w:val="21"/>
                <w:highlight w:val="none"/>
              </w:rPr>
            </w:pPr>
            <w:r>
              <w:rPr>
                <w:rFonts w:hint="default" w:ascii="Times New Roman" w:hAnsi="Times New Roman" w:cs="Times New Roman"/>
                <w:b/>
                <w:i w:val="0"/>
                <w:iCs w:val="0"/>
                <w:color w:val="auto"/>
                <w:sz w:val="21"/>
                <w:szCs w:val="21"/>
                <w:highlight w:val="none"/>
              </w:rPr>
              <w:t xml:space="preserve">编列内容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19"/>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1</w:t>
            </w:r>
          </w:p>
        </w:tc>
        <w:tc>
          <w:tcPr>
            <w:tcW w:w="1109" w:type="dxa"/>
            <w:noWrap w:val="0"/>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jc w:val="center"/>
              <w:rPr>
                <w:rFonts w:hint="default" w:ascii="Times New Roman" w:hAnsi="Times New Roman" w:cs="Times New Roman"/>
                <w:i w:val="0"/>
                <w:iCs w:val="0"/>
                <w:color w:val="auto"/>
                <w:sz w:val="21"/>
                <w:szCs w:val="21"/>
                <w:highlight w:val="none"/>
              </w:rPr>
            </w:pPr>
            <w:r>
              <w:rPr>
                <w:rFonts w:hint="eastAsia" w:ascii="宋体" w:hAnsi="宋体" w:eastAsia="宋体" w:cs="宋体"/>
                <w:i w:val="0"/>
                <w:iCs w:val="0"/>
                <w:color w:val="auto"/>
                <w:sz w:val="21"/>
                <w:szCs w:val="21"/>
                <w:highlight w:val="none"/>
                <w:u w:val="none"/>
                <w:lang w:val="en-US" w:eastAsia="zh-CN"/>
              </w:rPr>
              <w:t>预计</w:t>
            </w:r>
            <w:r>
              <w:rPr>
                <w:rFonts w:hint="eastAsia" w:ascii="宋体" w:hAnsi="宋体" w:cs="宋体"/>
                <w:i w:val="0"/>
                <w:iCs w:val="0"/>
                <w:color w:val="auto"/>
                <w:sz w:val="21"/>
                <w:szCs w:val="21"/>
                <w:highlight w:val="none"/>
                <w:u w:val="none"/>
                <w:lang w:val="en-US" w:eastAsia="zh-CN"/>
              </w:rPr>
              <w:t>采购金额</w:t>
            </w:r>
          </w:p>
        </w:tc>
        <w:tc>
          <w:tcPr>
            <w:tcW w:w="7956" w:type="dxa"/>
            <w:noWrap w:val="0"/>
            <w:vAlign w:val="center"/>
          </w:tcPr>
          <w:p>
            <w:pPr>
              <w:adjustRightInd w:val="0"/>
              <w:snapToGrid w:val="0"/>
              <w:jc w:val="left"/>
              <w:rPr>
                <w:rFonts w:hint="eastAsia" w:ascii="Times New Roman" w:hAnsi="Times New Roman" w:eastAsia="宋体" w:cs="Times New Roman"/>
                <w:i w:val="0"/>
                <w:iCs w:val="0"/>
                <w:color w:val="auto"/>
                <w:sz w:val="21"/>
                <w:szCs w:val="21"/>
                <w:highlight w:val="none"/>
                <w:lang w:eastAsia="zh-CN"/>
              </w:rPr>
            </w:pPr>
            <w:bookmarkStart w:id="2" w:name="TXT_DC12BBCA8AC3EB115B81E048AC34FFBF_1"/>
            <w:r>
              <w:rPr>
                <w:rFonts w:hint="eastAsia" w:hAnsi="宋体"/>
                <w:bCs/>
                <w:i w:val="0"/>
                <w:iCs w:val="0"/>
                <w:color w:val="auto"/>
                <w:sz w:val="21"/>
                <w:szCs w:val="21"/>
                <w:highlight w:val="none"/>
                <w:u w:val="single"/>
                <w:lang w:val="en-US" w:eastAsia="zh-CN"/>
              </w:rPr>
              <w:t>50.</w:t>
            </w:r>
            <w:bookmarkEnd w:id="2"/>
            <w:r>
              <w:rPr>
                <w:rFonts w:hint="eastAsia" w:hAnsi="宋体"/>
                <w:bCs/>
                <w:i w:val="0"/>
                <w:iCs w:val="0"/>
                <w:color w:val="auto"/>
                <w:sz w:val="21"/>
                <w:szCs w:val="21"/>
                <w:highlight w:val="none"/>
                <w:u w:val="single"/>
                <w:lang w:val="en-US" w:eastAsia="zh-CN"/>
              </w:rPr>
              <w:t>9</w:t>
            </w:r>
            <w:r>
              <w:rPr>
                <w:rFonts w:hint="default" w:ascii="Times New Roman" w:hAnsi="Times New Roman" w:eastAsia="宋体" w:cs="Times New Roman"/>
                <w:bCs/>
                <w:i w:val="0"/>
                <w:iCs w:val="0"/>
                <w:color w:val="auto"/>
                <w:kern w:val="2"/>
                <w:sz w:val="21"/>
                <w:szCs w:val="21"/>
                <w:highlight w:val="none"/>
                <w:u w:val="single"/>
                <w:lang w:val="en-US" w:eastAsia="zh-CN" w:bidi="ar-SA"/>
              </w:rPr>
              <w:t>万</w:t>
            </w:r>
            <w:r>
              <w:rPr>
                <w:rFonts w:hint="default" w:ascii="Times New Roman" w:hAnsi="Times New Roman" w:cs="Times New Roman"/>
                <w:bCs/>
                <w:i w:val="0"/>
                <w:iCs w:val="0"/>
                <w:color w:val="auto"/>
                <w:sz w:val="21"/>
                <w:szCs w:val="21"/>
                <w:highlight w:val="none"/>
                <w:u w:val="single"/>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19"/>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2</w:t>
            </w:r>
          </w:p>
        </w:tc>
        <w:tc>
          <w:tcPr>
            <w:tcW w:w="1109" w:type="dxa"/>
            <w:noWrap w:val="0"/>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项目最高限价</w:t>
            </w:r>
          </w:p>
        </w:tc>
        <w:tc>
          <w:tcPr>
            <w:tcW w:w="7956" w:type="dxa"/>
            <w:noWrap w:val="0"/>
            <w:vAlign w:val="center"/>
          </w:tcPr>
          <w:p>
            <w:pPr>
              <w:adjustRightInd w:val="0"/>
              <w:snapToGrid w:val="0"/>
              <w:jc w:val="left"/>
              <w:rPr>
                <w:rFonts w:hint="default" w:ascii="Times New Roman" w:hAnsi="Times New Roman" w:cs="Times New Roman"/>
                <w:i w:val="0"/>
                <w:iCs w:val="0"/>
                <w:color w:val="auto"/>
                <w:sz w:val="21"/>
                <w:szCs w:val="21"/>
                <w:highlight w:val="none"/>
              </w:rPr>
            </w:pPr>
            <w:bookmarkStart w:id="3" w:name="TXT_FCEA1CA6EB354CE3AD6998737F05D444_1"/>
            <w:r>
              <w:rPr>
                <w:rFonts w:hint="eastAsia" w:ascii="宋体" w:hAnsi="宋体" w:eastAsia="宋体" w:cs="宋体"/>
                <w:bCs/>
                <w:i w:val="0"/>
                <w:iCs w:val="0"/>
                <w:color w:val="auto"/>
                <w:sz w:val="21"/>
                <w:szCs w:val="21"/>
                <w:highlight w:val="none"/>
                <w:u w:val="single"/>
                <w:lang w:val="en-US" w:eastAsia="zh-CN"/>
              </w:rPr>
              <w:t>是</w:t>
            </w:r>
            <w:bookmarkEnd w:id="3"/>
            <w:r>
              <w:rPr>
                <w:rFonts w:hint="eastAsia" w:ascii="宋体" w:hAnsi="宋体" w:eastAsia="宋体" w:cs="宋体"/>
                <w:bCs/>
                <w:i w:val="0"/>
                <w:iCs w:val="0"/>
                <w:color w:val="auto"/>
                <w:sz w:val="21"/>
                <w:szCs w:val="21"/>
                <w:highlight w:val="none"/>
                <w:u w:val="single"/>
                <w:lang w:val="en-US" w:eastAsia="zh-CN"/>
              </w:rPr>
              <w:t>，</w:t>
            </w:r>
            <w:r>
              <w:rPr>
                <w:rFonts w:hint="default" w:ascii="宋体" w:hAnsi="宋体" w:eastAsia="宋体" w:cs="宋体"/>
                <w:bCs/>
                <w:i w:val="0"/>
                <w:iCs w:val="0"/>
                <w:color w:val="auto"/>
                <w:sz w:val="21"/>
                <w:szCs w:val="21"/>
                <w:highlight w:val="none"/>
                <w:u w:val="single"/>
                <w:lang w:val="en-US" w:eastAsia="zh-CN"/>
              </w:rPr>
              <w:t>详见附件</w:t>
            </w:r>
            <w:r>
              <w:rPr>
                <w:rFonts w:hint="eastAsia" w:ascii="宋体" w:hAnsi="宋体" w:eastAsia="宋体" w:cs="宋体"/>
                <w:bCs/>
                <w:i w:val="0"/>
                <w:iCs w:val="0"/>
                <w:color w:val="auto"/>
                <w:sz w:val="21"/>
                <w:szCs w:val="21"/>
                <w:highlight w:val="none"/>
                <w:u w:val="singl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19"/>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3</w:t>
            </w:r>
          </w:p>
        </w:tc>
        <w:tc>
          <w:tcPr>
            <w:tcW w:w="1109" w:type="dxa"/>
            <w:noWrap w:val="0"/>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jc w:val="center"/>
              <w:rPr>
                <w:rFonts w:hint="default" w:ascii="Times New Roman" w:hAnsi="Times New Roman" w:cs="Times New Roman"/>
                <w:i w:val="0"/>
                <w:iCs w:val="0"/>
                <w:color w:val="auto"/>
                <w:sz w:val="21"/>
                <w:szCs w:val="21"/>
                <w:highlight w:val="none"/>
              </w:rPr>
            </w:pPr>
            <w:r>
              <w:rPr>
                <w:rFonts w:hint="eastAsia" w:ascii="宋体" w:hAnsi="宋体" w:cs="宋体"/>
                <w:i w:val="0"/>
                <w:iCs w:val="0"/>
                <w:color w:val="auto"/>
                <w:sz w:val="21"/>
                <w:szCs w:val="21"/>
                <w:highlight w:val="none"/>
                <w:u w:val="none"/>
                <w:lang w:val="en-US" w:eastAsia="zh-CN"/>
              </w:rPr>
              <w:t>采购范围</w:t>
            </w:r>
          </w:p>
        </w:tc>
        <w:tc>
          <w:tcPr>
            <w:tcW w:w="7956" w:type="dxa"/>
            <w:noWrap w:val="0"/>
            <w:vAlign w:val="center"/>
          </w:tcPr>
          <w:p>
            <w:pPr>
              <w:shd w:val="clear" w:color="auto" w:fill="auto"/>
              <w:jc w:val="left"/>
              <w:outlineLvl w:val="9"/>
              <w:rPr>
                <w:rFonts w:hint="eastAsia" w:hAnsi="宋体"/>
                <w:bCs/>
                <w:i w:val="0"/>
                <w:iCs w:val="0"/>
                <w:color w:val="auto"/>
                <w:sz w:val="21"/>
                <w:szCs w:val="21"/>
                <w:highlight w:val="none"/>
                <w:u w:val="single"/>
                <w:lang w:val="en-US" w:eastAsia="zh-CN"/>
              </w:rPr>
            </w:pPr>
            <w:bookmarkStart w:id="4" w:name="TXT_964B32BB4C6549149317C7DF75C889F5_1"/>
            <w:r>
              <w:rPr>
                <w:rFonts w:hint="eastAsia" w:hAnsi="宋体"/>
                <w:bCs/>
                <w:i w:val="0"/>
                <w:iCs w:val="0"/>
                <w:color w:val="auto"/>
                <w:sz w:val="21"/>
                <w:szCs w:val="21"/>
                <w:highlight w:val="none"/>
                <w:u w:val="single"/>
                <w:lang w:val="en-US" w:eastAsia="zh-CN"/>
              </w:rPr>
              <w:t>1.2025-2026年综合测评系统技术服务支持：派驻一名系统工程师常驻运维地点，对中心自主开发的综合素质测评系统进行安全整改、系统运维和日常运营服务，服务期限为1年,详见技术规范书。</w:t>
            </w:r>
          </w:p>
          <w:p>
            <w:pPr>
              <w:shd w:val="clear" w:color="auto" w:fill="auto"/>
              <w:jc w:val="left"/>
              <w:outlineLvl w:val="9"/>
              <w:rPr>
                <w:rFonts w:hint="eastAsia" w:hAnsi="宋体"/>
                <w:bCs/>
                <w:i w:val="0"/>
                <w:iCs w:val="0"/>
                <w:color w:val="auto"/>
                <w:sz w:val="21"/>
                <w:szCs w:val="21"/>
                <w:highlight w:val="none"/>
                <w:u w:val="single"/>
                <w:lang w:val="en-US" w:eastAsia="zh-CN"/>
              </w:rPr>
            </w:pPr>
            <w:r>
              <w:rPr>
                <w:rFonts w:hint="eastAsia" w:hAnsi="宋体"/>
                <w:bCs/>
                <w:i w:val="0"/>
                <w:iCs w:val="0"/>
                <w:color w:val="auto"/>
                <w:sz w:val="21"/>
                <w:szCs w:val="21"/>
                <w:highlight w:val="none"/>
                <w:u w:val="single"/>
                <w:lang w:val="en-US" w:eastAsia="zh-CN"/>
              </w:rPr>
              <w:t>2.2025-2026年档案数字化整理：根据南网人才发展中心档案整理规范要求，将中心2025-2026年度的公文档案、巡视档案、合同档案、采购档案、技改项目档案、业务档案（含培训、研究、人才评价等全部核心业务过程档案的收集整理）、专题档案及特殊载体档案等进行整理、编号、归档。并根据公司数字档案整理规范标准要求，将以上各类档案导入数字档案管理系统，做好档案数字化整理和归档。详见技术规范书。</w:t>
            </w:r>
            <w:bookmarkEnd w:id="4"/>
          </w:p>
          <w:p>
            <w:pPr>
              <w:shd w:val="clear" w:color="auto" w:fill="auto"/>
              <w:jc w:val="left"/>
              <w:outlineLvl w:val="9"/>
              <w:rPr>
                <w:rFonts w:hint="default" w:ascii="Times New Roman" w:hAnsi="Times New Roman" w:eastAsia="宋体" w:cs="Times New Roman"/>
                <w:bCs/>
                <w:i w:val="0"/>
                <w:iCs w:val="0"/>
                <w:strike/>
                <w:dstrike w:val="0"/>
                <w:color w:val="auto"/>
                <w:kern w:val="0"/>
                <w:sz w:val="21"/>
                <w:szCs w:val="21"/>
                <w:highlight w:val="none"/>
                <w:u w:val="single"/>
                <w:lang w:val="en-US" w:eastAsia="zh-CN" w:bidi="ar-SA"/>
              </w:rPr>
            </w:pPr>
            <w:r>
              <w:rPr>
                <w:rFonts w:hint="default" w:ascii="宋体" w:hAnsi="宋体" w:eastAsia="宋体" w:cs="宋体"/>
                <w:bCs/>
                <w:i w:val="0"/>
                <w:iCs w:val="0"/>
                <w:color w:val="auto"/>
                <w:sz w:val="21"/>
                <w:szCs w:val="21"/>
                <w:highlight w:val="none"/>
                <w:u w:val="single"/>
                <w:lang w:val="en-US" w:eastAsia="zh-CN"/>
              </w:rPr>
              <w:t>详见附件</w:t>
            </w:r>
            <w:r>
              <w:rPr>
                <w:rFonts w:hint="eastAsia" w:ascii="宋体" w:hAnsi="宋体" w:eastAsia="宋体" w:cs="宋体"/>
                <w:bCs/>
                <w:i w:val="0"/>
                <w:iCs w:val="0"/>
                <w:color w:val="auto"/>
                <w:sz w:val="21"/>
                <w:szCs w:val="21"/>
                <w:highlight w:val="none"/>
                <w:u w:val="singl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19"/>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4</w:t>
            </w:r>
          </w:p>
        </w:tc>
        <w:tc>
          <w:tcPr>
            <w:tcW w:w="1109" w:type="dxa"/>
            <w:noWrap w:val="0"/>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jc w:val="center"/>
              <w:rPr>
                <w:rFonts w:hint="default" w:ascii="Times New Roman" w:hAnsi="Times New Roman" w:cs="Times New Roman"/>
                <w:i w:val="0"/>
                <w:iCs w:val="0"/>
                <w:color w:val="auto"/>
                <w:sz w:val="21"/>
                <w:szCs w:val="21"/>
                <w:highlight w:val="none"/>
              </w:rPr>
            </w:pPr>
            <w:r>
              <w:rPr>
                <w:rFonts w:hint="eastAsia" w:ascii="宋体" w:hAnsi="宋体" w:eastAsia="宋体" w:cs="宋体"/>
                <w:i w:val="0"/>
                <w:iCs w:val="0"/>
                <w:color w:val="auto"/>
                <w:sz w:val="21"/>
                <w:szCs w:val="21"/>
                <w:highlight w:val="none"/>
                <w:u w:val="none"/>
                <w:lang w:val="en-US" w:eastAsia="zh-CN"/>
              </w:rPr>
              <w:t>标的清单</w:t>
            </w:r>
          </w:p>
        </w:tc>
        <w:tc>
          <w:tcPr>
            <w:tcW w:w="7956" w:type="dxa"/>
            <w:noWrap w:val="0"/>
            <w:vAlign w:val="center"/>
          </w:tcPr>
          <w:p>
            <w:pPr>
              <w:pStyle w:val="19"/>
              <w:shd w:val="clear" w:color="auto" w:fill="auto"/>
              <w:spacing w:line="240" w:lineRule="auto"/>
              <w:jc w:val="both"/>
              <w:rPr>
                <w:rFonts w:hint="default" w:ascii="Times New Roman" w:hAnsi="Times New Roman" w:eastAsia="宋体" w:cs="Times New Roman"/>
                <w:bCs/>
                <w:i w:val="0"/>
                <w:iCs w:val="0"/>
                <w:color w:val="auto"/>
                <w:kern w:val="0"/>
                <w:sz w:val="21"/>
                <w:szCs w:val="21"/>
                <w:highlight w:val="none"/>
                <w:lang w:val="en-US" w:eastAsia="zh-CN" w:bidi="ar-SA"/>
              </w:rPr>
            </w:pPr>
            <w:r>
              <w:rPr>
                <w:rFonts w:hint="eastAsia" w:ascii="宋体" w:hAnsi="宋体" w:eastAsia="宋体" w:cs="宋体"/>
                <w:bCs/>
                <w:i w:val="0"/>
                <w:iCs w:val="0"/>
                <w:color w:val="auto"/>
                <w:sz w:val="21"/>
                <w:szCs w:val="21"/>
                <w:highlight w:val="none"/>
                <w:u w:val="none"/>
                <w:lang w:val="en-US" w:eastAsia="zh-CN"/>
              </w:rPr>
              <w:t>本项目</w:t>
            </w:r>
            <w:r>
              <w:rPr>
                <w:rFonts w:hint="eastAsia" w:hAnsi="宋体" w:cs="宋体"/>
                <w:bCs/>
                <w:i w:val="0"/>
                <w:iCs w:val="0"/>
                <w:color w:val="auto"/>
                <w:sz w:val="21"/>
                <w:szCs w:val="21"/>
                <w:highlight w:val="none"/>
                <w:u w:val="none"/>
                <w:lang w:val="en-US" w:eastAsia="zh-CN"/>
              </w:rPr>
              <w:t>分为</w:t>
            </w:r>
            <w:bookmarkStart w:id="5" w:name="TXT_0E5F5931F343404EB75B7EBEC8115F07_1"/>
            <w:r>
              <w:rPr>
                <w:rFonts w:hint="eastAsia" w:hAnsi="宋体" w:cs="宋体"/>
                <w:bCs/>
                <w:i w:val="0"/>
                <w:iCs w:val="0"/>
                <w:color w:val="auto"/>
                <w:sz w:val="21"/>
                <w:szCs w:val="21"/>
                <w:highlight w:val="none"/>
                <w:u w:val="single"/>
                <w:lang w:val="en-US" w:eastAsia="zh-CN"/>
              </w:rPr>
              <w:t>标的数量:2个;标包数量:2个</w:t>
            </w:r>
            <w:bookmarkEnd w:id="5"/>
            <w:r>
              <w:rPr>
                <w:rFonts w:hint="eastAsia" w:hAnsi="宋体" w:cs="宋体"/>
                <w:bCs/>
                <w:i w:val="0"/>
                <w:iCs w:val="0"/>
                <w:color w:val="auto"/>
                <w:sz w:val="21"/>
                <w:szCs w:val="21"/>
                <w:highlight w:val="none"/>
                <w:u w:val="none"/>
                <w:lang w:val="en-US" w:eastAsia="zh-CN"/>
              </w:rPr>
              <w:t>，</w:t>
            </w:r>
            <w:r>
              <w:rPr>
                <w:rFonts w:hint="default" w:ascii="宋体" w:hAnsi="宋体" w:eastAsia="宋体" w:cs="宋体"/>
                <w:bCs/>
                <w:i w:val="0"/>
                <w:iCs w:val="0"/>
                <w:color w:val="auto"/>
                <w:sz w:val="21"/>
                <w:szCs w:val="21"/>
                <w:highlight w:val="none"/>
                <w:u w:val="single"/>
                <w:lang w:val="en-US" w:eastAsia="zh-CN"/>
              </w:rPr>
              <w:t>详见附件</w:t>
            </w:r>
            <w:r>
              <w:rPr>
                <w:rFonts w:hint="eastAsia" w:ascii="宋体" w:hAnsi="宋体" w:eastAsia="宋体" w:cs="宋体"/>
                <w:bCs/>
                <w:i w:val="0"/>
                <w:iCs w:val="0"/>
                <w:color w:val="auto"/>
                <w:sz w:val="21"/>
                <w:szCs w:val="21"/>
                <w:highlight w:val="none"/>
                <w:u w:val="singl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19"/>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5</w:t>
            </w:r>
          </w:p>
        </w:tc>
        <w:tc>
          <w:tcPr>
            <w:tcW w:w="1109" w:type="dxa"/>
            <w:noWrap w:val="0"/>
            <w:vAlign w:val="center"/>
          </w:tcPr>
          <w:p>
            <w:pPr>
              <w:pStyle w:val="19"/>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采购方式</w:t>
            </w:r>
          </w:p>
        </w:tc>
        <w:tc>
          <w:tcPr>
            <w:tcW w:w="7956" w:type="dxa"/>
            <w:noWrap w:val="0"/>
            <w:vAlign w:val="center"/>
          </w:tcPr>
          <w:p>
            <w:pPr>
              <w:shd w:val="clear" w:color="auto" w:fill="auto"/>
              <w:jc w:val="left"/>
              <w:outlineLvl w:val="9"/>
              <w:rPr>
                <w:rFonts w:hint="default" w:hAnsi="宋体"/>
                <w:bCs/>
                <w:i w:val="0"/>
                <w:iCs w:val="0"/>
                <w:color w:val="auto"/>
                <w:sz w:val="21"/>
                <w:szCs w:val="21"/>
                <w:highlight w:val="none"/>
                <w:u w:val="single"/>
                <w:lang w:val="en-US" w:eastAsia="zh-CN"/>
              </w:rPr>
            </w:pPr>
            <w:r>
              <w:rPr>
                <w:rFonts w:hint="eastAsia" w:hAnsi="宋体"/>
                <w:bCs/>
                <w:i w:val="0"/>
                <w:iCs w:val="0"/>
                <w:color w:val="auto"/>
                <w:sz w:val="21"/>
                <w:szCs w:val="21"/>
                <w:highlight w:val="none"/>
                <w:u w:val="single"/>
                <w:lang w:val="en-US" w:eastAsia="zh-CN"/>
              </w:rPr>
              <w:t>公开谈判采购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19"/>
              <w:jc w:val="center"/>
              <w:rPr>
                <w:rFonts w:hint="eastAsia" w:hAnsi="宋体"/>
                <w:i w:val="0"/>
                <w:iCs w:val="0"/>
                <w:color w:val="auto"/>
                <w:sz w:val="21"/>
                <w:szCs w:val="21"/>
                <w:highlight w:val="none"/>
                <w:lang w:val="en-US" w:eastAsia="zh-CN"/>
              </w:rPr>
            </w:pPr>
            <w:r>
              <w:rPr>
                <w:rFonts w:hint="eastAsia" w:hAnsi="宋体"/>
                <w:i w:val="0"/>
                <w:iCs w:val="0"/>
                <w:color w:val="000000"/>
                <w:sz w:val="22"/>
                <w:szCs w:val="22"/>
                <w:highlight w:val="none"/>
                <w:u w:val="none"/>
                <w:lang w:val="en-US" w:eastAsia="zh-CN"/>
              </w:rPr>
              <w:t>6</w:t>
            </w:r>
          </w:p>
        </w:tc>
        <w:tc>
          <w:tcPr>
            <w:tcW w:w="1109" w:type="dxa"/>
            <w:noWrap w:val="0"/>
            <w:vAlign w:val="center"/>
          </w:tcPr>
          <w:p>
            <w:pPr>
              <w:pStyle w:val="19"/>
              <w:jc w:val="center"/>
              <w:rPr>
                <w:rFonts w:hint="eastAsia" w:hAnsi="宋体"/>
                <w:i w:val="0"/>
                <w:iCs w:val="0"/>
                <w:color w:val="auto"/>
                <w:sz w:val="21"/>
                <w:szCs w:val="21"/>
                <w:highlight w:val="none"/>
                <w:lang w:val="en-US" w:eastAsia="zh-CN"/>
              </w:rPr>
            </w:pPr>
            <w:r>
              <w:rPr>
                <w:rFonts w:hint="eastAsia" w:hAnsi="宋体"/>
                <w:i w:val="0"/>
                <w:iCs w:val="0"/>
                <w:color w:val="000000"/>
                <w:sz w:val="22"/>
                <w:szCs w:val="22"/>
                <w:highlight w:val="none"/>
                <w:u w:val="none"/>
                <w:lang w:val="en-US" w:eastAsia="zh-CN"/>
              </w:rPr>
              <w:t>采用公开谈判采购的主要原因</w:t>
            </w:r>
          </w:p>
        </w:tc>
        <w:tc>
          <w:tcPr>
            <w:tcW w:w="7956" w:type="dxa"/>
            <w:noWrap w:val="0"/>
            <w:vAlign w:val="center"/>
          </w:tcPr>
          <w:p>
            <w:pPr>
              <w:shd w:val="clear" w:color="auto" w:fill="auto"/>
              <w:jc w:val="left"/>
              <w:outlineLvl w:val="9"/>
              <w:rPr>
                <w:rFonts w:hint="eastAsia" w:hAnsi="宋体"/>
                <w:bCs/>
                <w:i w:val="0"/>
                <w:iCs w:val="0"/>
                <w:color w:val="auto"/>
                <w:sz w:val="21"/>
                <w:szCs w:val="21"/>
                <w:highlight w:val="none"/>
                <w:u w:val="single"/>
                <w:lang w:val="en-US" w:eastAsia="zh-CN"/>
              </w:rPr>
            </w:pPr>
            <w:bookmarkStart w:id="6" w:name="TXT_7E38B007AB5948FF9E4027B70A0C0BDA_1"/>
            <w:r>
              <w:rPr>
                <w:rFonts w:hint="eastAsia"/>
                <w:i w:val="0"/>
                <w:iCs w:val="0"/>
                <w:u w:val="single"/>
                <w:lang w:val="en-US" w:eastAsia="zh-CN"/>
              </w:rPr>
              <w:t>(1)根据《中国南方电网有限责任公司非招标采购方式管理细则》第六条第一点“属于国家法律法规及公司有关规定必须招标范围和规模标准之外” 的，可采用非招标采购方式。本项目不在《中华人民共和国招标投标法》及《中华人民共和国招标投标法实施条例》等法律法规或《中国南方电网有限责任公司采购管理规定》等公司制度规定的必须招标范围之内，可以采用非招标采购方式。</w:t>
            </w:r>
          </w:p>
          <w:p>
            <w:pPr>
              <w:shd w:val="clear" w:color="auto" w:fill="auto"/>
              <w:jc w:val="left"/>
              <w:outlineLvl w:val="9"/>
              <w:rPr>
                <w:rFonts w:hint="eastAsia" w:hAnsi="宋体"/>
                <w:bCs/>
                <w:i w:val="0"/>
                <w:iCs w:val="0"/>
                <w:color w:val="auto"/>
                <w:sz w:val="21"/>
                <w:szCs w:val="21"/>
                <w:highlight w:val="none"/>
                <w:u w:val="single"/>
                <w:lang w:val="en-US" w:eastAsia="zh-CN"/>
              </w:rPr>
            </w:pPr>
            <w:r>
              <w:rPr>
                <w:rFonts w:hint="eastAsia"/>
                <w:i w:val="0"/>
                <w:iCs w:val="0"/>
                <w:u w:val="single"/>
                <w:lang w:val="en-US" w:eastAsia="zh-CN"/>
              </w:rPr>
              <w:t>(2)根据《中国南方电网有限责任公司非招标采购方式管理细则》谈判采购规定“1.采购标的物技术复杂或者性质特殊，采购方式不能准确提出采购需求，需与供应商谈判后研究确定。”</w:t>
            </w:r>
          </w:p>
          <w:p>
            <w:pPr>
              <w:shd w:val="clear" w:color="auto" w:fill="auto"/>
              <w:jc w:val="left"/>
              <w:outlineLvl w:val="9"/>
              <w:rPr>
                <w:rFonts w:hint="eastAsia" w:hAnsi="宋体"/>
                <w:bCs/>
                <w:i w:val="0"/>
                <w:iCs w:val="0"/>
                <w:color w:val="auto"/>
                <w:sz w:val="21"/>
                <w:szCs w:val="21"/>
                <w:highlight w:val="none"/>
                <w:u w:val="single"/>
                <w:lang w:val="en-US" w:eastAsia="zh-CN"/>
              </w:rPr>
            </w:pPr>
            <w:r>
              <w:rPr>
                <w:rFonts w:hint="eastAsia"/>
                <w:i w:val="0"/>
                <w:iCs w:val="0"/>
                <w:u w:val="single"/>
                <w:lang w:val="en-US" w:eastAsia="zh-CN"/>
              </w:rPr>
              <w:t>(3)本项目为南网党校信息系统维护项目，其技术复杂，专业性较强，对所涉及数据保密要求高，且不能确定详细规格和具体要求，需跟供应商进行进一步的谈判，故采用公开谈判采购方式。</w:t>
            </w:r>
            <w:bookmarkEnd w:id="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19"/>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7</w:t>
            </w:r>
          </w:p>
        </w:tc>
        <w:tc>
          <w:tcPr>
            <w:tcW w:w="1109" w:type="dxa"/>
            <w:noWrap w:val="0"/>
            <w:vAlign w:val="center"/>
          </w:tcPr>
          <w:p>
            <w:pPr>
              <w:pStyle w:val="19"/>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专用</w:t>
            </w:r>
            <w:r>
              <w:rPr>
                <w:rFonts w:hAnsi="宋体"/>
                <w:i w:val="0"/>
                <w:iCs w:val="0"/>
                <w:color w:val="auto"/>
                <w:sz w:val="21"/>
                <w:szCs w:val="21"/>
                <w:highlight w:val="none"/>
                <w:lang w:val="en-US" w:eastAsia="zh-CN"/>
              </w:rPr>
              <w:t>资格要求</w:t>
            </w:r>
          </w:p>
        </w:tc>
        <w:tc>
          <w:tcPr>
            <w:tcW w:w="7956" w:type="dxa"/>
            <w:noWrap w:val="0"/>
            <w:vAlign w:val="center"/>
          </w:tcPr>
          <w:p>
            <w:pPr>
              <w:pStyle w:val="19"/>
              <w:jc w:val="left"/>
              <w:rPr>
                <w:rFonts w:hint="eastAsia" w:hAnsi="宋体"/>
                <w:bCs/>
                <w:i w:val="0"/>
                <w:iCs w:val="0"/>
                <w:color w:val="auto"/>
                <w:sz w:val="21"/>
                <w:szCs w:val="21"/>
                <w:highlight w:val="none"/>
                <w:u w:val="single"/>
                <w:lang w:val="en-US" w:eastAsia="zh-CN"/>
              </w:rPr>
            </w:pPr>
            <w:bookmarkStart w:id="7" w:name="TXT_04ACD48A6C054F09BE18578C15CE649F_1"/>
            <w:r>
              <w:rPr>
                <w:rFonts w:hint="eastAsia" w:hAnsi="宋体"/>
                <w:bCs/>
                <w:i w:val="0"/>
                <w:iCs w:val="0"/>
                <w:color w:val="auto"/>
                <w:sz w:val="21"/>
                <w:szCs w:val="21"/>
                <w:highlight w:val="none"/>
                <w:u w:val="single"/>
                <w:lang w:val="en-US" w:eastAsia="zh-CN"/>
              </w:rPr>
              <w:t>专用资格要求:</w:t>
            </w:r>
          </w:p>
          <w:p>
            <w:pPr>
              <w:pStyle w:val="19"/>
              <w:jc w:val="left"/>
              <w:rPr>
                <w:rFonts w:hint="eastAsia" w:hAnsi="宋体"/>
                <w:bCs/>
                <w:i w:val="0"/>
                <w:iCs w:val="0"/>
                <w:color w:val="auto"/>
                <w:sz w:val="21"/>
                <w:szCs w:val="21"/>
                <w:highlight w:val="none"/>
                <w:u w:val="single"/>
                <w:lang w:val="en-US" w:eastAsia="zh-CN"/>
              </w:rPr>
            </w:pPr>
            <w:r>
              <w:rPr>
                <w:rFonts w:hint="eastAsia" w:hAnsi="宋体"/>
                <w:bCs/>
                <w:i w:val="0"/>
                <w:iCs w:val="0"/>
                <w:color w:val="auto"/>
                <w:sz w:val="21"/>
                <w:szCs w:val="21"/>
                <w:highlight w:val="none"/>
                <w:u w:val="single"/>
                <w:lang w:val="en-US" w:eastAsia="zh-CN"/>
              </w:rPr>
              <w:t>（1）2025-2026年综合测评系统技术服务支持【2025-2026年综合测评系统技术服务支持】：</w:t>
            </w:r>
          </w:p>
          <w:p>
            <w:pPr>
              <w:pStyle w:val="19"/>
              <w:jc w:val="left"/>
              <w:rPr>
                <w:rFonts w:hint="eastAsia" w:hAnsi="宋体"/>
                <w:bCs/>
                <w:i w:val="0"/>
                <w:iCs w:val="0"/>
                <w:color w:val="auto"/>
                <w:sz w:val="21"/>
                <w:szCs w:val="21"/>
                <w:highlight w:val="none"/>
                <w:u w:val="single"/>
                <w:lang w:val="en-US" w:eastAsia="zh-CN"/>
              </w:rPr>
            </w:pPr>
            <w:r>
              <w:rPr>
                <w:rFonts w:hint="eastAsia" w:hAnsi="宋体"/>
                <w:bCs/>
                <w:i w:val="0"/>
                <w:iCs w:val="0"/>
                <w:color w:val="auto"/>
                <w:sz w:val="21"/>
                <w:szCs w:val="21"/>
                <w:highlight w:val="none"/>
                <w:u w:val="single"/>
                <w:lang w:val="en-US" w:eastAsia="zh-CN"/>
              </w:rPr>
              <w:t>1）近三年内（2022年至今）有所投标包内容业绩或信息系统运维/开发项目业绩，须提供合同（首页、服务内容页、盖章签字页扫描件）或中标通知书等有效证明材料。</w:t>
            </w:r>
          </w:p>
          <w:p>
            <w:pPr>
              <w:pStyle w:val="19"/>
              <w:jc w:val="left"/>
              <w:rPr>
                <w:rFonts w:hint="eastAsia" w:hAnsi="宋体"/>
                <w:bCs/>
                <w:i w:val="0"/>
                <w:iCs w:val="0"/>
                <w:color w:val="auto"/>
                <w:sz w:val="21"/>
                <w:szCs w:val="21"/>
                <w:highlight w:val="none"/>
                <w:u w:val="single"/>
                <w:lang w:val="en-US" w:eastAsia="zh-CN"/>
              </w:rPr>
            </w:pPr>
            <w:r>
              <w:rPr>
                <w:rFonts w:hint="eastAsia" w:hAnsi="宋体"/>
                <w:bCs/>
                <w:i w:val="0"/>
                <w:iCs w:val="0"/>
                <w:color w:val="auto"/>
                <w:sz w:val="21"/>
                <w:szCs w:val="21"/>
                <w:highlight w:val="none"/>
                <w:u w:val="single"/>
                <w:lang w:val="en-US" w:eastAsia="zh-CN"/>
              </w:rPr>
              <w:t>（2）2025-2026年档案数字化整理【2025-2026年档案数字化整理】：</w:t>
            </w:r>
          </w:p>
          <w:p>
            <w:pPr>
              <w:pStyle w:val="19"/>
              <w:jc w:val="left"/>
              <w:rPr>
                <w:rFonts w:hint="eastAsia" w:hAnsi="宋体"/>
                <w:bCs/>
                <w:i w:val="0"/>
                <w:iCs w:val="0"/>
                <w:color w:val="auto"/>
                <w:sz w:val="21"/>
                <w:szCs w:val="21"/>
                <w:highlight w:val="none"/>
                <w:u w:val="single"/>
                <w:lang w:val="en-US" w:eastAsia="zh-CN"/>
              </w:rPr>
            </w:pPr>
            <w:r>
              <w:rPr>
                <w:rFonts w:hint="eastAsia" w:hAnsi="宋体"/>
                <w:bCs/>
                <w:i w:val="0"/>
                <w:iCs w:val="0"/>
                <w:color w:val="auto"/>
                <w:sz w:val="21"/>
                <w:szCs w:val="21"/>
                <w:highlight w:val="none"/>
                <w:u w:val="single"/>
                <w:lang w:val="en-US" w:eastAsia="zh-CN"/>
              </w:rPr>
              <w:t>1）投标人须具有 2020 年至今档案整理有关项目的业绩证明，至少提供一份合同证明。</w:t>
            </w:r>
          </w:p>
          <w:p>
            <w:pPr>
              <w:pStyle w:val="19"/>
              <w:jc w:val="left"/>
              <w:rPr>
                <w:rFonts w:hint="default" w:hAnsi="宋体"/>
                <w:bCs/>
                <w:i w:val="0"/>
                <w:iCs w:val="0"/>
                <w:color w:val="auto"/>
                <w:sz w:val="21"/>
                <w:szCs w:val="21"/>
                <w:highlight w:val="none"/>
                <w:u w:val="single"/>
                <w:lang w:val="en-US" w:eastAsia="zh-CN"/>
              </w:rPr>
            </w:pPr>
            <w:r>
              <w:rPr>
                <w:rFonts w:hint="eastAsia" w:hAnsi="宋体"/>
                <w:bCs/>
                <w:i w:val="0"/>
                <w:iCs w:val="0"/>
                <w:color w:val="auto"/>
                <w:sz w:val="21"/>
                <w:szCs w:val="21"/>
                <w:highlight w:val="none"/>
                <w:u w:val="single"/>
                <w:lang w:val="en-US" w:eastAsia="zh-CN"/>
              </w:rPr>
              <w:t>2）具备档案中介服务资质，并在档案行政管理部门或档案学会登记备案，持有档案中介服务机构备案登记证书或备案回执</w:t>
            </w:r>
            <w:bookmarkEnd w:id="7"/>
            <w:r>
              <w:rPr>
                <w:rFonts w:hint="eastAsia" w:hAnsi="宋体"/>
                <w:bCs/>
                <w:i w:val="0"/>
                <w:iCs w:val="0"/>
                <w:color w:val="auto"/>
                <w:sz w:val="21"/>
                <w:szCs w:val="21"/>
                <w:highlight w:val="none"/>
                <w:u w:val="single"/>
                <w:lang w:val="en-US" w:eastAsia="zh-CN"/>
              </w:rPr>
              <w:t>。</w:t>
            </w:r>
            <w:r>
              <w:rPr>
                <w:rFonts w:hint="default" w:ascii="宋体" w:hAnsi="宋体" w:eastAsia="宋体" w:cs="宋体"/>
                <w:bCs/>
                <w:i w:val="0"/>
                <w:iCs w:val="0"/>
                <w:color w:val="auto"/>
                <w:sz w:val="21"/>
                <w:szCs w:val="21"/>
                <w:highlight w:val="none"/>
                <w:u w:val="single"/>
                <w:lang w:val="en-US" w:eastAsia="zh-CN"/>
              </w:rPr>
              <w:t>详见附件2</w:t>
            </w:r>
            <w:r>
              <w:rPr>
                <w:rFonts w:hint="eastAsia" w:ascii="宋体" w:hAnsi="宋体" w:eastAsia="宋体" w:cs="宋体"/>
                <w:bCs/>
                <w:i w:val="0"/>
                <w:iCs w:val="0"/>
                <w:color w:val="auto"/>
                <w:sz w:val="21"/>
                <w:szCs w:val="21"/>
                <w:highlight w:val="none"/>
                <w:u w:val="singl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19"/>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8</w:t>
            </w:r>
          </w:p>
        </w:tc>
        <w:tc>
          <w:tcPr>
            <w:tcW w:w="1109" w:type="dxa"/>
            <w:noWrap w:val="0"/>
            <w:vAlign w:val="center"/>
          </w:tcPr>
          <w:p>
            <w:pPr>
              <w:pStyle w:val="19"/>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采购工作组组成</w:t>
            </w:r>
          </w:p>
        </w:tc>
        <w:tc>
          <w:tcPr>
            <w:tcW w:w="7956" w:type="dxa"/>
            <w:noWrap w:val="0"/>
            <w:vAlign w:val="center"/>
          </w:tcPr>
          <w:p>
            <w:pPr>
              <w:pStyle w:val="19"/>
              <w:rPr>
                <w:rFonts w:hint="eastAsia" w:hAnsi="宋体"/>
                <w:bCs/>
                <w:i w:val="0"/>
                <w:iCs w:val="0"/>
                <w:color w:val="auto"/>
                <w:sz w:val="21"/>
                <w:szCs w:val="21"/>
                <w:highlight w:val="none"/>
                <w:lang w:val="en-US" w:eastAsia="zh-CN"/>
              </w:rPr>
            </w:pPr>
            <w:r>
              <w:rPr>
                <w:rFonts w:hint="eastAsia" w:hAnsi="宋体"/>
                <w:bCs/>
                <w:i w:val="0"/>
                <w:iCs w:val="0"/>
                <w:color w:val="auto"/>
                <w:sz w:val="21"/>
                <w:szCs w:val="21"/>
                <w:highlight w:val="none"/>
                <w:lang w:val="en-US" w:eastAsia="zh-CN"/>
              </w:rPr>
              <w:t>总人数为</w:t>
            </w:r>
            <w:bookmarkStart w:id="8" w:name="TXT_8DC61820A9D147DBA69AA4591E0ACD36_1"/>
            <w:r>
              <w:rPr>
                <w:rFonts w:hint="eastAsia" w:hAnsi="宋体"/>
                <w:bCs/>
                <w:i w:val="0"/>
                <w:iCs w:val="0"/>
                <w:color w:val="auto"/>
                <w:sz w:val="21"/>
                <w:szCs w:val="21"/>
                <w:highlight w:val="none"/>
                <w:u w:val="single"/>
                <w:lang w:val="en-US" w:eastAsia="zh-CN"/>
              </w:rPr>
              <w:t>5</w:t>
            </w:r>
            <w:bookmarkEnd w:id="8"/>
            <w:r>
              <w:rPr>
                <w:rFonts w:hint="eastAsia" w:hAnsi="宋体"/>
                <w:bCs/>
                <w:i w:val="0"/>
                <w:iCs w:val="0"/>
                <w:color w:val="auto"/>
                <w:sz w:val="21"/>
                <w:szCs w:val="21"/>
                <w:highlight w:val="none"/>
                <w:lang w:val="en-US" w:eastAsia="zh-CN"/>
              </w:rPr>
              <w:t>人，其中采购人代表</w:t>
            </w:r>
            <w:bookmarkStart w:id="9" w:name="TXT_022F395F38D444F5AE12BE0341450B1D_1"/>
            <w:r>
              <w:rPr>
                <w:rFonts w:hint="eastAsia" w:hAnsi="宋体"/>
                <w:bCs/>
                <w:i w:val="0"/>
                <w:iCs w:val="0"/>
                <w:color w:val="auto"/>
                <w:sz w:val="21"/>
                <w:szCs w:val="21"/>
                <w:highlight w:val="none"/>
                <w:u w:val="single"/>
                <w:lang w:val="en-US" w:eastAsia="zh-CN"/>
              </w:rPr>
              <w:t>1</w:t>
            </w:r>
            <w:bookmarkEnd w:id="9"/>
            <w:r>
              <w:rPr>
                <w:rFonts w:hint="eastAsia" w:hAnsi="宋体"/>
                <w:bCs/>
                <w:i w:val="0"/>
                <w:iCs w:val="0"/>
                <w:color w:val="auto"/>
                <w:sz w:val="21"/>
                <w:szCs w:val="21"/>
                <w:highlight w:val="none"/>
                <w:lang w:val="en-US" w:eastAsia="zh-CN"/>
              </w:rPr>
              <w:t>人，随机抽取专家</w:t>
            </w:r>
            <w:bookmarkStart w:id="10" w:name="TXT_F284EF8DCC48472A8CA18ECFC4C87F25_1"/>
            <w:r>
              <w:rPr>
                <w:rFonts w:hint="eastAsia" w:hAnsi="宋体"/>
                <w:bCs/>
                <w:i w:val="0"/>
                <w:iCs w:val="0"/>
                <w:color w:val="auto"/>
                <w:sz w:val="21"/>
                <w:szCs w:val="21"/>
                <w:highlight w:val="none"/>
                <w:u w:val="single"/>
                <w:lang w:val="en-US" w:eastAsia="zh-CN"/>
              </w:rPr>
              <w:t>4</w:t>
            </w:r>
            <w:bookmarkEnd w:id="10"/>
            <w:r>
              <w:rPr>
                <w:rFonts w:hint="eastAsia" w:hAnsi="宋体"/>
                <w:bCs/>
                <w:i w:val="0"/>
                <w:iCs w:val="0"/>
                <w:color w:val="auto"/>
                <w:sz w:val="21"/>
                <w:szCs w:val="21"/>
                <w:highlight w:val="none"/>
                <w:lang w:val="en-US" w:eastAsia="zh-CN"/>
              </w:rPr>
              <w:t>人；</w:t>
            </w:r>
          </w:p>
          <w:p>
            <w:pPr>
              <w:pStyle w:val="19"/>
              <w:rPr>
                <w:rFonts w:hint="eastAsia" w:hAnsi="宋体"/>
                <w:bCs/>
                <w:i w:val="0"/>
                <w:iCs w:val="0"/>
                <w:color w:val="auto"/>
                <w:sz w:val="21"/>
                <w:szCs w:val="21"/>
                <w:highlight w:val="none"/>
                <w:lang w:val="en-US" w:eastAsia="zh-CN"/>
              </w:rPr>
            </w:pPr>
            <w:r>
              <w:rPr>
                <w:rFonts w:hint="eastAsia" w:hAnsi="宋体"/>
                <w:bCs/>
                <w:i w:val="0"/>
                <w:iCs w:val="0"/>
                <w:color w:val="auto"/>
                <w:sz w:val="21"/>
                <w:szCs w:val="21"/>
                <w:highlight w:val="none"/>
                <w:lang w:val="en-US" w:eastAsia="zh-CN"/>
              </w:rPr>
              <w:t>采购人代表委派部门、抽取区域、抽取单位、排除单位等详见</w:t>
            </w:r>
            <w:r>
              <w:rPr>
                <w:rFonts w:hint="default" w:hAnsi="宋体"/>
                <w:bCs/>
                <w:i w:val="0"/>
                <w:iCs w:val="0"/>
                <w:color w:val="auto"/>
                <w:sz w:val="21"/>
                <w:szCs w:val="21"/>
                <w:highlight w:val="none"/>
                <w:lang w:val="en-US" w:eastAsia="zh-CN"/>
              </w:rPr>
              <w:t>附件</w:t>
            </w:r>
            <w:r>
              <w:rPr>
                <w:rFonts w:hint="eastAsia" w:hAnsi="宋体"/>
                <w:bCs/>
                <w:i w:val="0"/>
                <w:iCs w:val="0"/>
                <w:color w:val="auto"/>
                <w:sz w:val="21"/>
                <w:szCs w:val="21"/>
                <w:highlight w:val="none"/>
                <w:lang w:val="en-US" w:eastAsia="zh-CN"/>
              </w:rPr>
              <w:t>3；</w:t>
            </w:r>
          </w:p>
          <w:p>
            <w:pPr>
              <w:rPr>
                <w:rFonts w:hint="default" w:ascii="Times New Roman" w:hAnsi="Times New Roman" w:cs="Times New Roman"/>
                <w:i w:val="0"/>
                <w:iCs w:val="0"/>
                <w:strike/>
                <w:dstrike w:val="0"/>
                <w:color w:val="auto"/>
                <w:sz w:val="21"/>
                <w:szCs w:val="21"/>
                <w:highlight w:val="none"/>
                <w:u w:val="none"/>
                <w:lang w:val="en-US" w:eastAsia="zh-CN"/>
              </w:rPr>
            </w:pPr>
            <w:r>
              <w:rPr>
                <w:rFonts w:hint="eastAsia" w:hAnsi="宋体"/>
                <w:bCs/>
                <w:i w:val="0"/>
                <w:iCs w:val="0"/>
                <w:color w:val="auto"/>
                <w:sz w:val="21"/>
                <w:szCs w:val="21"/>
                <w:highlight w:val="none"/>
                <w:lang w:val="en-US" w:eastAsia="zh-CN"/>
              </w:rPr>
              <w:t>采购工作组主任/组长</w:t>
            </w:r>
            <w:r>
              <w:rPr>
                <w:rFonts w:hint="eastAsia" w:hAnsi="宋体"/>
                <w:bCs/>
                <w:color w:val="auto"/>
                <w:sz w:val="21"/>
                <w:szCs w:val="21"/>
                <w:highlight w:val="none"/>
                <w:lang w:val="en-US" w:eastAsia="zh-CN"/>
              </w:rPr>
              <w:t>由</w:t>
            </w:r>
            <w:r>
              <w:rPr>
                <w:rFonts w:hint="eastAsia" w:hAnsi="宋体"/>
                <w:bCs/>
                <w:color w:val="auto"/>
                <w:sz w:val="21"/>
                <w:szCs w:val="21"/>
                <w:highlight w:val="none"/>
                <w:u w:val="single"/>
                <w:lang w:val="en-US" w:eastAsia="zh-CN"/>
              </w:rPr>
              <w:t>采购工作组成员推举产生</w:t>
            </w:r>
            <w:r>
              <w:rPr>
                <w:rFonts w:hint="eastAsia" w:hAnsi="宋体"/>
                <w:bCs/>
                <w:i w:val="0"/>
                <w:iCs w:val="0"/>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19"/>
              <w:jc w:val="center"/>
              <w:rPr>
                <w:rFonts w:hint="default" w:ascii="Times New Roman" w:hAnsi="Times New Roman" w:cs="Times New Roman"/>
                <w:i w:val="0"/>
                <w:iCs w:val="0"/>
                <w:color w:val="auto"/>
                <w:sz w:val="21"/>
                <w:szCs w:val="21"/>
                <w:highlight w:val="none"/>
              </w:rPr>
            </w:pPr>
            <w:r>
              <w:rPr>
                <w:rFonts w:hint="default" w:ascii="宋体" w:hAnsi="宋体" w:eastAsia="宋体"/>
                <w:i w:val="0"/>
                <w:iCs w:val="0"/>
                <w:color w:val="auto"/>
                <w:sz w:val="21"/>
                <w:szCs w:val="21"/>
                <w:highlight w:val="none"/>
                <w:lang w:val="en-US" w:eastAsia="zh-CN"/>
              </w:rPr>
              <w:t>9</w:t>
            </w:r>
          </w:p>
        </w:tc>
        <w:tc>
          <w:tcPr>
            <w:tcW w:w="1109" w:type="dxa"/>
            <w:noWrap w:val="0"/>
            <w:vAlign w:val="center"/>
          </w:tcPr>
          <w:p>
            <w:pPr>
              <w:pStyle w:val="19"/>
              <w:jc w:val="center"/>
              <w:rPr>
                <w:rFonts w:hint="default" w:ascii="Times New Roman" w:hAnsi="Times New Roman" w:cs="Times New Roman"/>
                <w:i w:val="0"/>
                <w:iCs w:val="0"/>
                <w:color w:val="auto"/>
                <w:sz w:val="21"/>
                <w:szCs w:val="21"/>
                <w:highlight w:val="none"/>
              </w:rPr>
            </w:pPr>
            <w:r>
              <w:rPr>
                <w:rFonts w:hint="eastAsia" w:hAnsi="宋体"/>
                <w:i w:val="0"/>
                <w:iCs w:val="0"/>
                <w:color w:val="auto"/>
                <w:sz w:val="21"/>
                <w:szCs w:val="21"/>
                <w:highlight w:val="none"/>
                <w:lang w:val="en-US" w:eastAsia="zh-CN"/>
              </w:rPr>
              <w:t>评标办法</w:t>
            </w:r>
          </w:p>
        </w:tc>
        <w:tc>
          <w:tcPr>
            <w:tcW w:w="7956" w:type="dxa"/>
            <w:noWrap w:val="0"/>
            <w:vAlign w:val="center"/>
          </w:tcPr>
          <w:p>
            <w:pPr>
              <w:pStyle w:val="19"/>
              <w:rPr>
                <w:rFonts w:hint="default" w:ascii="Times New Roman" w:hAnsi="Times New Roman" w:cs="Times New Roman"/>
                <w:bCs/>
                <w:i w:val="0"/>
                <w:iCs w:val="0"/>
                <w:color w:val="auto"/>
                <w:sz w:val="21"/>
                <w:szCs w:val="21"/>
                <w:highlight w:val="none"/>
                <w:u w:val="none"/>
              </w:rPr>
            </w:pPr>
            <w:r>
              <w:rPr>
                <w:rFonts w:hint="eastAsia" w:hAnsi="宋体"/>
                <w:bCs/>
                <w:i w:val="0"/>
                <w:iCs w:val="0"/>
                <w:color w:val="auto"/>
                <w:sz w:val="21"/>
                <w:szCs w:val="21"/>
                <w:highlight w:val="none"/>
                <w:u w:val="single"/>
                <w:lang w:val="en-US" w:eastAsia="zh-CN"/>
              </w:rPr>
              <w:t>综合评估法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jc w:val="center"/>
        </w:trPr>
        <w:tc>
          <w:tcPr>
            <w:tcW w:w="684" w:type="dxa"/>
            <w:noWrap w:val="0"/>
            <w:vAlign w:val="center"/>
          </w:tcPr>
          <w:p>
            <w:pPr>
              <w:pStyle w:val="19"/>
              <w:jc w:val="center"/>
              <w:rPr>
                <w:rFonts w:hint="default" w:ascii="宋体" w:hAnsi="宋体" w:eastAsia="宋体"/>
                <w:i w:val="0"/>
                <w:iCs w:val="0"/>
                <w:color w:val="auto"/>
                <w:sz w:val="21"/>
                <w:szCs w:val="21"/>
                <w:highlight w:val="none"/>
                <w:lang w:val="en-US" w:eastAsia="zh-CN"/>
              </w:rPr>
            </w:pPr>
            <w:r>
              <w:rPr>
                <w:rFonts w:hint="eastAsia" w:ascii="宋体" w:hAnsi="宋体" w:eastAsia="宋体"/>
                <w:i w:val="0"/>
                <w:iCs w:val="0"/>
                <w:color w:val="auto"/>
                <w:sz w:val="21"/>
                <w:szCs w:val="21"/>
                <w:highlight w:val="none"/>
                <w:lang w:val="en-US" w:eastAsia="zh-CN"/>
              </w:rPr>
              <w:t>1</w:t>
            </w:r>
            <w:r>
              <w:rPr>
                <w:rFonts w:hint="eastAsia" w:hAnsi="宋体"/>
                <w:i w:val="0"/>
                <w:iCs w:val="0"/>
                <w:color w:val="auto"/>
                <w:sz w:val="21"/>
                <w:szCs w:val="21"/>
                <w:highlight w:val="none"/>
                <w:lang w:val="en-US" w:eastAsia="zh-CN"/>
              </w:rPr>
              <w:t>0</w:t>
            </w:r>
          </w:p>
        </w:tc>
        <w:tc>
          <w:tcPr>
            <w:tcW w:w="1109" w:type="dxa"/>
            <w:noWrap w:val="0"/>
            <w:vAlign w:val="center"/>
          </w:tcPr>
          <w:p>
            <w:pPr>
              <w:pStyle w:val="19"/>
              <w:jc w:val="center"/>
              <w:rPr>
                <w:rFonts w:hint="default" w:ascii="宋体" w:hAnsi="宋体" w:eastAsia="宋体"/>
                <w:i w:val="0"/>
                <w:iCs w:val="0"/>
                <w:color w:val="auto"/>
                <w:sz w:val="21"/>
                <w:szCs w:val="21"/>
                <w:highlight w:val="none"/>
                <w:lang w:val="en-US" w:eastAsia="zh-CN"/>
              </w:rPr>
            </w:pPr>
            <w:r>
              <w:rPr>
                <w:rFonts w:hint="default" w:ascii="宋体" w:hAnsi="宋体" w:eastAsia="宋体"/>
                <w:i w:val="0"/>
                <w:iCs w:val="0"/>
                <w:color w:val="auto"/>
                <w:sz w:val="21"/>
                <w:szCs w:val="21"/>
                <w:highlight w:val="none"/>
                <w:lang w:val="en-US" w:eastAsia="zh-CN"/>
              </w:rPr>
              <w:t>分值权重</w:t>
            </w:r>
          </w:p>
        </w:tc>
        <w:tc>
          <w:tcPr>
            <w:tcW w:w="7956" w:type="dxa"/>
            <w:noWrap w:val="0"/>
            <w:vAlign w:val="center"/>
          </w:tcPr>
          <w:p>
            <w:pPr>
              <w:pStyle w:val="19"/>
              <w:jc w:val="center"/>
              <w:rPr>
                <w:rFonts w:hint="default" w:ascii="Times New Roman" w:hAnsi="Times New Roman" w:eastAsia="宋体" w:cs="Times New Roman"/>
                <w:i w:val="0"/>
                <w:iCs w:val="0"/>
                <w:color w:val="auto"/>
                <w:kern w:val="2"/>
                <w:sz w:val="21"/>
                <w:szCs w:val="21"/>
                <w:highlight w:val="none"/>
                <w:lang w:val="en-US" w:eastAsia="zh-CN" w:bidi="ar-SA"/>
              </w:rPr>
            </w:pPr>
            <w:bookmarkStart w:id="11" w:name="PO_74D7D5637BAD4CE5B171042906FE3D04"/>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7"/>
              <w:gridCol w:w="1623"/>
              <w:gridCol w:w="1237"/>
              <w:gridCol w:w="1237"/>
              <w:gridCol w:w="1237"/>
              <w:gridCol w:w="20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 w:type="pct"/>
                  <w:vMerge w:val="restart"/>
                  <w:vAlign w:val="center"/>
                </w:tcPr>
                <w:p>
                  <w:pPr>
                    <w:jc w:val="center"/>
                  </w:pPr>
                  <w:r>
                    <w:rPr>
                      <w:b/>
                    </w:rPr>
                    <w:t>序号</w:t>
                  </w:r>
                </w:p>
              </w:tc>
              <w:tc>
                <w:tcPr>
                  <w:tcW w:w="1050" w:type="pct"/>
                  <w:vMerge w:val="restart"/>
                  <w:vAlign w:val="center"/>
                </w:tcPr>
                <w:p>
                  <w:pPr>
                    <w:jc w:val="center"/>
                  </w:pPr>
                  <w:r>
                    <w:rPr>
                      <w:b/>
                    </w:rPr>
                    <w:t>标的/标包</w:t>
                  </w:r>
                </w:p>
              </w:tc>
              <w:tc>
                <w:tcPr>
                  <w:tcW w:w="2400" w:type="pct"/>
                  <w:gridSpan w:val="3"/>
                  <w:vAlign w:val="center"/>
                </w:tcPr>
                <w:p>
                  <w:pPr>
                    <w:jc w:val="center"/>
                  </w:pPr>
                  <w:r>
                    <w:rPr>
                      <w:b/>
                    </w:rPr>
                    <w:t>分值权重</w:t>
                  </w:r>
                </w:p>
              </w:tc>
              <w:tc>
                <w:tcPr>
                  <w:tcW w:w="1300" w:type="pct"/>
                  <w:vMerge w:val="restart"/>
                  <w:vAlign w:val="center"/>
                </w:tcPr>
                <w:p>
                  <w:pPr>
                    <w:jc w:val="center"/>
                  </w:pPr>
                  <w:r>
                    <w:rPr>
                      <w:b/>
                    </w:rPr>
                    <w:t>价格分计算方法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 w:type="pct"/>
                  <w:vMerge w:val="continue"/>
                </w:tcPr>
                <w:p/>
              </w:tc>
              <w:tc>
                <w:tcPr>
                  <w:tcW w:w="1050" w:type="pct"/>
                  <w:vMerge w:val="continue"/>
                </w:tcPr>
                <w:p/>
              </w:tc>
              <w:tc>
                <w:tcPr>
                  <w:tcW w:w="800" w:type="pct"/>
                  <w:vAlign w:val="center"/>
                </w:tcPr>
                <w:p>
                  <w:pPr>
                    <w:jc w:val="center"/>
                  </w:pPr>
                  <w:r>
                    <w:rPr>
                      <w:b/>
                    </w:rPr>
                    <w:t>商务分</w:t>
                  </w:r>
                </w:p>
              </w:tc>
              <w:tc>
                <w:tcPr>
                  <w:tcW w:w="800" w:type="pct"/>
                  <w:vAlign w:val="center"/>
                </w:tcPr>
                <w:p>
                  <w:pPr>
                    <w:jc w:val="center"/>
                  </w:pPr>
                  <w:r>
                    <w:rPr>
                      <w:b/>
                    </w:rPr>
                    <w:t>技术分</w:t>
                  </w:r>
                </w:p>
              </w:tc>
              <w:tc>
                <w:tcPr>
                  <w:tcW w:w="800" w:type="pct"/>
                  <w:vAlign w:val="center"/>
                </w:tcPr>
                <w:p>
                  <w:pPr>
                    <w:jc w:val="center"/>
                  </w:pPr>
                  <w:r>
                    <w:rPr>
                      <w:b/>
                    </w:rPr>
                    <w:t>价格分</w:t>
                  </w:r>
                </w:p>
              </w:tc>
              <w:tc>
                <w:tcPr>
                  <w:tcW w:w="1300" w:type="pct"/>
                  <w:vMerge w:val="continue"/>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 w:type="pct"/>
                  <w:shd w:val="clear" w:color="auto" w:fill="FFFFFF"/>
                  <w:vAlign w:val="center"/>
                </w:tcPr>
                <w:p>
                  <w:pPr>
                    <w:jc w:val="center"/>
                  </w:pPr>
                  <w:r>
                    <w:t>1</w:t>
                  </w:r>
                </w:p>
              </w:tc>
              <w:tc>
                <w:tcPr>
                  <w:tcW w:w="1050" w:type="pct"/>
                  <w:shd w:val="clear" w:color="auto" w:fill="FFFFFF"/>
                  <w:vAlign w:val="center"/>
                </w:tcPr>
                <w:p>
                  <w:pPr>
                    <w:jc w:val="center"/>
                  </w:pPr>
                  <w:r>
                    <w:t>2025-2026年综合测评系统技术服务支持[2025-2026年综合测评系统技术服务支持]</w:t>
                  </w:r>
                </w:p>
              </w:tc>
              <w:tc>
                <w:tcPr>
                  <w:tcW w:w="800" w:type="pct"/>
                  <w:shd w:val="clear" w:color="auto" w:fill="FFFFFF"/>
                  <w:vAlign w:val="center"/>
                </w:tcPr>
                <w:p>
                  <w:pPr>
                    <w:jc w:val="center"/>
                  </w:pPr>
                  <w:r>
                    <w:t>30.0%</w:t>
                  </w:r>
                </w:p>
              </w:tc>
              <w:tc>
                <w:tcPr>
                  <w:tcW w:w="800" w:type="pct"/>
                  <w:shd w:val="clear" w:color="auto" w:fill="FFFFFF"/>
                  <w:vAlign w:val="center"/>
                </w:tcPr>
                <w:p>
                  <w:pPr>
                    <w:jc w:val="center"/>
                  </w:pPr>
                  <w:r>
                    <w:t>40.0%</w:t>
                  </w:r>
                </w:p>
              </w:tc>
              <w:tc>
                <w:tcPr>
                  <w:tcW w:w="800" w:type="pct"/>
                  <w:shd w:val="clear" w:color="auto" w:fill="FFFFFF"/>
                  <w:vAlign w:val="center"/>
                </w:tcPr>
                <w:p>
                  <w:pPr>
                    <w:jc w:val="center"/>
                  </w:pPr>
                  <w:r>
                    <w:t>30.0%</w:t>
                  </w:r>
                </w:p>
              </w:tc>
              <w:tc>
                <w:tcPr>
                  <w:tcW w:w="1300" w:type="pct"/>
                  <w:shd w:val="clear" w:color="auto" w:fill="FFFFFF"/>
                  <w:vAlign w:val="center"/>
                </w:tcPr>
                <w:p>
                  <w:pPr>
                    <w:jc w:val="center"/>
                  </w:pPr>
                  <w:r>
                    <w:t>合理均价基准差径靶心法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 w:type="pct"/>
                  <w:shd w:val="clear" w:color="auto" w:fill="FFFFFF"/>
                  <w:vAlign w:val="center"/>
                </w:tcPr>
                <w:p>
                  <w:pPr>
                    <w:jc w:val="center"/>
                  </w:pPr>
                  <w:r>
                    <w:t>2</w:t>
                  </w:r>
                </w:p>
              </w:tc>
              <w:tc>
                <w:tcPr>
                  <w:tcW w:w="1050" w:type="pct"/>
                  <w:shd w:val="clear" w:color="auto" w:fill="FFFFFF"/>
                  <w:vAlign w:val="center"/>
                </w:tcPr>
                <w:p>
                  <w:pPr>
                    <w:jc w:val="center"/>
                  </w:pPr>
                  <w:r>
                    <w:t>2025-2026年档案数字化整理[2025-2026年档案数字化整理]</w:t>
                  </w:r>
                </w:p>
              </w:tc>
              <w:tc>
                <w:tcPr>
                  <w:tcW w:w="800" w:type="pct"/>
                  <w:shd w:val="clear" w:color="auto" w:fill="FFFFFF"/>
                  <w:vAlign w:val="center"/>
                </w:tcPr>
                <w:p>
                  <w:pPr>
                    <w:jc w:val="center"/>
                  </w:pPr>
                  <w:r>
                    <w:t>20.0%</w:t>
                  </w:r>
                </w:p>
              </w:tc>
              <w:tc>
                <w:tcPr>
                  <w:tcW w:w="800" w:type="pct"/>
                  <w:shd w:val="clear" w:color="auto" w:fill="FFFFFF"/>
                  <w:vAlign w:val="center"/>
                </w:tcPr>
                <w:p>
                  <w:pPr>
                    <w:jc w:val="center"/>
                  </w:pPr>
                  <w:r>
                    <w:t>40.0%</w:t>
                  </w:r>
                </w:p>
              </w:tc>
              <w:tc>
                <w:tcPr>
                  <w:tcW w:w="800" w:type="pct"/>
                  <w:shd w:val="clear" w:color="auto" w:fill="FFFFFF"/>
                  <w:vAlign w:val="center"/>
                </w:tcPr>
                <w:p>
                  <w:pPr>
                    <w:jc w:val="center"/>
                  </w:pPr>
                  <w:r>
                    <w:t>40.0%</w:t>
                  </w:r>
                </w:p>
              </w:tc>
              <w:tc>
                <w:tcPr>
                  <w:tcW w:w="1300" w:type="pct"/>
                  <w:shd w:val="clear" w:color="auto" w:fill="FFFFFF"/>
                  <w:vAlign w:val="center"/>
                </w:tcPr>
                <w:p>
                  <w:pPr>
                    <w:jc w:val="center"/>
                  </w:pPr>
                  <w:r>
                    <w:t>合理均价基准差径靶心法</w:t>
                  </w:r>
                </w:p>
              </w:tc>
            </w:tr>
            <w:bookmarkEnd w:id="11"/>
          </w:tbl>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19"/>
              <w:shd w:val="clear" w:color="auto" w:fill="auto"/>
              <w:jc w:val="center"/>
              <w:rPr>
                <w:rFonts w:hint="default" w:ascii="宋体" w:hAnsi="宋体" w:eastAsia="宋体"/>
                <w:i w:val="0"/>
                <w:iCs w:val="0"/>
                <w:color w:val="auto"/>
                <w:sz w:val="21"/>
                <w:szCs w:val="21"/>
                <w:highlight w:val="none"/>
                <w:lang w:val="en-US" w:eastAsia="zh-CN"/>
              </w:rPr>
            </w:pPr>
            <w:r>
              <w:rPr>
                <w:rFonts w:hint="default" w:ascii="宋体" w:hAnsi="宋体" w:eastAsia="宋体"/>
                <w:i w:val="0"/>
                <w:iCs w:val="0"/>
                <w:color w:val="auto"/>
                <w:sz w:val="21"/>
                <w:szCs w:val="21"/>
                <w:highlight w:val="none"/>
                <w:lang w:val="en-US" w:eastAsia="zh-CN"/>
              </w:rPr>
              <w:t>1</w:t>
            </w:r>
            <w:r>
              <w:rPr>
                <w:rFonts w:hint="eastAsia" w:ascii="宋体" w:hAnsi="宋体" w:eastAsia="宋体"/>
                <w:i w:val="0"/>
                <w:iCs w:val="0"/>
                <w:color w:val="auto"/>
                <w:sz w:val="21"/>
                <w:szCs w:val="21"/>
                <w:highlight w:val="none"/>
                <w:lang w:val="en-US" w:eastAsia="zh-CN"/>
              </w:rPr>
              <w:t>1</w:t>
            </w:r>
          </w:p>
        </w:tc>
        <w:tc>
          <w:tcPr>
            <w:tcW w:w="1109" w:type="dxa"/>
            <w:noWrap w:val="0"/>
            <w:vAlign w:val="center"/>
          </w:tcPr>
          <w:p>
            <w:pPr>
              <w:pStyle w:val="19"/>
              <w:shd w:val="clear" w:color="auto" w:fill="auto"/>
              <w:jc w:val="center"/>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bCs/>
                <w:i w:val="0"/>
                <w:iCs w:val="0"/>
                <w:color w:val="auto"/>
                <w:kern w:val="0"/>
                <w:sz w:val="21"/>
                <w:szCs w:val="21"/>
                <w:highlight w:val="none"/>
                <w:u w:val="none"/>
                <w:lang w:val="en-US" w:eastAsia="zh-CN" w:bidi="ar-SA"/>
              </w:rPr>
              <w:t>综合分计算</w:t>
            </w:r>
          </w:p>
        </w:tc>
        <w:tc>
          <w:tcPr>
            <w:tcW w:w="7956" w:type="dxa"/>
            <w:noWrap w:val="0"/>
            <w:vAlign w:val="center"/>
          </w:tcPr>
          <w:p>
            <w:pPr>
              <w:rPr>
                <w:rFonts w:hint="default" w:ascii="Times New Roman" w:hAnsi="Times New Roman" w:eastAsia="宋体" w:cs="Times New Roman"/>
                <w:bCs/>
                <w:i w:val="0"/>
                <w:iCs w:val="0"/>
                <w:color w:val="auto"/>
                <w:kern w:val="0"/>
                <w:sz w:val="21"/>
                <w:szCs w:val="21"/>
                <w:highlight w:val="none"/>
                <w:u w:val="single"/>
                <w:lang w:val="en-US" w:eastAsia="zh-CN" w:bidi="ar-SA"/>
              </w:rPr>
            </w:pPr>
            <w:r>
              <w:rPr>
                <w:rFonts w:hint="default" w:ascii="Times New Roman" w:hAnsi="Times New Roman" w:eastAsia="宋体" w:cs="Times New Roman"/>
                <w:bCs/>
                <w:i w:val="0"/>
                <w:iCs w:val="0"/>
                <w:color w:val="auto"/>
                <w:kern w:val="0"/>
                <w:sz w:val="21"/>
                <w:szCs w:val="21"/>
                <w:highlight w:val="none"/>
                <w:u w:val="single"/>
                <w:lang w:val="en-US" w:eastAsia="zh-CN" w:bidi="ar-SA"/>
              </w:rPr>
              <w:t>综合得分=商务分×商务分所占权重+技术分×技术分所占权重+价格分×价格分所占权重+其他分×其他分所占权重-供应商扣分。（若商务技术合并，按商务技术合并后的得分及所占权重计算，若综合分为原始分相加，则不计权重）。</w:t>
            </w:r>
          </w:p>
          <w:p>
            <w:pPr>
              <w:ind w:firstLine="420" w:firstLineChars="200"/>
              <w:rPr>
                <w:rFonts w:hint="default" w:ascii="Times New Roman" w:hAnsi="Times New Roman" w:eastAsia="宋体" w:cs="Times New Roman"/>
                <w:bCs/>
                <w:i w:val="0"/>
                <w:iCs w:val="0"/>
                <w:color w:val="auto"/>
                <w:kern w:val="0"/>
                <w:sz w:val="21"/>
                <w:szCs w:val="21"/>
                <w:highlight w:val="none"/>
                <w:u w:val="single"/>
                <w:lang w:val="en-US" w:eastAsia="zh-CN" w:bidi="ar-SA"/>
              </w:rPr>
            </w:pPr>
            <w:r>
              <w:rPr>
                <w:rFonts w:hint="default" w:ascii="Times New Roman" w:hAnsi="Times New Roman" w:eastAsia="宋体" w:cs="Times New Roman"/>
                <w:bCs/>
                <w:i w:val="0"/>
                <w:iCs w:val="0"/>
                <w:color w:val="auto"/>
                <w:kern w:val="0"/>
                <w:sz w:val="21"/>
                <w:szCs w:val="21"/>
                <w:highlight w:val="none"/>
                <w:u w:val="single"/>
                <w:lang w:val="en-US" w:eastAsia="zh-CN" w:bidi="ar-SA"/>
              </w:rPr>
              <w:t>本项目执行《关于将服务商和非电力物资供货商失信扣分应用于采购评审环节的公告》《关于实施&lt;南方电网公司供应商私设互联网应用失信行为扣分工作指引（试行）&gt;的公告》《关于实施&lt;中国南方电网有限责任公司供应商不良行为处理管理细则（2025年版）&gt;的公告》。南方电网系统范围内开单并生效的扣分均纳入采购评审环节应用范围，不区分扣分主体、不良行为性质，实行全品类扣减评标综合分（不按处罚品类区分应用范围）。应用时效为投标截止日前（含当月）36个月（不满36个月按实际时长计算，数据读取时间节点统一为招标文件载明的投标截止日前一日的24:00）。供应商扣分分值=Σa×（n²/12），扣分结果按四舍五入保留小数点后两位。a为差异化的折算系数（根据扣分生效日期与投标截止日的间隔期长短应用差异化的折算系数，投标截止日前12个月内的a=1，投标截止日前13-24个月内的a=0.5，投标截止日前25-36个月内的a=0.25）；n为每个间隔期的供应商不良行为扣分之和，累计扣分值应用上限为12分。被实施市场禁入的，将禁入期按月折算分数（禁入期满当月为第一个月往前折算，处罚生效当月不计），即禁入一个月折算为1分。各项扣分取值起点时间如下（起点前开单的扣分或列入市场禁入的不予追溯）：</w:t>
            </w:r>
          </w:p>
          <w:p>
            <w:pPr>
              <w:rPr>
                <w:rFonts w:hint="default" w:ascii="Times New Roman" w:hAnsi="Times New Roman" w:eastAsia="宋体" w:cs="Times New Roman"/>
                <w:bCs/>
                <w:i w:val="0"/>
                <w:iCs w:val="0"/>
                <w:color w:val="auto"/>
                <w:kern w:val="0"/>
                <w:sz w:val="21"/>
                <w:szCs w:val="21"/>
                <w:highlight w:val="none"/>
                <w:u w:val="single"/>
                <w:lang w:val="en-US" w:eastAsia="zh-CN" w:bidi="ar-SA"/>
              </w:rPr>
            </w:pPr>
            <w:r>
              <w:rPr>
                <w:rFonts w:hint="default" w:ascii="Times New Roman" w:hAnsi="Times New Roman" w:eastAsia="宋体" w:cs="Times New Roman"/>
                <w:bCs/>
                <w:i w:val="0"/>
                <w:iCs w:val="0"/>
                <w:color w:val="auto"/>
                <w:kern w:val="0"/>
                <w:sz w:val="21"/>
                <w:szCs w:val="21"/>
                <w:highlight w:val="none"/>
                <w:u w:val="single"/>
                <w:lang w:val="en-US" w:eastAsia="zh-CN" w:bidi="ar-SA"/>
              </w:rPr>
              <w:t>1.私设互联网应用失信行为扣分：2023年6月19日（含当日）起；</w:t>
            </w:r>
          </w:p>
          <w:p>
            <w:pPr>
              <w:rPr>
                <w:rFonts w:hint="default" w:ascii="Times New Roman" w:hAnsi="Times New Roman" w:eastAsia="宋体" w:cs="Times New Roman"/>
                <w:bCs/>
                <w:i w:val="0"/>
                <w:iCs w:val="0"/>
                <w:color w:val="auto"/>
                <w:kern w:val="0"/>
                <w:sz w:val="21"/>
                <w:szCs w:val="21"/>
                <w:highlight w:val="none"/>
                <w:u w:val="single"/>
                <w:lang w:val="en-US" w:eastAsia="zh-CN" w:bidi="ar-SA"/>
              </w:rPr>
            </w:pPr>
            <w:r>
              <w:rPr>
                <w:rFonts w:hint="default" w:ascii="Times New Roman" w:hAnsi="Times New Roman" w:eastAsia="宋体" w:cs="Times New Roman"/>
                <w:bCs/>
                <w:i w:val="0"/>
                <w:iCs w:val="0"/>
                <w:color w:val="auto"/>
                <w:kern w:val="0"/>
                <w:sz w:val="21"/>
                <w:szCs w:val="21"/>
                <w:highlight w:val="none"/>
                <w:u w:val="single"/>
                <w:lang w:val="en-US" w:eastAsia="zh-CN" w:bidi="ar-SA"/>
              </w:rPr>
              <w:t>2.其他按《中国南方电网有限责任公司供应商失信扣分管理细则》《中国南方电网有限责任公司供应商不良行为处理管理细则》实施的扣分：2024年8月21日（含当日）起；</w:t>
            </w:r>
          </w:p>
          <w:p>
            <w:pPr>
              <w:rPr>
                <w:rFonts w:hint="eastAsia" w:asciiTheme="minorEastAsia" w:hAnsiTheme="minorEastAsia" w:eastAsiaTheme="minorEastAsia" w:cstheme="minorEastAsia"/>
                <w:bCs/>
                <w:i w:val="0"/>
                <w:iCs w:val="0"/>
                <w:color w:val="auto"/>
                <w:sz w:val="21"/>
                <w:szCs w:val="21"/>
                <w:highlight w:val="none"/>
                <w:u w:val="none"/>
                <w:lang w:val="en-US" w:eastAsia="zh-CN"/>
              </w:rPr>
            </w:pPr>
            <w:r>
              <w:rPr>
                <w:rFonts w:hint="default" w:ascii="Times New Roman" w:hAnsi="Times New Roman" w:eastAsia="宋体" w:cs="Times New Roman"/>
                <w:bCs/>
                <w:i w:val="0"/>
                <w:iCs w:val="0"/>
                <w:color w:val="auto"/>
                <w:kern w:val="0"/>
                <w:sz w:val="21"/>
                <w:szCs w:val="21"/>
                <w:highlight w:val="none"/>
                <w:u w:val="single"/>
                <w:lang w:val="en-US" w:eastAsia="zh-CN" w:bidi="ar-SA"/>
              </w:rPr>
              <w:t>3.市场禁入：2024年8月21日（含当日）起。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4" w:type="dxa"/>
            <w:noWrap w:val="0"/>
            <w:vAlign w:val="center"/>
          </w:tcPr>
          <w:p>
            <w:pPr>
              <w:pStyle w:val="19"/>
              <w:jc w:val="center"/>
              <w:rPr>
                <w:rFonts w:hint="eastAsia" w:ascii="宋体" w:hAnsi="宋体" w:eastAsia="宋体"/>
                <w:i w:val="0"/>
                <w:iCs w:val="0"/>
                <w:color w:val="auto"/>
                <w:sz w:val="21"/>
                <w:szCs w:val="21"/>
                <w:highlight w:val="none"/>
                <w:lang w:val="en-US" w:eastAsia="zh-CN"/>
              </w:rPr>
            </w:pPr>
            <w:r>
              <w:rPr>
                <w:rFonts w:hint="eastAsia" w:hAnsi="宋体"/>
                <w:i w:val="0"/>
                <w:iCs w:val="0"/>
                <w:color w:val="auto"/>
                <w:sz w:val="21"/>
                <w:szCs w:val="21"/>
                <w:highlight w:val="none"/>
                <w:lang w:val="en-US" w:eastAsia="zh-CN"/>
              </w:rPr>
              <w:t>12</w:t>
            </w:r>
          </w:p>
        </w:tc>
        <w:tc>
          <w:tcPr>
            <w:tcW w:w="1109" w:type="dxa"/>
            <w:noWrap w:val="0"/>
            <w:vAlign w:val="center"/>
          </w:tcPr>
          <w:p>
            <w:pPr>
              <w:pStyle w:val="19"/>
              <w:jc w:val="center"/>
              <w:rPr>
                <w:rFonts w:hint="eastAsia" w:hAnsi="宋体"/>
                <w:i w:val="0"/>
                <w:iCs w:val="0"/>
                <w:color w:val="auto"/>
                <w:sz w:val="21"/>
                <w:szCs w:val="21"/>
                <w:highlight w:val="none"/>
                <w:lang w:val="en-US" w:eastAsia="zh-CN"/>
              </w:rPr>
            </w:pPr>
            <w:r>
              <w:rPr>
                <w:rFonts w:hint="default" w:ascii="宋体" w:hAnsi="宋体" w:eastAsia="宋体"/>
                <w:i w:val="0"/>
                <w:iCs w:val="0"/>
                <w:color w:val="auto"/>
                <w:sz w:val="21"/>
                <w:szCs w:val="21"/>
                <w:highlight w:val="none"/>
                <w:lang w:val="en-US" w:eastAsia="zh-CN"/>
              </w:rPr>
              <w:t>推荐</w:t>
            </w:r>
            <w:r>
              <w:rPr>
                <w:rFonts w:hint="eastAsia" w:ascii="宋体" w:hAnsi="宋体" w:eastAsia="宋体"/>
                <w:i w:val="0"/>
                <w:iCs w:val="0"/>
                <w:color w:val="auto"/>
                <w:sz w:val="21"/>
                <w:szCs w:val="21"/>
                <w:highlight w:val="none"/>
                <w:lang w:val="en-US" w:eastAsia="zh-CN"/>
              </w:rPr>
              <w:t>成交</w:t>
            </w:r>
            <w:r>
              <w:rPr>
                <w:rFonts w:hint="default" w:ascii="宋体" w:hAnsi="宋体" w:eastAsia="宋体"/>
                <w:i w:val="0"/>
                <w:iCs w:val="0"/>
                <w:color w:val="auto"/>
                <w:sz w:val="21"/>
                <w:szCs w:val="21"/>
                <w:highlight w:val="none"/>
                <w:lang w:val="en-US" w:eastAsia="zh-CN"/>
              </w:rPr>
              <w:t>原则</w:t>
            </w:r>
          </w:p>
        </w:tc>
        <w:tc>
          <w:tcPr>
            <w:tcW w:w="7956" w:type="dxa"/>
            <w:noWrap w:val="0"/>
            <w:vAlign w:val="center"/>
          </w:tcPr>
          <w:p>
            <w:pPr>
              <w:pStyle w:val="19"/>
              <w:numPr>
                <w:ilvl w:val="0"/>
                <w:numId w:val="0"/>
              </w:numPr>
              <w:ind w:left="0" w:leftChars="0" w:firstLine="0" w:firstLineChars="0"/>
              <w:jc w:val="left"/>
              <w:rPr>
                <w:rFonts w:hint="eastAsia" w:hAnsi="宋体"/>
                <w:bCs/>
                <w:i w:val="0"/>
                <w:iCs w:val="0"/>
                <w:color w:val="auto"/>
                <w:sz w:val="21"/>
                <w:szCs w:val="21"/>
                <w:highlight w:val="none"/>
                <w:u w:val="single"/>
                <w:lang w:val="en-US" w:eastAsia="zh-CN"/>
              </w:rPr>
            </w:pPr>
            <w:bookmarkStart w:id="12" w:name="TXT_B9F534E1F856422F991CA0A75D8231F6_1"/>
            <w:r>
              <w:rPr>
                <w:rFonts w:hint="eastAsia" w:hAnsi="宋体"/>
                <w:bCs/>
                <w:i w:val="0"/>
                <w:iCs w:val="0"/>
                <w:color w:val="auto"/>
                <w:sz w:val="21"/>
                <w:szCs w:val="21"/>
                <w:highlight w:val="none"/>
                <w:u w:val="single"/>
                <w:lang w:val="en-US" w:eastAsia="zh-CN"/>
              </w:rPr>
              <w:t>本项目推荐综合评分排名第一的投标单位为第一中标候选人，在综合分相同的情况下，推荐报价低者为中标候选人，所有标包可以兼中。</w:t>
            </w:r>
            <w:bookmarkEnd w:id="12"/>
          </w:p>
        </w:tc>
      </w:tr>
    </w:tbl>
    <w:p>
      <w:pPr>
        <w:pStyle w:val="19"/>
        <w:jc w:val="center"/>
        <w:rPr>
          <w:rFonts w:hint="eastAsia" w:ascii="宋体" w:hAnsi="宋体" w:eastAsia="宋体"/>
          <w:i w:val="0"/>
          <w:iCs w:val="0"/>
          <w:color w:val="auto"/>
          <w:sz w:val="21"/>
          <w:szCs w:val="21"/>
          <w:highlight w:val="none"/>
          <w:lang w:val="zh-CN" w:eastAsia="zh-CN"/>
        </w:rPr>
      </w:pPr>
    </w:p>
    <w:p>
      <w:pPr>
        <w:pStyle w:val="19"/>
        <w:jc w:val="center"/>
        <w:rPr>
          <w:rFonts w:hint="eastAsia" w:ascii="宋体" w:hAnsi="宋体" w:eastAsia="宋体"/>
          <w:i w:val="0"/>
          <w:iCs w:val="0"/>
          <w:color w:val="auto"/>
          <w:sz w:val="21"/>
          <w:szCs w:val="21"/>
          <w:highlight w:val="none"/>
          <w:lang w:val="zh-CN" w:eastAsia="zh-CN"/>
        </w:rPr>
      </w:pPr>
    </w:p>
    <w:p>
      <w:pPr>
        <w:spacing w:before="156"/>
        <w:jc w:val="center"/>
        <w:rPr>
          <w:rFonts w:hint="eastAsia" w:ascii="黑体" w:hAnsi="黑体" w:eastAsia="黑体"/>
          <w:b/>
          <w:i w:val="0"/>
          <w:iCs w:val="0"/>
          <w:color w:val="auto"/>
          <w:sz w:val="36"/>
          <w:szCs w:val="36"/>
          <w:highlight w:val="none"/>
          <w:lang w:eastAsia="zh-CN"/>
        </w:rPr>
      </w:pPr>
      <w:r>
        <w:t>南网人才发展中心2025-2026年信息系统维护等8个数字化项目(二次采购)</w:t>
      </w:r>
      <w:r>
        <w:rPr>
          <w:rFonts w:hint="eastAsia" w:ascii="黑体" w:hAnsi="黑体" w:eastAsia="黑体"/>
          <w:b/>
          <w:i w:val="0"/>
          <w:iCs w:val="0"/>
          <w:color w:val="auto"/>
          <w:sz w:val="36"/>
          <w:szCs w:val="36"/>
          <w:highlight w:val="none"/>
          <w:lang w:eastAsia="zh-CN"/>
        </w:rPr>
        <w:t>采购方案</w:t>
      </w:r>
    </w:p>
    <w:p>
      <w:pPr>
        <w:adjustRightInd w:val="0"/>
        <w:snapToGrid w:val="0"/>
        <w:spacing w:before="156" w:line="360" w:lineRule="auto"/>
        <w:ind w:firstLine="560" w:firstLineChars="200"/>
        <w:jc w:val="left"/>
        <w:rPr>
          <w:rFonts w:hint="eastAsia"/>
          <w:i w:val="0"/>
          <w:iCs w:val="0"/>
          <w:color w:val="auto"/>
          <w:sz w:val="28"/>
          <w:szCs w:val="28"/>
          <w:highlight w:val="none"/>
        </w:rPr>
      </w:pPr>
    </w:p>
    <w:p>
      <w:pPr>
        <w:adjustRightInd w:val="0"/>
        <w:snapToGrid w:val="0"/>
        <w:spacing w:before="156" w:line="360" w:lineRule="auto"/>
        <w:ind w:firstLine="560" w:firstLineChars="200"/>
        <w:jc w:val="left"/>
        <w:rPr>
          <w:i w:val="0"/>
          <w:iCs w:val="0"/>
          <w:color w:val="auto"/>
          <w:sz w:val="28"/>
          <w:szCs w:val="28"/>
          <w:highlight w:val="none"/>
        </w:rPr>
      </w:pPr>
      <w:r>
        <w:rPr>
          <w:rFonts w:hint="eastAsia"/>
          <w:i w:val="0"/>
          <w:iCs w:val="0"/>
          <w:color w:val="auto"/>
          <w:sz w:val="28"/>
          <w:szCs w:val="28"/>
          <w:highlight w:val="none"/>
        </w:rPr>
        <w:t>为规范</w:t>
      </w:r>
      <w:bookmarkStart w:id="13" w:name="TXT_09B98C3489C3EB1154979B7B4B28ECF7_4"/>
      <w:r>
        <w:rPr>
          <w:rFonts w:hint="eastAsia"/>
          <w:i w:val="0"/>
          <w:iCs w:val="0"/>
          <w:color w:val="auto"/>
          <w:sz w:val="28"/>
          <w:szCs w:val="32"/>
          <w:highlight w:val="none"/>
          <w:u w:val="single"/>
          <w:lang w:eastAsia="zh-CN"/>
        </w:rPr>
        <w:t>南网人才发展中心2025-2026年信息系统维护等8个数字化项目(二次采购)</w:t>
      </w:r>
      <w:bookmarkEnd w:id="13"/>
      <w:r>
        <w:rPr>
          <w:rFonts w:hint="eastAsia"/>
          <w:i w:val="0"/>
          <w:iCs w:val="0"/>
          <w:color w:val="auto"/>
          <w:sz w:val="28"/>
          <w:szCs w:val="28"/>
          <w:highlight w:val="none"/>
        </w:rPr>
        <w:t>（</w:t>
      </w:r>
      <w:r>
        <w:rPr>
          <w:rFonts w:hint="eastAsia"/>
          <w:i w:val="0"/>
          <w:iCs w:val="0"/>
          <w:color w:val="auto"/>
          <w:sz w:val="28"/>
          <w:szCs w:val="28"/>
          <w:highlight w:val="none"/>
          <w:lang w:eastAsia="zh-CN"/>
        </w:rPr>
        <w:t>采购编号</w:t>
      </w:r>
      <w:r>
        <w:rPr>
          <w:rFonts w:hint="eastAsia"/>
          <w:i w:val="0"/>
          <w:iCs w:val="0"/>
          <w:color w:val="auto"/>
          <w:sz w:val="28"/>
          <w:szCs w:val="28"/>
          <w:highlight w:val="none"/>
        </w:rPr>
        <w:t>：</w:t>
      </w:r>
      <w:bookmarkStart w:id="14" w:name="TXT_190116188AC3EB11B894BDED378877FD_2"/>
      <w:r>
        <w:rPr>
          <w:rFonts w:hint="eastAsia"/>
          <w:i w:val="0"/>
          <w:iCs w:val="0"/>
          <w:color w:val="auto"/>
          <w:sz w:val="28"/>
          <w:szCs w:val="32"/>
          <w:highlight w:val="none"/>
          <w:u w:val="single"/>
          <w:lang w:val="zh-CN" w:eastAsia="zh-CN"/>
        </w:rPr>
        <w:t>CG1600062002118804</w:t>
      </w:r>
      <w:bookmarkEnd w:id="14"/>
      <w:r>
        <w:rPr>
          <w:rFonts w:hint="eastAsia"/>
          <w:i w:val="0"/>
          <w:iCs w:val="0"/>
          <w:color w:val="auto"/>
          <w:sz w:val="28"/>
          <w:szCs w:val="32"/>
          <w:highlight w:val="none"/>
          <w:u w:val="single"/>
          <w:lang w:eastAsia="zh-CN"/>
        </w:rPr>
        <w:t>）</w:t>
      </w:r>
      <w:r>
        <w:rPr>
          <w:rFonts w:hint="eastAsia"/>
          <w:i w:val="0"/>
          <w:iCs w:val="0"/>
          <w:color w:val="auto"/>
          <w:sz w:val="28"/>
          <w:szCs w:val="28"/>
          <w:highlight w:val="none"/>
        </w:rPr>
        <w:t>的</w:t>
      </w:r>
      <w:r>
        <w:rPr>
          <w:rFonts w:hint="eastAsia"/>
          <w:i w:val="0"/>
          <w:iCs w:val="0"/>
          <w:color w:val="auto"/>
          <w:sz w:val="28"/>
          <w:szCs w:val="28"/>
          <w:highlight w:val="none"/>
          <w:lang w:eastAsia="zh-CN"/>
        </w:rPr>
        <w:t>采购</w:t>
      </w:r>
      <w:r>
        <w:rPr>
          <w:rFonts w:hint="eastAsia"/>
          <w:i w:val="0"/>
          <w:iCs w:val="0"/>
          <w:color w:val="auto"/>
          <w:sz w:val="28"/>
          <w:szCs w:val="28"/>
          <w:highlight w:val="none"/>
        </w:rPr>
        <w:t>工作，保证项目如期完成，按照</w:t>
      </w:r>
      <w:r>
        <w:rPr>
          <w:rFonts w:hint="default" w:ascii="Times New Roman" w:hAnsi="Times New Roman" w:cs="Times New Roman"/>
          <w:i w:val="0"/>
          <w:iCs w:val="0"/>
          <w:color w:val="auto"/>
          <w:sz w:val="28"/>
          <w:szCs w:val="28"/>
          <w:highlight w:val="none"/>
        </w:rPr>
        <w:t>《</w:t>
      </w:r>
      <w:r>
        <w:rPr>
          <w:rFonts w:hint="eastAsia" w:ascii="Times New Roman" w:hAnsi="Times New Roman" w:cs="Times New Roman"/>
          <w:i w:val="0"/>
          <w:iCs w:val="0"/>
          <w:color w:val="auto"/>
          <w:sz w:val="28"/>
          <w:szCs w:val="28"/>
          <w:highlight w:val="none"/>
          <w:lang w:eastAsia="zh-CN"/>
        </w:rPr>
        <w:t>中国南方电网有限责任公司非招标采购方式管理细则</w:t>
      </w:r>
      <w:r>
        <w:rPr>
          <w:rFonts w:hint="default" w:ascii="Times New Roman" w:hAnsi="Times New Roman" w:cs="Times New Roman"/>
          <w:i w:val="0"/>
          <w:iCs w:val="0"/>
          <w:color w:val="auto"/>
          <w:sz w:val="28"/>
          <w:szCs w:val="28"/>
          <w:highlight w:val="none"/>
        </w:rPr>
        <w:t>》</w:t>
      </w:r>
      <w:r>
        <w:rPr>
          <w:rFonts w:hint="eastAsia"/>
          <w:i w:val="0"/>
          <w:iCs w:val="0"/>
          <w:color w:val="auto"/>
          <w:sz w:val="28"/>
          <w:szCs w:val="28"/>
          <w:highlight w:val="none"/>
        </w:rPr>
        <w:t>等相关规定，制订本方案。</w:t>
      </w:r>
      <w:bookmarkEnd w:id="0"/>
    </w:p>
    <w:p>
      <w:pPr>
        <w:adjustRightInd w:val="0"/>
        <w:snapToGrid w:val="0"/>
        <w:spacing w:before="156" w:beforeLines="50" w:line="360" w:lineRule="auto"/>
        <w:ind w:firstLine="562" w:firstLineChars="200"/>
        <w:outlineLvl w:val="0"/>
        <w:rPr>
          <w:rFonts w:ascii="Times New Roman" w:hAnsi="Times New Roman"/>
          <w:b/>
          <w:i w:val="0"/>
          <w:iCs w:val="0"/>
          <w:color w:val="auto"/>
          <w:sz w:val="28"/>
          <w:szCs w:val="28"/>
          <w:highlight w:val="none"/>
        </w:rPr>
      </w:pPr>
      <w:bookmarkStart w:id="15" w:name="_Toc349031717"/>
      <w:r>
        <w:rPr>
          <w:rFonts w:hint="eastAsia"/>
          <w:b/>
          <w:i w:val="0"/>
          <w:iCs w:val="0"/>
          <w:color w:val="auto"/>
          <w:sz w:val="28"/>
          <w:szCs w:val="28"/>
          <w:highlight w:val="none"/>
        </w:rPr>
        <w:t>一、项目概况及批复文件</w:t>
      </w:r>
    </w:p>
    <w:p>
      <w:pPr>
        <w:adjustRightInd w:val="0"/>
        <w:snapToGrid w:val="0"/>
        <w:spacing w:line="360" w:lineRule="auto"/>
        <w:ind w:left="565" w:leftChars="269"/>
        <w:outlineLvl w:val="9"/>
        <w:rPr>
          <w:rFonts w:hint="eastAsia"/>
          <w:i w:val="0"/>
          <w:iCs w:val="0"/>
          <w:strike w:val="0"/>
          <w:dstrike w:val="0"/>
          <w:color w:val="auto"/>
          <w:sz w:val="28"/>
          <w:szCs w:val="28"/>
          <w:highlight w:val="none"/>
          <w:u w:val="single"/>
          <w:lang w:eastAsia="zh-CN"/>
        </w:rPr>
      </w:pPr>
      <w:bookmarkStart w:id="16" w:name="_Toc349031716"/>
      <w:r>
        <w:rPr>
          <w:rFonts w:hint="eastAsia" w:ascii="宋体" w:hAnsi="宋体"/>
          <w:i w:val="0"/>
          <w:iCs w:val="0"/>
          <w:color w:val="auto"/>
          <w:sz w:val="28"/>
          <w:szCs w:val="28"/>
          <w:highlight w:val="none"/>
        </w:rPr>
        <w:t>（一）项目概况：</w:t>
      </w:r>
      <w:bookmarkStart w:id="17" w:name="TXT_D1FA34518AC3EB11589121816B70DF77_1"/>
      <w:r>
        <w:rPr>
          <w:rFonts w:hint="eastAsia"/>
          <w:i w:val="0"/>
          <w:iCs w:val="0"/>
          <w:strike w:val="0"/>
          <w:dstrike w:val="0"/>
          <w:color w:val="auto"/>
          <w:sz w:val="28"/>
          <w:szCs w:val="28"/>
          <w:highlight w:val="none"/>
          <w:u w:val="single"/>
          <w:lang w:val="zh-CN" w:eastAsia="zh-CN"/>
        </w:rPr>
        <w:t>本项目采购为南网人才发展中心2025-2026年信息系统维护8个子项目数字化日常运维技术服务项目。详细如下：</w:t>
      </w:r>
    </w:p>
    <w:p>
      <w:pPr>
        <w:adjustRightInd w:val="0"/>
        <w:snapToGrid w:val="0"/>
        <w:spacing w:line="360" w:lineRule="auto"/>
        <w:ind w:left="565" w:leftChars="269"/>
        <w:outlineLvl w:val="9"/>
        <w:rPr>
          <w:rFonts w:hint="eastAsia"/>
          <w:i w:val="0"/>
          <w:iCs w:val="0"/>
          <w:strike w:val="0"/>
          <w:dstrike w:val="0"/>
          <w:color w:val="auto"/>
          <w:sz w:val="28"/>
          <w:szCs w:val="28"/>
          <w:highlight w:val="none"/>
          <w:u w:val="single"/>
          <w:lang w:eastAsia="zh-CN"/>
        </w:rPr>
      </w:pPr>
      <w:r>
        <w:rPr>
          <w:rFonts w:hint="eastAsia"/>
          <w:i w:val="0"/>
          <w:iCs w:val="0"/>
          <w:strike w:val="0"/>
          <w:dstrike w:val="0"/>
          <w:color w:val="auto"/>
          <w:sz w:val="28"/>
          <w:szCs w:val="28"/>
          <w:highlight w:val="none"/>
          <w:u w:val="single"/>
          <w:lang w:val="zh-CN" w:eastAsia="zh-CN"/>
        </w:rPr>
        <w:t>1.2025-2026年综合测评系统技术服务支持</w:t>
      </w:r>
    </w:p>
    <w:p>
      <w:pPr>
        <w:adjustRightInd w:val="0"/>
        <w:snapToGrid w:val="0"/>
        <w:spacing w:line="360" w:lineRule="auto"/>
        <w:ind w:left="565" w:leftChars="269"/>
        <w:outlineLvl w:val="9"/>
        <w:rPr>
          <w:rFonts w:hint="eastAsia"/>
          <w:i w:val="0"/>
          <w:iCs w:val="0"/>
          <w:strike w:val="0"/>
          <w:dstrike w:val="0"/>
          <w:color w:val="auto"/>
          <w:sz w:val="28"/>
          <w:szCs w:val="28"/>
          <w:highlight w:val="none"/>
          <w:u w:val="single"/>
          <w:lang w:eastAsia="zh-CN"/>
        </w:rPr>
      </w:pPr>
      <w:r>
        <w:rPr>
          <w:rFonts w:hint="eastAsia"/>
          <w:i w:val="0"/>
          <w:iCs w:val="0"/>
          <w:strike w:val="0"/>
          <w:dstrike w:val="0"/>
          <w:color w:val="auto"/>
          <w:sz w:val="28"/>
          <w:szCs w:val="28"/>
          <w:highlight w:val="none"/>
          <w:u w:val="single"/>
          <w:lang w:val="zh-CN" w:eastAsia="zh-CN"/>
        </w:rPr>
        <w:t>2.2025-2026年档案数字化整理；</w:t>
      </w:r>
      <w:bookmarkEnd w:id="17"/>
    </w:p>
    <w:p>
      <w:pPr>
        <w:adjustRightInd w:val="0"/>
        <w:snapToGrid w:val="0"/>
        <w:spacing w:line="360" w:lineRule="auto"/>
        <w:ind w:left="565" w:leftChars="269"/>
        <w:outlineLvl w:val="9"/>
        <w:rPr>
          <w:rFonts w:hint="eastAsia"/>
          <w:i w:val="0"/>
          <w:iCs w:val="0"/>
          <w:strike w:val="0"/>
          <w:dstrike w:val="0"/>
          <w:color w:val="auto"/>
          <w:sz w:val="28"/>
          <w:szCs w:val="28"/>
          <w:highlight w:val="none"/>
          <w:u w:val="single"/>
          <w:lang w:eastAsia="zh-CN"/>
        </w:rPr>
      </w:pPr>
      <w:r>
        <w:rPr>
          <w:rFonts w:hint="eastAsia"/>
          <w:i w:val="0"/>
          <w:iCs w:val="0"/>
          <w:strike w:val="0"/>
          <w:dstrike w:val="0"/>
          <w:color w:val="auto"/>
          <w:sz w:val="28"/>
          <w:szCs w:val="28"/>
          <w:highlight w:val="none"/>
          <w:u w:val="none"/>
          <w:lang w:eastAsia="zh-CN"/>
        </w:rPr>
        <w:t>（二）批复文件：</w:t>
      </w:r>
      <w:bookmarkStart w:id="18" w:name="TXT_53B2B963C5B64627A1305DBD21E1E184_1"/>
      <w:r>
        <w:rPr>
          <w:rFonts w:hint="eastAsia"/>
          <w:i w:val="0"/>
          <w:iCs w:val="0"/>
          <w:strike w:val="0"/>
          <w:dstrike w:val="0"/>
          <w:color w:val="auto"/>
          <w:sz w:val="28"/>
          <w:szCs w:val="28"/>
          <w:highlight w:val="none"/>
          <w:u w:val="single"/>
          <w:lang w:eastAsia="zh-CN"/>
        </w:rPr>
        <w:t>已批复</w:t>
      </w:r>
      <w:bookmarkEnd w:id="18"/>
    </w:p>
    <w:p>
      <w:pPr>
        <w:adjustRightInd w:val="0"/>
        <w:snapToGrid w:val="0"/>
        <w:spacing w:line="360" w:lineRule="auto"/>
        <w:ind w:left="565" w:leftChars="269"/>
        <w:outlineLvl w:val="9"/>
        <w:rPr>
          <w:rFonts w:hint="eastAsia" w:eastAsiaTheme="minorEastAsia"/>
          <w:i w:val="0"/>
          <w:iCs w:val="0"/>
          <w:strike w:val="0"/>
          <w:dstrike w:val="0"/>
          <w:color w:val="auto"/>
          <w:sz w:val="28"/>
          <w:szCs w:val="28"/>
          <w:highlight w:val="none"/>
          <w:u w:val="single"/>
          <w:lang w:eastAsia="zh-CN"/>
        </w:rPr>
      </w:pPr>
      <w:r>
        <w:rPr>
          <w:rFonts w:hint="eastAsia" w:ascii="宋体" w:hAnsi="宋体"/>
          <w:i w:val="0"/>
          <w:iCs w:val="0"/>
          <w:strike w:val="0"/>
          <w:dstrike w:val="0"/>
          <w:color w:val="auto"/>
          <w:sz w:val="28"/>
          <w:szCs w:val="28"/>
          <w:highlight w:val="none"/>
        </w:rPr>
        <w:t>（三）资金落实</w:t>
      </w:r>
      <w:r>
        <w:rPr>
          <w:rFonts w:ascii="宋体" w:hAnsi="宋体"/>
          <w:i w:val="0"/>
          <w:iCs w:val="0"/>
          <w:strike w:val="0"/>
          <w:dstrike w:val="0"/>
          <w:color w:val="auto"/>
          <w:sz w:val="28"/>
          <w:szCs w:val="28"/>
          <w:highlight w:val="none"/>
        </w:rPr>
        <w:t>情况</w:t>
      </w:r>
      <w:r>
        <w:rPr>
          <w:rFonts w:hint="eastAsia" w:ascii="宋体" w:hAnsi="宋体"/>
          <w:i w:val="0"/>
          <w:iCs w:val="0"/>
          <w:strike w:val="0"/>
          <w:dstrike w:val="0"/>
          <w:color w:val="auto"/>
          <w:sz w:val="28"/>
          <w:szCs w:val="28"/>
          <w:highlight w:val="none"/>
        </w:rPr>
        <w:t>：</w:t>
      </w:r>
      <w:bookmarkStart w:id="19" w:name="TXT_E67D715B8AC3EB1115B4BF5A20A9BB7F_1"/>
      <w:r>
        <w:rPr>
          <w:rFonts w:hint="eastAsia"/>
          <w:i w:val="0"/>
          <w:iCs w:val="0"/>
          <w:strike w:val="0"/>
          <w:dstrike w:val="0"/>
          <w:color w:val="auto"/>
          <w:sz w:val="28"/>
          <w:szCs w:val="28"/>
          <w:highlight w:val="none"/>
          <w:u w:val="single"/>
          <w:lang w:eastAsia="zh-CN"/>
        </w:rPr>
        <w:t>已落实</w:t>
      </w:r>
      <w:bookmarkEnd w:id="19"/>
    </w:p>
    <w:p>
      <w:pPr>
        <w:adjustRightInd w:val="0"/>
        <w:snapToGrid w:val="0"/>
        <w:spacing w:line="360" w:lineRule="auto"/>
        <w:ind w:left="565" w:leftChars="269"/>
        <w:outlineLvl w:val="9"/>
        <w:rPr>
          <w:rFonts w:hint="eastAsia" w:ascii="宋体" w:hAnsi="宋体"/>
          <w:i w:val="0"/>
          <w:iCs w:val="0"/>
          <w:strike w:val="0"/>
          <w:dstrike w:val="0"/>
          <w:color w:val="auto"/>
          <w:sz w:val="28"/>
          <w:szCs w:val="28"/>
          <w:highlight w:val="none"/>
        </w:rPr>
      </w:pPr>
      <w:r>
        <w:rPr>
          <w:rFonts w:hint="eastAsia" w:ascii="宋体" w:hAnsi="宋体"/>
          <w:i w:val="0"/>
          <w:iCs w:val="0"/>
          <w:strike w:val="0"/>
          <w:dstrike w:val="0"/>
          <w:color w:val="auto"/>
          <w:sz w:val="28"/>
          <w:szCs w:val="28"/>
          <w:highlight w:val="none"/>
        </w:rPr>
        <w:t>（四）预计采购总金额：人民币</w:t>
      </w:r>
      <w:bookmarkStart w:id="20" w:name="TXT_DC12BBCA8AC3EB115B81E048AC34FFBF_2"/>
      <w:r>
        <w:rPr>
          <w:rFonts w:hint="eastAsia"/>
          <w:i w:val="0"/>
          <w:iCs w:val="0"/>
          <w:strike w:val="0"/>
          <w:dstrike w:val="0"/>
          <w:color w:val="auto"/>
          <w:sz w:val="28"/>
          <w:szCs w:val="28"/>
          <w:highlight w:val="none"/>
          <w:u w:val="single"/>
          <w:lang w:eastAsia="zh-CN"/>
        </w:rPr>
        <w:t>50.</w:t>
      </w:r>
      <w:bookmarkEnd w:id="20"/>
      <w:r>
        <w:rPr>
          <w:rFonts w:hint="eastAsia"/>
          <w:i w:val="0"/>
          <w:iCs w:val="0"/>
          <w:strike w:val="0"/>
          <w:dstrike w:val="0"/>
          <w:color w:val="auto"/>
          <w:sz w:val="28"/>
          <w:szCs w:val="28"/>
          <w:highlight w:val="none"/>
          <w:u w:val="single"/>
          <w:lang w:val="en-US" w:eastAsia="zh-CN"/>
        </w:rPr>
        <w:t>9</w:t>
      </w:r>
      <w:r>
        <w:rPr>
          <w:rFonts w:hint="eastAsia" w:ascii="宋体" w:hAnsi="宋体"/>
          <w:i w:val="0"/>
          <w:iCs w:val="0"/>
          <w:strike w:val="0"/>
          <w:dstrike w:val="0"/>
          <w:color w:val="auto"/>
          <w:sz w:val="28"/>
          <w:szCs w:val="28"/>
          <w:highlight w:val="none"/>
        </w:rPr>
        <w:t>万元。</w:t>
      </w:r>
    </w:p>
    <w:p>
      <w:pPr>
        <w:adjustRightInd w:val="0"/>
        <w:snapToGrid w:val="0"/>
        <w:spacing w:line="360" w:lineRule="auto"/>
        <w:ind w:firstLine="560" w:firstLineChars="200"/>
        <w:outlineLvl w:val="9"/>
        <w:rPr>
          <w:rFonts w:hint="eastAsia"/>
          <w:i w:val="0"/>
          <w:iCs w:val="0"/>
          <w:strike w:val="0"/>
          <w:dstrike w:val="0"/>
          <w:color w:val="auto"/>
          <w:sz w:val="28"/>
          <w:szCs w:val="28"/>
          <w:highlight w:val="none"/>
        </w:rPr>
      </w:pPr>
      <w:r>
        <w:rPr>
          <w:rFonts w:hint="eastAsia" w:ascii="宋体" w:hAnsi="宋体"/>
          <w:i w:val="0"/>
          <w:iCs w:val="0"/>
          <w:strike w:val="0"/>
          <w:dstrike w:val="0"/>
          <w:color w:val="auto"/>
          <w:sz w:val="28"/>
          <w:szCs w:val="28"/>
          <w:highlight w:val="none"/>
        </w:rPr>
        <w:t>（五）</w:t>
      </w:r>
      <w:r>
        <w:rPr>
          <w:rFonts w:hint="eastAsia" w:asciiTheme="minorEastAsia" w:hAnsiTheme="minorEastAsia" w:eastAsiaTheme="minorEastAsia" w:cstheme="minorEastAsia"/>
          <w:i w:val="0"/>
          <w:iCs w:val="0"/>
          <w:color w:val="auto"/>
          <w:sz w:val="28"/>
          <w:szCs w:val="28"/>
          <w:highlight w:val="none"/>
          <w:u w:val="none"/>
          <w:lang w:val="en-US" w:eastAsia="zh-CN"/>
        </w:rPr>
        <w:t>是否设置最高限价</w:t>
      </w:r>
      <w:r>
        <w:rPr>
          <w:rFonts w:hint="eastAsia"/>
          <w:i w:val="0"/>
          <w:iCs w:val="0"/>
          <w:strike w:val="0"/>
          <w:dstrike w:val="0"/>
          <w:color w:val="auto"/>
          <w:sz w:val="28"/>
          <w:szCs w:val="28"/>
          <w:highlight w:val="none"/>
        </w:rPr>
        <w:t>：</w:t>
      </w:r>
      <w:bookmarkStart w:id="21" w:name="TXT_FCEA1CA6EB354CE3AD6998737F05D444_2"/>
      <w:r>
        <w:rPr>
          <w:rFonts w:hint="eastAsia"/>
          <w:i w:val="0"/>
          <w:iCs w:val="0"/>
          <w:strike w:val="0"/>
          <w:dstrike w:val="0"/>
          <w:color w:val="auto"/>
          <w:sz w:val="28"/>
          <w:szCs w:val="28"/>
          <w:highlight w:val="none"/>
          <w:u w:val="single"/>
          <w:lang w:val="en-US" w:eastAsia="zh-CN"/>
        </w:rPr>
        <w:t>是</w:t>
      </w:r>
      <w:bookmarkEnd w:id="21"/>
      <w:r>
        <w:rPr>
          <w:rFonts w:hint="eastAsia"/>
          <w:i w:val="0"/>
          <w:iCs w:val="0"/>
          <w:strike w:val="0"/>
          <w:dstrike w:val="0"/>
          <w:color w:val="auto"/>
          <w:sz w:val="28"/>
          <w:szCs w:val="28"/>
          <w:highlight w:val="none"/>
        </w:rPr>
        <w:t>，</w:t>
      </w:r>
      <w:r>
        <w:rPr>
          <w:i w:val="0"/>
          <w:iCs w:val="0"/>
          <w:strike w:val="0"/>
          <w:dstrike w:val="0"/>
          <w:color w:val="auto"/>
          <w:sz w:val="28"/>
          <w:szCs w:val="28"/>
          <w:highlight w:val="none"/>
        </w:rPr>
        <w:t>详见附件1</w:t>
      </w:r>
      <w:r>
        <w:rPr>
          <w:rFonts w:hint="eastAsia"/>
          <w:i w:val="0"/>
          <w:iCs w:val="0"/>
          <w:strike w:val="0"/>
          <w:dstrike w:val="0"/>
          <w:color w:val="auto"/>
          <w:sz w:val="28"/>
          <w:szCs w:val="28"/>
          <w:highlight w:val="none"/>
        </w:rPr>
        <w:t>。</w:t>
      </w:r>
    </w:p>
    <w:p>
      <w:pPr>
        <w:adjustRightInd w:val="0"/>
        <w:snapToGrid w:val="0"/>
        <w:spacing w:line="360" w:lineRule="auto"/>
        <w:ind w:firstLine="560" w:firstLineChars="200"/>
        <w:outlineLvl w:val="9"/>
        <w:rPr>
          <w:rFonts w:hint="default" w:ascii="Times New Roman" w:hAnsi="Times New Roman" w:cs="Times New Roman"/>
          <w:i w:val="0"/>
          <w:iCs w:val="0"/>
          <w:strike w:val="0"/>
          <w:color w:val="auto"/>
          <w:sz w:val="28"/>
          <w:szCs w:val="28"/>
          <w:highlight w:val="none"/>
          <w:u w:val="single"/>
        </w:rPr>
      </w:pPr>
      <w:r>
        <w:rPr>
          <w:rFonts w:hint="eastAsia" w:ascii="宋体" w:hAnsi="宋体"/>
          <w:i w:val="0"/>
          <w:iCs w:val="0"/>
          <w:strike w:val="0"/>
          <w:dstrike w:val="0"/>
          <w:color w:val="auto"/>
          <w:sz w:val="28"/>
          <w:szCs w:val="28"/>
          <w:highlight w:val="none"/>
        </w:rPr>
        <w:t>（</w:t>
      </w:r>
      <w:r>
        <w:rPr>
          <w:rFonts w:hint="eastAsia" w:ascii="宋体" w:hAnsi="宋体"/>
          <w:i w:val="0"/>
          <w:iCs w:val="0"/>
          <w:strike w:val="0"/>
          <w:dstrike w:val="0"/>
          <w:color w:val="auto"/>
          <w:sz w:val="28"/>
          <w:szCs w:val="28"/>
          <w:highlight w:val="none"/>
          <w:lang w:val="en-US" w:eastAsia="zh-CN"/>
        </w:rPr>
        <w:t>六</w:t>
      </w:r>
      <w:r>
        <w:rPr>
          <w:rFonts w:hint="eastAsia" w:ascii="宋体" w:hAnsi="宋体"/>
          <w:i w:val="0"/>
          <w:iCs w:val="0"/>
          <w:strike w:val="0"/>
          <w:dstrike w:val="0"/>
          <w:color w:val="auto"/>
          <w:sz w:val="28"/>
          <w:szCs w:val="28"/>
          <w:highlight w:val="none"/>
        </w:rPr>
        <w:t>）</w:t>
      </w:r>
      <w:r>
        <w:rPr>
          <w:rFonts w:hint="eastAsia" w:ascii="宋体" w:hAnsi="宋体"/>
          <w:i w:val="0"/>
          <w:iCs w:val="0"/>
          <w:strike w:val="0"/>
          <w:dstrike w:val="0"/>
          <w:color w:val="auto"/>
          <w:sz w:val="28"/>
          <w:szCs w:val="28"/>
          <w:highlight w:val="none"/>
          <w:lang w:val="en-US" w:eastAsia="zh-CN"/>
        </w:rPr>
        <w:t>涉密情况审查：</w:t>
      </w:r>
      <w:r>
        <w:rPr>
          <w:rFonts w:hint="default" w:ascii="Times New Roman" w:hAnsi="Times New Roman" w:cs="Times New Roman"/>
          <w:i w:val="0"/>
          <w:iCs w:val="0"/>
          <w:strike w:val="0"/>
          <w:color w:val="auto"/>
          <w:sz w:val="28"/>
          <w:szCs w:val="28"/>
          <w:highlight w:val="none"/>
          <w:u w:val="single"/>
        </w:rPr>
        <w:t>本项目采购不涉及国家秘密</w:t>
      </w:r>
      <w:r>
        <w:rPr>
          <w:rFonts w:hint="eastAsia" w:ascii="Times New Roman" w:hAnsi="Times New Roman" w:cs="Times New Roman"/>
          <w:i w:val="0"/>
          <w:iCs w:val="0"/>
          <w:strike w:val="0"/>
          <w:color w:val="auto"/>
          <w:sz w:val="28"/>
          <w:szCs w:val="28"/>
          <w:highlight w:val="none"/>
          <w:u w:val="single"/>
          <w:lang w:val="en-US" w:eastAsia="zh-CN"/>
        </w:rPr>
        <w:t>、</w:t>
      </w:r>
      <w:r>
        <w:rPr>
          <w:rFonts w:hint="default" w:ascii="Times New Roman" w:hAnsi="Times New Roman" w:cs="Times New Roman"/>
          <w:i w:val="0"/>
          <w:iCs w:val="0"/>
          <w:strike w:val="0"/>
          <w:color w:val="auto"/>
          <w:sz w:val="28"/>
          <w:szCs w:val="28"/>
          <w:highlight w:val="none"/>
          <w:u w:val="single"/>
        </w:rPr>
        <w:t>公司秘密</w:t>
      </w:r>
      <w:r>
        <w:rPr>
          <w:rFonts w:hint="eastAsia" w:ascii="Times New Roman" w:hAnsi="Times New Roman" w:cs="Times New Roman"/>
          <w:i w:val="0"/>
          <w:iCs w:val="0"/>
          <w:strike w:val="0"/>
          <w:color w:val="auto"/>
          <w:sz w:val="28"/>
          <w:szCs w:val="28"/>
          <w:highlight w:val="none"/>
          <w:u w:val="single"/>
          <w:lang w:val="en-US" w:eastAsia="zh-CN"/>
        </w:rPr>
        <w:t>或员工</w:t>
      </w:r>
      <w:r>
        <w:rPr>
          <w:rFonts w:hint="default" w:ascii="Times New Roman" w:hAnsi="Times New Roman" w:cs="Times New Roman"/>
          <w:i w:val="0"/>
          <w:iCs w:val="0"/>
          <w:strike w:val="0"/>
          <w:color w:val="auto"/>
          <w:sz w:val="28"/>
          <w:szCs w:val="28"/>
          <w:highlight w:val="none"/>
          <w:u w:val="single"/>
        </w:rPr>
        <w:t>个人隐私，根据国家法律法规及公司制度有关要求，在</w:t>
      </w:r>
      <w:r>
        <w:rPr>
          <w:rFonts w:hint="eastAsia" w:ascii="Times New Roman" w:hAnsi="Times New Roman" w:cs="Times New Roman"/>
          <w:i w:val="0"/>
          <w:iCs w:val="0"/>
          <w:strike w:val="0"/>
          <w:color w:val="auto"/>
          <w:sz w:val="28"/>
          <w:szCs w:val="28"/>
          <w:highlight w:val="none"/>
          <w:u w:val="single"/>
          <w:lang w:val="en-US" w:eastAsia="zh-CN"/>
        </w:rPr>
        <w:t>南方电网</w:t>
      </w:r>
      <w:r>
        <w:rPr>
          <w:rFonts w:hint="default" w:ascii="Times New Roman" w:hAnsi="Times New Roman" w:cs="Times New Roman"/>
          <w:i w:val="0"/>
          <w:iCs w:val="0"/>
          <w:strike w:val="0"/>
          <w:color w:val="auto"/>
          <w:sz w:val="28"/>
          <w:szCs w:val="28"/>
          <w:highlight w:val="none"/>
          <w:u w:val="single"/>
        </w:rPr>
        <w:t>供应链统一服务平台上发布采购公告</w:t>
      </w:r>
      <w:r>
        <w:rPr>
          <w:rFonts w:hint="eastAsia" w:ascii="Times New Roman" w:hAnsi="Times New Roman" w:cs="Times New Roman"/>
          <w:i w:val="0"/>
          <w:iCs w:val="0"/>
          <w:strike w:val="0"/>
          <w:color w:val="auto"/>
          <w:sz w:val="28"/>
          <w:szCs w:val="28"/>
          <w:highlight w:val="none"/>
          <w:u w:val="single"/>
          <w:lang w:val="en-US" w:eastAsia="zh-CN"/>
        </w:rPr>
        <w:t>信息</w:t>
      </w:r>
      <w:r>
        <w:rPr>
          <w:rFonts w:hint="default" w:ascii="Times New Roman" w:hAnsi="Times New Roman" w:cs="Times New Roman"/>
          <w:i w:val="0"/>
          <w:iCs w:val="0"/>
          <w:strike w:val="0"/>
          <w:color w:val="auto"/>
          <w:sz w:val="28"/>
          <w:szCs w:val="28"/>
          <w:highlight w:val="none"/>
          <w:u w:val="single"/>
        </w:rPr>
        <w:t>。</w:t>
      </w:r>
    </w:p>
    <w:p>
      <w:pPr>
        <w:adjustRightInd w:val="0"/>
        <w:snapToGrid w:val="0"/>
        <w:spacing w:line="360" w:lineRule="auto"/>
        <w:ind w:firstLine="560" w:firstLineChars="200"/>
        <w:outlineLvl w:val="9"/>
        <w:rPr>
          <w:rFonts w:hint="eastAsia" w:ascii="Times New Roman" w:hAnsi="Times New Roman" w:cs="Times New Roman"/>
          <w:i w:val="0"/>
          <w:iCs w:val="0"/>
          <w:strike w:val="0"/>
          <w:color w:val="auto"/>
          <w:sz w:val="28"/>
          <w:szCs w:val="28"/>
          <w:highlight w:val="none"/>
          <w:u w:val="single"/>
          <w:lang w:val="en-US" w:eastAsia="zh-CN"/>
        </w:rPr>
      </w:pPr>
      <w:r>
        <w:rPr>
          <w:rFonts w:hint="eastAsia" w:ascii="宋体" w:hAnsi="宋体"/>
          <w:i w:val="0"/>
          <w:iCs w:val="0"/>
          <w:strike w:val="0"/>
          <w:dstrike w:val="0"/>
          <w:color w:val="auto"/>
          <w:sz w:val="28"/>
          <w:szCs w:val="28"/>
          <w:highlight w:val="none"/>
        </w:rPr>
        <w:t>（</w:t>
      </w:r>
      <w:r>
        <w:rPr>
          <w:rFonts w:hint="eastAsia" w:ascii="宋体" w:hAnsi="宋体"/>
          <w:i w:val="0"/>
          <w:iCs w:val="0"/>
          <w:strike w:val="0"/>
          <w:dstrike w:val="0"/>
          <w:color w:val="auto"/>
          <w:sz w:val="28"/>
          <w:szCs w:val="28"/>
          <w:highlight w:val="none"/>
          <w:lang w:val="en-US" w:eastAsia="zh-CN"/>
        </w:rPr>
        <w:t>七</w:t>
      </w:r>
      <w:r>
        <w:rPr>
          <w:rFonts w:hint="eastAsia" w:ascii="宋体" w:hAnsi="宋体"/>
          <w:i w:val="0"/>
          <w:iCs w:val="0"/>
          <w:strike w:val="0"/>
          <w:dstrike w:val="0"/>
          <w:color w:val="auto"/>
          <w:sz w:val="28"/>
          <w:szCs w:val="28"/>
          <w:highlight w:val="none"/>
        </w:rPr>
        <w:t>）</w:t>
      </w:r>
      <w:r>
        <w:rPr>
          <w:rFonts w:hint="eastAsia" w:ascii="宋体" w:hAnsi="宋体"/>
          <w:i w:val="0"/>
          <w:iCs w:val="0"/>
          <w:strike w:val="0"/>
          <w:dstrike w:val="0"/>
          <w:color w:val="auto"/>
          <w:sz w:val="28"/>
          <w:szCs w:val="28"/>
          <w:highlight w:val="none"/>
          <w:lang w:val="en-US" w:eastAsia="zh-CN"/>
        </w:rPr>
        <w:t>公开内容：</w:t>
      </w:r>
      <w:r>
        <w:rPr>
          <w:rFonts w:hint="eastAsia" w:ascii="Times New Roman" w:hAnsi="Times New Roman" w:cs="Times New Roman"/>
          <w:i w:val="0"/>
          <w:iCs w:val="0"/>
          <w:strike w:val="0"/>
          <w:color w:val="auto"/>
          <w:sz w:val="28"/>
          <w:szCs w:val="28"/>
          <w:highlight w:val="none"/>
          <w:u w:val="single"/>
          <w:lang w:val="en-US" w:eastAsia="zh-CN"/>
        </w:rPr>
        <w:t>项目概况、招标范围及标的清单、技术文件、合同、资格条件、评审办法、推荐原则、成交结果等信息可对外公开。</w:t>
      </w:r>
    </w:p>
    <w:p>
      <w:pPr>
        <w:adjustRightInd w:val="0"/>
        <w:snapToGrid w:val="0"/>
        <w:spacing w:before="156" w:beforeLines="50" w:line="360" w:lineRule="auto"/>
        <w:ind w:firstLine="562" w:firstLineChars="200"/>
        <w:outlineLvl w:val="0"/>
        <w:rPr>
          <w:b/>
          <w:i w:val="0"/>
          <w:iCs w:val="0"/>
          <w:color w:val="000000"/>
          <w:sz w:val="28"/>
          <w:szCs w:val="28"/>
        </w:rPr>
      </w:pPr>
      <w:r>
        <w:rPr>
          <w:rFonts w:hint="eastAsia"/>
          <w:b/>
          <w:i w:val="0"/>
          <w:iCs w:val="0"/>
          <w:color w:val="000000"/>
          <w:sz w:val="28"/>
          <w:szCs w:val="28"/>
        </w:rPr>
        <w:t>二、</w:t>
      </w:r>
      <w:bookmarkEnd w:id="16"/>
      <w:r>
        <w:rPr>
          <w:rFonts w:hint="eastAsia"/>
          <w:b/>
          <w:i w:val="0"/>
          <w:iCs w:val="0"/>
          <w:color w:val="000000"/>
          <w:sz w:val="28"/>
          <w:szCs w:val="28"/>
          <w:lang w:eastAsia="zh-CN"/>
        </w:rPr>
        <w:t>采购范围</w:t>
      </w:r>
      <w:r>
        <w:rPr>
          <w:rFonts w:hint="eastAsia"/>
          <w:b/>
          <w:i w:val="0"/>
          <w:iCs w:val="0"/>
          <w:color w:val="000000"/>
          <w:sz w:val="28"/>
          <w:szCs w:val="28"/>
        </w:rPr>
        <w:t>及标的清单</w:t>
      </w:r>
    </w:p>
    <w:p>
      <w:pPr>
        <w:adjustRightInd w:val="0"/>
        <w:snapToGrid w:val="0"/>
        <w:spacing w:line="360" w:lineRule="auto"/>
        <w:ind w:firstLine="560" w:firstLineChars="200"/>
        <w:jc w:val="left"/>
        <w:rPr>
          <w:rFonts w:hint="eastAsia"/>
          <w:i w:val="0"/>
          <w:iCs w:val="0"/>
          <w:color w:val="000000"/>
          <w:sz w:val="28"/>
          <w:szCs w:val="28"/>
        </w:rPr>
      </w:pPr>
      <w:r>
        <w:rPr>
          <w:rFonts w:hint="eastAsia"/>
          <w:i w:val="0"/>
          <w:iCs w:val="0"/>
          <w:color w:val="000000"/>
          <w:sz w:val="28"/>
          <w:szCs w:val="28"/>
        </w:rPr>
        <w:t>项目采购范围及标的清单见附件1。</w:t>
      </w:r>
    </w:p>
    <w:p>
      <w:pPr>
        <w:adjustRightInd w:val="0"/>
        <w:snapToGrid w:val="0"/>
        <w:spacing w:before="156" w:beforeLines="50" w:line="360" w:lineRule="auto"/>
        <w:ind w:firstLine="562" w:firstLineChars="200"/>
        <w:outlineLvl w:val="0"/>
        <w:rPr>
          <w:rFonts w:hint="eastAsia" w:ascii="Times New Roman" w:hAnsi="Times New Roman" w:eastAsia="宋体"/>
          <w:b/>
          <w:i w:val="0"/>
          <w:iCs w:val="0"/>
          <w:color w:val="000000"/>
          <w:sz w:val="28"/>
          <w:szCs w:val="28"/>
          <w:lang w:val="en-US" w:eastAsia="zh-CN"/>
        </w:rPr>
      </w:pPr>
      <w:r>
        <w:rPr>
          <w:rFonts w:hint="eastAsia"/>
          <w:b/>
          <w:i w:val="0"/>
          <w:iCs w:val="0"/>
          <w:color w:val="000000"/>
          <w:sz w:val="28"/>
          <w:szCs w:val="28"/>
        </w:rPr>
        <w:t>三、</w:t>
      </w:r>
      <w:bookmarkEnd w:id="15"/>
      <w:r>
        <w:rPr>
          <w:rFonts w:hint="eastAsia"/>
          <w:b/>
          <w:i w:val="0"/>
          <w:iCs w:val="0"/>
          <w:color w:val="000000"/>
          <w:sz w:val="28"/>
          <w:szCs w:val="28"/>
          <w:lang w:eastAsia="zh-CN"/>
        </w:rPr>
        <w:t>采购方式</w:t>
      </w:r>
    </w:p>
    <w:p>
      <w:pPr>
        <w:adjustRightInd w:val="0"/>
        <w:snapToGrid w:val="0"/>
        <w:spacing w:before="50" w:line="360" w:lineRule="auto"/>
        <w:ind w:firstLine="560" w:firstLineChars="200"/>
        <w:outlineLvl w:val="9"/>
        <w:rPr>
          <w:rFonts w:ascii="宋体" w:hAnsi="宋体"/>
          <w:i w:val="0"/>
          <w:iCs w:val="0"/>
          <w:color w:val="000000"/>
          <w:sz w:val="28"/>
          <w:szCs w:val="28"/>
        </w:rPr>
      </w:pPr>
      <w:r>
        <w:rPr>
          <w:rFonts w:hint="eastAsia" w:ascii="宋体" w:hAnsi="宋体"/>
          <w:i w:val="0"/>
          <w:iCs w:val="0"/>
          <w:color w:val="000000"/>
          <w:sz w:val="28"/>
          <w:szCs w:val="28"/>
        </w:rPr>
        <w:t>（一）</w:t>
      </w:r>
      <w:r>
        <w:rPr>
          <w:rFonts w:hint="eastAsia" w:ascii="宋体" w:hAnsi="宋体"/>
          <w:i w:val="0"/>
          <w:iCs w:val="0"/>
          <w:color w:val="000000"/>
          <w:sz w:val="28"/>
          <w:szCs w:val="28"/>
          <w:lang w:eastAsia="zh-CN"/>
        </w:rPr>
        <w:t>采购方式</w:t>
      </w:r>
      <w:r>
        <w:rPr>
          <w:rFonts w:hint="eastAsia" w:ascii="宋体" w:hAnsi="宋体"/>
          <w:i w:val="0"/>
          <w:iCs w:val="0"/>
          <w:color w:val="000000"/>
          <w:sz w:val="28"/>
          <w:szCs w:val="28"/>
        </w:rPr>
        <w:t>：</w:t>
      </w:r>
      <w:r>
        <w:rPr>
          <w:rFonts w:hint="eastAsia" w:ascii="宋体" w:hAnsi="宋体"/>
          <w:i w:val="0"/>
          <w:iCs w:val="0"/>
          <w:color w:val="000000"/>
          <w:sz w:val="28"/>
          <w:szCs w:val="28"/>
          <w:u w:val="single"/>
        </w:rPr>
        <w:t>公开</w:t>
      </w:r>
      <w:r>
        <w:rPr>
          <w:rFonts w:hint="eastAsia" w:ascii="宋体" w:hAnsi="宋体"/>
          <w:i w:val="0"/>
          <w:iCs w:val="0"/>
          <w:color w:val="000000"/>
          <w:sz w:val="28"/>
          <w:szCs w:val="28"/>
          <w:u w:val="single"/>
          <w:lang w:val="en-US" w:eastAsia="zh-CN"/>
        </w:rPr>
        <w:t>谈判采购</w:t>
      </w:r>
      <w:r>
        <w:rPr>
          <w:rFonts w:hint="eastAsia"/>
          <w:i w:val="0"/>
          <w:iCs w:val="0"/>
          <w:color w:val="000000"/>
          <w:sz w:val="28"/>
          <w:szCs w:val="28"/>
        </w:rPr>
        <w:t>。</w:t>
      </w:r>
    </w:p>
    <w:p>
      <w:pPr>
        <w:adjustRightInd w:val="0"/>
        <w:snapToGrid w:val="0"/>
        <w:spacing w:before="50" w:line="360" w:lineRule="auto"/>
        <w:ind w:firstLine="560" w:firstLineChars="200"/>
        <w:outlineLvl w:val="9"/>
        <w:rPr>
          <w:rFonts w:ascii="宋体" w:hAnsi="宋体"/>
          <w:i w:val="0"/>
          <w:iCs w:val="0"/>
          <w:color w:val="000000"/>
          <w:sz w:val="28"/>
          <w:szCs w:val="28"/>
        </w:rPr>
      </w:pPr>
      <w:r>
        <w:rPr>
          <w:rFonts w:hint="eastAsia" w:ascii="宋体" w:hAnsi="宋体"/>
          <w:i w:val="0"/>
          <w:iCs w:val="0"/>
          <w:color w:val="000000"/>
          <w:sz w:val="28"/>
          <w:szCs w:val="28"/>
        </w:rPr>
        <w:t>（</w:t>
      </w:r>
      <w:r>
        <w:rPr>
          <w:rFonts w:hint="eastAsia" w:ascii="宋体" w:hAnsi="宋体"/>
          <w:i w:val="0"/>
          <w:iCs w:val="0"/>
          <w:color w:val="000000"/>
          <w:sz w:val="28"/>
          <w:szCs w:val="28"/>
          <w:lang w:val="en-US" w:eastAsia="zh-CN"/>
        </w:rPr>
        <w:t>二</w:t>
      </w:r>
      <w:r>
        <w:rPr>
          <w:rFonts w:hint="eastAsia" w:ascii="宋体" w:hAnsi="宋体"/>
          <w:i w:val="0"/>
          <w:iCs w:val="0"/>
          <w:color w:val="000000"/>
          <w:sz w:val="28"/>
          <w:szCs w:val="28"/>
        </w:rPr>
        <w:t>）资格审查方式：</w:t>
      </w:r>
      <w:bookmarkStart w:id="22" w:name="TXT_57C6A6458AC3EB11999CB85F0290FDFD_1"/>
      <w:r>
        <w:rPr>
          <w:rFonts w:hint="eastAsia" w:ascii="宋体" w:hAnsi="宋体"/>
          <w:i w:val="0"/>
          <w:iCs w:val="0"/>
          <w:color w:val="000000"/>
          <w:sz w:val="28"/>
          <w:szCs w:val="28"/>
          <w:u w:val="single"/>
          <w:lang w:eastAsia="zh-CN"/>
        </w:rPr>
        <w:t>资格后审</w:t>
      </w:r>
      <w:bookmarkEnd w:id="22"/>
      <w:r>
        <w:rPr>
          <w:rFonts w:hint="eastAsia"/>
          <w:i w:val="0"/>
          <w:iCs w:val="0"/>
          <w:color w:val="000000"/>
          <w:sz w:val="28"/>
          <w:szCs w:val="28"/>
        </w:rPr>
        <w:t>。</w:t>
      </w:r>
    </w:p>
    <w:p>
      <w:pPr>
        <w:adjustRightInd w:val="0"/>
        <w:snapToGrid w:val="0"/>
        <w:spacing w:before="50" w:line="360" w:lineRule="auto"/>
        <w:ind w:firstLine="560" w:firstLineChars="200"/>
        <w:outlineLvl w:val="9"/>
        <w:rPr>
          <w:rFonts w:hint="eastAsia" w:ascii="宋体" w:hAnsi="宋体"/>
          <w:i w:val="0"/>
          <w:iCs w:val="0"/>
          <w:color w:val="auto"/>
          <w:sz w:val="28"/>
          <w:szCs w:val="28"/>
          <w:highlight w:val="none"/>
        </w:rPr>
      </w:pPr>
      <w:r>
        <w:rPr>
          <w:rFonts w:hint="eastAsia" w:ascii="宋体" w:hAnsi="宋体"/>
          <w:i w:val="0"/>
          <w:iCs w:val="0"/>
          <w:color w:val="000000"/>
          <w:sz w:val="28"/>
          <w:szCs w:val="28"/>
        </w:rPr>
        <w:t>（</w:t>
      </w:r>
      <w:r>
        <w:rPr>
          <w:rFonts w:hint="eastAsia" w:ascii="宋体" w:hAnsi="宋体"/>
          <w:i w:val="0"/>
          <w:iCs w:val="0"/>
          <w:color w:val="000000"/>
          <w:sz w:val="28"/>
          <w:szCs w:val="28"/>
          <w:lang w:val="en-US" w:eastAsia="zh-CN"/>
        </w:rPr>
        <w:t>三</w:t>
      </w:r>
      <w:r>
        <w:rPr>
          <w:rFonts w:hint="eastAsia" w:ascii="宋体" w:hAnsi="宋体"/>
          <w:i w:val="0"/>
          <w:iCs w:val="0"/>
          <w:color w:val="000000"/>
          <w:sz w:val="28"/>
          <w:szCs w:val="28"/>
        </w:rPr>
        <w:t>）</w:t>
      </w:r>
      <w:r>
        <w:rPr>
          <w:rFonts w:hint="eastAsia" w:ascii="宋体" w:hAnsi="宋体"/>
          <w:i w:val="0"/>
          <w:iCs w:val="0"/>
          <w:color w:val="000000"/>
          <w:sz w:val="28"/>
          <w:szCs w:val="28"/>
          <w:lang w:eastAsia="zh-CN"/>
        </w:rPr>
        <w:t>响应文件有效期</w:t>
      </w:r>
      <w:r>
        <w:rPr>
          <w:rFonts w:hint="eastAsia" w:ascii="宋体" w:hAnsi="宋体"/>
          <w:i w:val="0"/>
          <w:iCs w:val="0"/>
          <w:color w:val="000000"/>
          <w:sz w:val="28"/>
          <w:szCs w:val="28"/>
          <w:highlight w:val="none"/>
        </w:rPr>
        <w:t>：自</w:t>
      </w:r>
      <w:r>
        <w:rPr>
          <w:rFonts w:hint="eastAsia" w:ascii="宋体" w:hAnsi="宋体"/>
          <w:i w:val="0"/>
          <w:iCs w:val="0"/>
          <w:color w:val="000000"/>
          <w:sz w:val="28"/>
          <w:szCs w:val="28"/>
          <w:highlight w:val="none"/>
          <w:lang w:val="en-US" w:eastAsia="zh-CN"/>
        </w:rPr>
        <w:t>报价</w:t>
      </w:r>
      <w:r>
        <w:rPr>
          <w:rFonts w:hint="eastAsia" w:ascii="宋体" w:hAnsi="宋体"/>
          <w:i w:val="0"/>
          <w:iCs w:val="0"/>
          <w:color w:val="auto"/>
          <w:sz w:val="28"/>
          <w:szCs w:val="28"/>
          <w:highlight w:val="none"/>
        </w:rPr>
        <w:t>截止之日起</w:t>
      </w:r>
      <w:bookmarkStart w:id="23" w:name="TXT_1625C970705A4B4DB3D0F4206E7B6C9A_1"/>
      <w:r>
        <w:rPr>
          <w:rFonts w:hint="eastAsia" w:ascii="宋体" w:hAnsi="宋体"/>
          <w:i w:val="0"/>
          <w:iCs w:val="0"/>
          <w:color w:val="auto"/>
          <w:sz w:val="28"/>
          <w:szCs w:val="28"/>
          <w:highlight w:val="none"/>
          <w:u w:val="single"/>
          <w:lang w:eastAsia="zh-CN"/>
        </w:rPr>
        <w:t>90</w:t>
      </w:r>
      <w:bookmarkEnd w:id="23"/>
      <w:r>
        <w:rPr>
          <w:rFonts w:hint="eastAsia" w:ascii="宋体" w:hAnsi="宋体"/>
          <w:i w:val="0"/>
          <w:iCs w:val="0"/>
          <w:color w:val="auto"/>
          <w:sz w:val="28"/>
          <w:szCs w:val="28"/>
          <w:highlight w:val="none"/>
        </w:rPr>
        <w:t>日（日历日）</w:t>
      </w:r>
      <w:r>
        <w:rPr>
          <w:rFonts w:hint="eastAsia"/>
          <w:i w:val="0"/>
          <w:iCs w:val="0"/>
          <w:color w:val="auto"/>
          <w:sz w:val="28"/>
          <w:szCs w:val="28"/>
          <w:highlight w:val="none"/>
        </w:rPr>
        <w:t>。</w:t>
      </w:r>
    </w:p>
    <w:p>
      <w:pPr>
        <w:adjustRightInd w:val="0"/>
        <w:snapToGrid w:val="0"/>
        <w:spacing w:before="50" w:line="360" w:lineRule="auto"/>
        <w:ind w:firstLine="560" w:firstLineChars="200"/>
        <w:outlineLvl w:val="9"/>
        <w:rPr>
          <w:rFonts w:hint="default" w:ascii="Times New Roman" w:hAnsi="Times New Roman" w:eastAsia="宋体" w:cs="Times New Roman"/>
          <w:i w:val="0"/>
          <w:iCs w:val="0"/>
          <w:color w:val="auto"/>
          <w:sz w:val="28"/>
          <w:szCs w:val="28"/>
          <w:highlight w:val="none"/>
          <w:lang w:val="en-US" w:eastAsia="zh-CN"/>
        </w:rPr>
      </w:pPr>
      <w:r>
        <w:rPr>
          <w:rFonts w:hint="default" w:ascii="Times New Roman" w:hAnsi="Times New Roman" w:cs="Times New Roman"/>
          <w:i w:val="0"/>
          <w:iCs w:val="0"/>
          <w:color w:val="auto"/>
          <w:sz w:val="28"/>
          <w:szCs w:val="28"/>
          <w:highlight w:val="none"/>
        </w:rPr>
        <w:t>（</w:t>
      </w:r>
      <w:r>
        <w:rPr>
          <w:rFonts w:hint="eastAsia" w:ascii="Times New Roman" w:hAnsi="Times New Roman" w:cs="Times New Roman"/>
          <w:i w:val="0"/>
          <w:iCs w:val="0"/>
          <w:color w:val="auto"/>
          <w:sz w:val="28"/>
          <w:szCs w:val="28"/>
          <w:highlight w:val="none"/>
          <w:lang w:val="en-US" w:eastAsia="zh-CN"/>
        </w:rPr>
        <w:t>四</w:t>
      </w:r>
      <w:r>
        <w:rPr>
          <w:rFonts w:hint="default" w:ascii="Times New Roman" w:hAnsi="Times New Roman" w:cs="Times New Roman"/>
          <w:i w:val="0"/>
          <w:iCs w:val="0"/>
          <w:color w:val="auto"/>
          <w:sz w:val="28"/>
          <w:szCs w:val="28"/>
          <w:highlight w:val="none"/>
        </w:rPr>
        <w:t>）框架</w:t>
      </w:r>
      <w:r>
        <w:rPr>
          <w:rFonts w:hint="eastAsia" w:ascii="Times New Roman" w:hAnsi="Times New Roman" w:cs="Times New Roman"/>
          <w:i w:val="0"/>
          <w:iCs w:val="0"/>
          <w:color w:val="auto"/>
          <w:sz w:val="28"/>
          <w:szCs w:val="28"/>
          <w:highlight w:val="none"/>
          <w:lang w:val="en-US" w:eastAsia="zh-CN"/>
        </w:rPr>
        <w:t>采购</w:t>
      </w:r>
      <w:r>
        <w:rPr>
          <w:rFonts w:hint="default" w:ascii="Times New Roman" w:hAnsi="Times New Roman" w:cs="Times New Roman"/>
          <w:i w:val="0"/>
          <w:iCs w:val="0"/>
          <w:color w:val="auto"/>
          <w:sz w:val="28"/>
          <w:szCs w:val="28"/>
          <w:highlight w:val="none"/>
        </w:rPr>
        <w:t>有效期</w:t>
      </w:r>
      <w:r>
        <w:rPr>
          <w:rFonts w:hint="eastAsia" w:ascii="Times New Roman" w:hAnsi="Times New Roman" w:cs="Times New Roman"/>
          <w:color w:val="auto"/>
          <w:sz w:val="28"/>
          <w:szCs w:val="28"/>
          <w:highlight w:val="none"/>
          <w:lang w:eastAsia="zh-CN"/>
        </w:rPr>
        <w:t>（</w:t>
      </w:r>
      <w:r>
        <w:rPr>
          <w:rFonts w:hint="eastAsia" w:ascii="Times New Roman" w:hAnsi="Times New Roman" w:cs="Times New Roman"/>
          <w:color w:val="auto"/>
          <w:sz w:val="28"/>
          <w:szCs w:val="28"/>
          <w:highlight w:val="none"/>
          <w:lang w:val="en-US" w:eastAsia="zh-CN"/>
        </w:rPr>
        <w:t>如有</w:t>
      </w:r>
      <w:r>
        <w:rPr>
          <w:rFonts w:hint="eastAsia" w:ascii="Times New Roman" w:hAnsi="Times New Roman" w:cs="Times New Roman"/>
          <w:color w:val="auto"/>
          <w:sz w:val="28"/>
          <w:szCs w:val="28"/>
          <w:highlight w:val="none"/>
          <w:lang w:eastAsia="zh-CN"/>
        </w:rPr>
        <w:t>）</w:t>
      </w:r>
      <w:r>
        <w:rPr>
          <w:rFonts w:hint="default" w:ascii="Times New Roman" w:hAnsi="Times New Roman" w:cs="Times New Roman"/>
          <w:i w:val="0"/>
          <w:iCs w:val="0"/>
          <w:color w:val="auto"/>
          <w:sz w:val="28"/>
          <w:szCs w:val="28"/>
          <w:highlight w:val="none"/>
        </w:rPr>
        <w:t>：</w:t>
      </w:r>
      <w:bookmarkStart w:id="24" w:name="TXT_E87F480BCDEF4972A57F25FC1F1AB673_1"/>
      <w:r>
        <w:rPr>
          <w:rFonts w:hint="eastAsia" w:ascii="Times New Roman" w:hAnsi="Times New Roman" w:cs="Times New Roman"/>
          <w:i w:val="0"/>
          <w:iCs w:val="0"/>
          <w:color w:val="auto"/>
          <w:sz w:val="28"/>
          <w:szCs w:val="28"/>
          <w:highlight w:val="none"/>
          <w:u w:val="single"/>
          <w:lang w:eastAsia="zh-CN"/>
        </w:rPr>
        <w:t xml:space="preserve"> </w:t>
      </w:r>
      <w:bookmarkEnd w:id="24"/>
      <w:r>
        <w:rPr>
          <w:rFonts w:hint="default" w:ascii="Times New Roman" w:hAnsi="Times New Roman" w:cs="Times New Roman"/>
          <w:i w:val="0"/>
          <w:iCs w:val="0"/>
          <w:color w:val="auto"/>
          <w:sz w:val="28"/>
          <w:szCs w:val="28"/>
          <w:highlight w:val="none"/>
          <w:lang w:eastAsia="zh-CN"/>
        </w:rPr>
        <w:t>。</w:t>
      </w:r>
      <w:r>
        <w:rPr>
          <w:rFonts w:hint="eastAsia" w:ascii="Times New Roman" w:hAnsi="Times New Roman" w:eastAsia="宋体" w:cs="Times New Roman"/>
          <w:i w:val="0"/>
          <w:iCs w:val="0"/>
          <w:color w:val="auto"/>
          <w:sz w:val="28"/>
          <w:szCs w:val="28"/>
          <w:highlight w:val="none"/>
          <w:lang w:val="en-US" w:eastAsia="zh-CN"/>
        </w:rPr>
        <w:t>在采购公告、采购文件及合同条款中，明确各标包框架采购协议承诺的采购金额及允许上下限浮动比例和框架采购协议执行规则等内容。</w:t>
      </w:r>
    </w:p>
    <w:p>
      <w:pPr>
        <w:adjustRightInd w:val="0"/>
        <w:snapToGrid w:val="0"/>
        <w:spacing w:before="50" w:line="360" w:lineRule="auto"/>
        <w:ind w:firstLine="560" w:firstLineChars="200"/>
        <w:outlineLvl w:val="9"/>
        <w:rPr>
          <w:rFonts w:hint="eastAsia" w:ascii="宋体" w:hAnsi="宋体" w:eastAsia="宋体"/>
          <w:i w:val="0"/>
          <w:iCs w:val="0"/>
          <w:color w:val="000000"/>
          <w:sz w:val="28"/>
          <w:szCs w:val="28"/>
          <w:lang w:val="en-US" w:eastAsia="zh-CN"/>
        </w:rPr>
      </w:pPr>
      <w:r>
        <w:rPr>
          <w:rFonts w:hint="eastAsia" w:ascii="宋体" w:hAnsi="宋体" w:eastAsia="宋体"/>
          <w:i w:val="0"/>
          <w:iCs w:val="0"/>
          <w:color w:val="000000"/>
          <w:sz w:val="28"/>
          <w:szCs w:val="28"/>
          <w:lang w:val="en-US" w:eastAsia="zh-CN"/>
        </w:rPr>
        <w:t>（五）采用公开谈判采购的主要原因：</w:t>
      </w:r>
      <w:bookmarkStart w:id="25" w:name="PO_F1D21ED8219F44C9AD846DF0500F583E"/>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68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pct"/>
            <w:vAlign w:val="center"/>
          </w:tcPr>
          <w:p>
            <w:pPr>
              <w:jc w:val="center"/>
            </w:pPr>
            <w:r>
              <w:rPr>
                <w:b/>
              </w:rPr>
              <w:t>序号</w:t>
            </w:r>
          </w:p>
        </w:tc>
        <w:tc>
          <w:tcPr>
            <w:tcW w:w="4000" w:type="pct"/>
            <w:vAlign w:val="center"/>
          </w:tcPr>
          <w:p>
            <w:pPr>
              <w:jc w:val="center"/>
            </w:pPr>
            <w:r>
              <w:rPr>
                <w:b/>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000" w:type="pct"/>
            <w:vAlign w:val="center"/>
          </w:tcPr>
          <w:p>
            <w:pPr>
              <w:jc w:val="center"/>
            </w:pPr>
            <w:r>
              <w:t>1</w:t>
            </w:r>
          </w:p>
        </w:tc>
        <w:tc>
          <w:tcPr>
            <w:tcW w:w="4000" w:type="pct"/>
            <w:vAlign w:val="center"/>
          </w:tcPr>
          <w:p>
            <w:pPr>
              <w:jc w:val="left"/>
            </w:pPr>
            <w:r>
              <w:t>根据《中国南方电网有限责任公司非招标采购方式管理细则》第六条第一点“属于国家法律法规及公司有关规定必须招标范围和规模标准之外” 的，可采用非招标采购方式。本项目不在《中华人民共和国招标投标法》及《中华人民共和国招标投标法实施条例》等法律法规或《中国南方电网有限责任公司采购管理规定》等公司制度规定的必须招标范围之内，可以采用非招标采购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000" w:type="pct"/>
            <w:vAlign w:val="center"/>
          </w:tcPr>
          <w:p>
            <w:pPr>
              <w:jc w:val="center"/>
            </w:pPr>
            <w:r>
              <w:t>2</w:t>
            </w:r>
          </w:p>
        </w:tc>
        <w:tc>
          <w:tcPr>
            <w:tcW w:w="4000" w:type="pct"/>
            <w:vAlign w:val="center"/>
          </w:tcPr>
          <w:p>
            <w:pPr>
              <w:jc w:val="left"/>
            </w:pPr>
            <w:r>
              <w:t>根据《中国南方电网有限责任公司非招标采购方式管理细则》谈判采购规定“1.采购标的物技术复杂或者性质特殊，采购方式不能准确提出采购需求，需与供应商谈判后研究确定。”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000" w:type="pct"/>
            <w:vAlign w:val="center"/>
          </w:tcPr>
          <w:p>
            <w:pPr>
              <w:jc w:val="center"/>
            </w:pPr>
            <w:r>
              <w:t>3</w:t>
            </w:r>
          </w:p>
        </w:tc>
        <w:tc>
          <w:tcPr>
            <w:tcW w:w="4000" w:type="pct"/>
            <w:vAlign w:val="center"/>
          </w:tcPr>
          <w:p>
            <w:pPr>
              <w:jc w:val="left"/>
            </w:pPr>
            <w:r>
              <w:t>本项目为南网党校信息系统维护项目，其技术复杂，专业性较强，对所涉及数据保密要求高，且不能确定详细规格和具体要求，需跟供应商进行进一步的谈判，故采用公开谈判采购方式。</w:t>
            </w:r>
          </w:p>
        </w:tc>
      </w:tr>
      <w:bookmarkEnd w:id="25"/>
    </w:tbl>
    <w:p/>
    <w:p>
      <w:pPr>
        <w:adjustRightInd w:val="0"/>
        <w:snapToGrid w:val="0"/>
        <w:spacing w:before="156" w:beforeLines="50" w:line="360" w:lineRule="auto"/>
        <w:ind w:firstLine="562" w:firstLineChars="200"/>
        <w:outlineLvl w:val="0"/>
        <w:rPr>
          <w:rFonts w:ascii="Times New Roman" w:hAnsi="Times New Roman"/>
          <w:b/>
          <w:i w:val="0"/>
          <w:iCs w:val="0"/>
          <w:color w:val="auto"/>
          <w:sz w:val="28"/>
          <w:szCs w:val="28"/>
          <w:highlight w:val="none"/>
        </w:rPr>
      </w:pPr>
      <w:r>
        <w:rPr>
          <w:rFonts w:hint="eastAsia"/>
          <w:b/>
          <w:i w:val="0"/>
          <w:iCs w:val="0"/>
          <w:color w:val="auto"/>
          <w:sz w:val="28"/>
          <w:szCs w:val="28"/>
          <w:highlight w:val="none"/>
        </w:rPr>
        <w:t>四、</w:t>
      </w:r>
      <w:r>
        <w:rPr>
          <w:rFonts w:hint="eastAsia"/>
          <w:b/>
          <w:i w:val="0"/>
          <w:iCs w:val="0"/>
          <w:color w:val="auto"/>
          <w:sz w:val="28"/>
          <w:szCs w:val="28"/>
          <w:highlight w:val="none"/>
          <w:lang w:eastAsia="zh-CN"/>
        </w:rPr>
        <w:t>采购</w:t>
      </w:r>
      <w:r>
        <w:rPr>
          <w:rFonts w:hint="eastAsia"/>
          <w:b/>
          <w:i w:val="0"/>
          <w:iCs w:val="0"/>
          <w:color w:val="auto"/>
          <w:sz w:val="28"/>
          <w:szCs w:val="28"/>
          <w:highlight w:val="none"/>
        </w:rPr>
        <w:t>工作内容</w:t>
      </w:r>
    </w:p>
    <w:p>
      <w:pPr>
        <w:numPr>
          <w:ilvl w:val="0"/>
          <w:numId w:val="1"/>
        </w:numPr>
        <w:adjustRightInd w:val="0"/>
        <w:snapToGrid w:val="0"/>
        <w:spacing w:before="156" w:beforeLines="50" w:line="360" w:lineRule="auto"/>
        <w:outlineLvl w:val="9"/>
        <w:rPr>
          <w:b/>
          <w:i w:val="0"/>
          <w:iCs w:val="0"/>
          <w:color w:val="auto"/>
          <w:sz w:val="28"/>
          <w:szCs w:val="28"/>
          <w:highlight w:val="none"/>
        </w:rPr>
      </w:pPr>
      <w:r>
        <w:rPr>
          <w:rFonts w:hint="eastAsia" w:ascii="宋体" w:hAnsi="宋体"/>
          <w:b/>
          <w:i w:val="0"/>
          <w:iCs w:val="0"/>
          <w:color w:val="auto"/>
          <w:sz w:val="28"/>
          <w:szCs w:val="28"/>
          <w:highlight w:val="none"/>
        </w:rPr>
        <w:t>组织形式及职责</w:t>
      </w:r>
    </w:p>
    <w:p>
      <w:pPr>
        <w:adjustRightInd w:val="0"/>
        <w:snapToGrid w:val="0"/>
        <w:spacing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lang w:eastAsia="zh-CN"/>
        </w:rPr>
        <w:t>采购</w:t>
      </w:r>
      <w:r>
        <w:rPr>
          <w:rFonts w:hint="eastAsia" w:ascii="宋体" w:hAnsi="宋体"/>
          <w:i w:val="0"/>
          <w:iCs w:val="0"/>
          <w:color w:val="auto"/>
          <w:sz w:val="28"/>
          <w:szCs w:val="28"/>
          <w:highlight w:val="none"/>
        </w:rPr>
        <w:t>人：</w:t>
      </w:r>
      <w:bookmarkStart w:id="26" w:name="TXT_12A2C96657394DD5BDD9E2D30C79E257_1"/>
      <w:r>
        <w:rPr>
          <w:rFonts w:hint="eastAsia"/>
          <w:i w:val="0"/>
          <w:iCs w:val="0"/>
          <w:color w:val="auto"/>
          <w:sz w:val="28"/>
          <w:szCs w:val="28"/>
          <w:highlight w:val="none"/>
          <w:u w:val="single"/>
          <w:lang w:eastAsia="zh-CN"/>
        </w:rPr>
        <w:t>中国南方电网有限责任公司人才发展中心</w:t>
      </w:r>
      <w:bookmarkEnd w:id="26"/>
      <w:r>
        <w:rPr>
          <w:rFonts w:hint="eastAsia" w:ascii="宋体" w:hAnsi="宋体"/>
          <w:i w:val="0"/>
          <w:iCs w:val="0"/>
          <w:color w:val="auto"/>
          <w:sz w:val="28"/>
          <w:szCs w:val="28"/>
          <w:highlight w:val="none"/>
        </w:rPr>
        <w:t>。</w:t>
      </w:r>
    </w:p>
    <w:p>
      <w:pPr>
        <w:adjustRightInd w:val="0"/>
        <w:snapToGrid w:val="0"/>
        <w:spacing w:before="50"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lang w:eastAsia="zh-CN"/>
        </w:rPr>
        <w:t>采购</w:t>
      </w:r>
      <w:r>
        <w:rPr>
          <w:rFonts w:hint="eastAsia" w:ascii="宋体" w:hAnsi="宋体"/>
          <w:i w:val="0"/>
          <w:iCs w:val="0"/>
          <w:color w:val="auto"/>
          <w:sz w:val="28"/>
          <w:szCs w:val="28"/>
          <w:highlight w:val="none"/>
        </w:rPr>
        <w:t>组织形式：</w:t>
      </w:r>
      <w:r>
        <w:rPr>
          <w:rFonts w:hint="eastAsia" w:ascii="宋体" w:hAnsi="宋体"/>
          <w:i w:val="0"/>
          <w:iCs w:val="0"/>
          <w:color w:val="auto"/>
          <w:sz w:val="28"/>
          <w:szCs w:val="28"/>
          <w:highlight w:val="none"/>
          <w:u w:val="single"/>
        </w:rPr>
        <w:t>委托</w:t>
      </w:r>
      <w:r>
        <w:rPr>
          <w:rFonts w:hint="eastAsia" w:ascii="宋体" w:hAnsi="宋体"/>
          <w:i w:val="0"/>
          <w:iCs w:val="0"/>
          <w:color w:val="auto"/>
          <w:sz w:val="28"/>
          <w:szCs w:val="28"/>
          <w:highlight w:val="none"/>
          <w:u w:val="single"/>
          <w:lang w:val="en-US" w:eastAsia="zh-CN"/>
        </w:rPr>
        <w:t>采购</w:t>
      </w:r>
      <w:r>
        <w:rPr>
          <w:rFonts w:hint="eastAsia"/>
          <w:i w:val="0"/>
          <w:iCs w:val="0"/>
          <w:color w:val="auto"/>
          <w:sz w:val="28"/>
          <w:szCs w:val="28"/>
          <w:highlight w:val="none"/>
        </w:rPr>
        <w:t>。</w:t>
      </w:r>
    </w:p>
    <w:p>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565" w:firstLineChars="202"/>
        <w:jc w:val="both"/>
        <w:textAlignment w:val="auto"/>
        <w:outlineLvl w:val="9"/>
        <w:rPr>
          <w:rFonts w:hint="default" w:ascii="Times New Roman" w:hAnsi="Times New Roman" w:eastAsia="宋体" w:cs="Times New Roman"/>
          <w:i w:val="0"/>
          <w:iCs w:val="0"/>
          <w:color w:val="auto"/>
          <w:sz w:val="28"/>
          <w:szCs w:val="28"/>
          <w:highlight w:val="none"/>
          <w:lang w:val="en-US" w:eastAsia="zh-CN"/>
        </w:rPr>
      </w:pPr>
      <w:r>
        <w:rPr>
          <w:rFonts w:hint="default" w:ascii="Times New Roman" w:hAnsi="Times New Roman" w:eastAsia="宋体" w:cs="Times New Roman"/>
          <w:i w:val="0"/>
          <w:iCs w:val="0"/>
          <w:color w:val="auto"/>
          <w:sz w:val="28"/>
          <w:szCs w:val="28"/>
          <w:highlight w:val="none"/>
          <w:lang w:val="en-US" w:eastAsia="zh-CN"/>
        </w:rPr>
        <w:t>承办部门：</w:t>
      </w:r>
      <w:bookmarkStart w:id="27" w:name="TXT_5207077C61DA43D3971C9E8DBCC76172_1"/>
      <w:r>
        <w:rPr>
          <w:rFonts w:hint="eastAsia" w:eastAsia="宋体"/>
          <w:i w:val="0"/>
          <w:iCs w:val="0"/>
          <w:color w:val="auto"/>
          <w:sz w:val="28"/>
          <w:szCs w:val="28"/>
          <w:highlight w:val="none"/>
          <w:u w:val="single"/>
          <w:lang w:eastAsia="zh-CN"/>
        </w:rPr>
        <w:t>中国南方电网有限责任公司人才发展中心数字化部</w:t>
      </w:r>
      <w:bookmarkEnd w:id="27"/>
      <w:r>
        <w:rPr>
          <w:rFonts w:hint="default" w:ascii="Times New Roman" w:hAnsi="Times New Roman" w:eastAsia="宋体" w:cs="Times New Roman"/>
          <w:i w:val="0"/>
          <w:iCs w:val="0"/>
          <w:color w:val="auto"/>
          <w:sz w:val="28"/>
          <w:szCs w:val="28"/>
          <w:highlight w:val="none"/>
          <w:lang w:val="en-US" w:eastAsia="zh-CN"/>
        </w:rPr>
        <w:t>。主要负责</w:t>
      </w: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方案、</w:t>
      </w: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报告的审核，办理审批手续；负责提供合同文本，明确评审标准；负责</w:t>
      </w: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文件的审核和审定；负责</w:t>
      </w: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文件商务部分的澄清、修改，落实</w:t>
      </w:r>
      <w:r>
        <w:rPr>
          <w:rFonts w:hint="eastAsia" w:ascii="Times New Roman" w:hAnsi="Times New Roman" w:eastAsia="宋体" w:cs="Times New Roman"/>
          <w:i w:val="0"/>
          <w:iCs w:val="0"/>
          <w:color w:val="auto"/>
          <w:sz w:val="28"/>
          <w:szCs w:val="28"/>
          <w:highlight w:val="none"/>
          <w:lang w:val="en-US" w:eastAsia="zh-CN"/>
        </w:rPr>
        <w:t>采购工作组</w:t>
      </w:r>
      <w:r>
        <w:rPr>
          <w:rFonts w:hint="default" w:ascii="Times New Roman" w:hAnsi="Times New Roman" w:eastAsia="宋体" w:cs="Times New Roman"/>
          <w:i w:val="0"/>
          <w:iCs w:val="0"/>
          <w:color w:val="auto"/>
          <w:sz w:val="28"/>
          <w:szCs w:val="28"/>
          <w:highlight w:val="none"/>
          <w:lang w:val="en-US" w:eastAsia="zh-CN"/>
        </w:rPr>
        <w:t>中商务</w:t>
      </w: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人代表的选派等。采购需求由需求单位提供。</w:t>
      </w:r>
    </w:p>
    <w:p>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565" w:firstLineChars="202"/>
        <w:jc w:val="both"/>
        <w:textAlignment w:val="auto"/>
        <w:outlineLvl w:val="9"/>
        <w:rPr>
          <w:rFonts w:hint="default" w:ascii="Times New Roman" w:hAnsi="Times New Roman" w:eastAsia="宋体" w:cs="Times New Roman"/>
          <w:i w:val="0"/>
          <w:iCs w:val="0"/>
          <w:color w:val="auto"/>
          <w:sz w:val="28"/>
          <w:szCs w:val="28"/>
          <w:highlight w:val="none"/>
          <w:lang w:val="en-US" w:eastAsia="zh-CN"/>
        </w:rPr>
      </w:pPr>
      <w:r>
        <w:rPr>
          <w:rFonts w:hint="default" w:ascii="Times New Roman" w:hAnsi="Times New Roman" w:eastAsia="宋体" w:cs="Times New Roman"/>
          <w:i w:val="0"/>
          <w:iCs w:val="0"/>
          <w:color w:val="auto"/>
          <w:sz w:val="28"/>
          <w:szCs w:val="28"/>
          <w:highlight w:val="none"/>
          <w:lang w:val="en-US" w:eastAsia="zh-CN"/>
        </w:rPr>
        <w:t>专业管理部门：</w:t>
      </w:r>
      <w:bookmarkStart w:id="28" w:name="TXT_5207077C61DA43D3971C9E8DBCC76172_2"/>
      <w:r>
        <w:rPr>
          <w:rFonts w:hint="eastAsia" w:eastAsia="宋体"/>
          <w:i w:val="0"/>
          <w:iCs w:val="0"/>
          <w:color w:val="auto"/>
          <w:sz w:val="28"/>
          <w:szCs w:val="28"/>
          <w:highlight w:val="none"/>
          <w:u w:val="single"/>
          <w:lang w:eastAsia="zh-CN"/>
        </w:rPr>
        <w:t>中国南方电网有限责任公司人才发展中心数字化部</w:t>
      </w:r>
      <w:bookmarkEnd w:id="28"/>
      <w:r>
        <w:rPr>
          <w:rFonts w:hint="eastAsia"/>
          <w:i w:val="0"/>
          <w:iCs w:val="0"/>
          <w:color w:val="auto"/>
          <w:sz w:val="28"/>
          <w:szCs w:val="28"/>
          <w:highlight w:val="none"/>
          <w:u w:val="none"/>
          <w:lang w:eastAsia="zh-CN"/>
        </w:rPr>
        <w:t>。</w:t>
      </w:r>
      <w:r>
        <w:rPr>
          <w:rFonts w:hint="default" w:ascii="Times New Roman" w:hAnsi="Times New Roman" w:eastAsia="宋体" w:cs="Times New Roman"/>
          <w:i w:val="0"/>
          <w:iCs w:val="0"/>
          <w:color w:val="auto"/>
          <w:sz w:val="28"/>
          <w:szCs w:val="28"/>
          <w:highlight w:val="none"/>
          <w:lang w:val="en-US" w:eastAsia="zh-CN"/>
        </w:rPr>
        <w:t>主要负责提供报价表、技术规范书、参数要求等资料，负责</w:t>
      </w: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文件技术部分澄清、修改，落实</w:t>
      </w:r>
      <w:r>
        <w:rPr>
          <w:rFonts w:hint="eastAsia" w:ascii="Times New Roman" w:hAnsi="Times New Roman" w:eastAsia="宋体" w:cs="Times New Roman"/>
          <w:i w:val="0"/>
          <w:iCs w:val="0"/>
          <w:color w:val="auto"/>
          <w:sz w:val="28"/>
          <w:szCs w:val="28"/>
          <w:highlight w:val="none"/>
          <w:lang w:val="en-US" w:eastAsia="zh-CN"/>
        </w:rPr>
        <w:t>采购工作组</w:t>
      </w:r>
      <w:r>
        <w:rPr>
          <w:rFonts w:hint="default" w:ascii="Times New Roman" w:hAnsi="Times New Roman" w:eastAsia="宋体" w:cs="Times New Roman"/>
          <w:i w:val="0"/>
          <w:iCs w:val="0"/>
          <w:color w:val="auto"/>
          <w:sz w:val="28"/>
          <w:szCs w:val="28"/>
          <w:highlight w:val="none"/>
          <w:lang w:val="en-US" w:eastAsia="zh-CN"/>
        </w:rPr>
        <w:t>中技术</w:t>
      </w: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人代表的选派等。</w:t>
      </w:r>
    </w:p>
    <w:p>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565" w:firstLineChars="202"/>
        <w:jc w:val="both"/>
        <w:textAlignment w:val="auto"/>
        <w:outlineLvl w:val="9"/>
        <w:rPr>
          <w:rFonts w:hint="default" w:ascii="Times New Roman" w:hAnsi="Times New Roman" w:eastAsia="宋体" w:cs="Times New Roman"/>
          <w:i w:val="0"/>
          <w:iCs w:val="0"/>
          <w:color w:val="auto"/>
          <w:sz w:val="28"/>
          <w:szCs w:val="28"/>
          <w:highlight w:val="none"/>
          <w:lang w:val="en-US" w:eastAsia="zh-CN"/>
        </w:rPr>
      </w:pPr>
      <w:r>
        <w:rPr>
          <w:rFonts w:hint="default" w:ascii="Times New Roman" w:hAnsi="Times New Roman" w:eastAsia="宋体" w:cs="Times New Roman"/>
          <w:i w:val="0"/>
          <w:iCs w:val="0"/>
          <w:color w:val="auto"/>
          <w:sz w:val="28"/>
          <w:szCs w:val="28"/>
          <w:highlight w:val="none"/>
          <w:lang w:val="en-US" w:eastAsia="zh-CN"/>
        </w:rPr>
        <w:t>招标采购代理机构：</w:t>
      </w:r>
      <w:bookmarkStart w:id="29" w:name="TXT_A9261B249F474CA78E2782F9BA1FDED2_1"/>
      <w:r>
        <w:rPr>
          <w:rFonts w:hint="eastAsia" w:eastAsia="宋体"/>
          <w:i w:val="0"/>
          <w:iCs w:val="0"/>
          <w:color w:val="auto"/>
          <w:sz w:val="28"/>
          <w:szCs w:val="28"/>
          <w:highlight w:val="none"/>
          <w:u w:val="single"/>
          <w:lang w:eastAsia="zh-CN"/>
        </w:rPr>
        <w:t>南方电网供应链集团有限公司</w:t>
      </w:r>
      <w:bookmarkEnd w:id="29"/>
      <w:r>
        <w:rPr>
          <w:rFonts w:hint="default" w:ascii="Times New Roman" w:hAnsi="Times New Roman" w:eastAsia="宋体" w:cs="Times New Roman"/>
          <w:i w:val="0"/>
          <w:iCs w:val="0"/>
          <w:color w:val="auto"/>
          <w:sz w:val="28"/>
          <w:szCs w:val="28"/>
          <w:highlight w:val="none"/>
          <w:lang w:val="en-US" w:eastAsia="zh-CN"/>
        </w:rPr>
        <w:t>。负责按照代理合同开展招标代理服务工作，包括编写</w:t>
      </w: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文件商务部分、汇总整理</w:t>
      </w: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文件技术部分、编制并发布</w:t>
      </w: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公告；负责</w:t>
      </w: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文件澄清、修改的汇总和发布；协助</w:t>
      </w: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文件商务部分的澄清、修改；负责按照《专家抽取申请表》进行专家抽取；负责组织收开标、提供</w:t>
      </w:r>
      <w:r>
        <w:rPr>
          <w:rFonts w:hint="eastAsia" w:ascii="Times New Roman" w:hAnsi="Times New Roman" w:eastAsia="宋体" w:cs="Times New Roman"/>
          <w:i w:val="0"/>
          <w:iCs w:val="0"/>
          <w:color w:val="auto"/>
          <w:sz w:val="28"/>
          <w:szCs w:val="28"/>
          <w:highlight w:val="none"/>
          <w:lang w:val="en-US" w:eastAsia="zh-CN"/>
        </w:rPr>
        <w:t>评审</w:t>
      </w:r>
      <w:r>
        <w:rPr>
          <w:rFonts w:hint="default" w:ascii="Times New Roman" w:hAnsi="Times New Roman" w:eastAsia="宋体" w:cs="Times New Roman"/>
          <w:i w:val="0"/>
          <w:iCs w:val="0"/>
          <w:color w:val="auto"/>
          <w:sz w:val="28"/>
          <w:szCs w:val="28"/>
          <w:highlight w:val="none"/>
          <w:lang w:val="en-US" w:eastAsia="zh-CN"/>
        </w:rPr>
        <w:t>会议服务、发布</w:t>
      </w:r>
      <w:r>
        <w:rPr>
          <w:rFonts w:hint="eastAsia" w:ascii="Times New Roman" w:hAnsi="Times New Roman" w:eastAsia="宋体" w:cs="Times New Roman"/>
          <w:i w:val="0"/>
          <w:iCs w:val="0"/>
          <w:color w:val="auto"/>
          <w:sz w:val="28"/>
          <w:szCs w:val="28"/>
          <w:highlight w:val="none"/>
          <w:lang w:val="en-US" w:eastAsia="zh-CN"/>
        </w:rPr>
        <w:t>成交</w:t>
      </w:r>
      <w:r>
        <w:rPr>
          <w:rFonts w:hint="default" w:ascii="Times New Roman" w:hAnsi="Times New Roman" w:eastAsia="宋体" w:cs="Times New Roman"/>
          <w:i w:val="0"/>
          <w:iCs w:val="0"/>
          <w:color w:val="auto"/>
          <w:sz w:val="28"/>
          <w:szCs w:val="28"/>
          <w:highlight w:val="none"/>
          <w:lang w:val="en-US" w:eastAsia="zh-CN"/>
        </w:rPr>
        <w:t>公告、发送</w:t>
      </w:r>
      <w:r>
        <w:rPr>
          <w:rFonts w:hint="eastAsia" w:ascii="Times New Roman" w:hAnsi="Times New Roman" w:eastAsia="宋体" w:cs="Times New Roman"/>
          <w:i w:val="0"/>
          <w:iCs w:val="0"/>
          <w:color w:val="auto"/>
          <w:sz w:val="28"/>
          <w:szCs w:val="28"/>
          <w:highlight w:val="none"/>
          <w:lang w:val="en-US" w:eastAsia="zh-CN"/>
        </w:rPr>
        <w:t>成交</w:t>
      </w:r>
      <w:r>
        <w:rPr>
          <w:rFonts w:hint="default" w:ascii="Times New Roman" w:hAnsi="Times New Roman" w:eastAsia="宋体" w:cs="Times New Roman"/>
          <w:i w:val="0"/>
          <w:iCs w:val="0"/>
          <w:color w:val="auto"/>
          <w:sz w:val="28"/>
          <w:szCs w:val="28"/>
          <w:highlight w:val="none"/>
          <w:lang w:val="en-US" w:eastAsia="zh-CN"/>
        </w:rPr>
        <w:t>通知书、移交项目采购资料等。</w:t>
      </w:r>
    </w:p>
    <w:p>
      <w:pPr>
        <w:adjustRightInd w:val="0"/>
        <w:snapToGrid w:val="0"/>
        <w:spacing w:line="360" w:lineRule="auto"/>
        <w:ind w:firstLine="560" w:firstLineChars="200"/>
        <w:outlineLvl w:val="9"/>
        <w:rPr>
          <w:rFonts w:hint="eastAsia" w:ascii="宋体" w:hAnsi="宋体"/>
          <w:i w:val="0"/>
          <w:iCs w:val="0"/>
          <w:color w:val="auto"/>
          <w:sz w:val="28"/>
          <w:szCs w:val="28"/>
          <w:highlight w:val="none"/>
        </w:rPr>
      </w:pPr>
      <w:r>
        <w:rPr>
          <w:rFonts w:hint="eastAsia" w:ascii="宋体" w:hAnsi="宋体"/>
          <w:i w:val="0"/>
          <w:iCs w:val="0"/>
          <w:color w:val="auto"/>
          <w:sz w:val="28"/>
          <w:szCs w:val="28"/>
          <w:highlight w:val="none"/>
        </w:rPr>
        <w:t>监督投诉机构：</w:t>
      </w:r>
      <w:bookmarkStart w:id="30" w:name="TXT_C591FB71F4694E58A616E5B46C2388E7_1"/>
      <w:r>
        <w:rPr>
          <w:rFonts w:hint="eastAsia" w:ascii="宋体" w:hAnsi="宋体"/>
          <w:i w:val="0"/>
          <w:iCs w:val="0"/>
          <w:color w:val="auto"/>
          <w:sz w:val="28"/>
          <w:szCs w:val="28"/>
          <w:highlight w:val="none"/>
          <w:u w:val="single"/>
          <w:lang w:eastAsia="zh-CN"/>
        </w:rPr>
        <w:t>中国南方电网有限责任公司人才发展中心基地保障部</w:t>
      </w:r>
      <w:bookmarkEnd w:id="30"/>
      <w:r>
        <w:rPr>
          <w:rFonts w:hint="eastAsia" w:ascii="宋体" w:hAnsi="宋体"/>
          <w:i w:val="0"/>
          <w:iCs w:val="0"/>
          <w:color w:val="auto"/>
          <w:sz w:val="28"/>
          <w:szCs w:val="28"/>
          <w:highlight w:val="none"/>
        </w:rPr>
        <w:t>。</w:t>
      </w:r>
      <w:r>
        <w:rPr>
          <w:rFonts w:hint="default" w:ascii="Times New Roman" w:hAnsi="Times New Roman" w:cs="Times New Roman"/>
          <w:i w:val="0"/>
          <w:iCs w:val="0"/>
          <w:color w:val="auto"/>
          <w:sz w:val="28"/>
          <w:szCs w:val="28"/>
          <w:highlight w:val="none"/>
        </w:rPr>
        <w:t>按公司招标采购监督的相关规定开展</w:t>
      </w:r>
      <w:r>
        <w:rPr>
          <w:rFonts w:hint="eastAsia" w:ascii="Times New Roman" w:hAnsi="Times New Roman" w:cs="Times New Roman"/>
          <w:i w:val="0"/>
          <w:iCs w:val="0"/>
          <w:color w:val="auto"/>
          <w:sz w:val="28"/>
          <w:szCs w:val="28"/>
          <w:highlight w:val="none"/>
          <w:lang w:eastAsia="zh-CN"/>
        </w:rPr>
        <w:t>采购</w:t>
      </w:r>
      <w:r>
        <w:rPr>
          <w:rFonts w:hint="default" w:ascii="Times New Roman" w:hAnsi="Times New Roman" w:cs="Times New Roman"/>
          <w:i w:val="0"/>
          <w:iCs w:val="0"/>
          <w:color w:val="auto"/>
          <w:sz w:val="28"/>
          <w:szCs w:val="28"/>
          <w:highlight w:val="none"/>
        </w:rPr>
        <w:t>监督管理。</w:t>
      </w:r>
    </w:p>
    <w:p>
      <w:pPr>
        <w:numPr>
          <w:ilvl w:val="0"/>
          <w:numId w:val="1"/>
        </w:numPr>
        <w:adjustRightInd w:val="0"/>
        <w:snapToGrid w:val="0"/>
        <w:spacing w:before="156" w:beforeLines="50" w:line="360" w:lineRule="auto"/>
        <w:outlineLvl w:val="9"/>
        <w:rPr>
          <w:rFonts w:ascii="宋体" w:hAnsi="宋体"/>
          <w:b/>
          <w:i w:val="0"/>
          <w:iCs w:val="0"/>
          <w:color w:val="auto"/>
          <w:sz w:val="28"/>
          <w:szCs w:val="28"/>
          <w:highlight w:val="none"/>
        </w:rPr>
      </w:pPr>
      <w:r>
        <w:rPr>
          <w:rFonts w:hint="eastAsia" w:ascii="宋体" w:hAnsi="宋体"/>
          <w:b/>
          <w:i w:val="0"/>
          <w:iCs w:val="0"/>
          <w:color w:val="auto"/>
          <w:sz w:val="28"/>
          <w:szCs w:val="28"/>
          <w:highlight w:val="none"/>
          <w:lang w:eastAsia="zh-CN"/>
        </w:rPr>
        <w:t>采购</w:t>
      </w:r>
      <w:r>
        <w:rPr>
          <w:rFonts w:hint="eastAsia" w:ascii="宋体" w:hAnsi="宋体"/>
          <w:b/>
          <w:i w:val="0"/>
          <w:iCs w:val="0"/>
          <w:color w:val="auto"/>
          <w:sz w:val="28"/>
          <w:szCs w:val="28"/>
          <w:highlight w:val="none"/>
        </w:rPr>
        <w:t>公告</w:t>
      </w:r>
    </w:p>
    <w:p>
      <w:pPr>
        <w:adjustRightInd w:val="0"/>
        <w:snapToGrid w:val="0"/>
        <w:spacing w:line="360" w:lineRule="auto"/>
        <w:ind w:firstLine="560" w:firstLineChars="200"/>
        <w:jc w:val="both"/>
        <w:rPr>
          <w:i w:val="0"/>
          <w:iCs w:val="0"/>
          <w:color w:val="auto"/>
          <w:sz w:val="28"/>
          <w:szCs w:val="28"/>
          <w:highlight w:val="none"/>
          <w:u w:val="none"/>
          <w:lang w:val="en-US" w:eastAsia="zh-CN"/>
        </w:rPr>
      </w:pPr>
      <w:r>
        <w:rPr>
          <w:rFonts w:hint="eastAsia" w:ascii="Times New Roman" w:hAnsi="Times New Roman" w:cs="Times New Roman"/>
          <w:i w:val="0"/>
          <w:iCs w:val="0"/>
          <w:color w:val="auto"/>
          <w:sz w:val="28"/>
          <w:szCs w:val="28"/>
          <w:highlight w:val="none"/>
          <w:lang w:val="en-US" w:eastAsia="zh-CN"/>
        </w:rPr>
        <w:t>1</w:t>
      </w:r>
      <w:r>
        <w:rPr>
          <w:rFonts w:hint="default" w:ascii="Times New Roman" w:hAnsi="Times New Roman" w:cs="Times New Roman"/>
          <w:i w:val="0"/>
          <w:iCs w:val="0"/>
          <w:color w:val="auto"/>
          <w:sz w:val="28"/>
          <w:szCs w:val="28"/>
          <w:highlight w:val="none"/>
        </w:rPr>
        <w:t>.</w:t>
      </w:r>
      <w:r>
        <w:rPr>
          <w:rFonts w:hint="default" w:ascii="Times New Roman" w:hAnsi="Times New Roman" w:cs="Times New Roman"/>
          <w:color w:val="auto"/>
          <w:sz w:val="28"/>
          <w:szCs w:val="28"/>
          <w:highlight w:val="none"/>
        </w:rPr>
        <w:t>采取公开谈判采购方式的</w:t>
      </w:r>
      <w:r>
        <w:rPr>
          <w:rFonts w:hint="eastAsia" w:ascii="Times New Roman" w:hAnsi="Times New Roman" w:cs="Times New Roman"/>
          <w:color w:val="auto"/>
          <w:sz w:val="28"/>
          <w:szCs w:val="28"/>
          <w:highlight w:val="none"/>
          <w:lang w:eastAsia="zh-CN"/>
        </w:rPr>
        <w:t>，</w:t>
      </w:r>
      <w:r>
        <w:rPr>
          <w:rFonts w:hint="default" w:ascii="Times New Roman" w:hAnsi="Times New Roman" w:cs="Times New Roman"/>
          <w:color w:val="auto"/>
          <w:sz w:val="28"/>
          <w:szCs w:val="28"/>
          <w:highlight w:val="none"/>
        </w:rPr>
        <w:t>应在中国南方电网供应链统一服务平台（www.bidding.csg.cn）上发布不少于3日的“谈判采购公告”，接受报名并向报名供应商提供资格预审文件或采购文件，提供时间不少于3日。采取资格预审方式的，由招标代理机构根据采购人要求组建资格预审工作组，按方案规定的办法和标准进行资格审查，形成书面审查报告。采购承办部门审定后，由招标采购代理机构向通过资格预审的申请人提供采购文件</w:t>
      </w:r>
      <w:r>
        <w:rPr>
          <w:rFonts w:hint="eastAsia"/>
          <w:color w:val="auto"/>
          <w:sz w:val="28"/>
          <w:szCs w:val="28"/>
          <w:highlight w:val="none"/>
          <w:u w:val="none"/>
          <w:lang w:val="en-US" w:eastAsia="zh-CN"/>
        </w:rPr>
        <w:t>。“谈判采购公告”应对采购项目情况、采购范围、参与供应商资格要求、发售时间及地点、采购文件的获取、响应文件的递交及谈判时间等事项作出规定。</w:t>
      </w:r>
    </w:p>
    <w:p>
      <w:pPr>
        <w:shd w:val="clear" w:color="auto" w:fill="auto"/>
        <w:adjustRightInd w:val="0"/>
        <w:snapToGrid w:val="0"/>
        <w:spacing w:line="360" w:lineRule="auto"/>
        <w:ind w:firstLine="560" w:firstLineChars="200"/>
        <w:outlineLvl w:val="9"/>
        <w:rPr>
          <w:rFonts w:hint="default" w:ascii="Times New Roman" w:hAnsi="Times New Roman" w:cs="Times New Roman"/>
          <w:i w:val="0"/>
          <w:iCs w:val="0"/>
          <w:color w:val="auto"/>
          <w:sz w:val="28"/>
          <w:szCs w:val="28"/>
          <w:highlight w:val="none"/>
        </w:rPr>
      </w:pPr>
      <w:r>
        <w:rPr>
          <w:rFonts w:hint="default" w:ascii="Times New Roman" w:hAnsi="Times New Roman" w:cs="Times New Roman"/>
          <w:i w:val="0"/>
          <w:iCs w:val="0"/>
          <w:color w:val="auto"/>
          <w:sz w:val="28"/>
          <w:szCs w:val="28"/>
          <w:highlight w:val="none"/>
        </w:rPr>
        <w:t>2.</w:t>
      </w:r>
      <w:r>
        <w:rPr>
          <w:rFonts w:hint="eastAsia" w:ascii="Times New Roman" w:hAnsi="Times New Roman" w:cs="Times New Roman"/>
          <w:i w:val="0"/>
          <w:iCs w:val="0"/>
          <w:color w:val="auto"/>
          <w:sz w:val="28"/>
          <w:szCs w:val="28"/>
          <w:highlight w:val="none"/>
          <w:lang w:eastAsia="zh-CN"/>
        </w:rPr>
        <w:t>供应商</w:t>
      </w:r>
      <w:r>
        <w:rPr>
          <w:rFonts w:hint="default" w:ascii="Times New Roman" w:hAnsi="Times New Roman" w:cs="Times New Roman"/>
          <w:i w:val="0"/>
          <w:iCs w:val="0"/>
          <w:color w:val="auto"/>
          <w:sz w:val="28"/>
          <w:szCs w:val="28"/>
          <w:highlight w:val="none"/>
        </w:rPr>
        <w:t>资质条件要求</w:t>
      </w:r>
      <w:r>
        <w:rPr>
          <w:rFonts w:hint="eastAsia" w:ascii="Times New Roman" w:hAnsi="Times New Roman" w:cs="Times New Roman"/>
          <w:i w:val="0"/>
          <w:iCs w:val="0"/>
          <w:color w:val="auto"/>
          <w:sz w:val="28"/>
          <w:szCs w:val="28"/>
          <w:highlight w:val="none"/>
          <w:lang w:eastAsia="zh-CN"/>
        </w:rPr>
        <w:t>：</w:t>
      </w:r>
      <w:r>
        <w:rPr>
          <w:rFonts w:hint="default" w:ascii="Times New Roman" w:hAnsi="Times New Roman" w:cs="Times New Roman"/>
          <w:i w:val="0"/>
          <w:iCs w:val="0"/>
          <w:color w:val="auto"/>
          <w:sz w:val="28"/>
          <w:szCs w:val="28"/>
          <w:highlight w:val="none"/>
        </w:rPr>
        <w:t>详见附件2。</w:t>
      </w:r>
    </w:p>
    <w:p>
      <w:pPr>
        <w:numPr>
          <w:ilvl w:val="0"/>
          <w:numId w:val="1"/>
        </w:numPr>
        <w:adjustRightInd w:val="0"/>
        <w:snapToGrid w:val="0"/>
        <w:spacing w:before="156" w:beforeLines="50" w:line="360" w:lineRule="auto"/>
        <w:outlineLvl w:val="9"/>
        <w:rPr>
          <w:rFonts w:ascii="宋体" w:hAnsi="宋体"/>
          <w:b/>
          <w:i w:val="0"/>
          <w:iCs w:val="0"/>
          <w:color w:val="auto"/>
          <w:sz w:val="28"/>
          <w:szCs w:val="28"/>
          <w:highlight w:val="none"/>
        </w:rPr>
      </w:pPr>
      <w:r>
        <w:rPr>
          <w:rFonts w:hint="eastAsia" w:ascii="宋体" w:hAnsi="宋体"/>
          <w:b/>
          <w:i w:val="0"/>
          <w:iCs w:val="0"/>
          <w:color w:val="auto"/>
          <w:sz w:val="28"/>
          <w:szCs w:val="28"/>
          <w:highlight w:val="none"/>
          <w:lang w:eastAsia="zh-CN"/>
        </w:rPr>
        <w:t>采购文件</w:t>
      </w:r>
    </w:p>
    <w:p>
      <w:pPr>
        <w:adjustRightInd w:val="0"/>
        <w:snapToGrid w:val="0"/>
        <w:spacing w:before="50" w:line="360" w:lineRule="auto"/>
        <w:ind w:firstLine="560" w:firstLineChars="200"/>
        <w:outlineLvl w:val="9"/>
        <w:rPr>
          <w:rFonts w:hint="eastAsia" w:ascii="宋体" w:hAnsi="宋体"/>
          <w:i w:val="0"/>
          <w:iCs w:val="0"/>
          <w:color w:val="auto"/>
          <w:sz w:val="28"/>
          <w:szCs w:val="28"/>
          <w:highlight w:val="none"/>
        </w:rPr>
      </w:pPr>
      <w:r>
        <w:rPr>
          <w:rFonts w:hint="eastAsia" w:ascii="宋体" w:hAnsi="宋体"/>
          <w:i w:val="0"/>
          <w:iCs w:val="0"/>
          <w:color w:val="auto"/>
          <w:sz w:val="28"/>
          <w:szCs w:val="28"/>
          <w:highlight w:val="none"/>
        </w:rPr>
        <w:t>1.</w:t>
      </w:r>
      <w:bookmarkStart w:id="31" w:name="TXT_A9261B249F474CA78E2782F9BA1FDED2_2"/>
      <w:r>
        <w:rPr>
          <w:rFonts w:hint="eastAsia" w:ascii="宋体" w:hAnsi="宋体"/>
          <w:i w:val="0"/>
          <w:iCs w:val="0"/>
          <w:color w:val="auto"/>
          <w:sz w:val="28"/>
          <w:szCs w:val="28"/>
          <w:highlight w:val="none"/>
          <w:u w:val="single"/>
          <w:lang w:eastAsia="zh-CN"/>
        </w:rPr>
        <w:t>南方电网供应链集团有限公司</w:t>
      </w:r>
      <w:bookmarkEnd w:id="31"/>
      <w:r>
        <w:rPr>
          <w:rFonts w:hint="eastAsia" w:ascii="宋体" w:hAnsi="宋体"/>
          <w:i w:val="0"/>
          <w:iCs w:val="0"/>
          <w:color w:val="auto"/>
          <w:sz w:val="28"/>
          <w:szCs w:val="28"/>
          <w:highlight w:val="none"/>
        </w:rPr>
        <w:t>负责</w:t>
      </w:r>
      <w:r>
        <w:rPr>
          <w:rFonts w:hint="eastAsia" w:ascii="宋体" w:hAnsi="宋体"/>
          <w:i w:val="0"/>
          <w:iCs w:val="0"/>
          <w:color w:val="auto"/>
          <w:sz w:val="28"/>
          <w:szCs w:val="28"/>
          <w:highlight w:val="none"/>
          <w:lang w:eastAsia="zh-CN"/>
        </w:rPr>
        <w:t>采购文件</w:t>
      </w:r>
      <w:r>
        <w:rPr>
          <w:rFonts w:hint="eastAsia" w:ascii="宋体" w:hAnsi="宋体"/>
          <w:i w:val="0"/>
          <w:iCs w:val="0"/>
          <w:color w:val="auto"/>
          <w:sz w:val="28"/>
          <w:szCs w:val="28"/>
          <w:highlight w:val="none"/>
        </w:rPr>
        <w:t>的汇总编写，</w:t>
      </w:r>
      <w:r>
        <w:rPr>
          <w:rFonts w:hint="eastAsia" w:ascii="宋体" w:hAnsi="宋体"/>
          <w:i w:val="0"/>
          <w:iCs w:val="0"/>
          <w:color w:val="auto"/>
          <w:sz w:val="28"/>
          <w:szCs w:val="28"/>
          <w:highlight w:val="none"/>
          <w:lang w:val="en-US" w:eastAsia="zh-CN"/>
        </w:rPr>
        <w:t>采购</w:t>
      </w:r>
      <w:r>
        <w:rPr>
          <w:rFonts w:hint="eastAsia" w:ascii="宋体" w:hAnsi="宋体" w:eastAsia="宋体"/>
          <w:i w:val="0"/>
          <w:iCs w:val="0"/>
          <w:color w:val="auto"/>
          <w:sz w:val="28"/>
          <w:szCs w:val="28"/>
          <w:highlight w:val="none"/>
          <w:lang w:val="en-US" w:eastAsia="zh-CN"/>
        </w:rPr>
        <w:t>人</w:t>
      </w:r>
      <w:r>
        <w:rPr>
          <w:rFonts w:hint="eastAsia" w:ascii="宋体" w:hAnsi="宋体" w:eastAsia="宋体"/>
          <w:i w:val="0"/>
          <w:iCs w:val="0"/>
          <w:color w:val="auto"/>
          <w:sz w:val="28"/>
          <w:szCs w:val="28"/>
          <w:highlight w:val="none"/>
        </w:rPr>
        <w:t>向</w:t>
      </w:r>
      <w:r>
        <w:rPr>
          <w:rFonts w:hint="eastAsia" w:ascii="宋体" w:hAnsi="宋体" w:eastAsia="宋体"/>
          <w:i w:val="0"/>
          <w:iCs w:val="0"/>
          <w:color w:val="auto"/>
          <w:sz w:val="28"/>
          <w:szCs w:val="28"/>
          <w:highlight w:val="none"/>
          <w:lang w:eastAsia="zh-CN"/>
        </w:rPr>
        <w:t>招标代理机构</w:t>
      </w:r>
      <w:r>
        <w:rPr>
          <w:rFonts w:hint="eastAsia" w:ascii="宋体" w:hAnsi="宋体" w:eastAsia="宋体"/>
          <w:i w:val="0"/>
          <w:iCs w:val="0"/>
          <w:color w:val="auto"/>
          <w:sz w:val="28"/>
          <w:szCs w:val="28"/>
          <w:highlight w:val="none"/>
        </w:rPr>
        <w:t>提供</w:t>
      </w:r>
      <w:r>
        <w:rPr>
          <w:rFonts w:hint="eastAsia" w:ascii="宋体" w:hAnsi="宋体" w:eastAsia="宋体"/>
          <w:i w:val="0"/>
          <w:iCs w:val="0"/>
          <w:color w:val="auto"/>
          <w:sz w:val="28"/>
          <w:szCs w:val="28"/>
          <w:highlight w:val="none"/>
          <w:lang w:eastAsia="zh-CN"/>
        </w:rPr>
        <w:t>：</w:t>
      </w:r>
      <w:r>
        <w:rPr>
          <w:rFonts w:hint="eastAsia" w:ascii="宋体" w:hAnsi="宋体" w:eastAsia="宋体"/>
          <w:i w:val="0"/>
          <w:iCs w:val="0"/>
          <w:color w:val="auto"/>
          <w:sz w:val="28"/>
          <w:szCs w:val="28"/>
          <w:highlight w:val="none"/>
          <w:u w:val="single"/>
        </w:rPr>
        <w:t>项目相关前期资料、资金落</w:t>
      </w:r>
      <w:r>
        <w:rPr>
          <w:rFonts w:hint="eastAsia" w:ascii="宋体" w:hAnsi="宋体"/>
          <w:i w:val="0"/>
          <w:iCs w:val="0"/>
          <w:color w:val="auto"/>
          <w:sz w:val="28"/>
          <w:szCs w:val="28"/>
          <w:highlight w:val="none"/>
          <w:u w:val="single"/>
        </w:rPr>
        <w:t>实情况资料、合同文本，以及所需的全部技术资料和图纸等。</w:t>
      </w:r>
    </w:p>
    <w:p>
      <w:pPr>
        <w:adjustRightInd w:val="0"/>
        <w:snapToGrid w:val="0"/>
        <w:spacing w:before="50"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rPr>
        <w:t>2.</w:t>
      </w:r>
      <w:bookmarkStart w:id="32" w:name="TXT_5207077C61DA43D3971C9E8DBCC76172_3"/>
      <w:r>
        <w:rPr>
          <w:rFonts w:hint="eastAsia" w:ascii="宋体" w:hAnsi="宋体"/>
          <w:i w:val="0"/>
          <w:iCs w:val="0"/>
          <w:color w:val="auto"/>
          <w:sz w:val="28"/>
          <w:szCs w:val="28"/>
          <w:highlight w:val="none"/>
          <w:u w:val="single"/>
          <w:lang w:eastAsia="zh-CN"/>
        </w:rPr>
        <w:t>中国南方电网有限责任公司人才发展中心数字化部</w:t>
      </w:r>
      <w:bookmarkEnd w:id="32"/>
      <w:r>
        <w:rPr>
          <w:rFonts w:hint="eastAsia" w:ascii="宋体" w:hAnsi="宋体"/>
          <w:i w:val="0"/>
          <w:iCs w:val="0"/>
          <w:color w:val="auto"/>
          <w:sz w:val="28"/>
          <w:szCs w:val="28"/>
          <w:highlight w:val="none"/>
        </w:rPr>
        <w:t>负责</w:t>
      </w:r>
      <w:r>
        <w:rPr>
          <w:rFonts w:hint="eastAsia" w:ascii="宋体" w:hAnsi="宋体" w:eastAsia="宋体" w:cs="宋体"/>
          <w:i w:val="0"/>
          <w:iCs w:val="0"/>
          <w:color w:val="auto"/>
          <w:sz w:val="28"/>
          <w:szCs w:val="28"/>
          <w:highlight w:val="none"/>
          <w:lang w:val="en-US" w:eastAsia="zh-CN"/>
        </w:rPr>
        <w:t>组</w:t>
      </w:r>
      <w:r>
        <w:rPr>
          <w:rFonts w:hint="eastAsia" w:ascii="宋体" w:hAnsi="宋体" w:cs="宋体"/>
          <w:i w:val="0"/>
          <w:iCs w:val="0"/>
          <w:color w:val="auto"/>
          <w:sz w:val="28"/>
          <w:szCs w:val="28"/>
          <w:highlight w:val="none"/>
          <w:lang w:val="en-US" w:eastAsia="zh-CN"/>
        </w:rPr>
        <w:t>织采购</w:t>
      </w:r>
      <w:r>
        <w:rPr>
          <w:rFonts w:hint="eastAsia" w:ascii="宋体" w:hAnsi="宋体" w:eastAsia="宋体" w:cs="宋体"/>
          <w:i w:val="0"/>
          <w:iCs w:val="0"/>
          <w:color w:val="auto"/>
          <w:sz w:val="28"/>
          <w:szCs w:val="28"/>
          <w:highlight w:val="none"/>
          <w:lang w:val="en-US" w:eastAsia="zh-CN"/>
        </w:rPr>
        <w:t>文件的审查。</w:t>
      </w:r>
    </w:p>
    <w:p>
      <w:pPr>
        <w:numPr>
          <w:ilvl w:val="0"/>
          <w:numId w:val="1"/>
        </w:numPr>
        <w:adjustRightInd w:val="0"/>
        <w:snapToGrid w:val="0"/>
        <w:spacing w:before="156" w:beforeLines="50" w:line="360" w:lineRule="auto"/>
        <w:outlineLvl w:val="9"/>
        <w:rPr>
          <w:rFonts w:ascii="宋体" w:hAnsi="宋体"/>
          <w:b/>
          <w:i w:val="0"/>
          <w:iCs w:val="0"/>
          <w:color w:val="auto"/>
          <w:sz w:val="28"/>
          <w:szCs w:val="28"/>
          <w:highlight w:val="none"/>
        </w:rPr>
      </w:pPr>
      <w:r>
        <w:rPr>
          <w:rFonts w:hint="eastAsia" w:ascii="宋体" w:hAnsi="宋体"/>
          <w:b/>
          <w:i w:val="0"/>
          <w:iCs w:val="0"/>
          <w:color w:val="auto"/>
          <w:sz w:val="28"/>
          <w:szCs w:val="28"/>
          <w:highlight w:val="none"/>
        </w:rPr>
        <w:t>发收标</w:t>
      </w:r>
    </w:p>
    <w:p>
      <w:pPr>
        <w:adjustRightInd w:val="0"/>
        <w:snapToGrid w:val="0"/>
        <w:spacing w:before="50"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rPr>
        <w:t>1.</w:t>
      </w:r>
      <w:r>
        <w:rPr>
          <w:rFonts w:hint="eastAsia" w:ascii="宋体" w:hAnsi="宋体"/>
          <w:i w:val="0"/>
          <w:iCs w:val="0"/>
          <w:color w:val="auto"/>
          <w:sz w:val="28"/>
          <w:szCs w:val="28"/>
          <w:highlight w:val="none"/>
          <w:lang w:eastAsia="zh-CN"/>
        </w:rPr>
        <w:t>采购</w:t>
      </w:r>
      <w:r>
        <w:rPr>
          <w:rFonts w:hint="eastAsia" w:ascii="宋体" w:hAnsi="宋体"/>
          <w:i w:val="0"/>
          <w:iCs w:val="0"/>
          <w:color w:val="auto"/>
          <w:sz w:val="28"/>
          <w:szCs w:val="28"/>
          <w:highlight w:val="none"/>
        </w:rPr>
        <w:t>人通过</w:t>
      </w:r>
      <w:r>
        <w:rPr>
          <w:rFonts w:hint="default" w:ascii="Times New Roman" w:hAnsi="Times New Roman" w:cs="Times New Roman"/>
          <w:i w:val="0"/>
          <w:iCs w:val="0"/>
          <w:color w:val="auto"/>
          <w:sz w:val="28"/>
          <w:szCs w:val="28"/>
          <w:highlight w:val="none"/>
        </w:rPr>
        <w:t>南方电网公司</w:t>
      </w:r>
      <w:r>
        <w:rPr>
          <w:rFonts w:hint="default" w:ascii="Times New Roman" w:hAnsi="Times New Roman" w:cs="Times New Roman"/>
          <w:i w:val="0"/>
          <w:iCs w:val="0"/>
          <w:color w:val="auto"/>
          <w:sz w:val="28"/>
          <w:szCs w:val="28"/>
          <w:highlight w:val="none"/>
          <w:lang w:eastAsia="zh-CN"/>
        </w:rPr>
        <w:t>供应链统一服务平台</w:t>
      </w:r>
      <w:r>
        <w:rPr>
          <w:rFonts w:hint="default" w:ascii="Times New Roman" w:hAnsi="Times New Roman" w:cs="Times New Roman"/>
          <w:i w:val="0"/>
          <w:iCs w:val="0"/>
          <w:color w:val="auto"/>
          <w:sz w:val="28"/>
          <w:szCs w:val="28"/>
          <w:highlight w:val="none"/>
        </w:rPr>
        <w:t>（登录网址：</w:t>
      </w:r>
      <w:r>
        <w:fldChar w:fldCharType="begin"/>
      </w:r>
      <w:r>
        <w:instrText xml:space="preserve"> HYPERLINK "http://www.bidding.csg.cn）实施电子化招标投标。@项目信息.服务中心单位/代理机构名称@" </w:instrText>
      </w:r>
      <w:r>
        <w:fldChar w:fldCharType="separate"/>
      </w:r>
      <w:r>
        <w:rPr>
          <w:rStyle w:val="26"/>
          <w:rFonts w:hint="default" w:ascii="Times New Roman" w:hAnsi="Times New Roman" w:cs="Times New Roman"/>
          <w:i w:val="0"/>
          <w:iCs w:val="0"/>
          <w:color w:val="auto"/>
          <w:sz w:val="28"/>
          <w:szCs w:val="28"/>
          <w:highlight w:val="none"/>
        </w:rPr>
        <w:t>www.bidding.csg.cn）</w:t>
      </w:r>
      <w:r>
        <w:rPr>
          <w:rStyle w:val="26"/>
          <w:rFonts w:hint="default" w:ascii="Times New Roman" w:hAnsi="Times New Roman" w:cs="Times New Roman"/>
          <w:i w:val="0"/>
          <w:iCs w:val="0"/>
          <w:color w:val="auto"/>
          <w:sz w:val="28"/>
          <w:szCs w:val="28"/>
          <w:highlight w:val="none"/>
        </w:rPr>
        <w:fldChar w:fldCharType="end"/>
      </w:r>
      <w:r>
        <w:rPr>
          <w:rFonts w:hint="eastAsia" w:ascii="宋体" w:hAnsi="宋体"/>
          <w:i w:val="0"/>
          <w:iCs w:val="0"/>
          <w:color w:val="auto"/>
          <w:sz w:val="28"/>
          <w:szCs w:val="28"/>
          <w:highlight w:val="none"/>
        </w:rPr>
        <w:t>实施电子化</w:t>
      </w:r>
      <w:r>
        <w:rPr>
          <w:rFonts w:hint="eastAsia" w:ascii="宋体" w:hAnsi="宋体"/>
          <w:i w:val="0"/>
          <w:iCs w:val="0"/>
          <w:color w:val="auto"/>
          <w:sz w:val="28"/>
          <w:szCs w:val="28"/>
          <w:highlight w:val="none"/>
          <w:lang w:eastAsia="zh-CN"/>
        </w:rPr>
        <w:t>采购</w:t>
      </w:r>
      <w:r>
        <w:rPr>
          <w:rFonts w:hint="eastAsia" w:ascii="宋体" w:hAnsi="宋体"/>
          <w:i w:val="0"/>
          <w:iCs w:val="0"/>
          <w:color w:val="auto"/>
          <w:sz w:val="28"/>
          <w:szCs w:val="28"/>
          <w:highlight w:val="none"/>
        </w:rPr>
        <w:t>。</w:t>
      </w:r>
      <w:bookmarkStart w:id="33" w:name="TXT_A9261B249F474CA78E2782F9BA1FDED2_3"/>
      <w:r>
        <w:rPr>
          <w:rFonts w:hint="eastAsia" w:ascii="宋体" w:hAnsi="宋体"/>
          <w:i w:val="0"/>
          <w:iCs w:val="0"/>
          <w:color w:val="auto"/>
          <w:sz w:val="28"/>
          <w:szCs w:val="28"/>
          <w:highlight w:val="none"/>
          <w:u w:val="single"/>
          <w:lang w:eastAsia="zh-CN"/>
        </w:rPr>
        <w:t>南方电网供应链集团有限公司</w:t>
      </w:r>
      <w:bookmarkEnd w:id="33"/>
      <w:r>
        <w:rPr>
          <w:rFonts w:hint="eastAsia" w:ascii="宋体" w:hAnsi="宋体"/>
          <w:i w:val="0"/>
          <w:iCs w:val="0"/>
          <w:color w:val="auto"/>
          <w:sz w:val="28"/>
          <w:szCs w:val="28"/>
          <w:highlight w:val="none"/>
        </w:rPr>
        <w:t>负责</w:t>
      </w:r>
      <w:r>
        <w:rPr>
          <w:rFonts w:hint="default" w:ascii="Times New Roman" w:hAnsi="Times New Roman" w:cs="Times New Roman"/>
          <w:i w:val="0"/>
          <w:iCs w:val="0"/>
          <w:color w:val="auto"/>
          <w:sz w:val="28"/>
          <w:szCs w:val="28"/>
          <w:highlight w:val="none"/>
        </w:rPr>
        <w:t>公开</w:t>
      </w:r>
      <w:r>
        <w:rPr>
          <w:rFonts w:hint="default" w:ascii="Times New Roman" w:hAnsi="Times New Roman" w:cs="Times New Roman"/>
          <w:i w:val="0"/>
          <w:iCs w:val="0"/>
          <w:color w:val="auto"/>
          <w:sz w:val="28"/>
          <w:szCs w:val="28"/>
          <w:highlight w:val="none"/>
          <w:lang w:eastAsia="zh-CN"/>
        </w:rPr>
        <w:t>发布</w:t>
      </w:r>
      <w:r>
        <w:rPr>
          <w:rFonts w:hint="eastAsia" w:ascii="Times New Roman" w:hAnsi="Times New Roman" w:cs="Times New Roman"/>
          <w:i w:val="0"/>
          <w:iCs w:val="0"/>
          <w:color w:val="auto"/>
          <w:sz w:val="28"/>
          <w:szCs w:val="28"/>
          <w:highlight w:val="none"/>
          <w:lang w:eastAsia="zh-CN"/>
        </w:rPr>
        <w:t>采购文件</w:t>
      </w:r>
      <w:r>
        <w:rPr>
          <w:rFonts w:hint="default" w:ascii="Times New Roman" w:hAnsi="Times New Roman" w:cs="Times New Roman"/>
          <w:i w:val="0"/>
          <w:iCs w:val="0"/>
          <w:color w:val="auto"/>
          <w:sz w:val="28"/>
          <w:szCs w:val="28"/>
          <w:highlight w:val="none"/>
        </w:rPr>
        <w:t>。</w:t>
      </w:r>
      <w:r>
        <w:rPr>
          <w:rFonts w:hint="eastAsia" w:ascii="Times New Roman" w:hAnsi="Times New Roman" w:cs="Times New Roman"/>
          <w:i w:val="0"/>
          <w:iCs w:val="0"/>
          <w:color w:val="auto"/>
          <w:sz w:val="28"/>
          <w:szCs w:val="28"/>
          <w:highlight w:val="none"/>
          <w:lang w:eastAsia="zh-CN"/>
        </w:rPr>
        <w:t>采购文件</w:t>
      </w:r>
      <w:r>
        <w:rPr>
          <w:rFonts w:hint="default" w:ascii="Times New Roman" w:hAnsi="Times New Roman" w:cs="Times New Roman"/>
          <w:i w:val="0"/>
          <w:iCs w:val="0"/>
          <w:color w:val="auto"/>
          <w:sz w:val="28"/>
          <w:szCs w:val="28"/>
          <w:highlight w:val="none"/>
        </w:rPr>
        <w:t>应载明</w:t>
      </w:r>
      <w:r>
        <w:rPr>
          <w:rFonts w:hint="eastAsia" w:ascii="Times New Roman" w:hAnsi="Times New Roman" w:cs="Times New Roman"/>
          <w:i w:val="0"/>
          <w:iCs w:val="0"/>
          <w:color w:val="auto"/>
          <w:sz w:val="28"/>
          <w:szCs w:val="28"/>
          <w:highlight w:val="none"/>
          <w:lang w:eastAsia="zh-CN"/>
        </w:rPr>
        <w:t>供应商</w:t>
      </w:r>
      <w:r>
        <w:rPr>
          <w:rFonts w:hint="default" w:ascii="Times New Roman" w:hAnsi="Times New Roman" w:cs="Times New Roman"/>
          <w:i w:val="0"/>
          <w:iCs w:val="0"/>
          <w:color w:val="auto"/>
          <w:sz w:val="28"/>
          <w:szCs w:val="28"/>
          <w:highlight w:val="none"/>
        </w:rPr>
        <w:t>资格条件、</w:t>
      </w:r>
      <w:r>
        <w:rPr>
          <w:rFonts w:hint="eastAsia" w:ascii="Times New Roman" w:hAnsi="Times New Roman" w:cs="Times New Roman"/>
          <w:i w:val="0"/>
          <w:iCs w:val="0"/>
          <w:color w:val="auto"/>
          <w:sz w:val="28"/>
          <w:szCs w:val="28"/>
          <w:highlight w:val="none"/>
          <w:lang w:eastAsia="zh-CN"/>
        </w:rPr>
        <w:t>评审</w:t>
      </w:r>
      <w:r>
        <w:rPr>
          <w:rFonts w:hint="default" w:ascii="Times New Roman" w:hAnsi="Times New Roman" w:cs="Times New Roman"/>
          <w:i w:val="0"/>
          <w:iCs w:val="0"/>
          <w:color w:val="auto"/>
          <w:sz w:val="28"/>
          <w:szCs w:val="28"/>
          <w:highlight w:val="none"/>
        </w:rPr>
        <w:t>标准、方法和合同主要条款，并明确</w:t>
      </w:r>
      <w:r>
        <w:rPr>
          <w:rFonts w:hint="eastAsia" w:ascii="Times New Roman" w:hAnsi="Times New Roman" w:cs="Times New Roman"/>
          <w:i w:val="0"/>
          <w:iCs w:val="0"/>
          <w:color w:val="auto"/>
          <w:sz w:val="28"/>
          <w:szCs w:val="28"/>
          <w:highlight w:val="none"/>
          <w:lang w:eastAsia="zh-CN"/>
        </w:rPr>
        <w:t>响应文件</w:t>
      </w:r>
      <w:r>
        <w:rPr>
          <w:rFonts w:hint="default" w:ascii="Times New Roman" w:hAnsi="Times New Roman" w:cs="Times New Roman"/>
          <w:i w:val="0"/>
          <w:iCs w:val="0"/>
          <w:color w:val="auto"/>
          <w:sz w:val="28"/>
          <w:szCs w:val="28"/>
          <w:highlight w:val="none"/>
        </w:rPr>
        <w:t>的投递时间和投递地点。</w:t>
      </w:r>
    </w:p>
    <w:p>
      <w:pPr>
        <w:adjustRightInd w:val="0"/>
        <w:snapToGrid w:val="0"/>
        <w:spacing w:before="50"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rPr>
        <w:t>2.</w:t>
      </w:r>
      <w:r>
        <w:rPr>
          <w:rFonts w:hint="default" w:ascii="Times New Roman" w:hAnsi="Times New Roman" w:cs="Times New Roman"/>
          <w:i w:val="0"/>
          <w:iCs w:val="0"/>
          <w:color w:val="auto"/>
          <w:sz w:val="28"/>
          <w:szCs w:val="28"/>
          <w:highlight w:val="none"/>
        </w:rPr>
        <w:t>按国家电子招标投标法有关规定和电子交易平台技术要求，凡有意参加</w:t>
      </w:r>
      <w:r>
        <w:rPr>
          <w:rFonts w:hint="eastAsia" w:ascii="Times New Roman" w:hAnsi="Times New Roman" w:cs="Times New Roman"/>
          <w:i w:val="0"/>
          <w:iCs w:val="0"/>
          <w:color w:val="auto"/>
          <w:sz w:val="28"/>
          <w:szCs w:val="28"/>
          <w:highlight w:val="none"/>
          <w:lang w:val="en-US" w:eastAsia="zh-CN"/>
        </w:rPr>
        <w:t>响应</w:t>
      </w:r>
      <w:r>
        <w:rPr>
          <w:rFonts w:hint="default" w:ascii="Times New Roman" w:hAnsi="Times New Roman" w:cs="Times New Roman"/>
          <w:i w:val="0"/>
          <w:iCs w:val="0"/>
          <w:color w:val="auto"/>
          <w:sz w:val="28"/>
          <w:szCs w:val="28"/>
          <w:highlight w:val="none"/>
        </w:rPr>
        <w:t>者，需先行在系统完成登记注册和审核，并办理供应商数字证书。潜在</w:t>
      </w:r>
      <w:r>
        <w:rPr>
          <w:rFonts w:hint="eastAsia" w:ascii="Times New Roman" w:hAnsi="Times New Roman" w:cs="Times New Roman"/>
          <w:i w:val="0"/>
          <w:iCs w:val="0"/>
          <w:color w:val="auto"/>
          <w:sz w:val="28"/>
          <w:szCs w:val="28"/>
          <w:highlight w:val="none"/>
          <w:lang w:eastAsia="zh-CN"/>
        </w:rPr>
        <w:t>供应商</w:t>
      </w:r>
      <w:r>
        <w:rPr>
          <w:rFonts w:hint="default" w:ascii="Times New Roman" w:hAnsi="Times New Roman" w:cs="Times New Roman"/>
          <w:i w:val="0"/>
          <w:iCs w:val="0"/>
          <w:color w:val="auto"/>
          <w:sz w:val="28"/>
          <w:szCs w:val="28"/>
          <w:highlight w:val="none"/>
        </w:rPr>
        <w:t>在完整办理供应商登记后，在</w:t>
      </w:r>
      <w:r>
        <w:rPr>
          <w:rFonts w:hint="eastAsia" w:ascii="Times New Roman" w:hAnsi="Times New Roman" w:cs="Times New Roman"/>
          <w:i w:val="0"/>
          <w:iCs w:val="0"/>
          <w:color w:val="auto"/>
          <w:sz w:val="28"/>
          <w:szCs w:val="28"/>
          <w:highlight w:val="none"/>
          <w:lang w:eastAsia="zh-CN"/>
        </w:rPr>
        <w:t>采购</w:t>
      </w:r>
      <w:r>
        <w:rPr>
          <w:rFonts w:hint="default" w:ascii="Times New Roman" w:hAnsi="Times New Roman" w:cs="Times New Roman"/>
          <w:i w:val="0"/>
          <w:iCs w:val="0"/>
          <w:color w:val="auto"/>
          <w:sz w:val="28"/>
          <w:szCs w:val="28"/>
          <w:highlight w:val="none"/>
        </w:rPr>
        <w:t>公告规定的时间内可自行</w:t>
      </w:r>
      <w:r>
        <w:rPr>
          <w:rFonts w:hint="default" w:ascii="Times New Roman" w:hAnsi="Times New Roman" w:cs="Times New Roman"/>
          <w:i w:val="0"/>
          <w:iCs w:val="0"/>
          <w:color w:val="auto"/>
          <w:sz w:val="28"/>
          <w:szCs w:val="28"/>
          <w:highlight w:val="none"/>
          <w:lang w:eastAsia="zh-CN"/>
        </w:rPr>
        <w:t>从系统获取</w:t>
      </w:r>
      <w:r>
        <w:rPr>
          <w:rFonts w:hint="eastAsia" w:ascii="Times New Roman" w:hAnsi="Times New Roman" w:cs="Times New Roman"/>
          <w:i w:val="0"/>
          <w:iCs w:val="0"/>
          <w:color w:val="auto"/>
          <w:sz w:val="28"/>
          <w:szCs w:val="28"/>
          <w:highlight w:val="none"/>
          <w:lang w:eastAsia="zh-CN"/>
        </w:rPr>
        <w:t>采购文件</w:t>
      </w:r>
      <w:r>
        <w:rPr>
          <w:rFonts w:hint="default" w:ascii="Times New Roman" w:hAnsi="Times New Roman" w:cs="Times New Roman"/>
          <w:i w:val="0"/>
          <w:iCs w:val="0"/>
          <w:color w:val="auto"/>
          <w:sz w:val="28"/>
          <w:szCs w:val="28"/>
          <w:highlight w:val="none"/>
        </w:rPr>
        <w:t>。</w:t>
      </w:r>
    </w:p>
    <w:p>
      <w:pPr>
        <w:adjustRightInd w:val="0"/>
        <w:snapToGrid w:val="0"/>
        <w:spacing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rPr>
        <w:t>3.</w:t>
      </w:r>
      <w:bookmarkStart w:id="34" w:name="TXT_A9261B249F474CA78E2782F9BA1FDED2_4"/>
      <w:r>
        <w:rPr>
          <w:rFonts w:hint="eastAsia" w:ascii="宋体" w:hAnsi="宋体"/>
          <w:i w:val="0"/>
          <w:iCs w:val="0"/>
          <w:color w:val="auto"/>
          <w:sz w:val="28"/>
          <w:szCs w:val="28"/>
          <w:highlight w:val="none"/>
          <w:u w:val="single"/>
          <w:lang w:eastAsia="zh-CN"/>
        </w:rPr>
        <w:t>南方电网供应链集团有限公司</w:t>
      </w:r>
      <w:bookmarkEnd w:id="34"/>
      <w:r>
        <w:rPr>
          <w:rFonts w:hint="eastAsia" w:ascii="宋体" w:hAnsi="宋体"/>
          <w:i w:val="0"/>
          <w:iCs w:val="0"/>
          <w:color w:val="auto"/>
          <w:sz w:val="28"/>
          <w:szCs w:val="28"/>
          <w:highlight w:val="none"/>
        </w:rPr>
        <w:t>负责收集和发布澄清答疑情况，并协助</w:t>
      </w:r>
      <w:bookmarkStart w:id="35" w:name="TXT_5207077C61DA43D3971C9E8DBCC76172_4"/>
      <w:r>
        <w:rPr>
          <w:rFonts w:hint="eastAsia" w:ascii="宋体" w:hAnsi="宋体"/>
          <w:i w:val="0"/>
          <w:iCs w:val="0"/>
          <w:color w:val="auto"/>
          <w:sz w:val="28"/>
          <w:szCs w:val="28"/>
          <w:highlight w:val="none"/>
          <w:u w:val="single"/>
          <w:lang w:eastAsia="zh-CN"/>
        </w:rPr>
        <w:t>中国南方电网有限责任公司人才发展中心数字化部</w:t>
      </w:r>
      <w:bookmarkEnd w:id="35"/>
      <w:r>
        <w:rPr>
          <w:rFonts w:hint="eastAsia" w:ascii="宋体" w:hAnsi="宋体"/>
          <w:i w:val="0"/>
          <w:iCs w:val="0"/>
          <w:color w:val="auto"/>
          <w:sz w:val="28"/>
          <w:szCs w:val="28"/>
          <w:highlight w:val="none"/>
        </w:rPr>
        <w:t>落实澄清和答疑内容。</w:t>
      </w:r>
    </w:p>
    <w:p>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565" w:firstLineChars="202"/>
        <w:jc w:val="both"/>
        <w:textAlignment w:val="auto"/>
        <w:outlineLvl w:val="9"/>
        <w:rPr>
          <w:rFonts w:hint="eastAsia" w:ascii="宋体" w:hAnsi="宋体" w:eastAsia="宋体" w:cs="宋体"/>
          <w:i w:val="0"/>
          <w:iCs w:val="0"/>
          <w:color w:val="auto"/>
          <w:sz w:val="28"/>
          <w:szCs w:val="28"/>
          <w:highlight w:val="none"/>
          <w:lang w:val="en-US" w:eastAsia="zh-CN"/>
        </w:rPr>
      </w:pPr>
      <w:r>
        <w:rPr>
          <w:rFonts w:hint="eastAsia" w:ascii="宋体" w:hAnsi="宋体" w:eastAsia="宋体" w:cs="宋体"/>
          <w:i w:val="0"/>
          <w:iCs w:val="0"/>
          <w:color w:val="auto"/>
          <w:sz w:val="28"/>
          <w:szCs w:val="28"/>
          <w:highlight w:val="none"/>
          <w:lang w:val="en-US" w:eastAsia="zh-CN"/>
        </w:rPr>
        <w:t>4.</w:t>
      </w:r>
      <w:r>
        <w:rPr>
          <w:rFonts w:hint="eastAsia" w:ascii="宋体" w:hAnsi="宋体"/>
          <w:i w:val="0"/>
          <w:iCs w:val="0"/>
          <w:color w:val="auto"/>
          <w:sz w:val="28"/>
          <w:szCs w:val="28"/>
          <w:highlight w:val="none"/>
          <w:lang w:val="en-US" w:eastAsia="zh-CN"/>
        </w:rPr>
        <w:t>本项目</w:t>
      </w:r>
      <w:r>
        <w:rPr>
          <w:rFonts w:hint="eastAsia" w:ascii="宋体" w:hAnsi="宋体"/>
          <w:i w:val="0"/>
          <w:iCs w:val="0"/>
          <w:color w:val="auto"/>
          <w:sz w:val="28"/>
          <w:szCs w:val="28"/>
          <w:highlight w:val="none"/>
          <w:u w:val="single"/>
          <w:lang w:val="en-US" w:eastAsia="zh-CN"/>
        </w:rPr>
        <w:t>不收取</w:t>
      </w:r>
      <w:r>
        <w:rPr>
          <w:rFonts w:hint="eastAsia" w:ascii="Times New Roman" w:hAnsi="Times New Roman" w:cs="Times New Roman"/>
          <w:i w:val="0"/>
          <w:iCs w:val="0"/>
          <w:color w:val="auto"/>
          <w:sz w:val="28"/>
          <w:szCs w:val="28"/>
          <w:highlight w:val="none"/>
          <w:lang w:val="en-US" w:eastAsia="zh-CN"/>
        </w:rPr>
        <w:t>响应</w:t>
      </w:r>
      <w:r>
        <w:rPr>
          <w:rFonts w:hint="eastAsia" w:ascii="Times New Roman" w:hAnsi="Times New Roman" w:eastAsia="宋体" w:cs="Times New Roman"/>
          <w:i w:val="0"/>
          <w:iCs w:val="0"/>
          <w:color w:val="auto"/>
          <w:sz w:val="28"/>
          <w:szCs w:val="28"/>
          <w:highlight w:val="none"/>
          <w:lang w:val="en-US" w:eastAsia="zh-CN"/>
        </w:rPr>
        <w:t>保证金。</w:t>
      </w:r>
      <w:r>
        <w:rPr>
          <w:rFonts w:hint="eastAsia" w:ascii="宋体" w:hAnsi="宋体" w:eastAsia="宋体" w:cs="宋体"/>
          <w:color w:val="auto"/>
          <w:sz w:val="28"/>
          <w:szCs w:val="28"/>
          <w:highlight w:val="none"/>
          <w:lang w:val="en-US" w:eastAsia="zh-CN"/>
        </w:rPr>
        <w:t>响应保证金按标的/标包/标段设置。供应商在采购文件规定的截止时间按采购文件要求递交响应保证金，招标代理机构负责统一接收和保管。</w:t>
      </w:r>
    </w:p>
    <w:p>
      <w:pPr>
        <w:adjustRightInd w:val="0"/>
        <w:snapToGrid w:val="0"/>
        <w:spacing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rPr>
        <w:t>5.至截标时间止，</w:t>
      </w:r>
      <w:r>
        <w:rPr>
          <w:rFonts w:hint="eastAsia" w:ascii="宋体" w:hAnsi="宋体"/>
          <w:i w:val="0"/>
          <w:iCs w:val="0"/>
          <w:color w:val="auto"/>
          <w:sz w:val="28"/>
          <w:szCs w:val="28"/>
          <w:highlight w:val="none"/>
          <w:lang w:val="en-US" w:eastAsia="zh-CN"/>
        </w:rPr>
        <w:t>首次</w:t>
      </w:r>
      <w:r>
        <w:rPr>
          <w:rFonts w:hint="eastAsia" w:ascii="宋体" w:hAnsi="宋体"/>
          <w:i w:val="0"/>
          <w:iCs w:val="0"/>
          <w:color w:val="auto"/>
          <w:sz w:val="28"/>
          <w:szCs w:val="28"/>
          <w:highlight w:val="none"/>
        </w:rPr>
        <w:t>提交</w:t>
      </w:r>
      <w:r>
        <w:rPr>
          <w:rFonts w:hint="eastAsia" w:ascii="宋体" w:hAnsi="宋体"/>
          <w:i w:val="0"/>
          <w:iCs w:val="0"/>
          <w:color w:val="auto"/>
          <w:sz w:val="28"/>
          <w:szCs w:val="28"/>
          <w:highlight w:val="none"/>
          <w:lang w:eastAsia="zh-CN"/>
        </w:rPr>
        <w:t>响应文件</w:t>
      </w:r>
      <w:r>
        <w:rPr>
          <w:rFonts w:hint="eastAsia" w:ascii="宋体" w:hAnsi="宋体"/>
          <w:i w:val="0"/>
          <w:iCs w:val="0"/>
          <w:color w:val="auto"/>
          <w:sz w:val="28"/>
          <w:szCs w:val="28"/>
          <w:highlight w:val="none"/>
        </w:rPr>
        <w:t>的</w:t>
      </w:r>
      <w:r>
        <w:rPr>
          <w:rFonts w:hint="eastAsia" w:ascii="宋体" w:hAnsi="宋体"/>
          <w:i w:val="0"/>
          <w:iCs w:val="0"/>
          <w:color w:val="auto"/>
          <w:sz w:val="28"/>
          <w:szCs w:val="28"/>
          <w:highlight w:val="none"/>
          <w:lang w:eastAsia="zh-CN"/>
        </w:rPr>
        <w:t>供应商</w:t>
      </w:r>
      <w:r>
        <w:rPr>
          <w:rFonts w:hint="eastAsia" w:ascii="宋体" w:hAnsi="宋体"/>
          <w:i w:val="0"/>
          <w:iCs w:val="0"/>
          <w:color w:val="auto"/>
          <w:sz w:val="28"/>
          <w:szCs w:val="28"/>
          <w:highlight w:val="none"/>
        </w:rPr>
        <w:t>少于</w:t>
      </w:r>
      <w:r>
        <w:rPr>
          <w:rFonts w:hint="eastAsia" w:ascii="宋体" w:hAnsi="宋体"/>
          <w:i w:val="0"/>
          <w:iCs w:val="0"/>
          <w:color w:val="auto"/>
          <w:sz w:val="28"/>
          <w:szCs w:val="28"/>
          <w:highlight w:val="none"/>
          <w:lang w:val="en-US" w:eastAsia="zh-CN"/>
        </w:rPr>
        <w:t>2</w:t>
      </w:r>
      <w:r>
        <w:rPr>
          <w:rFonts w:hint="eastAsia" w:ascii="宋体" w:hAnsi="宋体"/>
          <w:i w:val="0"/>
          <w:iCs w:val="0"/>
          <w:color w:val="auto"/>
          <w:sz w:val="28"/>
          <w:szCs w:val="28"/>
          <w:highlight w:val="none"/>
        </w:rPr>
        <w:t>个的，应停止后续的</w:t>
      </w:r>
      <w:r>
        <w:rPr>
          <w:rFonts w:hint="eastAsia" w:ascii="宋体" w:hAnsi="宋体"/>
          <w:i w:val="0"/>
          <w:iCs w:val="0"/>
          <w:color w:val="auto"/>
          <w:sz w:val="28"/>
          <w:szCs w:val="28"/>
          <w:highlight w:val="none"/>
          <w:lang w:val="en-US" w:eastAsia="zh-CN"/>
        </w:rPr>
        <w:t>开启</w:t>
      </w:r>
      <w:r>
        <w:rPr>
          <w:rFonts w:hint="eastAsia" w:ascii="宋体" w:hAnsi="宋体"/>
          <w:i w:val="0"/>
          <w:iCs w:val="0"/>
          <w:color w:val="auto"/>
          <w:sz w:val="28"/>
          <w:szCs w:val="28"/>
          <w:highlight w:val="none"/>
        </w:rPr>
        <w:t>和</w:t>
      </w:r>
      <w:r>
        <w:rPr>
          <w:rFonts w:hint="eastAsia" w:ascii="宋体" w:hAnsi="宋体"/>
          <w:i w:val="0"/>
          <w:iCs w:val="0"/>
          <w:color w:val="auto"/>
          <w:sz w:val="28"/>
          <w:szCs w:val="28"/>
          <w:highlight w:val="none"/>
          <w:lang w:val="en-US" w:eastAsia="zh-CN"/>
        </w:rPr>
        <w:t>评审</w:t>
      </w:r>
      <w:r>
        <w:rPr>
          <w:rFonts w:hint="eastAsia" w:ascii="宋体" w:hAnsi="宋体"/>
          <w:i w:val="0"/>
          <w:iCs w:val="0"/>
          <w:color w:val="auto"/>
          <w:sz w:val="28"/>
          <w:szCs w:val="28"/>
          <w:highlight w:val="none"/>
        </w:rPr>
        <w:t>工作。可由</w:t>
      </w:r>
      <w:bookmarkStart w:id="36" w:name="TXT_5207077C61DA43D3971C9E8DBCC76172_5"/>
      <w:r>
        <w:rPr>
          <w:rFonts w:hint="eastAsia" w:ascii="宋体" w:hAnsi="宋体"/>
          <w:i w:val="0"/>
          <w:iCs w:val="0"/>
          <w:color w:val="auto"/>
          <w:sz w:val="28"/>
          <w:szCs w:val="28"/>
          <w:highlight w:val="none"/>
          <w:u w:val="single"/>
          <w:lang w:eastAsia="zh-CN"/>
        </w:rPr>
        <w:t>中国南方电网有限责任公司人才发展中心数字化部</w:t>
      </w:r>
      <w:bookmarkEnd w:id="36"/>
      <w:r>
        <w:rPr>
          <w:rFonts w:hint="eastAsia" w:ascii="宋体" w:hAnsi="宋体"/>
          <w:color w:val="auto"/>
          <w:sz w:val="28"/>
          <w:szCs w:val="28"/>
          <w:highlight w:val="none"/>
        </w:rPr>
        <w:t>对</w:t>
      </w:r>
      <w:r>
        <w:rPr>
          <w:rFonts w:hint="eastAsia" w:ascii="宋体" w:hAnsi="宋体"/>
          <w:color w:val="auto"/>
          <w:sz w:val="28"/>
          <w:szCs w:val="28"/>
          <w:highlight w:val="none"/>
          <w:lang w:eastAsia="zh-CN"/>
        </w:rPr>
        <w:t>采购方案</w:t>
      </w:r>
      <w:r>
        <w:rPr>
          <w:rFonts w:hint="eastAsia" w:ascii="宋体" w:hAnsi="宋体"/>
          <w:color w:val="auto"/>
          <w:sz w:val="28"/>
          <w:szCs w:val="28"/>
          <w:highlight w:val="none"/>
        </w:rPr>
        <w:t>提出修改建议，分析失败原因并采取相应措施经批准后重新组织采购。重新组织采购有效响应的供应商只有1家的，经批准可采用</w:t>
      </w:r>
      <w:r>
        <w:rPr>
          <w:rFonts w:hint="eastAsia" w:ascii="宋体" w:hAnsi="宋体"/>
          <w:color w:val="auto"/>
          <w:sz w:val="28"/>
          <w:szCs w:val="28"/>
          <w:highlight w:val="none"/>
          <w:lang w:val="en-US" w:eastAsia="zh-CN"/>
        </w:rPr>
        <w:t>直接</w:t>
      </w:r>
      <w:r>
        <w:rPr>
          <w:rFonts w:hint="eastAsia" w:ascii="宋体" w:hAnsi="宋体"/>
          <w:color w:val="auto"/>
          <w:sz w:val="28"/>
          <w:szCs w:val="28"/>
          <w:highlight w:val="none"/>
        </w:rPr>
        <w:t>采购方式。</w:t>
      </w:r>
    </w:p>
    <w:p>
      <w:pPr>
        <w:numPr>
          <w:ilvl w:val="0"/>
          <w:numId w:val="1"/>
        </w:numPr>
        <w:adjustRightInd w:val="0"/>
        <w:snapToGrid w:val="0"/>
        <w:spacing w:before="156" w:beforeLines="50" w:line="360" w:lineRule="auto"/>
        <w:outlineLvl w:val="9"/>
        <w:rPr>
          <w:rFonts w:ascii="宋体" w:hAnsi="宋体"/>
          <w:b/>
          <w:i w:val="0"/>
          <w:iCs w:val="0"/>
          <w:color w:val="auto"/>
          <w:sz w:val="28"/>
          <w:szCs w:val="28"/>
          <w:highlight w:val="none"/>
        </w:rPr>
      </w:pPr>
      <w:r>
        <w:rPr>
          <w:rFonts w:hint="eastAsia" w:ascii="宋体" w:hAnsi="宋体"/>
          <w:b/>
          <w:i w:val="0"/>
          <w:iCs w:val="0"/>
          <w:color w:val="auto"/>
          <w:sz w:val="28"/>
          <w:szCs w:val="28"/>
          <w:highlight w:val="none"/>
          <w:lang w:eastAsia="zh-CN"/>
        </w:rPr>
        <w:t>采购工作组</w:t>
      </w:r>
      <w:r>
        <w:rPr>
          <w:rFonts w:hint="eastAsia" w:ascii="宋体" w:hAnsi="宋体"/>
          <w:b/>
          <w:i w:val="0"/>
          <w:iCs w:val="0"/>
          <w:color w:val="auto"/>
          <w:sz w:val="28"/>
          <w:szCs w:val="28"/>
          <w:highlight w:val="none"/>
        </w:rPr>
        <w:t>组成</w:t>
      </w:r>
    </w:p>
    <w:p>
      <w:pPr>
        <w:adjustRightInd w:val="0"/>
        <w:snapToGrid w:val="0"/>
        <w:spacing w:line="360" w:lineRule="auto"/>
        <w:ind w:firstLine="560" w:firstLineChars="200"/>
        <w:outlineLvl w:val="9"/>
        <w:rPr>
          <w:rFonts w:hint="eastAsia" w:ascii="宋体" w:hAnsi="宋体"/>
          <w:color w:val="auto"/>
          <w:sz w:val="28"/>
          <w:szCs w:val="28"/>
          <w:highlight w:val="none"/>
        </w:rPr>
      </w:pPr>
      <w:bookmarkStart w:id="37" w:name="TXT_12A2C96657394DD5BDD9E2D30C79E257_2"/>
      <w:r>
        <w:rPr>
          <w:rFonts w:hint="eastAsia" w:ascii="宋体" w:hAnsi="宋体" w:eastAsia="宋体"/>
          <w:i w:val="0"/>
          <w:iCs w:val="0"/>
          <w:color w:val="auto"/>
          <w:sz w:val="28"/>
          <w:szCs w:val="28"/>
          <w:highlight w:val="none"/>
          <w:u w:val="single"/>
          <w:lang w:val="en-US" w:eastAsia="zh-CN"/>
        </w:rPr>
        <w:t>中国南方电网有限责任公司人才发展中心</w:t>
      </w:r>
      <w:bookmarkEnd w:id="37"/>
      <w:r>
        <w:rPr>
          <w:rFonts w:hint="eastAsia" w:ascii="Times New Roman" w:hAnsi="Times New Roman" w:eastAsia="宋体" w:cs="Times New Roman"/>
          <w:i w:val="0"/>
          <w:iCs w:val="0"/>
          <w:color w:val="auto"/>
          <w:sz w:val="28"/>
          <w:szCs w:val="28"/>
          <w:highlight w:val="none"/>
          <w:lang w:val="en-US" w:eastAsia="zh-CN"/>
        </w:rPr>
        <w:t>负责组建本项目的采购工作组，</w:t>
      </w:r>
      <w:r>
        <w:rPr>
          <w:rFonts w:hint="eastAsia" w:ascii="宋体" w:hAnsi="宋体"/>
          <w:color w:val="auto"/>
          <w:sz w:val="28"/>
          <w:szCs w:val="28"/>
          <w:highlight w:val="none"/>
          <w:lang w:val="en-US" w:eastAsia="zh-CN"/>
        </w:rPr>
        <w:t>采购工作组人数及组成情况详见采购方案摘要。抽取专家组成</w:t>
      </w:r>
      <w:r>
        <w:rPr>
          <w:rFonts w:hint="eastAsia" w:ascii="宋体" w:hAnsi="宋体"/>
          <w:color w:val="auto"/>
          <w:sz w:val="28"/>
          <w:szCs w:val="28"/>
          <w:highlight w:val="none"/>
        </w:rPr>
        <w:t>详见附件3：评</w:t>
      </w:r>
      <w:r>
        <w:rPr>
          <w:rFonts w:hint="eastAsia" w:ascii="宋体" w:hAnsi="宋体"/>
          <w:color w:val="auto"/>
          <w:sz w:val="28"/>
          <w:szCs w:val="28"/>
          <w:highlight w:val="none"/>
          <w:lang w:val="en-US" w:eastAsia="zh-CN"/>
        </w:rPr>
        <w:t>审</w:t>
      </w:r>
      <w:r>
        <w:rPr>
          <w:rFonts w:hint="eastAsia" w:ascii="宋体" w:hAnsi="宋体"/>
          <w:color w:val="auto"/>
          <w:sz w:val="28"/>
          <w:szCs w:val="28"/>
          <w:highlight w:val="none"/>
        </w:rPr>
        <w:t>专家抽取申请表。</w:t>
      </w:r>
    </w:p>
    <w:p>
      <w:pPr>
        <w:ind w:firstLine="560" w:firstLineChars="200"/>
        <w:rPr>
          <w:rFonts w:hint="default" w:ascii="Times New Roman" w:hAnsi="Times New Roman" w:eastAsia="宋体" w:cs="Times New Roman"/>
          <w:i w:val="0"/>
          <w:iCs w:val="0"/>
          <w:color w:val="auto"/>
          <w:sz w:val="28"/>
          <w:szCs w:val="28"/>
          <w:highlight w:val="none"/>
          <w:lang w:val="en-US" w:eastAsia="zh-CN"/>
        </w:rPr>
      </w:pPr>
      <w:r>
        <w:rPr>
          <w:rFonts w:hint="eastAsia" w:ascii="Times New Roman" w:hAnsi="Times New Roman" w:eastAsia="宋体" w:cs="Times New Roman"/>
          <w:i w:val="0"/>
          <w:iCs w:val="0"/>
          <w:color w:val="auto"/>
          <w:sz w:val="28"/>
          <w:szCs w:val="28"/>
          <w:highlight w:val="none"/>
          <w:lang w:val="en-US" w:eastAsia="zh-CN"/>
        </w:rPr>
        <w:t>采购</w:t>
      </w:r>
      <w:r>
        <w:rPr>
          <w:rFonts w:hint="default" w:ascii="Times New Roman" w:hAnsi="Times New Roman" w:eastAsia="宋体" w:cs="Times New Roman"/>
          <w:i w:val="0"/>
          <w:iCs w:val="0"/>
          <w:color w:val="auto"/>
          <w:sz w:val="28"/>
          <w:szCs w:val="28"/>
          <w:highlight w:val="none"/>
          <w:lang w:val="en-US" w:eastAsia="zh-CN"/>
        </w:rPr>
        <w:t>人代表人数不超过评标委员会总人数三分之一。</w:t>
      </w:r>
      <w:r>
        <w:rPr>
          <w:rFonts w:hint="eastAsia" w:ascii="Times New Roman" w:hAnsi="Times New Roman" w:eastAsia="宋体" w:cs="Times New Roman"/>
          <w:i w:val="0"/>
          <w:iCs w:val="0"/>
          <w:color w:val="auto"/>
          <w:sz w:val="28"/>
          <w:szCs w:val="28"/>
          <w:highlight w:val="none"/>
          <w:lang w:val="en-US" w:eastAsia="zh-CN"/>
        </w:rPr>
        <w:t>采购工作组主任/组长由采购工作组成员推举产生</w:t>
      </w:r>
      <w:r>
        <w:rPr>
          <w:rFonts w:hint="default" w:ascii="Times New Roman" w:hAnsi="Times New Roman" w:eastAsia="宋体" w:cs="Times New Roman"/>
          <w:i w:val="0"/>
          <w:iCs w:val="0"/>
          <w:color w:val="auto"/>
          <w:sz w:val="28"/>
          <w:szCs w:val="28"/>
          <w:highlight w:val="none"/>
          <w:lang w:val="en-US" w:eastAsia="zh-CN"/>
        </w:rPr>
        <w:t>。</w:t>
      </w:r>
      <w:r>
        <w:rPr>
          <w:rFonts w:hint="eastAsia" w:ascii="Times New Roman" w:hAnsi="Times New Roman" w:eastAsia="宋体" w:cs="Times New Roman"/>
          <w:i w:val="0"/>
          <w:iCs w:val="0"/>
          <w:color w:val="auto"/>
          <w:sz w:val="28"/>
          <w:szCs w:val="28"/>
          <w:highlight w:val="none"/>
          <w:lang w:val="en-US" w:eastAsia="zh-CN"/>
        </w:rPr>
        <w:t>采购工作组</w:t>
      </w:r>
      <w:r>
        <w:rPr>
          <w:rFonts w:hint="default" w:ascii="Times New Roman" w:hAnsi="Times New Roman" w:eastAsia="宋体" w:cs="Times New Roman"/>
          <w:i w:val="0"/>
          <w:iCs w:val="0"/>
          <w:color w:val="auto"/>
          <w:sz w:val="28"/>
          <w:szCs w:val="28"/>
          <w:highlight w:val="none"/>
          <w:lang w:val="en-US" w:eastAsia="zh-CN"/>
        </w:rPr>
        <w:t>负责全部品类（标的）技术和商务评议。</w:t>
      </w:r>
    </w:p>
    <w:p>
      <w:pPr>
        <w:ind w:firstLine="560" w:firstLineChars="200"/>
        <w:rPr>
          <w:rFonts w:hint="default" w:ascii="Times New Roman" w:hAnsi="Times New Roman" w:eastAsia="宋体" w:cs="Times New Roman"/>
          <w:i w:val="0"/>
          <w:iCs w:val="0"/>
          <w:color w:val="auto"/>
          <w:sz w:val="28"/>
          <w:szCs w:val="28"/>
          <w:highlight w:val="none"/>
          <w:lang w:val="en-US" w:eastAsia="zh-CN"/>
        </w:rPr>
      </w:pPr>
      <w:r>
        <w:rPr>
          <w:rFonts w:hint="default" w:ascii="Times New Roman" w:hAnsi="Times New Roman" w:eastAsia="宋体" w:cs="Times New Roman"/>
          <w:i w:val="0"/>
          <w:iCs w:val="0"/>
          <w:color w:val="auto"/>
          <w:sz w:val="28"/>
          <w:szCs w:val="28"/>
          <w:highlight w:val="none"/>
          <w:lang w:val="en-US" w:eastAsia="zh-CN"/>
        </w:rPr>
        <w:t>抽取专家的，专家抽取时间不得早于开标前3日，抽取时间与开标时间间隔至少包含1个工作日。采购工作组的组成以实际到会专家为准。</w:t>
      </w:r>
    </w:p>
    <w:p>
      <w:pPr>
        <w:numPr>
          <w:ilvl w:val="0"/>
          <w:numId w:val="1"/>
        </w:numPr>
        <w:adjustRightInd w:val="0"/>
        <w:snapToGrid w:val="0"/>
        <w:spacing w:before="156" w:beforeLines="50" w:line="360" w:lineRule="auto"/>
        <w:outlineLvl w:val="9"/>
        <w:rPr>
          <w:rFonts w:ascii="宋体" w:hAnsi="宋体"/>
          <w:b/>
          <w:i w:val="0"/>
          <w:iCs w:val="0"/>
          <w:color w:val="auto"/>
          <w:sz w:val="28"/>
          <w:szCs w:val="28"/>
          <w:highlight w:val="none"/>
        </w:rPr>
      </w:pPr>
      <w:r>
        <w:rPr>
          <w:rFonts w:hint="eastAsia" w:ascii="宋体" w:hAnsi="宋体"/>
          <w:b/>
          <w:i w:val="0"/>
          <w:iCs w:val="0"/>
          <w:color w:val="auto"/>
          <w:sz w:val="28"/>
          <w:szCs w:val="28"/>
          <w:highlight w:val="none"/>
          <w:lang w:val="en-US" w:eastAsia="zh-CN"/>
        </w:rPr>
        <w:t>开启响应文件</w:t>
      </w:r>
    </w:p>
    <w:p>
      <w:pPr>
        <w:adjustRightInd w:val="0"/>
        <w:snapToGrid w:val="0"/>
        <w:spacing w:line="360" w:lineRule="auto"/>
        <w:ind w:firstLine="560" w:firstLineChars="200"/>
        <w:outlineLvl w:val="9"/>
        <w:rPr>
          <w:rFonts w:hint="eastAsia" w:ascii="Times New Roman" w:hAnsi="Times New Roman" w:eastAsia="宋体" w:cs="Times New Roman"/>
          <w:i w:val="0"/>
          <w:iCs w:val="0"/>
          <w:color w:val="auto"/>
          <w:sz w:val="28"/>
          <w:szCs w:val="28"/>
          <w:highlight w:val="none"/>
          <w:lang w:val="en-US" w:eastAsia="zh-CN"/>
        </w:rPr>
      </w:pPr>
      <w:bookmarkStart w:id="38" w:name="TXT_A9261B249F474CA78E2782F9BA1FDED2_5"/>
      <w:r>
        <w:rPr>
          <w:rFonts w:hint="eastAsia" w:ascii="宋体" w:hAnsi="宋体"/>
          <w:i w:val="0"/>
          <w:iCs w:val="0"/>
          <w:color w:val="auto"/>
          <w:sz w:val="28"/>
          <w:szCs w:val="28"/>
          <w:highlight w:val="none"/>
          <w:u w:val="single"/>
          <w:lang w:eastAsia="zh-CN"/>
        </w:rPr>
        <w:t>南方电网供应链集团有限公司</w:t>
      </w:r>
      <w:bookmarkEnd w:id="38"/>
      <w:r>
        <w:rPr>
          <w:rFonts w:hint="eastAsia" w:ascii="宋体" w:hAnsi="宋体"/>
          <w:i w:val="0"/>
          <w:iCs w:val="0"/>
          <w:color w:val="auto"/>
          <w:sz w:val="28"/>
          <w:szCs w:val="28"/>
          <w:highlight w:val="none"/>
        </w:rPr>
        <w:t>在</w:t>
      </w:r>
      <w:r>
        <w:rPr>
          <w:rFonts w:hint="eastAsia" w:ascii="宋体" w:hAnsi="宋体"/>
          <w:i w:val="0"/>
          <w:iCs w:val="0"/>
          <w:color w:val="auto"/>
          <w:sz w:val="28"/>
          <w:szCs w:val="28"/>
          <w:highlight w:val="none"/>
          <w:lang w:eastAsia="zh-CN"/>
        </w:rPr>
        <w:t>采购文件</w:t>
      </w:r>
      <w:r>
        <w:rPr>
          <w:rFonts w:hint="eastAsia" w:ascii="宋体" w:hAnsi="宋体"/>
          <w:i w:val="0"/>
          <w:iCs w:val="0"/>
          <w:color w:val="auto"/>
          <w:sz w:val="28"/>
          <w:szCs w:val="28"/>
          <w:highlight w:val="none"/>
        </w:rPr>
        <w:t>规定的时间</w:t>
      </w:r>
      <w:r>
        <w:rPr>
          <w:rFonts w:hint="default" w:ascii="Times New Roman" w:hAnsi="Times New Roman" w:eastAsia="宋体" w:cs="Times New Roman"/>
          <w:i w:val="0"/>
          <w:iCs w:val="0"/>
          <w:color w:val="auto"/>
          <w:sz w:val="28"/>
          <w:szCs w:val="28"/>
          <w:highlight w:val="none"/>
          <w:lang w:val="en-US" w:eastAsia="zh-CN"/>
        </w:rPr>
        <w:t>通过</w:t>
      </w:r>
      <w:r>
        <w:rPr>
          <w:rFonts w:hint="default" w:ascii="Times New Roman" w:hAnsi="Times New Roman" w:cs="Times New Roman"/>
          <w:i w:val="0"/>
          <w:iCs w:val="0"/>
          <w:color w:val="auto"/>
          <w:sz w:val="28"/>
          <w:szCs w:val="28"/>
          <w:highlight w:val="none"/>
          <w:lang w:val="en-US" w:eastAsia="zh-CN"/>
        </w:rPr>
        <w:t>电网管理平台</w:t>
      </w:r>
      <w:r>
        <w:rPr>
          <w:rFonts w:hint="default" w:ascii="Times New Roman" w:hAnsi="Times New Roman" w:eastAsia="宋体" w:cs="Times New Roman"/>
          <w:i w:val="0"/>
          <w:iCs w:val="0"/>
          <w:color w:val="auto"/>
          <w:sz w:val="28"/>
          <w:szCs w:val="28"/>
          <w:highlight w:val="none"/>
          <w:lang w:val="en-US" w:eastAsia="zh-CN"/>
        </w:rPr>
        <w:t>开启响应文件</w:t>
      </w:r>
      <w:r>
        <w:rPr>
          <w:rFonts w:hint="eastAsia" w:ascii="Times New Roman" w:hAnsi="Times New Roman" w:eastAsia="宋体" w:cs="Times New Roman"/>
          <w:i w:val="0"/>
          <w:iCs w:val="0"/>
          <w:color w:val="auto"/>
          <w:sz w:val="28"/>
          <w:szCs w:val="28"/>
          <w:highlight w:val="none"/>
          <w:lang w:val="en-US" w:eastAsia="zh-CN"/>
        </w:rPr>
        <w:t>。</w:t>
      </w:r>
    </w:p>
    <w:p>
      <w:pPr>
        <w:numPr>
          <w:ilvl w:val="0"/>
          <w:numId w:val="1"/>
        </w:numPr>
        <w:adjustRightInd w:val="0"/>
        <w:snapToGrid w:val="0"/>
        <w:spacing w:before="156" w:beforeLines="50" w:line="360" w:lineRule="auto"/>
        <w:outlineLvl w:val="9"/>
        <w:rPr>
          <w:rFonts w:hint="eastAsia" w:ascii="宋体" w:hAnsi="宋体" w:eastAsia="宋体" w:cs="Times New Roman"/>
          <w:b/>
          <w:i w:val="0"/>
          <w:iCs w:val="0"/>
          <w:color w:val="auto"/>
          <w:sz w:val="28"/>
          <w:szCs w:val="28"/>
          <w:highlight w:val="none"/>
          <w:lang w:val="en-US" w:eastAsia="zh-CN"/>
        </w:rPr>
      </w:pPr>
      <w:r>
        <w:rPr>
          <w:rFonts w:hint="eastAsia" w:ascii="宋体" w:hAnsi="宋体" w:eastAsia="宋体" w:cs="Times New Roman"/>
          <w:b/>
          <w:i w:val="0"/>
          <w:iCs w:val="0"/>
          <w:color w:val="auto"/>
          <w:sz w:val="28"/>
          <w:szCs w:val="28"/>
          <w:highlight w:val="none"/>
          <w:lang w:val="en-US" w:eastAsia="zh-CN"/>
        </w:rPr>
        <w:t>谈判工作程序</w:t>
      </w:r>
    </w:p>
    <w:p>
      <w:pPr>
        <w:adjustRightInd w:val="0"/>
        <w:snapToGrid w:val="0"/>
        <w:spacing w:line="360" w:lineRule="auto"/>
        <w:ind w:firstLine="560" w:firstLineChars="200"/>
        <w:rPr>
          <w:rFonts w:hint="eastAsia"/>
          <w:color w:val="auto"/>
          <w:sz w:val="28"/>
          <w:szCs w:val="28"/>
          <w:highlight w:val="none"/>
          <w:u w:val="none"/>
        </w:rPr>
      </w:pPr>
      <w:r>
        <w:rPr>
          <w:rFonts w:hint="eastAsia"/>
          <w:color w:val="auto"/>
          <w:sz w:val="28"/>
          <w:szCs w:val="28"/>
          <w:highlight w:val="none"/>
          <w:u w:val="none"/>
        </w:rPr>
        <w:t>开启响应文件后，采购工作组全体成员应集中与</w:t>
      </w:r>
      <w:r>
        <w:rPr>
          <w:rFonts w:hint="eastAsia"/>
          <w:color w:val="auto"/>
          <w:sz w:val="28"/>
          <w:szCs w:val="28"/>
          <w:highlight w:val="none"/>
          <w:u w:val="none"/>
          <w:lang w:eastAsia="zh-CN"/>
        </w:rPr>
        <w:t>参加</w:t>
      </w:r>
      <w:r>
        <w:rPr>
          <w:rFonts w:hint="eastAsia"/>
          <w:color w:val="auto"/>
          <w:sz w:val="28"/>
          <w:szCs w:val="28"/>
          <w:highlight w:val="none"/>
          <w:u w:val="none"/>
        </w:rPr>
        <w:t>谈判</w:t>
      </w:r>
      <w:r>
        <w:rPr>
          <w:rFonts w:hint="eastAsia"/>
          <w:color w:val="auto"/>
          <w:sz w:val="28"/>
          <w:szCs w:val="28"/>
          <w:highlight w:val="none"/>
          <w:u w:val="none"/>
          <w:lang w:eastAsia="zh-CN"/>
        </w:rPr>
        <w:t>的</w:t>
      </w:r>
      <w:r>
        <w:rPr>
          <w:rFonts w:hint="eastAsia"/>
          <w:color w:val="auto"/>
          <w:sz w:val="28"/>
          <w:szCs w:val="28"/>
          <w:highlight w:val="none"/>
          <w:u w:val="none"/>
        </w:rPr>
        <w:t>供应商分别进行谈判，并给予所有</w:t>
      </w:r>
      <w:r>
        <w:rPr>
          <w:rFonts w:hint="eastAsia"/>
          <w:color w:val="auto"/>
          <w:sz w:val="28"/>
          <w:szCs w:val="28"/>
          <w:highlight w:val="none"/>
          <w:u w:val="none"/>
          <w:lang w:eastAsia="zh-CN"/>
        </w:rPr>
        <w:t>参加</w:t>
      </w:r>
      <w:r>
        <w:rPr>
          <w:rFonts w:hint="eastAsia"/>
          <w:color w:val="auto"/>
          <w:sz w:val="28"/>
          <w:szCs w:val="28"/>
          <w:highlight w:val="none"/>
          <w:u w:val="none"/>
        </w:rPr>
        <w:t>谈判</w:t>
      </w:r>
      <w:r>
        <w:rPr>
          <w:rFonts w:hint="eastAsia"/>
          <w:color w:val="auto"/>
          <w:sz w:val="28"/>
          <w:szCs w:val="28"/>
          <w:highlight w:val="none"/>
          <w:u w:val="none"/>
          <w:lang w:eastAsia="zh-CN"/>
        </w:rPr>
        <w:t>的</w:t>
      </w:r>
      <w:r>
        <w:rPr>
          <w:rFonts w:hint="eastAsia"/>
          <w:color w:val="auto"/>
          <w:sz w:val="28"/>
          <w:szCs w:val="28"/>
          <w:highlight w:val="none"/>
          <w:u w:val="none"/>
        </w:rPr>
        <w:t>供应商平等的谈判机会。谈判的任何一方在未征得另一方同意的情况下，不得透露与谈判有关的所有技术资料、价格信息和其他信息。</w:t>
      </w:r>
    </w:p>
    <w:p>
      <w:pPr>
        <w:adjustRightInd w:val="0"/>
        <w:snapToGrid w:val="0"/>
        <w:spacing w:line="360" w:lineRule="auto"/>
        <w:ind w:firstLine="560" w:firstLineChars="200"/>
        <w:jc w:val="both"/>
        <w:rPr>
          <w:color w:val="auto"/>
          <w:sz w:val="28"/>
          <w:szCs w:val="28"/>
          <w:highlight w:val="none"/>
          <w:u w:val="none"/>
          <w:lang w:val="en-US" w:eastAsia="zh-CN"/>
        </w:rPr>
      </w:pPr>
      <w:r>
        <w:rPr>
          <w:rFonts w:hint="eastAsia"/>
          <w:color w:val="auto"/>
          <w:sz w:val="28"/>
          <w:szCs w:val="28"/>
          <w:highlight w:val="none"/>
          <w:u w:val="none"/>
          <w:lang w:val="en-US" w:eastAsia="zh-CN"/>
        </w:rPr>
        <w:t>谈判过程中，应遵循以下规则：</w:t>
      </w:r>
    </w:p>
    <w:p>
      <w:pPr>
        <w:shd w:val="clear" w:color="auto" w:fill="auto"/>
        <w:adjustRightInd w:val="0"/>
        <w:snapToGrid w:val="0"/>
        <w:spacing w:line="360" w:lineRule="auto"/>
        <w:ind w:firstLine="560" w:firstLineChars="200"/>
        <w:rPr>
          <w:rFonts w:hint="eastAsia" w:eastAsia="宋体"/>
          <w:color w:val="auto"/>
          <w:sz w:val="28"/>
          <w:szCs w:val="28"/>
          <w:highlight w:val="none"/>
          <w:u w:val="none"/>
          <w:lang w:eastAsia="zh-CN"/>
        </w:rPr>
      </w:pPr>
      <w:r>
        <w:rPr>
          <w:rFonts w:hint="eastAsia"/>
          <w:color w:val="auto"/>
          <w:sz w:val="28"/>
          <w:szCs w:val="28"/>
          <w:highlight w:val="none"/>
          <w:u w:val="none"/>
        </w:rPr>
        <w:t>1.采购工作组应对供应商提交的响应文件的有效性、完整性、对采购文件的响应程度进行审查。响应文件未实质性响应采购文件要求，或响应文件中有含义不明确、同类问题表述不一致或有明显文字和计算错误的内容，采购工作组应要求供应商在规定时间内进行补充完善，并确保出现同类问题的供应商得到公平的修正机会。供应商补充完善的内容应由法定代表人或其授权代表签字或盖章确认，并作为响应文件的组成部分。供应商未通过初步评审，未在规定的期限内作出合理说明并提供相关证明材料，或补充完善后仍不能满足相关要求的，不得进入下一步谈判过程</w:t>
      </w:r>
      <w:r>
        <w:rPr>
          <w:rFonts w:hint="eastAsia"/>
          <w:color w:val="auto"/>
          <w:sz w:val="28"/>
          <w:szCs w:val="28"/>
          <w:highlight w:val="none"/>
          <w:u w:val="none"/>
          <w:lang w:eastAsia="zh-CN"/>
        </w:rPr>
        <w:t>。</w:t>
      </w:r>
    </w:p>
    <w:p>
      <w:pPr>
        <w:shd w:val="clear" w:color="auto" w:fill="auto"/>
        <w:adjustRightInd w:val="0"/>
        <w:snapToGrid w:val="0"/>
        <w:spacing w:line="360" w:lineRule="auto"/>
        <w:ind w:firstLine="560" w:firstLineChars="200"/>
        <w:rPr>
          <w:rFonts w:hint="eastAsia" w:eastAsia="宋体"/>
          <w:color w:val="auto"/>
          <w:sz w:val="28"/>
          <w:szCs w:val="28"/>
          <w:highlight w:val="none"/>
          <w:u w:val="none"/>
          <w:lang w:eastAsia="zh-CN"/>
        </w:rPr>
      </w:pPr>
      <w:r>
        <w:rPr>
          <w:rFonts w:hint="eastAsia"/>
          <w:color w:val="auto"/>
          <w:sz w:val="28"/>
          <w:szCs w:val="28"/>
          <w:highlight w:val="none"/>
          <w:u w:val="none"/>
          <w:lang w:val="en-US" w:eastAsia="zh-CN"/>
        </w:rPr>
        <w:t>2.采购工作组应通过随机方式确定参加谈判供应商的谈判顺序，并按照顺序分别进行谈判</w:t>
      </w:r>
      <w:r>
        <w:rPr>
          <w:rFonts w:hint="eastAsia"/>
          <w:color w:val="auto"/>
          <w:sz w:val="28"/>
          <w:szCs w:val="28"/>
          <w:highlight w:val="none"/>
          <w:u w:val="none"/>
          <w:lang w:eastAsia="zh-CN"/>
        </w:rPr>
        <w:t>。</w:t>
      </w:r>
    </w:p>
    <w:p>
      <w:pPr>
        <w:shd w:val="clear" w:color="auto" w:fill="auto"/>
        <w:adjustRightInd w:val="0"/>
        <w:snapToGrid w:val="0"/>
        <w:spacing w:line="360" w:lineRule="auto"/>
        <w:ind w:firstLine="560" w:firstLineChars="200"/>
        <w:rPr>
          <w:rFonts w:hint="eastAsia" w:eastAsia="宋体"/>
          <w:color w:val="auto"/>
          <w:sz w:val="28"/>
          <w:szCs w:val="28"/>
          <w:highlight w:val="none"/>
          <w:u w:val="none"/>
          <w:lang w:eastAsia="zh-CN"/>
        </w:rPr>
      </w:pPr>
      <w:r>
        <w:rPr>
          <w:rFonts w:hint="eastAsia"/>
          <w:color w:val="auto"/>
          <w:sz w:val="28"/>
          <w:szCs w:val="28"/>
          <w:highlight w:val="none"/>
          <w:u w:val="none"/>
          <w:lang w:val="en-US" w:eastAsia="zh-CN"/>
        </w:rPr>
        <w:t>3.谈判中谈判内容发生变动的，采购工作组应确保以书面形式通知所有参加谈判的供应商</w:t>
      </w:r>
      <w:r>
        <w:rPr>
          <w:rFonts w:hint="eastAsia"/>
          <w:color w:val="auto"/>
          <w:sz w:val="28"/>
          <w:szCs w:val="28"/>
          <w:highlight w:val="none"/>
          <w:u w:val="none"/>
          <w:lang w:eastAsia="zh-CN"/>
        </w:rPr>
        <w:t>。</w:t>
      </w:r>
    </w:p>
    <w:p>
      <w:pPr>
        <w:shd w:val="clear" w:color="auto" w:fill="auto"/>
        <w:adjustRightInd w:val="0"/>
        <w:snapToGrid w:val="0"/>
        <w:spacing w:line="360" w:lineRule="auto"/>
        <w:ind w:firstLine="560" w:firstLineChars="200"/>
        <w:rPr>
          <w:rFonts w:hint="eastAsia"/>
          <w:color w:val="auto"/>
          <w:sz w:val="28"/>
          <w:szCs w:val="28"/>
          <w:highlight w:val="none"/>
          <w:u w:val="none"/>
        </w:rPr>
      </w:pPr>
      <w:r>
        <w:rPr>
          <w:rFonts w:hint="eastAsia"/>
          <w:color w:val="auto"/>
          <w:sz w:val="28"/>
          <w:szCs w:val="28"/>
          <w:highlight w:val="none"/>
          <w:u w:val="none"/>
          <w:lang w:val="en-US" w:eastAsia="zh-CN"/>
        </w:rPr>
        <w:t>4.采购工作组应按照采购文件确定的内容、程序和评定标准等，与供应商进行谈判</w:t>
      </w:r>
      <w:r>
        <w:rPr>
          <w:rFonts w:hint="eastAsia"/>
          <w:color w:val="auto"/>
          <w:sz w:val="28"/>
          <w:szCs w:val="28"/>
          <w:highlight w:val="none"/>
          <w:u w:val="none"/>
        </w:rPr>
        <w:t>。</w:t>
      </w:r>
    </w:p>
    <w:p>
      <w:pPr>
        <w:shd w:val="clear" w:color="auto" w:fill="auto"/>
        <w:adjustRightInd w:val="0"/>
        <w:snapToGrid w:val="0"/>
        <w:spacing w:line="360" w:lineRule="auto"/>
        <w:ind w:firstLine="560" w:firstLineChars="200"/>
        <w:rPr>
          <w:rFonts w:hint="eastAsia"/>
          <w:color w:val="auto"/>
          <w:sz w:val="28"/>
          <w:szCs w:val="28"/>
          <w:highlight w:val="none"/>
          <w:u w:val="none"/>
        </w:rPr>
      </w:pPr>
      <w:r>
        <w:rPr>
          <w:rFonts w:hint="eastAsia"/>
          <w:color w:val="auto"/>
          <w:sz w:val="28"/>
          <w:szCs w:val="28"/>
          <w:highlight w:val="none"/>
          <w:u w:val="none"/>
          <w:lang w:val="en-US" w:eastAsia="zh-CN"/>
        </w:rPr>
        <w:t>5.</w:t>
      </w:r>
      <w:r>
        <w:rPr>
          <w:rFonts w:hint="eastAsia"/>
          <w:color w:val="auto"/>
          <w:sz w:val="28"/>
          <w:szCs w:val="28"/>
          <w:highlight w:val="none"/>
          <w:u w:val="none"/>
        </w:rPr>
        <w:t>采购工作组认为谈判供应商有报价明显不合理、降低质量、不能诚实履约或其他特殊情形的，可要求</w:t>
      </w:r>
      <w:r>
        <w:rPr>
          <w:rFonts w:hint="eastAsia"/>
          <w:color w:val="auto"/>
          <w:sz w:val="28"/>
          <w:szCs w:val="28"/>
          <w:highlight w:val="none"/>
          <w:u w:val="none"/>
          <w:lang w:eastAsia="zh-CN"/>
        </w:rPr>
        <w:t>参加</w:t>
      </w:r>
      <w:r>
        <w:rPr>
          <w:rFonts w:hint="eastAsia"/>
          <w:color w:val="auto"/>
          <w:sz w:val="28"/>
          <w:szCs w:val="28"/>
          <w:highlight w:val="none"/>
          <w:u w:val="none"/>
        </w:rPr>
        <w:t>谈判</w:t>
      </w:r>
      <w:r>
        <w:rPr>
          <w:rFonts w:hint="eastAsia"/>
          <w:color w:val="auto"/>
          <w:sz w:val="28"/>
          <w:szCs w:val="28"/>
          <w:highlight w:val="none"/>
          <w:u w:val="none"/>
          <w:lang w:eastAsia="zh-CN"/>
        </w:rPr>
        <w:t>的</w:t>
      </w:r>
      <w:r>
        <w:rPr>
          <w:rFonts w:hint="eastAsia"/>
          <w:color w:val="auto"/>
          <w:sz w:val="28"/>
          <w:szCs w:val="28"/>
          <w:highlight w:val="none"/>
          <w:u w:val="none"/>
        </w:rPr>
        <w:t>供应商解释或者澄清其响应文件，并让其限期作出书面说明及提供相关证明材料，谈判供应商未在规定的期限内作出合理说明并提供相关证明材料的，视为自动放弃。</w:t>
      </w:r>
    </w:p>
    <w:p>
      <w:pPr>
        <w:shd w:val="clear" w:color="auto" w:fill="auto"/>
        <w:adjustRightInd w:val="0"/>
        <w:snapToGrid w:val="0"/>
        <w:spacing w:line="360" w:lineRule="auto"/>
        <w:ind w:firstLine="560" w:firstLineChars="200"/>
        <w:rPr>
          <w:rFonts w:hint="eastAsia"/>
          <w:color w:val="auto"/>
          <w:sz w:val="28"/>
          <w:szCs w:val="28"/>
          <w:highlight w:val="none"/>
          <w:u w:val="none"/>
        </w:rPr>
      </w:pPr>
      <w:r>
        <w:rPr>
          <w:rFonts w:hint="eastAsia"/>
          <w:color w:val="auto"/>
          <w:sz w:val="28"/>
          <w:szCs w:val="28"/>
          <w:highlight w:val="none"/>
          <w:u w:val="none"/>
          <w:lang w:val="en-US" w:eastAsia="zh-CN"/>
        </w:rPr>
        <w:t>6.</w:t>
      </w:r>
      <w:r>
        <w:rPr>
          <w:rFonts w:hint="eastAsia"/>
          <w:color w:val="auto"/>
          <w:sz w:val="28"/>
          <w:szCs w:val="28"/>
          <w:highlight w:val="none"/>
          <w:u w:val="none"/>
        </w:rPr>
        <w:t>限时最后报价。采购工作组根据供应商的报价及谈判情况，可要求供应商进行多轮报价，但必须保证每个供应商得到均等的机会</w:t>
      </w:r>
      <w:r>
        <w:rPr>
          <w:rFonts w:hint="eastAsia"/>
          <w:color w:val="auto"/>
          <w:sz w:val="28"/>
          <w:szCs w:val="28"/>
          <w:highlight w:val="none"/>
          <w:u w:val="none"/>
          <w:lang w:eastAsia="zh-CN"/>
        </w:rPr>
        <w:t>。采购工作组应要求所有参加谈判的供应商在规定的时间内提供最后报价及有关承诺，并以书面形式确认。供应商按采购文件规定提交响应文件但未参与谈判的，视为自动放弃谈判，该供应商的初次报价和方案即为最终报价和方案</w:t>
      </w:r>
      <w:r>
        <w:rPr>
          <w:rFonts w:hint="eastAsia"/>
          <w:color w:val="auto"/>
          <w:sz w:val="28"/>
          <w:szCs w:val="28"/>
          <w:highlight w:val="none"/>
          <w:u w:val="none"/>
        </w:rPr>
        <w:t>。</w:t>
      </w:r>
    </w:p>
    <w:p>
      <w:pPr>
        <w:shd w:val="clear" w:color="auto" w:fill="auto"/>
        <w:adjustRightInd w:val="0"/>
        <w:snapToGrid w:val="0"/>
        <w:spacing w:line="360" w:lineRule="auto"/>
        <w:ind w:firstLine="560" w:firstLineChars="200"/>
        <w:rPr>
          <w:rFonts w:hint="eastAsia"/>
          <w:color w:val="auto"/>
          <w:sz w:val="28"/>
          <w:szCs w:val="28"/>
          <w:highlight w:val="none"/>
          <w:u w:val="none"/>
        </w:rPr>
      </w:pPr>
      <w:r>
        <w:rPr>
          <w:rFonts w:hint="eastAsia"/>
          <w:color w:val="auto"/>
          <w:sz w:val="28"/>
          <w:szCs w:val="28"/>
          <w:highlight w:val="none"/>
          <w:u w:val="none"/>
          <w:lang w:val="en-US" w:eastAsia="zh-CN"/>
        </w:rPr>
        <w:t>7</w:t>
      </w:r>
      <w:r>
        <w:rPr>
          <w:rFonts w:hint="eastAsia"/>
          <w:color w:val="auto"/>
          <w:sz w:val="28"/>
          <w:szCs w:val="28"/>
          <w:highlight w:val="none"/>
          <w:u w:val="none"/>
        </w:rPr>
        <w:t>.采购工作组应根据采购文件确定的评审办法及成交标准，对供应商提出的最后报价及承诺进行评审，编制谈判采购报告，并推荐成交供应商。</w:t>
      </w:r>
    </w:p>
    <w:p>
      <w:pPr>
        <w:numPr>
          <w:ilvl w:val="0"/>
          <w:numId w:val="1"/>
        </w:numPr>
        <w:adjustRightInd w:val="0"/>
        <w:snapToGrid w:val="0"/>
        <w:spacing w:before="156" w:beforeLines="50" w:line="360" w:lineRule="auto"/>
        <w:outlineLvl w:val="9"/>
        <w:rPr>
          <w:rFonts w:ascii="宋体" w:hAnsi="宋体"/>
          <w:b/>
          <w:i w:val="0"/>
          <w:iCs w:val="0"/>
          <w:color w:val="auto"/>
          <w:sz w:val="28"/>
          <w:szCs w:val="28"/>
          <w:highlight w:val="none"/>
        </w:rPr>
      </w:pPr>
      <w:r>
        <w:rPr>
          <w:rFonts w:hint="eastAsia" w:ascii="宋体" w:hAnsi="宋体"/>
          <w:b/>
          <w:i w:val="0"/>
          <w:iCs w:val="0"/>
          <w:color w:val="auto"/>
          <w:sz w:val="28"/>
          <w:szCs w:val="28"/>
          <w:highlight w:val="none"/>
          <w:lang w:eastAsia="zh-CN"/>
        </w:rPr>
        <w:t>评审办法</w:t>
      </w:r>
    </w:p>
    <w:p>
      <w:pPr>
        <w:adjustRightInd w:val="0"/>
        <w:snapToGrid w:val="0"/>
        <w:spacing w:line="360" w:lineRule="auto"/>
        <w:ind w:firstLine="560" w:firstLineChars="200"/>
        <w:outlineLvl w:val="9"/>
        <w:rPr>
          <w:rFonts w:ascii="宋体" w:hAnsi="宋体"/>
          <w:i w:val="0"/>
          <w:iCs w:val="0"/>
          <w:color w:val="auto"/>
          <w:sz w:val="28"/>
          <w:szCs w:val="28"/>
          <w:highlight w:val="none"/>
        </w:rPr>
      </w:pPr>
      <w:r>
        <w:rPr>
          <w:rFonts w:hint="eastAsia" w:ascii="宋体" w:hAnsi="宋体"/>
          <w:i w:val="0"/>
          <w:iCs w:val="0"/>
          <w:color w:val="auto"/>
          <w:sz w:val="28"/>
          <w:szCs w:val="28"/>
          <w:highlight w:val="none"/>
          <w:lang w:eastAsia="zh-CN"/>
        </w:rPr>
        <w:t>评审办法</w:t>
      </w:r>
      <w:r>
        <w:rPr>
          <w:rFonts w:hint="eastAsia" w:ascii="宋体" w:hAnsi="宋体"/>
          <w:i w:val="0"/>
          <w:iCs w:val="0"/>
          <w:color w:val="auto"/>
          <w:sz w:val="28"/>
          <w:szCs w:val="28"/>
          <w:highlight w:val="none"/>
        </w:rPr>
        <w:t>见附件4。</w:t>
      </w:r>
    </w:p>
    <w:p>
      <w:pPr>
        <w:numPr>
          <w:ilvl w:val="0"/>
          <w:numId w:val="1"/>
        </w:numPr>
        <w:adjustRightInd w:val="0"/>
        <w:snapToGrid w:val="0"/>
        <w:spacing w:before="156" w:beforeLines="50" w:line="360" w:lineRule="auto"/>
        <w:outlineLvl w:val="9"/>
        <w:rPr>
          <w:rFonts w:ascii="宋体" w:hAnsi="宋体"/>
          <w:b/>
          <w:i w:val="0"/>
          <w:iCs w:val="0"/>
          <w:color w:val="auto"/>
          <w:sz w:val="28"/>
          <w:szCs w:val="28"/>
          <w:highlight w:val="none"/>
        </w:rPr>
      </w:pPr>
      <w:r>
        <w:rPr>
          <w:rFonts w:hint="eastAsia" w:ascii="宋体" w:hAnsi="宋体"/>
          <w:b/>
          <w:i w:val="0"/>
          <w:iCs w:val="0"/>
          <w:color w:val="auto"/>
          <w:sz w:val="28"/>
          <w:szCs w:val="28"/>
          <w:highlight w:val="none"/>
          <w:lang w:eastAsia="zh-CN"/>
        </w:rPr>
        <w:t>成交推荐</w:t>
      </w:r>
    </w:p>
    <w:p>
      <w:pPr>
        <w:adjustRightInd w:val="0"/>
        <w:snapToGrid w:val="0"/>
        <w:spacing w:line="360" w:lineRule="auto"/>
        <w:ind w:firstLine="560" w:firstLineChars="200"/>
        <w:outlineLvl w:val="9"/>
        <w:rPr>
          <w:rFonts w:hint="eastAsia" w:ascii="宋体" w:hAnsi="宋体"/>
          <w:i w:val="0"/>
          <w:iCs w:val="0"/>
          <w:color w:val="auto"/>
          <w:sz w:val="28"/>
          <w:szCs w:val="28"/>
          <w:highlight w:val="none"/>
        </w:rPr>
      </w:pPr>
      <w:r>
        <w:rPr>
          <w:rFonts w:hint="eastAsia" w:ascii="宋体" w:hAnsi="宋体"/>
          <w:i w:val="0"/>
          <w:iCs w:val="0"/>
          <w:color w:val="auto"/>
          <w:sz w:val="28"/>
          <w:szCs w:val="28"/>
          <w:highlight w:val="none"/>
        </w:rPr>
        <w:t>本项目</w:t>
      </w:r>
      <w:r>
        <w:rPr>
          <w:rFonts w:hint="eastAsia" w:ascii="宋体" w:hAnsi="宋体"/>
          <w:i w:val="0"/>
          <w:iCs w:val="0"/>
          <w:color w:val="auto"/>
          <w:sz w:val="28"/>
          <w:szCs w:val="28"/>
          <w:highlight w:val="none"/>
          <w:lang w:eastAsia="zh-CN"/>
        </w:rPr>
        <w:t>成交推荐</w:t>
      </w:r>
      <w:r>
        <w:rPr>
          <w:rFonts w:hint="eastAsia" w:ascii="宋体" w:hAnsi="宋体"/>
          <w:i w:val="0"/>
          <w:iCs w:val="0"/>
          <w:color w:val="auto"/>
          <w:sz w:val="28"/>
          <w:szCs w:val="28"/>
          <w:highlight w:val="none"/>
        </w:rPr>
        <w:t>原则见附件</w:t>
      </w:r>
      <w:r>
        <w:rPr>
          <w:rFonts w:hint="eastAsia" w:ascii="宋体" w:hAnsi="宋体"/>
          <w:i w:val="0"/>
          <w:iCs w:val="0"/>
          <w:color w:val="auto"/>
          <w:sz w:val="28"/>
          <w:szCs w:val="28"/>
          <w:highlight w:val="none"/>
          <w:lang w:val="en-US" w:eastAsia="zh-CN"/>
        </w:rPr>
        <w:t>4</w:t>
      </w:r>
      <w:r>
        <w:rPr>
          <w:rFonts w:hint="eastAsia" w:ascii="宋体" w:hAnsi="宋体"/>
          <w:i w:val="0"/>
          <w:iCs w:val="0"/>
          <w:color w:val="auto"/>
          <w:sz w:val="28"/>
          <w:szCs w:val="28"/>
          <w:highlight w:val="none"/>
        </w:rPr>
        <w:t>。</w:t>
      </w:r>
    </w:p>
    <w:p>
      <w:pPr>
        <w:numPr>
          <w:ilvl w:val="0"/>
          <w:numId w:val="1"/>
        </w:numPr>
        <w:adjustRightInd w:val="0"/>
        <w:snapToGrid w:val="0"/>
        <w:spacing w:before="156" w:beforeLines="50" w:line="360" w:lineRule="auto"/>
        <w:outlineLvl w:val="9"/>
        <w:rPr>
          <w:rFonts w:ascii="宋体" w:hAnsi="宋体"/>
          <w:b/>
          <w:i w:val="0"/>
          <w:iCs w:val="0"/>
          <w:color w:val="auto"/>
          <w:sz w:val="28"/>
          <w:szCs w:val="28"/>
          <w:highlight w:val="none"/>
        </w:rPr>
      </w:pPr>
      <w:bookmarkStart w:id="39" w:name="_Toc349031731"/>
      <w:r>
        <w:rPr>
          <w:rFonts w:hint="eastAsia" w:ascii="宋体" w:hAnsi="宋体"/>
          <w:b/>
          <w:i w:val="0"/>
          <w:iCs w:val="0"/>
          <w:color w:val="auto"/>
          <w:sz w:val="28"/>
          <w:szCs w:val="28"/>
          <w:highlight w:val="none"/>
          <w:lang w:val="en-US" w:eastAsia="zh-CN"/>
        </w:rPr>
        <w:t>编制采购</w:t>
      </w:r>
      <w:r>
        <w:rPr>
          <w:rFonts w:hint="eastAsia" w:ascii="宋体" w:hAnsi="宋体"/>
          <w:b/>
          <w:i w:val="0"/>
          <w:iCs w:val="0"/>
          <w:color w:val="auto"/>
          <w:sz w:val="28"/>
          <w:szCs w:val="28"/>
          <w:highlight w:val="none"/>
          <w:lang w:eastAsia="zh-CN"/>
        </w:rPr>
        <w:t>报告</w:t>
      </w:r>
    </w:p>
    <w:p>
      <w:pPr>
        <w:shd w:val="clear" w:color="auto" w:fill="auto"/>
        <w:adjustRightInd w:val="0"/>
        <w:snapToGrid w:val="0"/>
        <w:spacing w:line="360" w:lineRule="auto"/>
        <w:ind w:firstLine="560" w:firstLineChars="200"/>
        <w:rPr>
          <w:rFonts w:hint="eastAsia" w:eastAsia="宋体" w:cs="Times New Roman"/>
          <w:color w:val="auto"/>
          <w:sz w:val="28"/>
          <w:szCs w:val="28"/>
          <w:highlight w:val="none"/>
          <w:u w:val="none"/>
          <w:lang w:val="en-US" w:eastAsia="zh-CN"/>
        </w:rPr>
      </w:pPr>
      <w:r>
        <w:rPr>
          <w:rFonts w:hint="eastAsia" w:eastAsia="宋体" w:cs="Times New Roman"/>
          <w:color w:val="auto"/>
          <w:sz w:val="28"/>
          <w:szCs w:val="28"/>
          <w:highlight w:val="none"/>
          <w:u w:val="none"/>
          <w:lang w:val="en-US" w:eastAsia="zh-CN"/>
        </w:rPr>
        <w:t>采购工作组应根据采购文件确定的评审办法及成交标准，对供应商提出的最后报价及承诺进行评审，编制谈判采购报告，并推荐成交供应商。采购报告应经采购工作组确认。</w:t>
      </w:r>
    </w:p>
    <w:p>
      <w:pPr>
        <w:numPr>
          <w:ilvl w:val="0"/>
          <w:numId w:val="1"/>
        </w:numPr>
        <w:adjustRightInd w:val="0"/>
        <w:snapToGrid w:val="0"/>
        <w:spacing w:before="156" w:beforeLines="50" w:line="360" w:lineRule="auto"/>
        <w:outlineLvl w:val="9"/>
        <w:rPr>
          <w:rFonts w:ascii="宋体" w:hAnsi="宋体"/>
          <w:b/>
          <w:i w:val="0"/>
          <w:iCs w:val="0"/>
          <w:color w:val="auto"/>
          <w:sz w:val="28"/>
          <w:szCs w:val="28"/>
          <w:highlight w:val="none"/>
        </w:rPr>
      </w:pPr>
      <w:r>
        <w:rPr>
          <w:rFonts w:hint="eastAsia" w:ascii="宋体" w:hAnsi="宋体"/>
          <w:b/>
          <w:i w:val="0"/>
          <w:iCs w:val="0"/>
          <w:color w:val="auto"/>
          <w:sz w:val="28"/>
          <w:szCs w:val="28"/>
          <w:highlight w:val="none"/>
        </w:rPr>
        <w:t>成交结果认定</w:t>
      </w:r>
    </w:p>
    <w:p>
      <w:pPr>
        <w:shd w:val="clear" w:color="auto" w:fill="auto"/>
        <w:adjustRightInd w:val="0"/>
        <w:snapToGrid w:val="0"/>
        <w:spacing w:line="360" w:lineRule="auto"/>
        <w:ind w:firstLine="560" w:firstLineChars="200"/>
        <w:rPr>
          <w:rFonts w:hint="eastAsia" w:eastAsia="宋体" w:cs="Times New Roman"/>
          <w:color w:val="auto"/>
          <w:sz w:val="28"/>
          <w:szCs w:val="28"/>
          <w:highlight w:val="none"/>
          <w:u w:val="none"/>
          <w:lang w:val="en-US" w:eastAsia="zh-CN"/>
        </w:rPr>
      </w:pPr>
      <w:r>
        <w:rPr>
          <w:rFonts w:hint="eastAsia" w:eastAsia="宋体" w:cs="Times New Roman"/>
          <w:color w:val="auto"/>
          <w:sz w:val="28"/>
          <w:szCs w:val="28"/>
          <w:highlight w:val="none"/>
          <w:u w:val="none"/>
          <w:lang w:val="en-US" w:eastAsia="zh-CN"/>
        </w:rPr>
        <w:t>谈判工作结束后，招标采购代理机构应将谈判采购报告报送各单位承办部门，由其在规定时间内审核或履行必要的审批程序后，招标采购代理机构按照采购文件要求在中国南方电网供应链统一服务平台（www.bidding.csg.cn）进行“成交候选人公示”，公示期不得少于3日。公示无异议后，方可确定成交供应商，由招标采购代理机构在中国南方电网供应链统一服务平台上发布“成交结果公告”。</w:t>
      </w:r>
    </w:p>
    <w:p>
      <w:pPr>
        <w:shd w:val="clear" w:color="auto" w:fill="auto"/>
        <w:adjustRightInd w:val="0"/>
        <w:snapToGrid w:val="0"/>
        <w:spacing w:line="360" w:lineRule="auto"/>
        <w:ind w:firstLine="560" w:firstLineChars="200"/>
        <w:rPr>
          <w:rFonts w:ascii="宋体" w:hAnsi="宋体"/>
          <w:i w:val="0"/>
          <w:iCs w:val="0"/>
          <w:color w:val="auto"/>
          <w:sz w:val="28"/>
          <w:szCs w:val="28"/>
          <w:highlight w:val="none"/>
        </w:rPr>
      </w:pPr>
      <w:r>
        <w:rPr>
          <w:rFonts w:hint="eastAsia" w:eastAsia="宋体" w:cs="Times New Roman"/>
          <w:color w:val="auto"/>
          <w:sz w:val="28"/>
          <w:szCs w:val="28"/>
          <w:highlight w:val="none"/>
          <w:u w:val="none"/>
          <w:lang w:val="en-US" w:eastAsia="zh-CN"/>
        </w:rPr>
        <w:t>确定成交供应商后3个工作日内，采购人向成交供应商发出成交通知书，同时通知未成交供应商。</w:t>
      </w:r>
    </w:p>
    <w:p>
      <w:pPr>
        <w:numPr>
          <w:ilvl w:val="0"/>
          <w:numId w:val="1"/>
        </w:numPr>
        <w:adjustRightInd w:val="0"/>
        <w:snapToGrid w:val="0"/>
        <w:spacing w:before="156" w:beforeLines="50" w:line="360" w:lineRule="auto"/>
        <w:outlineLvl w:val="9"/>
        <w:rPr>
          <w:rFonts w:ascii="宋体" w:hAnsi="宋体"/>
          <w:b/>
          <w:i w:val="0"/>
          <w:iCs w:val="0"/>
          <w:color w:val="auto"/>
          <w:sz w:val="28"/>
          <w:szCs w:val="28"/>
          <w:highlight w:val="none"/>
        </w:rPr>
      </w:pPr>
      <w:r>
        <w:rPr>
          <w:rFonts w:hint="eastAsia" w:ascii="宋体" w:hAnsi="宋体"/>
          <w:b/>
          <w:i w:val="0"/>
          <w:iCs w:val="0"/>
          <w:color w:val="auto"/>
          <w:sz w:val="28"/>
          <w:szCs w:val="28"/>
          <w:highlight w:val="none"/>
        </w:rPr>
        <w:t>合同签订</w:t>
      </w:r>
    </w:p>
    <w:p>
      <w:pPr>
        <w:numPr>
          <w:ilvl w:val="0"/>
          <w:numId w:val="0"/>
        </w:numPr>
        <w:shd w:val="clear" w:color="auto" w:fill="auto"/>
        <w:adjustRightInd w:val="0"/>
        <w:snapToGrid w:val="0"/>
        <w:spacing w:before="156" w:beforeLines="50" w:line="360" w:lineRule="auto"/>
        <w:ind w:firstLine="280" w:firstLineChars="100"/>
        <w:outlineLvl w:val="9"/>
        <w:rPr>
          <w:rFonts w:hint="default" w:ascii="Times New Roman" w:hAnsi="Times New Roman" w:cs="Times New Roman"/>
          <w:i w:val="0"/>
          <w:iCs w:val="0"/>
          <w:color w:val="auto"/>
          <w:sz w:val="28"/>
          <w:szCs w:val="28"/>
          <w:highlight w:val="none"/>
        </w:rPr>
      </w:pPr>
      <w:r>
        <w:rPr>
          <w:rFonts w:hint="default" w:ascii="Times New Roman" w:hAnsi="Times New Roman" w:cs="Times New Roman"/>
          <w:i w:val="0"/>
          <w:iCs w:val="0"/>
          <w:color w:val="auto"/>
          <w:sz w:val="28"/>
          <w:szCs w:val="28"/>
          <w:highlight w:val="none"/>
        </w:rPr>
        <w:t>中标</w:t>
      </w:r>
      <w:r>
        <w:rPr>
          <w:rFonts w:hint="eastAsia" w:ascii="Times New Roman" w:hAnsi="Times New Roman" w:cs="Times New Roman"/>
          <w:i w:val="0"/>
          <w:iCs w:val="0"/>
          <w:color w:val="auto"/>
          <w:sz w:val="28"/>
          <w:szCs w:val="28"/>
          <w:highlight w:val="none"/>
          <w:lang w:val="en-US" w:eastAsia="zh-CN"/>
        </w:rPr>
        <w:t>通知书发出</w:t>
      </w:r>
      <w:r>
        <w:rPr>
          <w:rFonts w:hint="default" w:ascii="Times New Roman" w:hAnsi="Times New Roman" w:cs="Times New Roman"/>
          <w:i w:val="0"/>
          <w:iCs w:val="0"/>
          <w:color w:val="auto"/>
          <w:sz w:val="28"/>
          <w:szCs w:val="28"/>
          <w:highlight w:val="none"/>
        </w:rPr>
        <w:t>后的</w:t>
      </w:r>
      <w:r>
        <w:rPr>
          <w:rFonts w:hint="default" w:ascii="Times New Roman" w:hAnsi="Times New Roman" w:cs="Times New Roman"/>
          <w:i w:val="0"/>
          <w:iCs w:val="0"/>
          <w:color w:val="auto"/>
          <w:sz w:val="28"/>
          <w:szCs w:val="28"/>
          <w:highlight w:val="none"/>
          <w:lang w:val="en-US" w:eastAsia="zh-CN"/>
        </w:rPr>
        <w:t>30</w:t>
      </w:r>
      <w:r>
        <w:rPr>
          <w:rFonts w:hint="default" w:ascii="Times New Roman" w:hAnsi="Times New Roman" w:cs="Times New Roman"/>
          <w:i w:val="0"/>
          <w:iCs w:val="0"/>
          <w:color w:val="auto"/>
          <w:sz w:val="28"/>
          <w:szCs w:val="28"/>
          <w:highlight w:val="none"/>
        </w:rPr>
        <w:t>天内，由</w:t>
      </w:r>
      <w:bookmarkStart w:id="40" w:name="TXT_5207077C61DA43D3971C9E8DBCC76172_6"/>
      <w:r>
        <w:rPr>
          <w:rFonts w:hint="eastAsia" w:ascii="宋体" w:hAnsi="宋体"/>
          <w:i w:val="0"/>
          <w:iCs w:val="0"/>
          <w:color w:val="000000"/>
          <w:sz w:val="28"/>
          <w:szCs w:val="28"/>
          <w:highlight w:val="none"/>
          <w:u w:val="single"/>
          <w:lang w:eastAsia="zh-CN"/>
        </w:rPr>
        <w:t>中国南方电网有限责任公司人才发展中心数字化部</w:t>
      </w:r>
      <w:bookmarkEnd w:id="40"/>
      <w:r>
        <w:rPr>
          <w:rFonts w:hint="eastAsia" w:ascii="宋体" w:hAnsi="宋体"/>
          <w:i w:val="0"/>
          <w:iCs w:val="0"/>
          <w:color w:val="000000"/>
          <w:sz w:val="28"/>
          <w:szCs w:val="28"/>
          <w:highlight w:val="none"/>
          <w:u w:val="none"/>
          <w:lang w:val="en-US" w:eastAsia="zh-CN"/>
        </w:rPr>
        <w:t>按中标结果</w:t>
      </w:r>
      <w:r>
        <w:rPr>
          <w:rFonts w:hint="eastAsia" w:ascii="宋体" w:hAnsi="宋体"/>
          <w:i w:val="0"/>
          <w:iCs w:val="0"/>
          <w:color w:val="000000"/>
          <w:sz w:val="28"/>
          <w:szCs w:val="28"/>
          <w:highlight w:val="none"/>
        </w:rPr>
        <w:t>组织合同签订。</w:t>
      </w:r>
      <w:r>
        <w:rPr>
          <w:rFonts w:hint="default" w:ascii="Times New Roman" w:hAnsi="Times New Roman" w:cs="Times New Roman"/>
          <w:i w:val="0"/>
          <w:iCs w:val="0"/>
          <w:color w:val="auto"/>
          <w:sz w:val="28"/>
          <w:szCs w:val="28"/>
          <w:highlight w:val="none"/>
        </w:rPr>
        <w:t>招标代理机构负责整理相关招投标</w:t>
      </w:r>
      <w:r>
        <w:rPr>
          <w:rFonts w:hint="eastAsia" w:ascii="Times New Roman" w:hAnsi="Times New Roman" w:cs="Times New Roman"/>
          <w:i w:val="0"/>
          <w:iCs w:val="0"/>
          <w:color w:val="auto"/>
          <w:sz w:val="28"/>
          <w:szCs w:val="28"/>
          <w:highlight w:val="none"/>
          <w:lang w:val="en-US" w:eastAsia="zh-CN"/>
        </w:rPr>
        <w:t>资料</w:t>
      </w:r>
      <w:r>
        <w:rPr>
          <w:rFonts w:hint="default" w:ascii="Times New Roman" w:hAnsi="Times New Roman" w:cs="Times New Roman"/>
          <w:i w:val="0"/>
          <w:iCs w:val="0"/>
          <w:color w:val="auto"/>
          <w:sz w:val="28"/>
          <w:szCs w:val="28"/>
          <w:highlight w:val="none"/>
        </w:rPr>
        <w:t>，</w:t>
      </w:r>
      <w:r>
        <w:rPr>
          <w:rFonts w:hint="eastAsia" w:ascii="Times New Roman" w:hAnsi="Times New Roman" w:cs="Times New Roman"/>
          <w:i w:val="0"/>
          <w:iCs w:val="0"/>
          <w:color w:val="auto"/>
          <w:sz w:val="28"/>
          <w:szCs w:val="28"/>
          <w:highlight w:val="none"/>
          <w:lang w:val="en-US" w:eastAsia="zh-CN"/>
        </w:rPr>
        <w:t>及时</w:t>
      </w:r>
      <w:r>
        <w:rPr>
          <w:rFonts w:hint="default" w:ascii="Times New Roman" w:hAnsi="Times New Roman" w:cs="Times New Roman"/>
          <w:i w:val="0"/>
          <w:iCs w:val="0"/>
          <w:color w:val="auto"/>
          <w:sz w:val="28"/>
          <w:szCs w:val="28"/>
          <w:highlight w:val="none"/>
        </w:rPr>
        <w:t>移交</w:t>
      </w:r>
      <w:r>
        <w:rPr>
          <w:rFonts w:hint="eastAsia" w:ascii="Times New Roman" w:hAnsi="Times New Roman" w:cs="Times New Roman"/>
          <w:i w:val="0"/>
          <w:iCs w:val="0"/>
          <w:color w:val="auto"/>
          <w:sz w:val="28"/>
          <w:szCs w:val="28"/>
          <w:highlight w:val="none"/>
          <w:lang w:val="en-US" w:eastAsia="zh-CN"/>
        </w:rPr>
        <w:t>签约</w:t>
      </w:r>
      <w:r>
        <w:rPr>
          <w:rFonts w:hint="default" w:ascii="Times New Roman" w:hAnsi="Times New Roman" w:cs="Times New Roman"/>
          <w:i w:val="0"/>
          <w:iCs w:val="0"/>
          <w:color w:val="auto"/>
          <w:sz w:val="28"/>
          <w:szCs w:val="28"/>
          <w:highlight w:val="none"/>
        </w:rPr>
        <w:t>单位。</w:t>
      </w:r>
    </w:p>
    <w:p>
      <w:pPr>
        <w:numPr>
          <w:ilvl w:val="0"/>
          <w:numId w:val="0"/>
        </w:numPr>
        <w:shd w:val="clear" w:color="auto" w:fill="auto"/>
        <w:adjustRightInd w:val="0"/>
        <w:snapToGrid w:val="0"/>
        <w:spacing w:before="156" w:beforeLines="50" w:line="360" w:lineRule="auto"/>
        <w:ind w:firstLine="281" w:firstLineChars="100"/>
        <w:outlineLvl w:val="9"/>
        <w:rPr>
          <w:rFonts w:hint="eastAsia" w:ascii="Times New Roman" w:hAnsi="Times New Roman" w:eastAsia="宋体" w:cs="Times New Roman"/>
          <w:b/>
          <w:color w:val="auto"/>
          <w:sz w:val="28"/>
          <w:szCs w:val="28"/>
          <w:highlight w:val="none"/>
          <w:lang w:eastAsia="zh-CN"/>
        </w:rPr>
      </w:pPr>
      <w:r>
        <w:rPr>
          <w:rFonts w:hint="eastAsia" w:ascii="Times New Roman" w:hAnsi="Times New Roman" w:cs="Times New Roman"/>
          <w:b/>
          <w:color w:val="auto"/>
          <w:sz w:val="28"/>
          <w:szCs w:val="28"/>
          <w:highlight w:val="none"/>
          <w:lang w:eastAsia="zh-CN"/>
        </w:rPr>
        <w:t>（</w:t>
      </w:r>
      <w:r>
        <w:rPr>
          <w:rFonts w:hint="eastAsia" w:ascii="Times New Roman" w:hAnsi="Times New Roman" w:cs="Times New Roman"/>
          <w:b/>
          <w:color w:val="auto"/>
          <w:sz w:val="28"/>
          <w:szCs w:val="28"/>
          <w:highlight w:val="none"/>
          <w:lang w:val="en-US" w:eastAsia="zh-CN"/>
        </w:rPr>
        <w:t>十三</w:t>
      </w:r>
      <w:r>
        <w:rPr>
          <w:rFonts w:hint="eastAsia" w:ascii="Times New Roman" w:hAnsi="Times New Roman" w:cs="Times New Roman"/>
          <w:b/>
          <w:color w:val="auto"/>
          <w:sz w:val="28"/>
          <w:szCs w:val="28"/>
          <w:highlight w:val="none"/>
          <w:lang w:eastAsia="zh-CN"/>
        </w:rPr>
        <w:t>）</w:t>
      </w:r>
      <w:r>
        <w:rPr>
          <w:rFonts w:hint="default" w:ascii="Times New Roman" w:hAnsi="Times New Roman" w:cs="Times New Roman"/>
          <w:b/>
          <w:color w:val="auto"/>
          <w:sz w:val="28"/>
          <w:szCs w:val="28"/>
          <w:highlight w:val="none"/>
        </w:rPr>
        <w:t>合同分配</w:t>
      </w:r>
      <w:r>
        <w:rPr>
          <w:rFonts w:hint="eastAsia" w:ascii="Times New Roman" w:hAnsi="Times New Roman" w:cs="Times New Roman"/>
          <w:b/>
          <w:color w:val="auto"/>
          <w:sz w:val="28"/>
          <w:szCs w:val="28"/>
          <w:highlight w:val="none"/>
          <w:lang w:eastAsia="zh-CN"/>
        </w:rPr>
        <w:t>（</w:t>
      </w:r>
      <w:r>
        <w:rPr>
          <w:rFonts w:hint="eastAsia" w:ascii="Times New Roman" w:hAnsi="Times New Roman" w:cs="Times New Roman"/>
          <w:b/>
          <w:color w:val="auto"/>
          <w:sz w:val="28"/>
          <w:szCs w:val="28"/>
          <w:highlight w:val="none"/>
          <w:lang w:val="en-US" w:eastAsia="zh-CN"/>
        </w:rPr>
        <w:t>如有</w:t>
      </w:r>
      <w:r>
        <w:rPr>
          <w:rFonts w:hint="eastAsia" w:ascii="Times New Roman" w:hAnsi="Times New Roman" w:cs="Times New Roman"/>
          <w:b/>
          <w:color w:val="auto"/>
          <w:sz w:val="28"/>
          <w:szCs w:val="28"/>
          <w:highlight w:val="none"/>
          <w:lang w:eastAsia="zh-CN"/>
        </w:rPr>
        <w:t>）</w:t>
      </w:r>
    </w:p>
    <w:p>
      <w:pPr>
        <w:numPr>
          <w:ilvl w:val="0"/>
          <w:numId w:val="0"/>
        </w:numPr>
        <w:shd w:val="clear" w:color="auto" w:fill="auto"/>
        <w:adjustRightInd w:val="0"/>
        <w:snapToGrid w:val="0"/>
        <w:spacing w:before="156" w:beforeLines="50" w:line="360" w:lineRule="auto"/>
        <w:ind w:firstLine="280" w:firstLineChars="100"/>
        <w:outlineLvl w:val="9"/>
        <w:rPr>
          <w:rFonts w:hint="default" w:ascii="Times New Roman" w:hAnsi="Times New Roman" w:cs="Times New Roman"/>
          <w:i w:val="0"/>
          <w:iCs w:val="0"/>
          <w:color w:val="auto"/>
          <w:sz w:val="28"/>
          <w:szCs w:val="28"/>
          <w:highlight w:val="none"/>
        </w:rPr>
      </w:pPr>
      <w:r>
        <w:rPr>
          <w:rFonts w:hint="default" w:ascii="Times New Roman" w:hAnsi="Times New Roman" w:cs="Times New Roman"/>
          <w:i w:val="0"/>
          <w:iCs w:val="0"/>
          <w:color w:val="auto"/>
          <w:sz w:val="28"/>
          <w:szCs w:val="28"/>
          <w:highlight w:val="none"/>
          <w:lang w:val="en-US" w:eastAsia="zh-CN"/>
        </w:rPr>
        <w:t>框架</w:t>
      </w:r>
      <w:r>
        <w:rPr>
          <w:rFonts w:hint="eastAsia" w:ascii="Times New Roman" w:hAnsi="Times New Roman" w:cs="Times New Roman"/>
          <w:i w:val="0"/>
          <w:iCs w:val="0"/>
          <w:color w:val="auto"/>
          <w:sz w:val="28"/>
          <w:szCs w:val="28"/>
          <w:highlight w:val="none"/>
          <w:lang w:val="en-US" w:eastAsia="zh-CN"/>
        </w:rPr>
        <w:t>采购</w:t>
      </w:r>
      <w:r>
        <w:rPr>
          <w:rFonts w:hint="default" w:ascii="Times New Roman" w:hAnsi="Times New Roman" w:cs="Times New Roman"/>
          <w:i w:val="0"/>
          <w:iCs w:val="0"/>
          <w:color w:val="auto"/>
          <w:sz w:val="28"/>
          <w:szCs w:val="28"/>
          <w:highlight w:val="none"/>
          <w:lang w:val="en-US" w:eastAsia="zh-CN"/>
        </w:rPr>
        <w:t>结果确定后，由</w:t>
      </w:r>
      <w:bookmarkStart w:id="41" w:name="TXT_5207077C61DA43D3971C9E8DBCC76172_7"/>
      <w:r>
        <w:rPr>
          <w:rFonts w:hint="eastAsia" w:ascii="Times New Roman" w:hAnsi="Times New Roman" w:cs="Times New Roman"/>
          <w:i w:val="0"/>
          <w:iCs w:val="0"/>
          <w:color w:val="auto"/>
          <w:sz w:val="28"/>
          <w:szCs w:val="28"/>
          <w:highlight w:val="none"/>
          <w:u w:val="single"/>
          <w:lang w:val="en-US" w:eastAsia="zh-CN"/>
        </w:rPr>
        <w:t>中国南方电网有限责任公司人才发展中心数字化部</w:t>
      </w:r>
      <w:bookmarkEnd w:id="41"/>
      <w:r>
        <w:rPr>
          <w:rFonts w:hint="default" w:ascii="Times New Roman" w:hAnsi="Times New Roman" w:cs="Times New Roman"/>
          <w:i w:val="0"/>
          <w:iCs w:val="0"/>
          <w:color w:val="auto"/>
          <w:sz w:val="28"/>
          <w:szCs w:val="28"/>
          <w:highlight w:val="none"/>
          <w:lang w:val="en-US" w:eastAsia="zh-CN"/>
        </w:rPr>
        <w:t>根据</w:t>
      </w:r>
      <w:r>
        <w:rPr>
          <w:rFonts w:hint="eastAsia" w:ascii="Times New Roman" w:hAnsi="Times New Roman" w:cs="Times New Roman"/>
          <w:i w:val="0"/>
          <w:iCs w:val="0"/>
          <w:color w:val="auto"/>
          <w:sz w:val="28"/>
          <w:szCs w:val="28"/>
          <w:highlight w:val="none"/>
          <w:lang w:val="en-US" w:eastAsia="zh-CN"/>
        </w:rPr>
        <w:t>成交</w:t>
      </w:r>
      <w:r>
        <w:rPr>
          <w:rFonts w:hint="default" w:ascii="Times New Roman" w:hAnsi="Times New Roman" w:cs="Times New Roman"/>
          <w:i w:val="0"/>
          <w:iCs w:val="0"/>
          <w:color w:val="auto"/>
          <w:sz w:val="28"/>
          <w:szCs w:val="28"/>
          <w:highlight w:val="none"/>
          <w:lang w:val="en-US" w:eastAsia="zh-CN"/>
        </w:rPr>
        <w:t>结果，使用电网管理平台中的分配模块进行实际需求的分配。对于特殊项目，可进行人工调整，但总体分配比例</w:t>
      </w:r>
      <w:r>
        <w:rPr>
          <w:rFonts w:hint="eastAsia" w:ascii="Times New Roman" w:hAnsi="Times New Roman" w:cs="Times New Roman"/>
          <w:i w:val="0"/>
          <w:iCs w:val="0"/>
          <w:color w:val="auto"/>
          <w:sz w:val="28"/>
          <w:szCs w:val="28"/>
          <w:highlight w:val="none"/>
          <w:lang w:val="en-US" w:eastAsia="zh-CN"/>
        </w:rPr>
        <w:t>/金额</w:t>
      </w:r>
      <w:r>
        <w:rPr>
          <w:rFonts w:hint="default" w:ascii="Times New Roman" w:hAnsi="Times New Roman" w:cs="Times New Roman"/>
          <w:i w:val="0"/>
          <w:iCs w:val="0"/>
          <w:color w:val="auto"/>
          <w:sz w:val="28"/>
          <w:szCs w:val="28"/>
          <w:highlight w:val="none"/>
          <w:lang w:val="en-US" w:eastAsia="zh-CN"/>
        </w:rPr>
        <w:t>要遵循框架招标的结果。</w:t>
      </w:r>
    </w:p>
    <w:p>
      <w:pPr>
        <w:adjustRightInd w:val="0"/>
        <w:snapToGrid w:val="0"/>
        <w:spacing w:before="156" w:beforeLines="50" w:line="360" w:lineRule="auto"/>
        <w:ind w:firstLine="562" w:firstLineChars="200"/>
        <w:outlineLvl w:val="0"/>
        <w:rPr>
          <w:rFonts w:ascii="宋体" w:hAnsi="宋体"/>
          <w:b/>
          <w:i w:val="0"/>
          <w:iCs w:val="0"/>
          <w:color w:val="auto"/>
          <w:sz w:val="28"/>
          <w:szCs w:val="28"/>
          <w:highlight w:val="none"/>
        </w:rPr>
      </w:pPr>
      <w:r>
        <w:rPr>
          <w:rFonts w:hint="eastAsia" w:ascii="宋体" w:hAnsi="宋体"/>
          <w:b/>
          <w:i w:val="0"/>
          <w:iCs w:val="0"/>
          <w:color w:val="auto"/>
          <w:sz w:val="28"/>
          <w:szCs w:val="28"/>
          <w:highlight w:val="none"/>
        </w:rPr>
        <w:t>五、</w:t>
      </w:r>
      <w:r>
        <w:rPr>
          <w:rFonts w:hint="eastAsia" w:ascii="宋体" w:hAnsi="宋体"/>
          <w:b/>
          <w:i w:val="0"/>
          <w:iCs w:val="0"/>
          <w:color w:val="auto"/>
          <w:sz w:val="28"/>
          <w:szCs w:val="28"/>
          <w:highlight w:val="none"/>
          <w:lang w:eastAsia="zh-CN"/>
        </w:rPr>
        <w:t>采购</w:t>
      </w:r>
      <w:r>
        <w:rPr>
          <w:rFonts w:hint="eastAsia" w:ascii="宋体" w:hAnsi="宋体"/>
          <w:b/>
          <w:i w:val="0"/>
          <w:iCs w:val="0"/>
          <w:color w:val="auto"/>
          <w:sz w:val="28"/>
          <w:szCs w:val="28"/>
          <w:highlight w:val="none"/>
        </w:rPr>
        <w:t>工作计划表</w:t>
      </w:r>
      <w:bookmarkEnd w:id="39"/>
    </w:p>
    <w:tbl>
      <w:tblPr>
        <w:tblStyle w:val="22"/>
        <w:tblW w:w="8498" w:type="dxa"/>
        <w:jc w:val="center"/>
        <w:tblLayout w:type="fixed"/>
        <w:tblCellMar>
          <w:top w:w="0" w:type="dxa"/>
          <w:left w:w="0" w:type="dxa"/>
          <w:bottom w:w="0" w:type="dxa"/>
          <w:right w:w="0" w:type="dxa"/>
        </w:tblCellMar>
      </w:tblPr>
      <w:tblGrid>
        <w:gridCol w:w="1042"/>
        <w:gridCol w:w="4044"/>
        <w:gridCol w:w="3412"/>
      </w:tblGrid>
      <w:tr>
        <w:tblPrEx>
          <w:tblCellMar>
            <w:top w:w="0" w:type="dxa"/>
            <w:left w:w="0" w:type="dxa"/>
            <w:bottom w:w="0" w:type="dxa"/>
            <w:right w:w="0" w:type="dxa"/>
          </w:tblCellMar>
        </w:tblPrEx>
        <w:trPr>
          <w:trHeight w:val="420" w:hRule="atLeast"/>
          <w:jc w:val="center"/>
        </w:trPr>
        <w:tc>
          <w:tcPr>
            <w:tcW w:w="10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default" w:ascii="Times New Roman" w:hAnsi="Times New Roman" w:cs="Times New Roman"/>
                <w:i w:val="0"/>
                <w:iCs w:val="0"/>
                <w:color w:val="auto"/>
                <w:sz w:val="21"/>
                <w:szCs w:val="21"/>
                <w:highlight w:val="none"/>
              </w:rPr>
            </w:pPr>
            <w:bookmarkStart w:id="42" w:name="XmInfoEntity_zbgzjhbTable_1_1"/>
            <w:r>
              <w:rPr>
                <w:rFonts w:hint="default" w:ascii="Times New Roman" w:hAnsi="Times New Roman" w:cs="Times New Roman"/>
                <w:i w:val="0"/>
                <w:iCs w:val="0"/>
                <w:color w:val="auto"/>
                <w:sz w:val="21"/>
                <w:szCs w:val="21"/>
                <w:highlight w:val="none"/>
              </w:rPr>
              <w:t>编号</w:t>
            </w:r>
          </w:p>
        </w:tc>
        <w:tc>
          <w:tcPr>
            <w:tcW w:w="404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工作内容</w:t>
            </w:r>
          </w:p>
        </w:tc>
        <w:tc>
          <w:tcPr>
            <w:tcW w:w="341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日期</w:t>
            </w:r>
          </w:p>
        </w:tc>
      </w:tr>
      <w:tr>
        <w:tblPrEx>
          <w:tblCellMar>
            <w:top w:w="0" w:type="dxa"/>
            <w:left w:w="0" w:type="dxa"/>
            <w:bottom w:w="0" w:type="dxa"/>
            <w:right w:w="0" w:type="dxa"/>
          </w:tblCellMar>
        </w:tblPrEx>
        <w:trPr>
          <w:trHeight w:val="420" w:hRule="atLeast"/>
          <w:jc w:val="center"/>
        </w:trPr>
        <w:tc>
          <w:tcPr>
            <w:tcW w:w="10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1</w:t>
            </w:r>
          </w:p>
        </w:tc>
        <w:tc>
          <w:tcPr>
            <w:tcW w:w="404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计划</w:t>
            </w:r>
            <w:r>
              <w:rPr>
                <w:rFonts w:hint="eastAsia" w:ascii="Times New Roman" w:hAnsi="Times New Roman" w:cs="Times New Roman"/>
                <w:i w:val="0"/>
                <w:iCs w:val="0"/>
                <w:color w:val="auto"/>
                <w:sz w:val="21"/>
                <w:szCs w:val="21"/>
                <w:highlight w:val="none"/>
                <w:lang w:val="en-US" w:eastAsia="zh-CN"/>
              </w:rPr>
              <w:t>采购</w:t>
            </w:r>
            <w:r>
              <w:rPr>
                <w:rFonts w:hint="default" w:ascii="Times New Roman" w:hAnsi="Times New Roman" w:cs="Times New Roman"/>
                <w:i w:val="0"/>
                <w:iCs w:val="0"/>
                <w:color w:val="auto"/>
                <w:sz w:val="21"/>
                <w:szCs w:val="21"/>
                <w:highlight w:val="none"/>
              </w:rPr>
              <w:t>公告发布时间</w:t>
            </w:r>
          </w:p>
        </w:tc>
        <w:tc>
          <w:tcPr>
            <w:tcW w:w="341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default" w:ascii="Times New Roman" w:hAnsi="Times New Roman" w:cs="Times New Roman"/>
                <w:i w:val="0"/>
                <w:iCs w:val="0"/>
                <w:color w:val="auto"/>
                <w:sz w:val="21"/>
                <w:szCs w:val="21"/>
                <w:highlight w:val="none"/>
                <w:u w:val="single"/>
                <w:lang w:val="en-US" w:eastAsia="zh-CN"/>
              </w:rPr>
            </w:pPr>
            <w:r>
              <w:rPr>
                <w:rFonts w:hint="eastAsia" w:ascii="Times New Roman" w:hAnsi="Times New Roman" w:cs="Times New Roman"/>
                <w:i w:val="0"/>
                <w:iCs w:val="0"/>
                <w:color w:val="auto"/>
                <w:sz w:val="21"/>
                <w:szCs w:val="21"/>
                <w:highlight w:val="none"/>
                <w:u w:val="single"/>
                <w:lang w:val="en-US" w:eastAsia="zh-CN"/>
              </w:rPr>
              <w:t>方案审批完成后3工作日内</w:t>
            </w:r>
          </w:p>
        </w:tc>
      </w:tr>
      <w:tr>
        <w:tblPrEx>
          <w:tblCellMar>
            <w:top w:w="0" w:type="dxa"/>
            <w:left w:w="0" w:type="dxa"/>
            <w:bottom w:w="0" w:type="dxa"/>
            <w:right w:w="0" w:type="dxa"/>
          </w:tblCellMar>
        </w:tblPrEx>
        <w:trPr>
          <w:trHeight w:val="420" w:hRule="atLeast"/>
          <w:jc w:val="center"/>
        </w:trPr>
        <w:tc>
          <w:tcPr>
            <w:tcW w:w="104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2</w:t>
            </w:r>
          </w:p>
        </w:tc>
        <w:tc>
          <w:tcPr>
            <w:tcW w:w="404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计划</w:t>
            </w:r>
            <w:r>
              <w:rPr>
                <w:rFonts w:hint="eastAsia" w:ascii="宋体" w:hAnsi="宋体" w:cs="宋体"/>
                <w:bCs/>
                <w:i w:val="0"/>
                <w:iCs w:val="0"/>
                <w:color w:val="auto"/>
                <w:sz w:val="21"/>
                <w:szCs w:val="21"/>
                <w:highlight w:val="none"/>
                <w:u w:val="none"/>
                <w:lang w:val="en-US" w:eastAsia="zh-CN"/>
              </w:rPr>
              <w:t>响应文件提交截止</w:t>
            </w:r>
            <w:r>
              <w:rPr>
                <w:rFonts w:hint="default" w:ascii="Times New Roman" w:hAnsi="Times New Roman" w:cs="Times New Roman"/>
                <w:i w:val="0"/>
                <w:iCs w:val="0"/>
                <w:color w:val="auto"/>
                <w:sz w:val="21"/>
                <w:szCs w:val="21"/>
                <w:highlight w:val="none"/>
              </w:rPr>
              <w:t>时间</w:t>
            </w:r>
          </w:p>
        </w:tc>
        <w:tc>
          <w:tcPr>
            <w:tcW w:w="3412"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jc w:val="center"/>
              <w:rPr>
                <w:rFonts w:hint="default" w:ascii="Times New Roman" w:hAnsi="Times New Roman" w:cs="Times New Roman"/>
                <w:i w:val="0"/>
                <w:iCs w:val="0"/>
                <w:color w:val="auto"/>
                <w:sz w:val="21"/>
                <w:szCs w:val="21"/>
                <w:highlight w:val="none"/>
                <w:u w:val="single"/>
                <w:lang w:val="en-US" w:eastAsia="zh-CN"/>
              </w:rPr>
            </w:pPr>
            <w:r>
              <w:rPr>
                <w:rFonts w:hint="eastAsia" w:ascii="Times New Roman" w:hAnsi="Times New Roman" w:cs="Times New Roman"/>
                <w:i w:val="0"/>
                <w:iCs w:val="0"/>
                <w:color w:val="auto"/>
                <w:sz w:val="21"/>
                <w:szCs w:val="21"/>
                <w:highlight w:val="none"/>
                <w:u w:val="single"/>
                <w:lang w:val="en-US" w:eastAsia="zh-CN"/>
              </w:rPr>
              <w:t>采购文件发出之日起3工作日后</w:t>
            </w:r>
            <w:bookmarkEnd w:id="42"/>
          </w:p>
        </w:tc>
      </w:tr>
    </w:tbl>
    <w:p>
      <w:pPr>
        <w:adjustRightInd w:val="0"/>
        <w:snapToGrid w:val="0"/>
        <w:spacing w:before="156" w:beforeLines="50" w:line="360" w:lineRule="auto"/>
        <w:ind w:firstLine="562" w:firstLineChars="200"/>
        <w:outlineLvl w:val="0"/>
        <w:rPr>
          <w:rFonts w:ascii="宋体" w:hAnsi="宋体"/>
          <w:b/>
          <w:i w:val="0"/>
          <w:iCs w:val="0"/>
          <w:color w:val="auto"/>
          <w:sz w:val="28"/>
          <w:szCs w:val="28"/>
          <w:highlight w:val="none"/>
        </w:rPr>
      </w:pPr>
      <w:r>
        <w:rPr>
          <w:rFonts w:hint="eastAsia" w:ascii="宋体" w:hAnsi="宋体"/>
          <w:b/>
          <w:i w:val="0"/>
          <w:iCs w:val="0"/>
          <w:color w:val="auto"/>
          <w:sz w:val="28"/>
          <w:szCs w:val="28"/>
          <w:highlight w:val="none"/>
        </w:rPr>
        <w:t>六、项目联系人</w:t>
      </w:r>
    </w:p>
    <w:p>
      <w:pPr>
        <w:adjustRightInd w:val="0"/>
        <w:snapToGrid w:val="0"/>
        <w:spacing w:line="360" w:lineRule="auto"/>
        <w:ind w:firstLine="560" w:firstLineChars="200"/>
        <w:outlineLvl w:val="9"/>
        <w:rPr>
          <w:rFonts w:hint="eastAsia" w:ascii="宋体" w:hAnsi="宋体" w:eastAsiaTheme="minorEastAsia"/>
          <w:i w:val="0"/>
          <w:iCs w:val="0"/>
          <w:color w:val="auto"/>
          <w:sz w:val="28"/>
          <w:szCs w:val="28"/>
          <w:highlight w:val="none"/>
          <w:lang w:eastAsia="zh-CN"/>
        </w:rPr>
      </w:pPr>
      <w:r>
        <w:rPr>
          <w:rFonts w:hint="eastAsia" w:ascii="宋体" w:hAnsi="宋体"/>
          <w:i w:val="0"/>
          <w:iCs w:val="0"/>
          <w:color w:val="auto"/>
          <w:sz w:val="28"/>
          <w:szCs w:val="28"/>
          <w:highlight w:val="none"/>
        </w:rPr>
        <w:t>项目承办联系人：</w:t>
      </w:r>
      <w:bookmarkStart w:id="43" w:name="TXT_2214F77011F94FC885D34997908C4C1A_1"/>
      <w:r>
        <w:rPr>
          <w:rFonts w:hint="eastAsia" w:ascii="宋体" w:hAnsi="宋体"/>
          <w:i w:val="0"/>
          <w:iCs w:val="0"/>
          <w:color w:val="auto"/>
          <w:sz w:val="28"/>
          <w:szCs w:val="28"/>
          <w:highlight w:val="none"/>
          <w:u w:val="single"/>
          <w:lang w:eastAsia="zh-CN"/>
        </w:rPr>
        <w:t>王德贺</w:t>
      </w:r>
      <w:bookmarkEnd w:id="43"/>
    </w:p>
    <w:p>
      <w:pPr>
        <w:adjustRightInd w:val="0"/>
        <w:snapToGrid w:val="0"/>
        <w:spacing w:line="360" w:lineRule="auto"/>
        <w:ind w:firstLine="560" w:firstLineChars="200"/>
        <w:outlineLvl w:val="9"/>
        <w:rPr>
          <w:rFonts w:hint="eastAsia" w:ascii="宋体" w:hAnsi="宋体" w:eastAsiaTheme="minorEastAsia"/>
          <w:i w:val="0"/>
          <w:iCs w:val="0"/>
          <w:color w:val="auto"/>
          <w:sz w:val="28"/>
          <w:szCs w:val="28"/>
          <w:highlight w:val="none"/>
          <w:u w:val="single"/>
          <w:lang w:eastAsia="zh-CN"/>
        </w:rPr>
      </w:pPr>
      <w:r>
        <w:rPr>
          <w:rFonts w:hint="eastAsia" w:ascii="宋体" w:hAnsi="宋体"/>
          <w:i w:val="0"/>
          <w:iCs w:val="0"/>
          <w:color w:val="auto"/>
          <w:sz w:val="28"/>
          <w:szCs w:val="28"/>
          <w:highlight w:val="none"/>
        </w:rPr>
        <w:t>联系电话：</w:t>
      </w:r>
      <w:bookmarkStart w:id="44" w:name="TXT_A99232263A5A4EA28EC66689EF0BD862_1"/>
      <w:r>
        <w:rPr>
          <w:rFonts w:hint="eastAsia" w:ascii="宋体" w:hAnsi="宋体"/>
          <w:i w:val="0"/>
          <w:iCs w:val="0"/>
          <w:color w:val="auto"/>
          <w:sz w:val="28"/>
          <w:szCs w:val="28"/>
          <w:highlight w:val="none"/>
          <w:u w:val="single"/>
          <w:lang w:eastAsia="zh-CN"/>
        </w:rPr>
        <w:t>15285927550</w:t>
      </w:r>
      <w:bookmarkEnd w:id="44"/>
    </w:p>
    <w:p>
      <w:pPr>
        <w:adjustRightInd w:val="0"/>
        <w:snapToGrid w:val="0"/>
        <w:spacing w:line="360" w:lineRule="auto"/>
        <w:ind w:right="140"/>
        <w:jc w:val="right"/>
        <w:outlineLvl w:val="9"/>
        <w:rPr>
          <w:rFonts w:hint="eastAsia" w:ascii="Times New Roman" w:hAnsi="Times New Roman" w:eastAsia="宋体" w:cs="Times New Roman"/>
          <w:i w:val="0"/>
          <w:iCs w:val="0"/>
          <w:strike w:val="0"/>
          <w:dstrike w:val="0"/>
          <w:color w:val="auto"/>
          <w:kern w:val="0"/>
          <w:sz w:val="28"/>
          <w:szCs w:val="28"/>
          <w:highlight w:val="none"/>
          <w:lang w:eastAsia="zh-CN"/>
        </w:rPr>
      </w:pPr>
      <w:bookmarkStart w:id="45" w:name="TXT_5207077C61DA43D3971C9E8DBCC76172_8"/>
      <w:r>
        <w:rPr>
          <w:rFonts w:hint="eastAsia" w:ascii="Times New Roman" w:hAnsi="Times New Roman" w:eastAsia="宋体" w:cs="Times New Roman"/>
          <w:i w:val="0"/>
          <w:iCs w:val="0"/>
          <w:strike w:val="0"/>
          <w:dstrike w:val="0"/>
          <w:color w:val="auto"/>
          <w:sz w:val="28"/>
          <w:szCs w:val="28"/>
          <w:highlight w:val="none"/>
          <w:u w:val="single"/>
          <w:lang w:eastAsia="zh-CN"/>
        </w:rPr>
        <w:t>中国南方电网有限责任公司人才发展中心数字化部</w:t>
      </w:r>
      <w:bookmarkEnd w:id="45"/>
    </w:p>
    <w:p>
      <w:pPr>
        <w:widowControl/>
        <w:adjustRightInd w:val="0"/>
        <w:snapToGrid w:val="0"/>
        <w:spacing w:line="360" w:lineRule="auto"/>
        <w:ind w:right="140"/>
        <w:jc w:val="right"/>
        <w:outlineLvl w:val="9"/>
        <w:rPr>
          <w:rFonts w:hint="eastAsia"/>
          <w:i w:val="0"/>
          <w:iCs w:val="0"/>
          <w:strike w:val="0"/>
          <w:dstrike w:val="0"/>
          <w:color w:val="auto"/>
          <w:kern w:val="0"/>
          <w:highlight w:val="none"/>
        </w:rPr>
      </w:pPr>
      <w:bookmarkStart w:id="46" w:name="TXT_600BB79FC4694713AD309179EEB39CA6_2"/>
      <w:r>
        <w:rPr>
          <w:rFonts w:hint="eastAsia" w:ascii="Times New Roman" w:hAnsi="Times New Roman" w:eastAsia="宋体" w:cs="Times New Roman"/>
          <w:i w:val="0"/>
          <w:iCs w:val="0"/>
          <w:strike w:val="0"/>
          <w:dstrike w:val="0"/>
          <w:color w:val="auto"/>
          <w:kern w:val="0"/>
          <w:sz w:val="28"/>
          <w:highlight w:val="none"/>
          <w:u w:val="single"/>
          <w:lang w:val="en-US" w:eastAsia="zh-CN"/>
        </w:rPr>
        <w:t>2025-09-08</w:t>
      </w:r>
      <w:bookmarkEnd w:id="46"/>
    </w:p>
    <w:p>
      <w:pPr>
        <w:widowControl/>
        <w:adjustRightInd w:val="0"/>
        <w:snapToGrid w:val="0"/>
        <w:spacing w:line="360" w:lineRule="auto"/>
        <w:ind w:right="420"/>
        <w:jc w:val="right"/>
        <w:outlineLvl w:val="9"/>
        <w:rPr>
          <w:rFonts w:ascii="宋体" w:hAnsi="宋体"/>
          <w:b/>
          <w:i w:val="0"/>
          <w:iCs w:val="0"/>
          <w:color w:val="auto"/>
          <w:kern w:val="0"/>
          <w:sz w:val="28"/>
          <w:szCs w:val="28"/>
          <w:highlight w:val="none"/>
        </w:rPr>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textAlignment w:val="auto"/>
        <w:outlineLvl w:val="0"/>
        <w:rPr>
          <w:rFonts w:hint="eastAsia" w:ascii="Times New Roman" w:hAnsi="Times New Roman" w:eastAsia="宋体" w:cs="Times New Roman"/>
          <w:b/>
          <w:i w:val="0"/>
          <w:iCs w:val="0"/>
          <w:color w:val="auto"/>
          <w:sz w:val="24"/>
          <w:highlight w:val="none"/>
        </w:rPr>
      </w:pPr>
      <w:bookmarkStart w:id="47" w:name="XmInfoEntity_BDWMSFJ_0_2"/>
      <w:bookmarkEnd w:id="47"/>
      <w:r>
        <w:rPr>
          <w:rFonts w:hint="eastAsia" w:ascii="Times New Roman" w:hAnsi="Times New Roman" w:eastAsia="宋体" w:cs="Times New Roman"/>
          <w:b/>
          <w:i w:val="0"/>
          <w:iCs w:val="0"/>
          <w:color w:val="auto"/>
          <w:sz w:val="24"/>
          <w:highlight w:val="none"/>
        </w:rPr>
        <w:t>附件1：</w:t>
      </w:r>
      <w:r>
        <w:rPr>
          <w:rFonts w:hint="eastAsia" w:ascii="Times New Roman" w:hAnsi="Times New Roman" w:eastAsia="宋体" w:cs="Times New Roman"/>
          <w:b/>
          <w:i w:val="0"/>
          <w:iCs w:val="0"/>
          <w:color w:val="auto"/>
          <w:sz w:val="24"/>
          <w:highlight w:val="none"/>
          <w:lang w:val="en-US" w:eastAsia="zh-CN"/>
        </w:rPr>
        <w:t>项目</w:t>
      </w:r>
      <w:r>
        <w:rPr>
          <w:rFonts w:hint="eastAsia" w:ascii="Times New Roman" w:hAnsi="Times New Roman" w:cs="Times New Roman"/>
          <w:b/>
          <w:i w:val="0"/>
          <w:iCs w:val="0"/>
          <w:color w:val="auto"/>
          <w:sz w:val="24"/>
          <w:highlight w:val="none"/>
          <w:lang w:val="en-US" w:eastAsia="zh-CN"/>
        </w:rPr>
        <w:t>采购范围</w:t>
      </w:r>
      <w:r>
        <w:rPr>
          <w:rFonts w:hint="eastAsia" w:ascii="Times New Roman" w:hAnsi="Times New Roman" w:eastAsia="宋体" w:cs="Times New Roman"/>
          <w:b/>
          <w:i w:val="0"/>
          <w:iCs w:val="0"/>
          <w:color w:val="auto"/>
          <w:sz w:val="24"/>
          <w:highlight w:val="none"/>
        </w:rPr>
        <w:t>及标的物清单</w:t>
      </w:r>
    </w:p>
    <w:p>
      <w:pPr>
        <w:widowControl/>
        <w:snapToGrid w:val="0"/>
        <w:spacing w:line="240" w:lineRule="exact"/>
        <w:rPr>
          <w:rFonts w:hint="eastAsia"/>
          <w:b/>
          <w:i w:val="0"/>
          <w:iCs w:val="0"/>
          <w:color w:val="auto"/>
          <w:sz w:val="24"/>
          <w:highlight w:val="none"/>
        </w:rPr>
      </w:pPr>
    </w:p>
    <w:p>
      <w:pPr>
        <w:spacing w:line="360" w:lineRule="auto"/>
        <w:ind w:firstLine="480" w:firstLineChars="200"/>
        <w:outlineLvl w:val="9"/>
        <w:rPr>
          <w:rFonts w:hint="eastAsia" w:ascii="Times New Roman" w:hAnsi="Times New Roman" w:eastAsiaTheme="minorEastAsia"/>
          <w:i w:val="0"/>
          <w:iCs w:val="0"/>
          <w:color w:val="auto"/>
          <w:sz w:val="24"/>
          <w:szCs w:val="28"/>
          <w:highlight w:val="none"/>
          <w:u w:val="single"/>
          <w:lang w:eastAsia="zh-CN"/>
        </w:rPr>
      </w:pPr>
      <w:r>
        <w:rPr>
          <w:rFonts w:hint="eastAsia" w:ascii="Times New Roman" w:hAnsi="Times New Roman"/>
          <w:i w:val="0"/>
          <w:iCs w:val="0"/>
          <w:color w:val="auto"/>
          <w:sz w:val="24"/>
          <w:szCs w:val="28"/>
          <w:highlight w:val="none"/>
        </w:rPr>
        <w:t>（一）</w:t>
      </w:r>
      <w:r>
        <w:rPr>
          <w:rFonts w:hint="eastAsia" w:ascii="Times New Roman" w:hAnsi="Times New Roman"/>
          <w:i w:val="0"/>
          <w:iCs w:val="0"/>
          <w:color w:val="auto"/>
          <w:sz w:val="24"/>
          <w:szCs w:val="28"/>
          <w:highlight w:val="none"/>
          <w:lang w:val="en-US" w:eastAsia="zh-CN"/>
        </w:rPr>
        <w:t>采购范围</w:t>
      </w:r>
      <w:r>
        <w:rPr>
          <w:rFonts w:hint="eastAsia" w:ascii="Times New Roman" w:hAnsi="Times New Roman"/>
          <w:i w:val="0"/>
          <w:iCs w:val="0"/>
          <w:color w:val="auto"/>
          <w:sz w:val="24"/>
          <w:szCs w:val="28"/>
          <w:highlight w:val="none"/>
        </w:rPr>
        <w:t>：</w:t>
      </w:r>
      <w:bookmarkStart w:id="48" w:name="TXT_964B32BB4C6549149317C7DF75C889F5_2"/>
      <w:r>
        <w:rPr>
          <w:rFonts w:hint="eastAsia" w:ascii="Times New Roman" w:hAnsi="Times New Roman"/>
          <w:i w:val="0"/>
          <w:iCs w:val="0"/>
          <w:color w:val="auto"/>
          <w:sz w:val="24"/>
          <w:szCs w:val="28"/>
          <w:highlight w:val="none"/>
          <w:u w:val="single"/>
          <w:lang w:eastAsia="zh-CN"/>
        </w:rPr>
        <w:t>1.2025-2026年综合测评系统技术服务支持：派驻一名系统工程师常驻运维地点，对中心自主开发的综合素质测评系统进行安全整改、系统运维和日常运营服务，服务期限为1年,详见技术规范书。</w:t>
      </w:r>
    </w:p>
    <w:p>
      <w:pPr>
        <w:spacing w:line="360" w:lineRule="auto"/>
        <w:ind w:firstLine="480" w:firstLineChars="200"/>
        <w:outlineLvl w:val="9"/>
        <w:rPr>
          <w:rFonts w:hint="eastAsia" w:ascii="Times New Roman" w:hAnsi="Times New Roman" w:eastAsiaTheme="minorEastAsia"/>
          <w:i w:val="0"/>
          <w:iCs w:val="0"/>
          <w:color w:val="auto"/>
          <w:sz w:val="24"/>
          <w:szCs w:val="28"/>
          <w:highlight w:val="none"/>
          <w:u w:val="single"/>
          <w:lang w:eastAsia="zh-CN"/>
        </w:rPr>
      </w:pPr>
      <w:r>
        <w:rPr>
          <w:rFonts w:hint="eastAsia" w:ascii="Times New Roman" w:hAnsi="Times New Roman"/>
          <w:i w:val="0"/>
          <w:iCs w:val="0"/>
          <w:color w:val="auto"/>
          <w:sz w:val="24"/>
          <w:szCs w:val="28"/>
          <w:highlight w:val="none"/>
          <w:u w:val="single"/>
          <w:lang w:eastAsia="zh-CN"/>
        </w:rPr>
        <w:t>2.2025-2026年档案数字化整理：根据南网人才发展中心档案整理规范要求，将中心2025-2026年度的公文档案、巡视档案、合同档案、采购档案、技改项目档案、业务档案（含培训、研究、人才评价等全部核心业务过程档案的收集整理）、专题档案及特殊载体档案等进行整理、编号、归档。并根据公司数字档案整理规范标准要求，将以上各类档案导入数字档案管理系统，做好档案数字化整理和归档。详见技术规范书。</w:t>
      </w:r>
      <w:bookmarkEnd w:id="48"/>
    </w:p>
    <w:p>
      <w:pPr>
        <w:spacing w:line="360" w:lineRule="auto"/>
        <w:ind w:firstLine="480" w:firstLineChars="200"/>
        <w:outlineLvl w:val="9"/>
        <w:rPr>
          <w:rFonts w:hint="eastAsia" w:ascii="Times New Roman" w:hAnsi="Times New Roman"/>
          <w:i w:val="0"/>
          <w:iCs w:val="0"/>
          <w:color w:val="auto"/>
          <w:sz w:val="24"/>
          <w:szCs w:val="28"/>
          <w:highlight w:val="none"/>
          <w:u w:val="none"/>
          <w:lang w:eastAsia="zh-CN"/>
        </w:rPr>
      </w:pPr>
      <w:r>
        <w:rPr>
          <w:rFonts w:hint="eastAsia" w:ascii="Times New Roman" w:hAnsi="Times New Roman"/>
          <w:i w:val="0"/>
          <w:iCs w:val="0"/>
          <w:color w:val="auto"/>
          <w:sz w:val="24"/>
          <w:szCs w:val="28"/>
          <w:highlight w:val="none"/>
        </w:rPr>
        <w:t>（二）标的物清单</w:t>
      </w:r>
      <w:r>
        <w:rPr>
          <w:rFonts w:ascii="Times New Roman" w:hAnsi="Times New Roman"/>
          <w:i w:val="0"/>
          <w:iCs w:val="0"/>
          <w:color w:val="auto"/>
          <w:sz w:val="24"/>
          <w:szCs w:val="28"/>
          <w:highlight w:val="none"/>
        </w:rPr>
        <w:t>：</w:t>
      </w:r>
      <w:bookmarkStart w:id="49" w:name="PO_7cac96a727cf4784894680a530c01b19"/>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1193"/>
        <w:gridCol w:w="1193"/>
        <w:gridCol w:w="767"/>
        <w:gridCol w:w="767"/>
        <w:gridCol w:w="681"/>
        <w:gridCol w:w="1023"/>
        <w:gridCol w:w="681"/>
        <w:gridCol w:w="767"/>
        <w:gridCol w:w="10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0" w:type="pct"/>
            <w:shd w:val="clear" w:color="auto" w:fill="FFFFFF"/>
            <w:vAlign w:val="center"/>
          </w:tcPr>
          <w:p>
            <w:pPr>
              <w:jc w:val="center"/>
            </w:pPr>
            <w:r>
              <w:rPr>
                <w:b/>
              </w:rPr>
              <w:t>序号</w:t>
            </w:r>
          </w:p>
        </w:tc>
        <w:tc>
          <w:tcPr>
            <w:tcW w:w="700" w:type="pct"/>
            <w:shd w:val="clear" w:color="auto" w:fill="FFFFFF"/>
            <w:vAlign w:val="center"/>
          </w:tcPr>
          <w:p>
            <w:pPr>
              <w:jc w:val="center"/>
            </w:pPr>
            <w:r>
              <w:rPr>
                <w:b/>
              </w:rPr>
              <w:t>标的名称</w:t>
            </w:r>
          </w:p>
        </w:tc>
        <w:tc>
          <w:tcPr>
            <w:tcW w:w="700" w:type="pct"/>
            <w:shd w:val="clear" w:color="auto" w:fill="FFFFFF"/>
            <w:vAlign w:val="center"/>
          </w:tcPr>
          <w:p>
            <w:pPr>
              <w:jc w:val="center"/>
            </w:pPr>
            <w:r>
              <w:rPr>
                <w:b/>
              </w:rPr>
              <w:t>标包名称</w:t>
            </w:r>
          </w:p>
        </w:tc>
        <w:tc>
          <w:tcPr>
            <w:tcW w:w="450" w:type="pct"/>
            <w:shd w:val="clear" w:color="auto" w:fill="FFFFFF"/>
            <w:vAlign w:val="center"/>
          </w:tcPr>
          <w:p>
            <w:pPr>
              <w:jc w:val="center"/>
            </w:pPr>
            <w:r>
              <w:rPr>
                <w:b/>
              </w:rPr>
              <w:t>预计采购金额（万元）</w:t>
            </w:r>
          </w:p>
        </w:tc>
        <w:tc>
          <w:tcPr>
            <w:tcW w:w="450" w:type="pct"/>
            <w:shd w:val="clear" w:color="auto" w:fill="FFFFFF"/>
            <w:vAlign w:val="center"/>
          </w:tcPr>
          <w:p>
            <w:pPr>
              <w:jc w:val="center"/>
            </w:pPr>
            <w:r>
              <w:rPr>
                <w:b/>
              </w:rPr>
              <w:t>最高投标限价（万元）</w:t>
            </w:r>
          </w:p>
        </w:tc>
        <w:tc>
          <w:tcPr>
            <w:tcW w:w="400" w:type="pct"/>
            <w:shd w:val="clear" w:color="auto" w:fill="FFFFFF"/>
            <w:vAlign w:val="center"/>
          </w:tcPr>
          <w:p>
            <w:pPr>
              <w:jc w:val="center"/>
            </w:pPr>
            <w:r>
              <w:rPr>
                <w:b/>
              </w:rPr>
              <w:t>最大中标数量</w:t>
            </w:r>
          </w:p>
        </w:tc>
        <w:tc>
          <w:tcPr>
            <w:tcW w:w="600" w:type="pct"/>
            <w:shd w:val="clear" w:color="auto" w:fill="FFFFFF"/>
            <w:vAlign w:val="center"/>
          </w:tcPr>
          <w:p>
            <w:pPr>
              <w:jc w:val="center"/>
            </w:pPr>
            <w:r>
              <w:rPr>
                <w:b/>
              </w:rPr>
              <w:t>工期/服务期</w:t>
            </w:r>
          </w:p>
        </w:tc>
        <w:tc>
          <w:tcPr>
            <w:tcW w:w="400" w:type="pct"/>
            <w:shd w:val="clear" w:color="auto" w:fill="FFFFFF"/>
            <w:vAlign w:val="center"/>
          </w:tcPr>
          <w:p>
            <w:pPr>
              <w:jc w:val="center"/>
            </w:pPr>
            <w:r>
              <w:rPr>
                <w:b/>
              </w:rPr>
              <w:t>是否特殊包</w:t>
            </w:r>
          </w:p>
        </w:tc>
        <w:tc>
          <w:tcPr>
            <w:tcW w:w="450" w:type="pct"/>
            <w:shd w:val="clear" w:color="auto" w:fill="FFFFFF"/>
            <w:vAlign w:val="center"/>
          </w:tcPr>
          <w:p>
            <w:pPr>
              <w:jc w:val="center"/>
            </w:pPr>
            <w:r>
              <w:rPr>
                <w:b/>
              </w:rPr>
              <w:t>响应保证金</w:t>
            </w:r>
          </w:p>
        </w:tc>
        <w:tc>
          <w:tcPr>
            <w:tcW w:w="600" w:type="pct"/>
            <w:shd w:val="clear" w:color="auto" w:fill="FFFFFF"/>
            <w:vAlign w:val="center"/>
          </w:tcPr>
          <w:p>
            <w:pPr>
              <w:jc w:val="center"/>
            </w:pPr>
            <w:r>
              <w:rPr>
                <w:b/>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 w:type="pct"/>
            <w:shd w:val="clear" w:color="auto" w:fill="FFFFFF"/>
            <w:vAlign w:val="center"/>
          </w:tcPr>
          <w:p>
            <w:pPr>
              <w:keepNext w:val="0"/>
              <w:keepLines w:val="0"/>
              <w:autoSpaceDE/>
              <w:autoSpaceDN/>
              <w:spacing w:afterAutospacing="1"/>
              <w:jc w:val="center"/>
            </w:pPr>
            <w:r>
              <w:t>1</w:t>
            </w:r>
          </w:p>
        </w:tc>
        <w:tc>
          <w:tcPr>
            <w:tcW w:w="700" w:type="pct"/>
            <w:shd w:val="clear" w:color="auto" w:fill="FFFFFF"/>
            <w:vAlign w:val="center"/>
          </w:tcPr>
          <w:p>
            <w:pPr>
              <w:keepNext w:val="0"/>
              <w:keepLines w:val="0"/>
              <w:autoSpaceDE/>
              <w:autoSpaceDN/>
              <w:spacing w:afterAutospacing="1"/>
              <w:jc w:val="left"/>
            </w:pPr>
            <w:r>
              <w:t>2025-2026年综合测评系统技术服务支持</w:t>
            </w:r>
          </w:p>
        </w:tc>
        <w:tc>
          <w:tcPr>
            <w:tcW w:w="700" w:type="pct"/>
            <w:shd w:val="clear" w:color="auto" w:fill="FFFFFF"/>
            <w:vAlign w:val="center"/>
          </w:tcPr>
          <w:p>
            <w:pPr>
              <w:keepNext w:val="0"/>
              <w:keepLines w:val="0"/>
              <w:autoSpaceDE/>
              <w:autoSpaceDN/>
              <w:spacing w:afterAutospacing="1"/>
              <w:jc w:val="left"/>
            </w:pPr>
            <w:r>
              <w:t>2025-2026年综合测评系统技术服务支持</w:t>
            </w:r>
          </w:p>
        </w:tc>
        <w:tc>
          <w:tcPr>
            <w:tcW w:w="450" w:type="pct"/>
            <w:shd w:val="clear" w:color="auto" w:fill="FFFFFF"/>
            <w:vAlign w:val="center"/>
          </w:tcPr>
          <w:p>
            <w:pPr>
              <w:keepNext w:val="0"/>
              <w:keepLines w:val="0"/>
              <w:autoSpaceDE/>
              <w:autoSpaceDN/>
              <w:spacing w:afterAutospacing="1"/>
              <w:jc w:val="right"/>
            </w:pPr>
            <w:r>
              <w:t>39.8</w:t>
            </w:r>
          </w:p>
        </w:tc>
        <w:tc>
          <w:tcPr>
            <w:tcW w:w="450" w:type="pct"/>
            <w:shd w:val="clear" w:color="auto" w:fill="FFFFFF"/>
            <w:vAlign w:val="center"/>
          </w:tcPr>
          <w:p>
            <w:pPr>
              <w:keepNext w:val="0"/>
              <w:keepLines w:val="0"/>
              <w:autoSpaceDE/>
              <w:autoSpaceDN/>
              <w:spacing w:afterAutospacing="1"/>
              <w:jc w:val="right"/>
            </w:pPr>
            <w:r>
              <w:t>39.8</w:t>
            </w:r>
          </w:p>
        </w:tc>
        <w:tc>
          <w:tcPr>
            <w:tcW w:w="400" w:type="pct"/>
            <w:shd w:val="clear" w:color="auto" w:fill="FFFFFF"/>
            <w:vAlign w:val="center"/>
          </w:tcPr>
          <w:p>
            <w:pPr>
              <w:keepNext w:val="0"/>
              <w:keepLines w:val="0"/>
              <w:autoSpaceDE/>
              <w:autoSpaceDN/>
              <w:spacing w:afterAutospacing="1"/>
              <w:jc w:val="right"/>
            </w:pPr>
            <w:r>
              <w:t>/</w:t>
            </w:r>
          </w:p>
        </w:tc>
        <w:tc>
          <w:tcPr>
            <w:tcW w:w="600" w:type="pct"/>
            <w:shd w:val="clear" w:color="auto" w:fill="FFFFFF"/>
            <w:vAlign w:val="center"/>
          </w:tcPr>
          <w:p>
            <w:pPr>
              <w:keepNext w:val="0"/>
              <w:keepLines w:val="0"/>
              <w:autoSpaceDE/>
              <w:autoSpaceDN/>
              <w:spacing w:afterAutospacing="1"/>
              <w:jc w:val="left"/>
            </w:pPr>
            <w:r>
              <w:t>2025年9月24日至2026年9月23日。（如合同签订日期在2025年9月24日之后，则按合同签订之日起至一年）</w:t>
            </w:r>
          </w:p>
        </w:tc>
        <w:tc>
          <w:tcPr>
            <w:tcW w:w="400" w:type="pct"/>
            <w:shd w:val="clear" w:color="auto" w:fill="FFFFFF"/>
            <w:vAlign w:val="center"/>
          </w:tcPr>
          <w:p>
            <w:pPr>
              <w:keepNext w:val="0"/>
              <w:keepLines w:val="0"/>
              <w:autoSpaceDE/>
              <w:autoSpaceDN/>
              <w:spacing w:afterAutospacing="1"/>
              <w:jc w:val="center"/>
            </w:pPr>
            <w:r>
              <w:t>否</w:t>
            </w:r>
          </w:p>
        </w:tc>
        <w:tc>
          <w:tcPr>
            <w:tcW w:w="450" w:type="pct"/>
            <w:vMerge w:val="restart"/>
            <w:shd w:val="clear" w:color="auto" w:fill="FFFFFF"/>
            <w:vAlign w:val="center"/>
          </w:tcPr>
          <w:p>
            <w:pPr>
              <w:keepNext w:val="0"/>
              <w:keepLines w:val="0"/>
              <w:autoSpaceDE/>
              <w:autoSpaceDN/>
              <w:spacing w:afterAutospacing="1"/>
              <w:jc w:val="right"/>
            </w:pPr>
            <w:r>
              <w:t>/</w:t>
            </w:r>
          </w:p>
        </w:tc>
        <w:tc>
          <w:tcPr>
            <w:tcW w:w="600" w:type="pct"/>
            <w:shd w:val="clear" w:color="auto" w:fill="FFFFFF"/>
            <w:vAlign w:val="center"/>
          </w:tcPr>
          <w:p>
            <w:pPr>
              <w:keepNext w:val="0"/>
              <w:keepLines w:val="0"/>
              <w:autoSpaceDE/>
              <w:autoSpaceDN/>
              <w:spacing w:afterAutospacing="1"/>
              <w:jc w:val="left"/>
            </w:pP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 w:type="pct"/>
            <w:shd w:val="clear" w:color="auto" w:fill="FFFFFF"/>
            <w:vAlign w:val="center"/>
          </w:tcPr>
          <w:p>
            <w:pPr>
              <w:keepNext w:val="0"/>
              <w:keepLines w:val="0"/>
              <w:autoSpaceDE/>
              <w:autoSpaceDN/>
              <w:spacing w:afterAutospacing="1"/>
              <w:jc w:val="center"/>
            </w:pPr>
            <w:r>
              <w:t>2</w:t>
            </w:r>
          </w:p>
        </w:tc>
        <w:tc>
          <w:tcPr>
            <w:tcW w:w="700" w:type="pct"/>
            <w:shd w:val="clear" w:color="auto" w:fill="FFFFFF"/>
            <w:vAlign w:val="center"/>
          </w:tcPr>
          <w:p>
            <w:pPr>
              <w:keepNext w:val="0"/>
              <w:keepLines w:val="0"/>
              <w:autoSpaceDE/>
              <w:autoSpaceDN/>
              <w:spacing w:afterAutospacing="1"/>
              <w:jc w:val="left"/>
            </w:pPr>
            <w:r>
              <w:t>2025-2026年档案数字化整理</w:t>
            </w:r>
          </w:p>
        </w:tc>
        <w:tc>
          <w:tcPr>
            <w:tcW w:w="700" w:type="pct"/>
            <w:shd w:val="clear" w:color="auto" w:fill="FFFFFF"/>
            <w:vAlign w:val="center"/>
          </w:tcPr>
          <w:p>
            <w:pPr>
              <w:keepNext w:val="0"/>
              <w:keepLines w:val="0"/>
              <w:autoSpaceDE/>
              <w:autoSpaceDN/>
              <w:spacing w:afterAutospacing="1"/>
              <w:jc w:val="left"/>
            </w:pPr>
            <w:r>
              <w:t>2025-2026年档案数字化整理</w:t>
            </w:r>
          </w:p>
        </w:tc>
        <w:tc>
          <w:tcPr>
            <w:tcW w:w="450" w:type="pct"/>
            <w:shd w:val="clear" w:color="auto" w:fill="FFFFFF"/>
            <w:vAlign w:val="center"/>
          </w:tcPr>
          <w:p>
            <w:pPr>
              <w:keepNext w:val="0"/>
              <w:keepLines w:val="0"/>
              <w:autoSpaceDE/>
              <w:autoSpaceDN/>
              <w:spacing w:afterAutospacing="1"/>
              <w:jc w:val="right"/>
              <w:rPr>
                <w:rFonts w:hint="eastAsia" w:eastAsiaTheme="minorEastAsia"/>
                <w:lang w:val="en-US" w:eastAsia="zh-CN"/>
              </w:rPr>
            </w:pPr>
            <w:r>
              <w:t>11.</w:t>
            </w:r>
            <w:r>
              <w:rPr>
                <w:rFonts w:hint="eastAsia"/>
                <w:lang w:val="en-US" w:eastAsia="zh-CN"/>
              </w:rPr>
              <w:t>1</w:t>
            </w:r>
          </w:p>
        </w:tc>
        <w:tc>
          <w:tcPr>
            <w:tcW w:w="450" w:type="pct"/>
            <w:shd w:val="clear" w:color="auto" w:fill="FFFFFF"/>
            <w:vAlign w:val="center"/>
          </w:tcPr>
          <w:p>
            <w:pPr>
              <w:keepNext w:val="0"/>
              <w:keepLines w:val="0"/>
              <w:autoSpaceDE/>
              <w:autoSpaceDN/>
              <w:spacing w:afterAutospacing="1"/>
              <w:jc w:val="right"/>
              <w:rPr>
                <w:rFonts w:hint="default" w:eastAsiaTheme="minorEastAsia"/>
                <w:lang w:val="en-US" w:eastAsia="zh-CN"/>
              </w:rPr>
            </w:pPr>
            <w:r>
              <w:t>5.2</w:t>
            </w:r>
            <w:r>
              <w:rPr>
                <w:rFonts w:hint="eastAsia"/>
                <w:lang w:val="en-US" w:eastAsia="zh-CN"/>
              </w:rPr>
              <w:t>298</w:t>
            </w:r>
            <w:bookmarkStart w:id="88" w:name="_GoBack"/>
            <w:bookmarkEnd w:id="88"/>
          </w:p>
        </w:tc>
        <w:tc>
          <w:tcPr>
            <w:tcW w:w="400" w:type="pct"/>
            <w:shd w:val="clear" w:color="auto" w:fill="FFFFFF"/>
            <w:vAlign w:val="center"/>
          </w:tcPr>
          <w:p>
            <w:pPr>
              <w:keepNext w:val="0"/>
              <w:keepLines w:val="0"/>
              <w:autoSpaceDE/>
              <w:autoSpaceDN/>
              <w:spacing w:afterAutospacing="1"/>
              <w:jc w:val="right"/>
            </w:pPr>
            <w:r>
              <w:t>/</w:t>
            </w:r>
          </w:p>
        </w:tc>
        <w:tc>
          <w:tcPr>
            <w:tcW w:w="600" w:type="pct"/>
            <w:shd w:val="clear" w:color="auto" w:fill="FFFFFF"/>
            <w:vAlign w:val="center"/>
          </w:tcPr>
          <w:p>
            <w:pPr>
              <w:keepNext w:val="0"/>
              <w:keepLines w:val="0"/>
              <w:autoSpaceDE/>
              <w:autoSpaceDN/>
              <w:spacing w:afterAutospacing="1"/>
              <w:jc w:val="left"/>
            </w:pPr>
            <w:r>
              <w:t>2026年1月1日-2026年12月31日</w:t>
            </w:r>
          </w:p>
        </w:tc>
        <w:tc>
          <w:tcPr>
            <w:tcW w:w="400" w:type="pct"/>
            <w:shd w:val="clear" w:color="auto" w:fill="FFFFFF"/>
            <w:vAlign w:val="center"/>
          </w:tcPr>
          <w:p>
            <w:pPr>
              <w:keepNext w:val="0"/>
              <w:keepLines w:val="0"/>
              <w:autoSpaceDE/>
              <w:autoSpaceDN/>
              <w:spacing w:afterAutospacing="1"/>
              <w:jc w:val="center"/>
            </w:pPr>
            <w:r>
              <w:t>否</w:t>
            </w:r>
          </w:p>
        </w:tc>
        <w:tc>
          <w:tcPr>
            <w:tcW w:w="450" w:type="pct"/>
            <w:vMerge w:val="continue"/>
            <w:shd w:val="clear" w:color="auto" w:fill="FFFFFF"/>
            <w:vAlign w:val="center"/>
          </w:tcPr>
          <w:p/>
        </w:tc>
        <w:tc>
          <w:tcPr>
            <w:tcW w:w="600" w:type="pct"/>
            <w:shd w:val="clear" w:color="auto" w:fill="FFFFFF"/>
            <w:vAlign w:val="center"/>
          </w:tcPr>
          <w:p>
            <w:pPr>
              <w:keepNext w:val="0"/>
              <w:keepLines w:val="0"/>
              <w:autoSpaceDE/>
              <w:autoSpaceDN/>
              <w:spacing w:afterAutospacing="1"/>
              <w:jc w:val="left"/>
            </w:pPr>
            <w:r>
              <w:t>/</w:t>
            </w:r>
          </w:p>
        </w:tc>
      </w:tr>
      <w:bookmarkEnd w:id="49"/>
    </w:tbl>
    <w:p/>
    <w:p>
      <w:pPr>
        <w:rPr>
          <w:rFonts w:ascii="宋体" w:hAnsi="宋体" w:cs="宋体"/>
          <w:bCs/>
          <w:i w:val="0"/>
          <w:iCs w:val="0"/>
          <w:color w:val="auto"/>
          <w:sz w:val="18"/>
          <w:szCs w:val="18"/>
          <w:highlight w:val="none"/>
        </w:rPr>
      </w:pPr>
      <w:r>
        <w:rPr>
          <w:rFonts w:hint="eastAsia" w:ascii="宋体" w:hAnsi="宋体" w:cs="宋体"/>
          <w:bCs/>
          <w:i w:val="0"/>
          <w:iCs w:val="0"/>
          <w:color w:val="auto"/>
          <w:sz w:val="18"/>
          <w:szCs w:val="18"/>
          <w:highlight w:val="none"/>
          <w:lang w:val="en-US" w:eastAsia="zh-CN"/>
        </w:rPr>
        <w:t>备</w:t>
      </w:r>
      <w:r>
        <w:rPr>
          <w:rFonts w:hint="eastAsia" w:ascii="宋体" w:hAnsi="宋体" w:cs="宋体"/>
          <w:bCs/>
          <w:i w:val="0"/>
          <w:iCs w:val="0"/>
          <w:color w:val="auto"/>
          <w:sz w:val="18"/>
          <w:szCs w:val="18"/>
          <w:highlight w:val="none"/>
        </w:rPr>
        <w:t>注：</w:t>
      </w:r>
      <w:r>
        <w:rPr>
          <w:rFonts w:hint="eastAsia" w:ascii="宋体" w:hAnsi="宋体" w:cs="宋体"/>
          <w:bCs/>
          <w:i w:val="0"/>
          <w:iCs w:val="0"/>
          <w:color w:val="auto"/>
          <w:sz w:val="18"/>
          <w:szCs w:val="18"/>
          <w:highlight w:val="none"/>
          <w:lang w:eastAsia="zh-CN"/>
        </w:rPr>
        <w:t>（</w:t>
      </w:r>
      <w:r>
        <w:rPr>
          <w:rFonts w:hint="eastAsia" w:ascii="宋体" w:hAnsi="宋体" w:cs="宋体"/>
          <w:bCs/>
          <w:i w:val="0"/>
          <w:iCs w:val="0"/>
          <w:color w:val="auto"/>
          <w:sz w:val="18"/>
          <w:szCs w:val="18"/>
          <w:highlight w:val="none"/>
          <w:lang w:val="en-US" w:eastAsia="zh-CN"/>
        </w:rPr>
        <w:t>1</w:t>
      </w:r>
      <w:r>
        <w:rPr>
          <w:rFonts w:hint="eastAsia" w:ascii="宋体" w:hAnsi="宋体" w:cs="宋体"/>
          <w:bCs/>
          <w:i w:val="0"/>
          <w:iCs w:val="0"/>
          <w:color w:val="auto"/>
          <w:sz w:val="18"/>
          <w:szCs w:val="18"/>
          <w:highlight w:val="none"/>
          <w:lang w:eastAsia="zh-CN"/>
        </w:rPr>
        <w:t>）</w:t>
      </w:r>
      <w:r>
        <w:rPr>
          <w:rFonts w:hint="eastAsia" w:ascii="宋体" w:hAnsi="宋体" w:cs="宋体"/>
          <w:bCs/>
          <w:i w:val="0"/>
          <w:iCs w:val="0"/>
          <w:color w:val="auto"/>
          <w:sz w:val="18"/>
          <w:szCs w:val="18"/>
          <w:highlight w:val="none"/>
        </w:rPr>
        <w:t>除不受限制的特殊包外，一个投标人在一个</w:t>
      </w:r>
      <w:r>
        <w:rPr>
          <w:rFonts w:hint="eastAsia" w:ascii="宋体" w:hAnsi="宋体" w:cs="宋体"/>
          <w:bCs/>
          <w:i w:val="0"/>
          <w:iCs w:val="0"/>
          <w:color w:val="auto"/>
          <w:sz w:val="18"/>
          <w:szCs w:val="18"/>
          <w:highlight w:val="none"/>
          <w:lang w:val="en-US" w:eastAsia="zh-CN"/>
        </w:rPr>
        <w:t>标的</w:t>
      </w:r>
      <w:r>
        <w:rPr>
          <w:rFonts w:hint="eastAsia" w:ascii="宋体" w:hAnsi="宋体" w:cs="宋体"/>
          <w:bCs/>
          <w:i w:val="0"/>
          <w:iCs w:val="0"/>
          <w:color w:val="auto"/>
          <w:sz w:val="18"/>
          <w:szCs w:val="18"/>
          <w:highlight w:val="none"/>
        </w:rPr>
        <w:t>中最多只能中不超过最大中标包数的标包。</w:t>
      </w:r>
    </w:p>
    <w:p>
      <w:pPr>
        <w:rPr>
          <w:rFonts w:hint="eastAsia" w:ascii="宋体" w:hAnsi="宋体" w:eastAsia="宋体" w:cs="宋体"/>
          <w:bCs/>
          <w:i w:val="0"/>
          <w:iCs w:val="0"/>
          <w:color w:val="auto"/>
          <w:sz w:val="18"/>
          <w:szCs w:val="18"/>
          <w:highlight w:val="none"/>
          <w:lang w:eastAsia="zh-CN"/>
        </w:rPr>
      </w:pPr>
      <w:r>
        <w:rPr>
          <w:rFonts w:hint="eastAsia" w:ascii="宋体" w:hAnsi="宋体" w:cs="宋体"/>
          <w:bCs/>
          <w:i w:val="0"/>
          <w:iCs w:val="0"/>
          <w:color w:val="auto"/>
          <w:sz w:val="18"/>
          <w:szCs w:val="18"/>
          <w:highlight w:val="none"/>
          <w:lang w:eastAsia="zh-CN"/>
        </w:rPr>
        <w:t>（</w:t>
      </w:r>
      <w:r>
        <w:rPr>
          <w:rFonts w:hint="eastAsia" w:ascii="宋体" w:hAnsi="宋体" w:cs="宋体"/>
          <w:bCs/>
          <w:i w:val="0"/>
          <w:iCs w:val="0"/>
          <w:color w:val="auto"/>
          <w:sz w:val="18"/>
          <w:szCs w:val="18"/>
          <w:highlight w:val="none"/>
          <w:lang w:val="en-US" w:eastAsia="zh-CN"/>
        </w:rPr>
        <w:t>2</w:t>
      </w:r>
      <w:r>
        <w:rPr>
          <w:rFonts w:hint="eastAsia" w:ascii="宋体" w:hAnsi="宋体" w:cs="宋体"/>
          <w:bCs/>
          <w:i w:val="0"/>
          <w:iCs w:val="0"/>
          <w:color w:val="auto"/>
          <w:sz w:val="18"/>
          <w:szCs w:val="18"/>
          <w:highlight w:val="none"/>
          <w:lang w:eastAsia="zh-CN"/>
        </w:rPr>
        <w:t>）</w:t>
      </w:r>
      <w:r>
        <w:rPr>
          <w:rFonts w:hint="eastAsia" w:ascii="宋体" w:hAnsi="宋体" w:cs="宋体"/>
          <w:bCs/>
          <w:i w:val="0"/>
          <w:iCs w:val="0"/>
          <w:color w:val="auto"/>
          <w:sz w:val="18"/>
          <w:szCs w:val="18"/>
          <w:highlight w:val="none"/>
        </w:rPr>
        <w:t>预计采购金额为采购需求预测数据，仅作为招标预估规模供投标人参考，并不代表招标人对采购量的承诺，最终以实际框架结果有效期内具体委托量为准。部分标包，特别是预计量少的标包，可能出现部分单位协议期内无实际需求的情况，请在知悉并接受相关条件的情况下参与本项目的投标。</w:t>
      </w:r>
      <w:r>
        <w:rPr>
          <w:rFonts w:hint="eastAsia" w:ascii="宋体" w:hAnsi="宋体" w:cs="宋体"/>
          <w:bCs/>
          <w:i w:val="0"/>
          <w:iCs w:val="0"/>
          <w:color w:val="auto"/>
          <w:sz w:val="18"/>
          <w:szCs w:val="18"/>
          <w:highlight w:val="none"/>
          <w:lang w:eastAsia="zh-CN"/>
        </w:rPr>
        <w:t>（</w:t>
      </w:r>
      <w:r>
        <w:rPr>
          <w:rFonts w:hint="eastAsia" w:ascii="宋体" w:hAnsi="宋体" w:cs="宋体"/>
          <w:bCs/>
          <w:i w:val="0"/>
          <w:iCs w:val="0"/>
          <w:color w:val="auto"/>
          <w:sz w:val="18"/>
          <w:szCs w:val="18"/>
          <w:highlight w:val="none"/>
          <w:lang w:val="en-US" w:eastAsia="zh-CN"/>
        </w:rPr>
        <w:t>适用于框架招标项目</w:t>
      </w:r>
      <w:r>
        <w:rPr>
          <w:rFonts w:hint="eastAsia" w:ascii="宋体" w:hAnsi="宋体" w:cs="宋体"/>
          <w:bCs/>
          <w:i w:val="0"/>
          <w:iCs w:val="0"/>
          <w:color w:val="auto"/>
          <w:sz w:val="18"/>
          <w:szCs w:val="18"/>
          <w:highlight w:val="none"/>
          <w:lang w:eastAsia="zh-CN"/>
        </w:rPr>
        <w:t>）</w:t>
      </w:r>
    </w:p>
    <w:p>
      <w:pPr>
        <w:spacing w:line="360" w:lineRule="auto"/>
        <w:ind w:firstLine="480" w:firstLineChars="200"/>
        <w:outlineLvl w:val="9"/>
        <w:rPr>
          <w:rFonts w:hint="eastAsia" w:ascii="Times New Roman" w:hAnsi="Times New Roman"/>
          <w:i w:val="0"/>
          <w:iCs w:val="0"/>
          <w:color w:val="000000"/>
          <w:sz w:val="24"/>
          <w:szCs w:val="24"/>
          <w:highlight w:val="none"/>
        </w:rPr>
      </w:pPr>
      <w:r>
        <w:rPr>
          <w:rFonts w:hint="eastAsia" w:ascii="Times New Roman" w:hAnsi="Times New Roman"/>
          <w:i w:val="0"/>
          <w:iCs w:val="0"/>
          <w:color w:val="000000"/>
          <w:sz w:val="24"/>
          <w:szCs w:val="24"/>
          <w:highlight w:val="none"/>
        </w:rPr>
        <w:t>（</w:t>
      </w:r>
      <w:r>
        <w:rPr>
          <w:rFonts w:hint="eastAsia" w:ascii="Times New Roman" w:hAnsi="Times New Roman"/>
          <w:i w:val="0"/>
          <w:iCs w:val="0"/>
          <w:color w:val="000000"/>
          <w:sz w:val="24"/>
          <w:szCs w:val="24"/>
          <w:highlight w:val="none"/>
          <w:lang w:val="en-US" w:eastAsia="zh-CN"/>
        </w:rPr>
        <w:t>三</w:t>
      </w:r>
      <w:r>
        <w:rPr>
          <w:rFonts w:hint="eastAsia" w:ascii="Times New Roman" w:hAnsi="Times New Roman"/>
          <w:i w:val="0"/>
          <w:iCs w:val="0"/>
          <w:color w:val="000000"/>
          <w:sz w:val="24"/>
          <w:szCs w:val="24"/>
          <w:highlight w:val="none"/>
        </w:rPr>
        <w:t>）其它关键</w:t>
      </w:r>
      <w:r>
        <w:rPr>
          <w:rFonts w:hint="eastAsia" w:ascii="Times New Roman" w:hAnsi="Times New Roman" w:eastAsia="宋体"/>
          <w:i w:val="0"/>
          <w:iCs w:val="0"/>
          <w:color w:val="000000"/>
          <w:sz w:val="24"/>
          <w:szCs w:val="24"/>
          <w:highlight w:val="none"/>
        </w:rPr>
        <w:t>要素：</w:t>
      </w:r>
    </w:p>
    <w:p>
      <w:pPr>
        <w:spacing w:line="360" w:lineRule="auto"/>
        <w:ind w:firstLine="420" w:firstLineChars="200"/>
        <w:outlineLvl w:val="9"/>
        <w:rPr>
          <w:rFonts w:hint="eastAsia" w:ascii="Times New Roman" w:hAnsi="Times New Roman"/>
          <w:i w:val="0"/>
          <w:iCs w:val="0"/>
          <w:color w:val="auto"/>
          <w:sz w:val="21"/>
          <w:szCs w:val="21"/>
          <w:highlight w:val="none"/>
          <w:lang w:eastAsia="zh-CN"/>
        </w:rPr>
      </w:pPr>
      <w:r>
        <w:rPr>
          <w:rFonts w:hint="eastAsia" w:ascii="Times New Roman" w:hAnsi="Times New Roman"/>
          <w:i w:val="0"/>
          <w:iCs w:val="0"/>
          <w:color w:val="auto"/>
          <w:sz w:val="21"/>
          <w:szCs w:val="21"/>
          <w:highlight w:val="none"/>
          <w:lang w:eastAsia="zh-CN"/>
        </w:rPr>
        <w:t>（</w:t>
      </w:r>
      <w:r>
        <w:rPr>
          <w:rFonts w:hint="eastAsia" w:ascii="Times New Roman" w:hAnsi="Times New Roman"/>
          <w:i w:val="0"/>
          <w:iCs w:val="0"/>
          <w:color w:val="auto"/>
          <w:sz w:val="21"/>
          <w:szCs w:val="21"/>
          <w:highlight w:val="none"/>
          <w:lang w:val="en-US" w:eastAsia="zh-CN"/>
        </w:rPr>
        <w:t>1</w:t>
      </w:r>
      <w:r>
        <w:rPr>
          <w:rFonts w:hint="eastAsia" w:ascii="Times New Roman" w:hAnsi="Times New Roman"/>
          <w:i w:val="0"/>
          <w:iCs w:val="0"/>
          <w:color w:val="auto"/>
          <w:sz w:val="21"/>
          <w:szCs w:val="21"/>
          <w:highlight w:val="none"/>
          <w:lang w:eastAsia="zh-CN"/>
        </w:rPr>
        <w:t>）报价要求：</w:t>
      </w:r>
      <w:bookmarkStart w:id="50" w:name="TXT_64582403636490262c04adc5289306f1_1"/>
      <w:r>
        <w:rPr>
          <w:rFonts w:hint="eastAsia" w:ascii="Times New Roman" w:hAnsi="Times New Roman"/>
          <w:i w:val="0"/>
          <w:iCs w:val="0"/>
          <w:color w:val="auto"/>
          <w:sz w:val="21"/>
          <w:szCs w:val="21"/>
          <w:highlight w:val="none"/>
          <w:u w:val="single"/>
          <w:lang w:eastAsia="zh-CN"/>
        </w:rPr>
        <w:t>标的1按总价报价。</w:t>
      </w:r>
    </w:p>
    <w:p>
      <w:pPr>
        <w:spacing w:line="360" w:lineRule="auto"/>
        <w:ind w:firstLine="420" w:firstLineChars="200"/>
        <w:outlineLvl w:val="9"/>
        <w:rPr>
          <w:rFonts w:hint="eastAsia" w:ascii="Times New Roman" w:hAnsi="Times New Roman"/>
          <w:i w:val="0"/>
          <w:iCs w:val="0"/>
          <w:color w:val="auto"/>
          <w:sz w:val="21"/>
          <w:szCs w:val="21"/>
          <w:highlight w:val="none"/>
          <w:lang w:eastAsia="zh-CN"/>
        </w:rPr>
      </w:pPr>
      <w:r>
        <w:rPr>
          <w:rFonts w:hint="eastAsia" w:ascii="Times New Roman" w:hAnsi="Times New Roman"/>
          <w:i w:val="0"/>
          <w:iCs w:val="0"/>
          <w:color w:val="auto"/>
          <w:sz w:val="21"/>
          <w:szCs w:val="21"/>
          <w:highlight w:val="none"/>
          <w:u w:val="single"/>
          <w:lang w:eastAsia="zh-CN"/>
        </w:rPr>
        <w:t>标的2按单价报价。</w:t>
      </w:r>
      <w:bookmarkEnd w:id="50"/>
      <w:r>
        <w:rPr>
          <w:rFonts w:hint="eastAsia" w:ascii="Times New Roman" w:hAnsi="Times New Roman"/>
          <w:i w:val="0"/>
          <w:iCs w:val="0"/>
          <w:color w:val="auto"/>
          <w:sz w:val="21"/>
          <w:szCs w:val="21"/>
          <w:highlight w:val="none"/>
          <w:u w:val="single"/>
          <w:lang w:eastAsia="zh-CN"/>
        </w:rPr>
        <w:t>。</w:t>
      </w:r>
    </w:p>
    <w:p>
      <w:pPr>
        <w:spacing w:line="360" w:lineRule="auto"/>
        <w:ind w:firstLine="420" w:firstLineChars="200"/>
        <w:outlineLvl w:val="9"/>
        <w:rPr>
          <w:rFonts w:hint="eastAsia" w:ascii="Times New Roman" w:hAnsi="Times New Roman"/>
          <w:i w:val="0"/>
          <w:iCs w:val="0"/>
          <w:color w:val="auto"/>
          <w:sz w:val="21"/>
          <w:szCs w:val="21"/>
          <w:highlight w:val="none"/>
          <w:u w:val="single"/>
          <w:lang w:eastAsia="zh-CN"/>
        </w:rPr>
      </w:pPr>
      <w:r>
        <w:rPr>
          <w:rFonts w:hint="eastAsia" w:ascii="Times New Roman" w:hAnsi="Times New Roman"/>
          <w:i w:val="0"/>
          <w:iCs w:val="0"/>
          <w:color w:val="auto"/>
          <w:sz w:val="21"/>
          <w:szCs w:val="21"/>
          <w:highlight w:val="none"/>
          <w:lang w:eastAsia="zh-CN"/>
        </w:rPr>
        <w:t>（</w:t>
      </w:r>
      <w:r>
        <w:rPr>
          <w:rFonts w:hint="eastAsia" w:ascii="Times New Roman" w:hAnsi="Times New Roman"/>
          <w:i w:val="0"/>
          <w:iCs w:val="0"/>
          <w:color w:val="auto"/>
          <w:sz w:val="21"/>
          <w:szCs w:val="21"/>
          <w:highlight w:val="none"/>
          <w:lang w:val="en-US" w:eastAsia="zh-CN"/>
        </w:rPr>
        <w:t>2</w:t>
      </w:r>
      <w:r>
        <w:rPr>
          <w:rFonts w:hint="eastAsia" w:ascii="Times New Roman" w:hAnsi="Times New Roman"/>
          <w:i w:val="0"/>
          <w:iCs w:val="0"/>
          <w:color w:val="auto"/>
          <w:sz w:val="21"/>
          <w:szCs w:val="21"/>
          <w:highlight w:val="none"/>
          <w:lang w:eastAsia="zh-CN"/>
        </w:rPr>
        <w:t>）结算方式：</w:t>
      </w:r>
      <w:bookmarkStart w:id="51" w:name="TXT_463334ECE2E346BB8B39419638BB20B2_1"/>
      <w:r>
        <w:rPr>
          <w:rFonts w:hint="eastAsia" w:ascii="Times New Roman" w:hAnsi="Times New Roman"/>
          <w:i w:val="0"/>
          <w:iCs w:val="0"/>
          <w:color w:val="auto"/>
          <w:sz w:val="21"/>
          <w:szCs w:val="21"/>
          <w:highlight w:val="none"/>
          <w:u w:val="single"/>
          <w:lang w:eastAsia="zh-CN"/>
        </w:rPr>
        <w:t>标的1：总价包干。</w:t>
      </w:r>
    </w:p>
    <w:p>
      <w:pPr>
        <w:spacing w:line="360" w:lineRule="auto"/>
        <w:ind w:firstLine="420" w:firstLineChars="200"/>
        <w:outlineLvl w:val="9"/>
        <w:rPr>
          <w:rFonts w:hint="eastAsia" w:ascii="Times New Roman" w:hAnsi="Times New Roman"/>
          <w:i w:val="0"/>
          <w:iCs w:val="0"/>
          <w:color w:val="auto"/>
          <w:sz w:val="21"/>
          <w:szCs w:val="21"/>
          <w:highlight w:val="none"/>
          <w:u w:val="single"/>
          <w:lang w:eastAsia="zh-CN"/>
        </w:rPr>
      </w:pPr>
      <w:r>
        <w:rPr>
          <w:rFonts w:hint="eastAsia" w:ascii="Times New Roman" w:hAnsi="Times New Roman"/>
          <w:i w:val="0"/>
          <w:iCs w:val="0"/>
          <w:color w:val="auto"/>
          <w:sz w:val="21"/>
          <w:szCs w:val="21"/>
          <w:highlight w:val="none"/>
          <w:u w:val="single"/>
          <w:lang w:eastAsia="zh-CN"/>
        </w:rPr>
        <w:t>标的2：据实结算。</w:t>
      </w:r>
    </w:p>
    <w:bookmarkEnd w:id="51"/>
    <w:p>
      <w:pPr>
        <w:spacing w:line="360" w:lineRule="auto"/>
        <w:ind w:firstLine="420" w:firstLineChars="200"/>
        <w:outlineLvl w:val="9"/>
        <w:rPr>
          <w:rFonts w:hint="eastAsia" w:ascii="Times New Roman" w:hAnsi="Times New Roman"/>
          <w:i w:val="0"/>
          <w:iCs w:val="0"/>
          <w:color w:val="auto"/>
          <w:sz w:val="21"/>
          <w:szCs w:val="21"/>
          <w:highlight w:val="none"/>
          <w:u w:val="single"/>
          <w:lang w:eastAsia="zh-CN"/>
        </w:rPr>
      </w:pPr>
      <w:r>
        <w:rPr>
          <w:rFonts w:hint="eastAsia" w:ascii="Times New Roman" w:hAnsi="Times New Roman"/>
          <w:i w:val="0"/>
          <w:iCs w:val="0"/>
          <w:color w:val="auto"/>
          <w:sz w:val="21"/>
          <w:szCs w:val="21"/>
          <w:highlight w:val="none"/>
          <w:u w:val="single"/>
          <w:lang w:eastAsia="zh-CN"/>
        </w:rPr>
        <w:t>。</w:t>
      </w:r>
    </w:p>
    <w:p>
      <w:pPr>
        <w:spacing w:line="360" w:lineRule="auto"/>
        <w:ind w:firstLine="420" w:firstLineChars="200"/>
        <w:outlineLvl w:val="9"/>
        <w:rPr>
          <w:rFonts w:hint="eastAsia" w:ascii="Times New Roman" w:hAnsi="Times New Roman"/>
          <w:i w:val="0"/>
          <w:iCs w:val="0"/>
          <w:color w:val="auto"/>
          <w:sz w:val="21"/>
          <w:szCs w:val="21"/>
          <w:highlight w:val="none"/>
          <w:lang w:eastAsia="zh-CN"/>
        </w:rPr>
      </w:pPr>
      <w:r>
        <w:rPr>
          <w:rFonts w:hint="eastAsia" w:ascii="Times New Roman" w:hAnsi="Times New Roman"/>
          <w:i w:val="0"/>
          <w:iCs w:val="0"/>
          <w:color w:val="auto"/>
          <w:sz w:val="21"/>
          <w:szCs w:val="21"/>
          <w:highlight w:val="none"/>
          <w:u w:val="none"/>
          <w:lang w:eastAsia="zh-CN"/>
        </w:rPr>
        <w:t>（</w:t>
      </w:r>
      <w:r>
        <w:rPr>
          <w:rFonts w:hint="eastAsia" w:ascii="Times New Roman" w:hAnsi="Times New Roman"/>
          <w:i w:val="0"/>
          <w:iCs w:val="0"/>
          <w:color w:val="auto"/>
          <w:sz w:val="21"/>
          <w:szCs w:val="21"/>
          <w:highlight w:val="none"/>
          <w:u w:val="none"/>
          <w:lang w:val="en-US" w:eastAsia="zh-CN"/>
        </w:rPr>
        <w:t>3</w:t>
      </w:r>
      <w:r>
        <w:rPr>
          <w:rFonts w:hint="eastAsia" w:ascii="Times New Roman" w:hAnsi="Times New Roman"/>
          <w:i w:val="0"/>
          <w:iCs w:val="0"/>
          <w:color w:val="auto"/>
          <w:sz w:val="21"/>
          <w:szCs w:val="21"/>
          <w:highlight w:val="none"/>
          <w:u w:val="none"/>
          <w:lang w:eastAsia="zh-CN"/>
        </w:rPr>
        <w:t>）报价表：</w:t>
      </w:r>
      <w:r>
        <w:rPr>
          <w:rFonts w:hint="eastAsia" w:ascii="Times New Roman" w:hAnsi="Times New Roman"/>
          <w:i w:val="0"/>
          <w:iCs w:val="0"/>
          <w:color w:val="auto"/>
          <w:sz w:val="21"/>
          <w:szCs w:val="21"/>
          <w:highlight w:val="none"/>
          <w:u w:val="single"/>
          <w:lang w:eastAsia="zh-CN"/>
        </w:rPr>
        <w:t>详见附件（</w:t>
      </w:r>
      <w:r>
        <w:rPr>
          <w:rFonts w:hint="eastAsia" w:ascii="Times New Roman" w:hAnsi="Times New Roman"/>
          <w:i w:val="0"/>
          <w:iCs w:val="0"/>
          <w:color w:val="auto"/>
          <w:sz w:val="21"/>
          <w:szCs w:val="21"/>
          <w:highlight w:val="none"/>
          <w:u w:val="single"/>
          <w:lang w:val="en-US" w:eastAsia="zh-CN"/>
        </w:rPr>
        <w:t>如有</w:t>
      </w:r>
      <w:r>
        <w:rPr>
          <w:rFonts w:hint="eastAsia" w:ascii="Times New Roman" w:hAnsi="Times New Roman"/>
          <w:i w:val="0"/>
          <w:iCs w:val="0"/>
          <w:color w:val="auto"/>
          <w:sz w:val="21"/>
          <w:szCs w:val="21"/>
          <w:highlight w:val="none"/>
          <w:u w:val="single"/>
          <w:lang w:eastAsia="zh-CN"/>
        </w:rPr>
        <w:t>）</w:t>
      </w:r>
      <w:r>
        <w:rPr>
          <w:rFonts w:hint="eastAsia" w:ascii="Times New Roman" w:hAnsi="Times New Roman"/>
          <w:i w:val="0"/>
          <w:iCs w:val="0"/>
          <w:color w:val="auto"/>
          <w:sz w:val="21"/>
          <w:szCs w:val="21"/>
          <w:highlight w:val="none"/>
          <w:lang w:eastAsia="zh-CN"/>
        </w:rPr>
        <w:t>。</w:t>
      </w:r>
    </w:p>
    <w:p>
      <w:pPr>
        <w:spacing w:line="360" w:lineRule="auto"/>
        <w:ind w:firstLine="420" w:firstLineChars="200"/>
        <w:outlineLvl w:val="9"/>
        <w:rPr>
          <w:b/>
          <w:i w:val="0"/>
          <w:iCs w:val="0"/>
          <w:color w:val="000000"/>
          <w:sz w:val="24"/>
          <w:highlight w:val="yellow"/>
        </w:rPr>
      </w:pPr>
      <w:r>
        <w:br w:type="page"/>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textAlignment w:val="auto"/>
        <w:outlineLvl w:val="0"/>
        <w:rPr>
          <w:rFonts w:hint="eastAsia" w:ascii="Times New Roman" w:hAnsi="Times New Roman" w:eastAsia="宋体" w:cs="Times New Roman"/>
          <w:b/>
          <w:i w:val="0"/>
          <w:iCs w:val="0"/>
          <w:color w:val="auto"/>
          <w:sz w:val="24"/>
          <w:highlight w:val="none"/>
        </w:rPr>
      </w:pPr>
      <w:r>
        <w:rPr>
          <w:rFonts w:hint="eastAsia" w:ascii="Times New Roman" w:hAnsi="Times New Roman" w:eastAsia="宋体" w:cs="Times New Roman"/>
          <w:b/>
          <w:i w:val="0"/>
          <w:iCs w:val="0"/>
          <w:color w:val="auto"/>
          <w:sz w:val="24"/>
          <w:highlight w:val="none"/>
        </w:rPr>
        <w:t>附件2：</w:t>
      </w:r>
      <w:r>
        <w:rPr>
          <w:rFonts w:hint="eastAsia" w:ascii="Times New Roman" w:hAnsi="Times New Roman" w:cs="Times New Roman"/>
          <w:b/>
          <w:i w:val="0"/>
          <w:iCs w:val="0"/>
          <w:color w:val="auto"/>
          <w:sz w:val="24"/>
          <w:highlight w:val="none"/>
          <w:lang w:eastAsia="zh-CN"/>
        </w:rPr>
        <w:t>供应商</w:t>
      </w:r>
      <w:r>
        <w:rPr>
          <w:rFonts w:hint="eastAsia" w:ascii="Times New Roman" w:hAnsi="Times New Roman" w:eastAsia="宋体" w:cs="Times New Roman"/>
          <w:b/>
          <w:i w:val="0"/>
          <w:iCs w:val="0"/>
          <w:color w:val="auto"/>
          <w:sz w:val="24"/>
          <w:highlight w:val="none"/>
          <w:lang w:val="en-US" w:eastAsia="zh-CN"/>
        </w:rPr>
        <w:t>资格要求</w:t>
      </w:r>
    </w:p>
    <w:p>
      <w:pPr>
        <w:adjustRightInd w:val="0"/>
        <w:snapToGrid w:val="0"/>
        <w:spacing w:before="156"/>
        <w:jc w:val="center"/>
        <w:rPr>
          <w:rFonts w:ascii="宋体" w:hAnsi="宋体" w:cs="Dialog"/>
          <w:b/>
          <w:bCs/>
          <w:i w:val="0"/>
          <w:iCs w:val="0"/>
          <w:color w:val="000000"/>
          <w:szCs w:val="28"/>
        </w:rPr>
      </w:pPr>
    </w:p>
    <w:p>
      <w:pPr>
        <w:adjustRightInd w:val="0"/>
        <w:snapToGrid w:val="0"/>
        <w:spacing w:before="156"/>
        <w:jc w:val="center"/>
        <w:rPr>
          <w:rFonts w:hint="eastAsia" w:eastAsiaTheme="minorEastAsia"/>
          <w:b/>
          <w:i w:val="0"/>
          <w:iCs w:val="0"/>
          <w:color w:val="000000"/>
          <w:sz w:val="24"/>
          <w:lang w:eastAsia="zh-CN"/>
        </w:rPr>
      </w:pPr>
      <w:bookmarkStart w:id="52" w:name="PO_DD3BC70E908A488F89D7B5A5F467D618"/>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7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gridSpan w:val="2"/>
            <w:shd w:val="clear" w:color="auto" w:fill="FFFFFF"/>
            <w:vAlign w:val="center"/>
          </w:tcPr>
          <w:p>
            <w:pPr>
              <w:jc w:val="center"/>
            </w:pPr>
            <w:r>
              <w:rPr>
                <w:b/>
              </w:rPr>
              <w:t>通用资格要求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shd w:val="clear" w:color="auto" w:fill="FFFFFF"/>
            <w:vAlign w:val="center"/>
          </w:tcPr>
          <w:p>
            <w:pPr>
              <w:jc w:val="center"/>
            </w:pPr>
            <w:r>
              <w:rPr>
                <w:b/>
              </w:rPr>
              <w:t>序号</w:t>
            </w:r>
          </w:p>
        </w:tc>
        <w:tc>
          <w:tcPr>
            <w:tcW w:w="8222" w:type="dxa"/>
            <w:shd w:val="clear" w:color="auto" w:fill="FFFFFF"/>
            <w:vAlign w:val="center"/>
          </w:tcPr>
          <w:p>
            <w:pPr>
              <w:jc w:val="center"/>
            </w:pPr>
            <w:r>
              <w:rPr>
                <w:b/>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pPr>
            <w:r>
              <w:t>1</w:t>
            </w:r>
          </w:p>
        </w:tc>
        <w:tc>
          <w:tcPr>
            <w:tcW w:w="8222" w:type="dxa"/>
            <w:shd w:val="clear" w:color="auto" w:fill="FFFFFF"/>
            <w:vAlign w:val="center"/>
          </w:tcPr>
          <w:p>
            <w:pPr>
              <w:jc w:val="left"/>
            </w:pPr>
            <w: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pPr>
            <w:r>
              <w:t>2</w:t>
            </w:r>
          </w:p>
        </w:tc>
        <w:tc>
          <w:tcPr>
            <w:tcW w:w="8222" w:type="dxa"/>
            <w:shd w:val="clear" w:color="auto" w:fill="FFFFFF"/>
            <w:vAlign w:val="center"/>
          </w:tcPr>
          <w:p>
            <w:pPr>
              <w:jc w:val="left"/>
            </w:pPr>
            <w:r>
              <w:t>提供近三年经审计的财务报告（2022-2024年报告）。如2024年报告未发布，则提供相关原因声明及2021-2023年报告；成立时间不足的按实际成立时间提供)，审计意见非“否定意见”或非“无法表示意见”，没有处于被责令停业或破产状态，且资产未被重组、接管和冻结。（事业单位应提供2022-2024年经批准的财务报表，如2024年报表未发布，则提供相关原因声明及2021-2023年报表；成立时间不足的按实际成立时间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pPr>
            <w:r>
              <w:t>3</w:t>
            </w:r>
          </w:p>
        </w:tc>
        <w:tc>
          <w:tcPr>
            <w:tcW w:w="8222" w:type="dxa"/>
            <w:shd w:val="clear" w:color="auto" w:fill="FFFFFF"/>
            <w:vAlign w:val="center"/>
          </w:tcPr>
          <w:p>
            <w:pPr>
              <w:jc w:val="left"/>
            </w:pPr>
            <w:r>
              <w:t>在经营活动中无重大违法失信记录，没有被市场监督管理机关在国家企业信用信息公示系统（www.gsxt.gov.cn）中列入严重违法失信企业名单，没有被“信用中国”网站（www.creditchina.gov.cn）列入失信被执行人名单，应提供上述两个网站的相应截图；在中国南方电网有限责任公司范围内没有处于限制投标资格的处罚期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pPr>
            <w:r>
              <w:t>4</w:t>
            </w:r>
          </w:p>
        </w:tc>
        <w:tc>
          <w:tcPr>
            <w:tcW w:w="8222" w:type="dxa"/>
            <w:shd w:val="clear" w:color="auto" w:fill="FFFFFF"/>
            <w:vAlign w:val="center"/>
          </w:tcPr>
          <w:p>
            <w:pPr>
              <w:jc w:val="left"/>
            </w:pPr>
            <w:r>
              <w:t>单位负责人为同一人或者存在控股、管理关系的不同单位，不得参加同一标包（标段）投标或者未划分标包（标段）的同一招标项目投标。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pPr>
            <w:r>
              <w:t>5</w:t>
            </w:r>
          </w:p>
        </w:tc>
        <w:tc>
          <w:tcPr>
            <w:tcW w:w="8222" w:type="dxa"/>
            <w:shd w:val="clear" w:color="auto" w:fill="FFFFFF"/>
            <w:vAlign w:val="center"/>
          </w:tcPr>
          <w:p>
            <w:pPr>
              <w:jc w:val="left"/>
            </w:pPr>
            <w:r>
              <w:t>不接受联合体参与，不允许分包。</w:t>
            </w:r>
          </w:p>
        </w:tc>
      </w:tr>
      <w:bookmarkEnd w:id="52"/>
    </w:tbl>
    <w:p/>
    <w:p>
      <w:pPr>
        <w:adjustRightInd w:val="0"/>
        <w:snapToGrid w:val="0"/>
        <w:spacing w:before="156"/>
        <w:jc w:val="center"/>
        <w:rPr>
          <w:rFonts w:hint="eastAsia" w:ascii="宋体" w:hAnsi="宋体" w:cs="Dialog"/>
          <w:b/>
          <w:bCs/>
          <w:i w:val="0"/>
          <w:iCs w:val="0"/>
          <w:color w:val="000000"/>
          <w:szCs w:val="28"/>
        </w:rPr>
      </w:pPr>
    </w:p>
    <w:p>
      <w:pPr>
        <w:adjustRightInd w:val="0"/>
        <w:snapToGrid w:val="0"/>
        <w:spacing w:before="156"/>
        <w:jc w:val="center"/>
        <w:rPr>
          <w:rFonts w:hint="eastAsia" w:ascii="Times New Roman" w:hAnsi="Times New Roman" w:eastAsiaTheme="minorEastAsia"/>
          <w:b/>
          <w:i w:val="0"/>
          <w:iCs w:val="0"/>
          <w:color w:val="000000"/>
          <w:kern w:val="0"/>
          <w:sz w:val="24"/>
          <w:szCs w:val="24"/>
          <w:u w:val="single"/>
          <w:lang w:eastAsia="zh-CN"/>
        </w:rPr>
      </w:pPr>
      <w:bookmarkStart w:id="53" w:name="PO_670ED50498514F2DA7714C10210D907B"/>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4252"/>
        <w:gridCol w:w="3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gridSpan w:val="3"/>
            <w:shd w:val="clear" w:color="auto" w:fill="FFFFFF"/>
            <w:vAlign w:val="center"/>
          </w:tcPr>
          <w:p>
            <w:pPr>
              <w:jc w:val="center"/>
            </w:pPr>
            <w:r>
              <w:rPr>
                <w:b/>
              </w:rPr>
              <w:t>专用资格要求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shd w:val="clear" w:color="auto" w:fill="FFFFFF"/>
            <w:vAlign w:val="center"/>
          </w:tcPr>
          <w:p>
            <w:pPr>
              <w:jc w:val="center"/>
            </w:pPr>
            <w:r>
              <w:rPr>
                <w:b/>
              </w:rPr>
              <w:t>序号</w:t>
            </w:r>
          </w:p>
        </w:tc>
        <w:tc>
          <w:tcPr>
            <w:tcW w:w="4252" w:type="dxa"/>
            <w:shd w:val="clear" w:color="auto" w:fill="FFFFFF"/>
            <w:vAlign w:val="center"/>
          </w:tcPr>
          <w:p>
            <w:pPr>
              <w:jc w:val="center"/>
            </w:pPr>
            <w:r>
              <w:rPr>
                <w:b/>
              </w:rPr>
              <w:t>内容</w:t>
            </w:r>
          </w:p>
        </w:tc>
        <w:tc>
          <w:tcPr>
            <w:tcW w:w="3402" w:type="dxa"/>
            <w:shd w:val="clear" w:color="auto" w:fill="FFFFFF"/>
            <w:vAlign w:val="center"/>
          </w:tcPr>
          <w:p>
            <w:pPr>
              <w:jc w:val="center"/>
            </w:pPr>
            <w:r>
              <w:rPr>
                <w:b/>
              </w:rPr>
              <w:t>关联标的/标包/标段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pPr>
            <w:r>
              <w:t>1</w:t>
            </w:r>
          </w:p>
        </w:tc>
        <w:tc>
          <w:tcPr>
            <w:tcW w:w="4252" w:type="dxa"/>
            <w:shd w:val="clear" w:color="auto" w:fill="FFFFFF"/>
            <w:vAlign w:val="center"/>
          </w:tcPr>
          <w:p>
            <w:pPr>
              <w:jc w:val="left"/>
            </w:pPr>
            <w:r>
              <w:rPr>
                <w:rFonts w:hint="eastAsia"/>
              </w:rPr>
              <w:t>近三年内（2022年至今）有所投标包内容业绩或信息系统运维/开发项目业绩，须提供合同（首页、服务内容页、盖章签字页扫描件）或中标通知书等有效证明材料</w:t>
            </w:r>
          </w:p>
        </w:tc>
        <w:tc>
          <w:tcPr>
            <w:tcW w:w="3402" w:type="dxa"/>
            <w:shd w:val="clear" w:color="auto" w:fill="FFFFFF"/>
            <w:vAlign w:val="center"/>
          </w:tcPr>
          <w:p>
            <w:pPr>
              <w:jc w:val="center"/>
            </w:pPr>
            <w:r>
              <w:t>2025-2026年综合测评系统技术服务支持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pPr>
            <w:r>
              <w:t>2</w:t>
            </w:r>
          </w:p>
        </w:tc>
        <w:tc>
          <w:tcPr>
            <w:tcW w:w="4252" w:type="dxa"/>
            <w:shd w:val="clear" w:color="auto" w:fill="FFFFFF"/>
            <w:vAlign w:val="center"/>
          </w:tcPr>
          <w:p>
            <w:pPr>
              <w:jc w:val="left"/>
            </w:pPr>
            <w:r>
              <w:t>投标人须具有 2020 年至今档案整理有关项目的业绩证明，至少提供一份合同证明。</w:t>
            </w:r>
          </w:p>
        </w:tc>
        <w:tc>
          <w:tcPr>
            <w:tcW w:w="3402" w:type="dxa"/>
            <w:shd w:val="clear" w:color="auto" w:fill="FFFFFF"/>
            <w:vAlign w:val="center"/>
          </w:tcPr>
          <w:p>
            <w:pPr>
              <w:jc w:val="center"/>
            </w:pPr>
            <w:r>
              <w:t>2025-2026年档案数字化整理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pPr>
            <w:r>
              <w:t>3</w:t>
            </w:r>
          </w:p>
        </w:tc>
        <w:tc>
          <w:tcPr>
            <w:tcW w:w="4252" w:type="dxa"/>
            <w:shd w:val="clear" w:color="auto" w:fill="FFFFFF"/>
            <w:vAlign w:val="center"/>
          </w:tcPr>
          <w:p>
            <w:pPr>
              <w:jc w:val="left"/>
            </w:pPr>
            <w:r>
              <w:t>具备档案中介服务资质，并在档案行政管理部门或档案学会登记备案，持有档案中介服务机构备案登记证书或备案回执</w:t>
            </w:r>
          </w:p>
        </w:tc>
        <w:tc>
          <w:tcPr>
            <w:tcW w:w="3402" w:type="dxa"/>
            <w:shd w:val="clear" w:color="auto" w:fill="FFFFFF"/>
            <w:vAlign w:val="center"/>
          </w:tcPr>
          <w:p>
            <w:pPr>
              <w:jc w:val="center"/>
            </w:pPr>
            <w:r>
              <w:t>2025-2026年档案数字化整理</w:t>
            </w:r>
          </w:p>
        </w:tc>
      </w:tr>
      <w:bookmarkEnd w:id="53"/>
    </w:tbl>
    <w:p/>
    <w:p>
      <w:pPr>
        <w:rPr>
          <w:rFonts w:hint="eastAsia" w:ascii="宋体" w:hAnsi="宋体" w:eastAsia="宋体" w:cs="宋体"/>
          <w:i w:val="0"/>
          <w:iCs w:val="0"/>
          <w:color w:val="auto"/>
          <w:sz w:val="21"/>
          <w:szCs w:val="21"/>
          <w:highlight w:val="none"/>
          <w:u w:val="none"/>
        </w:rPr>
      </w:pPr>
    </w:p>
    <w:p>
      <w:pPr>
        <w:adjustRightInd w:val="0"/>
        <w:snapToGrid w:val="0"/>
        <w:spacing w:before="156"/>
        <w:rPr>
          <w:rFonts w:ascii="Times New Roman" w:hAnsi="Times New Roman"/>
          <w:b/>
          <w:i w:val="0"/>
          <w:iCs w:val="0"/>
          <w:color w:val="000000"/>
          <w:kern w:val="0"/>
          <w:sz w:val="24"/>
          <w:szCs w:val="24"/>
          <w:u w:val="single"/>
        </w:rPr>
      </w:pPr>
      <w:r>
        <w:br w:type="page"/>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textAlignment w:val="auto"/>
        <w:outlineLvl w:val="0"/>
        <w:rPr>
          <w:rFonts w:hint="eastAsia" w:ascii="Times New Roman" w:hAnsi="Times New Roman" w:eastAsia="宋体" w:cs="Times New Roman"/>
          <w:b/>
          <w:i w:val="0"/>
          <w:iCs w:val="0"/>
          <w:color w:val="auto"/>
          <w:sz w:val="24"/>
          <w:highlight w:val="none"/>
        </w:rPr>
      </w:pPr>
      <w:r>
        <w:rPr>
          <w:rFonts w:hint="eastAsia" w:ascii="Times New Roman" w:hAnsi="Times New Roman" w:eastAsia="宋体" w:cs="Times New Roman"/>
          <w:b/>
          <w:i w:val="0"/>
          <w:iCs w:val="0"/>
          <w:color w:val="auto"/>
          <w:sz w:val="24"/>
          <w:highlight w:val="none"/>
        </w:rPr>
        <w:t>附件3：</w:t>
      </w:r>
      <w:r>
        <w:rPr>
          <w:rFonts w:hint="eastAsia" w:ascii="Times New Roman" w:hAnsi="Times New Roman" w:cs="Times New Roman"/>
          <w:b/>
          <w:i w:val="0"/>
          <w:iCs w:val="0"/>
          <w:color w:val="auto"/>
          <w:sz w:val="24"/>
          <w:highlight w:val="none"/>
          <w:lang w:eastAsia="zh-CN"/>
        </w:rPr>
        <w:t>评审</w:t>
      </w:r>
      <w:r>
        <w:rPr>
          <w:rFonts w:hint="eastAsia" w:ascii="Times New Roman" w:hAnsi="Times New Roman" w:eastAsia="宋体" w:cs="Times New Roman"/>
          <w:b/>
          <w:i w:val="0"/>
          <w:iCs w:val="0"/>
          <w:color w:val="auto"/>
          <w:sz w:val="24"/>
          <w:highlight w:val="none"/>
        </w:rPr>
        <w:t>专家抽取申请表</w:t>
      </w:r>
    </w:p>
    <w:p>
      <w:pPr>
        <w:rPr>
          <w:rFonts w:ascii="Times New Roman" w:hAnsi="Times New Roman"/>
          <w:i w:val="0"/>
          <w:iCs w:val="0"/>
          <w:color w:val="000000"/>
        </w:rPr>
      </w:pPr>
    </w:p>
    <w:p>
      <w:pPr>
        <w:jc w:val="both"/>
        <w:outlineLvl w:val="9"/>
        <w:rPr>
          <w:rFonts w:hint="eastAsia"/>
          <w:i w:val="0"/>
          <w:iCs w:val="0"/>
          <w:color w:val="auto"/>
          <w:sz w:val="21"/>
          <w:szCs w:val="21"/>
          <w:highlight w:val="none"/>
          <w:lang w:val="en-US" w:eastAsia="zh-CN"/>
        </w:rPr>
      </w:pPr>
      <w:bookmarkStart w:id="54" w:name="PO_0E0E726A9C5C41ADAADF8939E6E85556"/>
    </w:p>
    <w:tbl>
      <w:tblPr>
        <w:tblStyle w:val="22"/>
        <w:tblW w:w="0" w:type="auto"/>
        <w:tblInd w:w="0" w:type="dxa"/>
        <w:shd w:val="clear" w:color="auto" w:fill="auto"/>
        <w:tblLayout w:type="autofit"/>
        <w:tblCellMar>
          <w:top w:w="0" w:type="dxa"/>
          <w:left w:w="108" w:type="dxa"/>
          <w:bottom w:w="0" w:type="dxa"/>
          <w:right w:w="108" w:type="dxa"/>
        </w:tblCellMar>
      </w:tblPr>
      <w:tblGrid>
        <w:gridCol w:w="1701"/>
        <w:gridCol w:w="1701"/>
        <w:gridCol w:w="1780"/>
        <w:gridCol w:w="1134"/>
        <w:gridCol w:w="851"/>
        <w:gridCol w:w="1134"/>
        <w:gridCol w:w="204"/>
      </w:tblGrid>
      <w:tr>
        <w:tblPrEx>
          <w:shd w:val="clear" w:color="auto" w:fill="auto"/>
        </w:tblPrEx>
        <w:tc>
          <w:tcPr>
            <w:tcW w:w="8505" w:type="dxa"/>
            <w:gridSpan w:val="7"/>
            <w:shd w:val="clear" w:color="auto" w:fill="auto"/>
            <w:vAlign w:val="center"/>
          </w:tcPr>
          <w:p>
            <w:pPr>
              <w:jc w:val="center"/>
            </w:pPr>
            <w:r>
              <w:rPr>
                <w:b/>
              </w:rPr>
              <w:t>评标专家抽取表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gridAfter w:val="1"/>
          <w:wAfter w:w="204" w:type="dxa"/>
          <w:trHeight w:val="567" w:hRule="atLeast"/>
        </w:trPr>
        <w:tc>
          <w:tcPr>
            <w:tcW w:w="1701" w:type="dxa"/>
            <w:shd w:val="clear" w:color="auto" w:fill="FFFFFF"/>
            <w:vAlign w:val="center"/>
          </w:tcPr>
          <w:p>
            <w:pPr>
              <w:jc w:val="center"/>
            </w:pPr>
            <w:r>
              <w:t>专家组名称</w:t>
            </w:r>
          </w:p>
        </w:tc>
        <w:tc>
          <w:tcPr>
            <w:tcW w:w="6600" w:type="dxa"/>
            <w:gridSpan w:val="5"/>
            <w:shd w:val="clear" w:color="auto" w:fill="FFFFFF"/>
            <w:vAlign w:val="center"/>
          </w:tcPr>
          <w:p>
            <w:pPr>
              <w:jc w:val="left"/>
            </w:pPr>
            <w:r>
              <w:t>专家组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gridAfter w:val="1"/>
          <w:wAfter w:w="204" w:type="dxa"/>
          <w:trHeight w:val="567" w:hRule="atLeast"/>
        </w:trPr>
        <w:tc>
          <w:tcPr>
            <w:tcW w:w="1701" w:type="dxa"/>
            <w:shd w:val="clear" w:color="auto" w:fill="FFFFFF"/>
            <w:vAlign w:val="center"/>
          </w:tcPr>
          <w:p>
            <w:pPr>
              <w:jc w:val="center"/>
            </w:pPr>
            <w:r>
              <w:t>项目批次/名称</w:t>
            </w:r>
          </w:p>
        </w:tc>
        <w:tc>
          <w:tcPr>
            <w:tcW w:w="6600" w:type="dxa"/>
            <w:gridSpan w:val="5"/>
            <w:shd w:val="clear" w:color="auto" w:fill="FFFFFF"/>
            <w:vAlign w:val="center"/>
          </w:tcPr>
          <w:p>
            <w:pPr>
              <w:jc w:val="left"/>
            </w:pPr>
            <w:r>
              <w:t>南网人才发展中心2025-2026年信息系统维护等8个数字化项目(二次采购)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gridAfter w:val="1"/>
          <w:wAfter w:w="204" w:type="dxa"/>
          <w:trHeight w:val="567" w:hRule="atLeast"/>
        </w:trPr>
        <w:tc>
          <w:tcPr>
            <w:tcW w:w="1701" w:type="dxa"/>
            <w:shd w:val="clear" w:color="auto" w:fill="FFFFFF"/>
            <w:vAlign w:val="center"/>
          </w:tcPr>
          <w:p>
            <w:pPr>
              <w:jc w:val="center"/>
            </w:pPr>
            <w:r>
              <w:t>承办部门</w:t>
            </w:r>
          </w:p>
        </w:tc>
        <w:tc>
          <w:tcPr>
            <w:tcW w:w="1701" w:type="dxa"/>
            <w:shd w:val="clear" w:color="auto" w:fill="FFFFFF"/>
            <w:vAlign w:val="center"/>
          </w:tcPr>
          <w:p>
            <w:pPr>
              <w:jc w:val="left"/>
            </w:pPr>
            <w:r>
              <w:t>数字化部</w:t>
            </w:r>
          </w:p>
        </w:tc>
        <w:tc>
          <w:tcPr>
            <w:tcW w:w="1780" w:type="dxa"/>
            <w:shd w:val="clear" w:color="auto" w:fill="FFFFFF"/>
            <w:vAlign w:val="center"/>
          </w:tcPr>
          <w:p>
            <w:pPr>
              <w:jc w:val="center"/>
            </w:pPr>
            <w:r>
              <w:t>联系人/联系电话</w:t>
            </w:r>
          </w:p>
        </w:tc>
        <w:tc>
          <w:tcPr>
            <w:tcW w:w="1985" w:type="dxa"/>
            <w:gridSpan w:val="3"/>
            <w:shd w:val="clear" w:color="auto" w:fill="FFFFFF"/>
            <w:vAlign w:val="center"/>
          </w:tcPr>
          <w:p>
            <w:pPr>
              <w:jc w:val="center"/>
            </w:pPr>
            <w:r>
              <w:t>王德贺/15285927550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gridAfter w:val="1"/>
          <w:wAfter w:w="204" w:type="dxa"/>
          <w:trHeight w:val="567" w:hRule="atLeast"/>
        </w:trPr>
        <w:tc>
          <w:tcPr>
            <w:tcW w:w="1701" w:type="dxa"/>
            <w:shd w:val="clear" w:color="auto" w:fill="FFFFFF"/>
            <w:vAlign w:val="center"/>
          </w:tcPr>
          <w:p>
            <w:pPr>
              <w:jc w:val="center"/>
            </w:pPr>
            <w:r>
              <w:t>专家组成</w:t>
            </w:r>
          </w:p>
        </w:tc>
        <w:tc>
          <w:tcPr>
            <w:tcW w:w="6600" w:type="dxa"/>
            <w:gridSpan w:val="5"/>
            <w:shd w:val="clear" w:color="auto" w:fill="FFFFFF"/>
            <w:vAlign w:val="center"/>
          </w:tcPr>
          <w:p>
            <w:r>
              <w:t>1.招标人代表</w:t>
            </w:r>
            <w:r>
              <w:rPr>
                <w:u w:val="single"/>
              </w:rPr>
              <w:t xml:space="preserve"> 1 </w:t>
            </w:r>
            <w:r>
              <w:t>人（</w:t>
            </w:r>
            <w:r>
              <w:rPr>
                <w:u w:val="single"/>
              </w:rPr>
              <w:t xml:space="preserve"> </w:t>
            </w:r>
            <w:r>
              <w:rPr>
                <w:rFonts w:hint="eastAsia"/>
                <w:u w:val="single"/>
                <w:lang w:val="en-US" w:eastAsia="zh-CN"/>
              </w:rPr>
              <w:t>数字化</w:t>
            </w:r>
            <w:r>
              <w:rPr>
                <w:u w:val="single"/>
              </w:rPr>
              <w:t xml:space="preserve"> </w:t>
            </w:r>
            <w:r>
              <w:t>部负责选派）；</w:t>
            </w:r>
          </w:p>
          <w:p>
            <w:r>
              <w:t>2.随机抽取专家（商务类</w:t>
            </w:r>
            <w:r>
              <w:rPr>
                <w:u w:val="single"/>
              </w:rPr>
              <w:t xml:space="preserve"> </w:t>
            </w:r>
            <w:r>
              <w:t>人，技术类</w:t>
            </w:r>
            <w:r>
              <w:rPr>
                <w:u w:val="single"/>
              </w:rPr>
              <w:t xml:space="preserve"> </w:t>
            </w:r>
            <w:r>
              <w:t>人）</w:t>
            </w:r>
            <w:r>
              <w:rPr>
                <w:u w:val="single"/>
              </w:rPr>
              <w:t xml:space="preserve"> 4 </w:t>
            </w:r>
            <w:r>
              <w:t>人，其中系统外专家</w:t>
            </w:r>
            <w:r>
              <w:rPr>
                <w:u w:val="single"/>
              </w:rPr>
              <w:t xml:space="preserve"> 0 </w:t>
            </w:r>
            <w:r>
              <w:t>人，系统内专家</w:t>
            </w:r>
            <w:r>
              <w:rPr>
                <w:u w:val="single"/>
              </w:rPr>
              <w:t xml:space="preserve"> 4 </w:t>
            </w:r>
            <w:r>
              <w:t>人；</w:t>
            </w:r>
          </w:p>
          <w:p>
            <w:r>
              <w:t>3.合计</w:t>
            </w:r>
            <w:r>
              <w:rPr>
                <w:u w:val="single"/>
              </w:rPr>
              <w:t xml:space="preserve"> 5 </w:t>
            </w:r>
            <w: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gridAfter w:val="1"/>
          <w:wAfter w:w="204" w:type="dxa"/>
          <w:trHeight w:val="567" w:hRule="atLeast"/>
        </w:trPr>
        <w:tc>
          <w:tcPr>
            <w:tcW w:w="1701" w:type="dxa"/>
            <w:vMerge w:val="restart"/>
            <w:shd w:val="clear" w:color="auto" w:fill="FFFFFF"/>
            <w:vAlign w:val="center"/>
          </w:tcPr>
          <w:p>
            <w:pPr>
              <w:jc w:val="center"/>
            </w:pPr>
            <w:r>
              <w:t>专家遴选条件</w:t>
            </w:r>
          </w:p>
        </w:tc>
        <w:tc>
          <w:tcPr>
            <w:tcW w:w="6600" w:type="dxa"/>
            <w:gridSpan w:val="5"/>
            <w:shd w:val="clear" w:color="auto" w:fill="FFFFFF"/>
            <w:vAlign w:val="center"/>
          </w:tcPr>
          <w:p>
            <w:pPr>
              <w:jc w:val="center"/>
            </w:pPr>
            <w:r>
              <w:t>随机抽取评标专家专业类别及人数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gridAfter w:val="1"/>
          <w:wAfter w:w="204" w:type="dxa"/>
          <w:trHeight w:val="567" w:hRule="atLeast"/>
        </w:trPr>
        <w:tc>
          <w:tcPr>
            <w:tcW w:w="1701" w:type="dxa"/>
            <w:vMerge w:val="continue"/>
            <w:shd w:val="clear" w:color="auto" w:fill="FFFFFF"/>
          </w:tcPr>
          <w:p/>
        </w:tc>
        <w:tc>
          <w:tcPr>
            <w:tcW w:w="1701" w:type="dxa"/>
            <w:shd w:val="clear" w:color="auto" w:fill="FFFFFF"/>
            <w:vAlign w:val="center"/>
          </w:tcPr>
          <w:p>
            <w:pPr>
              <w:jc w:val="center"/>
            </w:pPr>
            <w:r>
              <w:t>专家类别</w:t>
            </w:r>
          </w:p>
        </w:tc>
        <w:tc>
          <w:tcPr>
            <w:tcW w:w="1780" w:type="dxa"/>
            <w:shd w:val="clear" w:color="auto" w:fill="FFFFFF"/>
            <w:vAlign w:val="center"/>
          </w:tcPr>
          <w:p>
            <w:pPr>
              <w:jc w:val="center"/>
            </w:pPr>
            <w:r>
              <w:t>评标专业</w:t>
            </w:r>
          </w:p>
        </w:tc>
        <w:tc>
          <w:tcPr>
            <w:tcW w:w="1134" w:type="dxa"/>
            <w:shd w:val="clear" w:color="auto" w:fill="FFFFFF"/>
            <w:vAlign w:val="center"/>
          </w:tcPr>
          <w:p>
            <w:pPr>
              <w:jc w:val="center"/>
            </w:pPr>
            <w:r>
              <w:t>主选条件</w:t>
            </w:r>
          </w:p>
        </w:tc>
        <w:tc>
          <w:tcPr>
            <w:tcW w:w="851" w:type="dxa"/>
            <w:shd w:val="clear" w:color="auto" w:fill="FFFFFF"/>
            <w:vAlign w:val="center"/>
          </w:tcPr>
          <w:p>
            <w:pPr>
              <w:jc w:val="center"/>
            </w:pPr>
            <w:r>
              <w:t>人数</w:t>
            </w:r>
          </w:p>
        </w:tc>
        <w:tc>
          <w:tcPr>
            <w:tcW w:w="1134" w:type="dxa"/>
            <w:shd w:val="clear" w:color="auto" w:fill="FFFFFF"/>
            <w:vAlign w:val="center"/>
          </w:tcPr>
          <w:p>
            <w:pPr>
              <w:jc w:val="center"/>
            </w:pPr>
            <w:r>
              <w:t>专家来源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gridAfter w:val="1"/>
          <w:wAfter w:w="204" w:type="dxa"/>
          <w:trHeight w:val="0" w:hRule="atLeast"/>
        </w:trPr>
        <w:tc>
          <w:tcPr>
            <w:tcW w:w="1701" w:type="dxa"/>
            <w:vMerge w:val="continue"/>
            <w:shd w:val="clear" w:color="auto" w:fill="FFFFFF"/>
          </w:tcPr>
          <w:p/>
        </w:tc>
        <w:tc>
          <w:tcPr>
            <w:tcW w:w="1701" w:type="dxa"/>
            <w:shd w:val="clear" w:color="auto" w:fill="FFFFFF"/>
            <w:vAlign w:val="center"/>
          </w:tcPr>
          <w:p>
            <w:pPr>
              <w:jc w:val="left"/>
            </w:pPr>
            <w:r>
              <w:t>三.服务类(C)</w:t>
            </w:r>
          </w:p>
        </w:tc>
        <w:tc>
          <w:tcPr>
            <w:tcW w:w="1780" w:type="dxa"/>
            <w:shd w:val="clear" w:color="auto" w:fill="FFFFFF"/>
            <w:vAlign w:val="center"/>
          </w:tcPr>
          <w:p>
            <w:pPr>
              <w:jc w:val="left"/>
            </w:pPr>
            <w:r>
              <w:t>2.2财税管理(C0202)</w:t>
            </w:r>
          </w:p>
          <w:p>
            <w:pPr>
              <w:jc w:val="left"/>
            </w:pPr>
            <w:r>
              <w:t>3.2财务管理(C0302)</w:t>
            </w:r>
          </w:p>
        </w:tc>
        <w:tc>
          <w:tcPr>
            <w:tcW w:w="1134" w:type="dxa"/>
            <w:vMerge w:val="restart"/>
            <w:shd w:val="clear" w:color="auto" w:fill="FFFFFF"/>
            <w:vAlign w:val="center"/>
          </w:tcPr>
          <w:p>
            <w:pPr>
              <w:jc w:val="center"/>
            </w:pPr>
            <w:r>
              <w:t>主</w:t>
            </w:r>
          </w:p>
        </w:tc>
        <w:tc>
          <w:tcPr>
            <w:tcW w:w="851" w:type="dxa"/>
            <w:vMerge w:val="restart"/>
            <w:shd w:val="clear" w:color="auto" w:fill="FFFFFF"/>
            <w:vAlign w:val="center"/>
          </w:tcPr>
          <w:p>
            <w:pPr>
              <w:jc w:val="center"/>
            </w:pPr>
            <w:r>
              <w:t>1</w:t>
            </w:r>
          </w:p>
        </w:tc>
        <w:tc>
          <w:tcPr>
            <w:tcW w:w="1134" w:type="dxa"/>
            <w:vMerge w:val="restart"/>
            <w:shd w:val="clear" w:color="auto" w:fill="FFFFFF"/>
            <w:vAlign w:val="center"/>
          </w:tcPr>
          <w:p>
            <w:pPr>
              <w:jc w:val="center"/>
            </w:pPr>
            <w:r>
              <w:t>系统内专家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gridAfter w:val="1"/>
          <w:wAfter w:w="204" w:type="dxa"/>
          <w:trHeight w:val="0" w:hRule="atLeast"/>
        </w:trPr>
        <w:tc>
          <w:tcPr>
            <w:tcW w:w="1701" w:type="dxa"/>
            <w:vMerge w:val="continue"/>
            <w:shd w:val="clear" w:color="auto" w:fill="FFFFFF"/>
          </w:tcPr>
          <w:p/>
        </w:tc>
        <w:tc>
          <w:tcPr>
            <w:tcW w:w="1701" w:type="dxa"/>
            <w:shd w:val="clear" w:color="auto" w:fill="FFFFFF"/>
            <w:vAlign w:val="center"/>
          </w:tcPr>
          <w:p>
            <w:pPr>
              <w:jc w:val="left"/>
            </w:pPr>
            <w:r>
              <w:t>二.货物类(B)</w:t>
            </w:r>
          </w:p>
        </w:tc>
        <w:tc>
          <w:tcPr>
            <w:tcW w:w="1780" w:type="dxa"/>
            <w:shd w:val="clear" w:color="auto" w:fill="FFFFFF"/>
            <w:vAlign w:val="center"/>
          </w:tcPr>
          <w:p>
            <w:pPr>
              <w:jc w:val="left"/>
            </w:pPr>
            <w:r>
              <w:t>12.1服务器(B1201)</w:t>
            </w:r>
          </w:p>
          <w:p>
            <w:pPr>
              <w:jc w:val="left"/>
            </w:pPr>
            <w:r>
              <w:t>12.2计算机网络及安全设备(B1202)</w:t>
            </w:r>
          </w:p>
          <w:p>
            <w:pPr>
              <w:jc w:val="left"/>
            </w:pPr>
            <w:r>
              <w:t>12.3计算机终端及配件(B1203)</w:t>
            </w:r>
          </w:p>
          <w:p>
            <w:pPr>
              <w:jc w:val="left"/>
            </w:pPr>
            <w:r>
              <w:t>13.1系统及支撑软件(B1301)</w:t>
            </w:r>
          </w:p>
          <w:p>
            <w:pPr>
              <w:jc w:val="left"/>
            </w:pPr>
            <w:r>
              <w:t>13.2应用软件(B1302)</w:t>
            </w:r>
          </w:p>
        </w:tc>
        <w:tc>
          <w:tcPr>
            <w:tcW w:w="1134" w:type="dxa"/>
            <w:vMerge w:val="restart"/>
            <w:shd w:val="clear" w:color="auto" w:fill="FFFFFF"/>
            <w:vAlign w:val="center"/>
          </w:tcPr>
          <w:p>
            <w:pPr>
              <w:jc w:val="center"/>
            </w:pPr>
            <w:r>
              <w:t>主</w:t>
            </w:r>
          </w:p>
        </w:tc>
        <w:tc>
          <w:tcPr>
            <w:tcW w:w="851" w:type="dxa"/>
            <w:vMerge w:val="restart"/>
            <w:shd w:val="clear" w:color="auto" w:fill="FFFFFF"/>
            <w:vAlign w:val="center"/>
          </w:tcPr>
          <w:p>
            <w:pPr>
              <w:jc w:val="center"/>
            </w:pPr>
            <w:r>
              <w:t>3</w:t>
            </w:r>
          </w:p>
        </w:tc>
        <w:tc>
          <w:tcPr>
            <w:tcW w:w="1134" w:type="dxa"/>
            <w:vMerge w:val="restart"/>
            <w:shd w:val="clear" w:color="auto" w:fill="FFFFFF"/>
            <w:vAlign w:val="center"/>
          </w:tcPr>
          <w:p>
            <w:pPr>
              <w:jc w:val="center"/>
            </w:pPr>
            <w:r>
              <w:t>系统内专家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gridAfter w:val="1"/>
          <w:wAfter w:w="204" w:type="dxa"/>
        </w:trPr>
        <w:tc>
          <w:tcPr>
            <w:tcW w:w="1701" w:type="dxa"/>
            <w:vMerge w:val="continue"/>
            <w:shd w:val="clear" w:color="auto" w:fill="auto"/>
          </w:tcPr>
          <w:p/>
        </w:tc>
        <w:tc>
          <w:tcPr>
            <w:tcW w:w="1701" w:type="dxa"/>
            <w:shd w:val="clear" w:color="auto" w:fill="auto"/>
            <w:vAlign w:val="center"/>
          </w:tcPr>
          <w:p>
            <w:pPr>
              <w:jc w:val="left"/>
            </w:pPr>
            <w:r>
              <w:t>一.工程类(A)</w:t>
            </w:r>
          </w:p>
        </w:tc>
        <w:tc>
          <w:tcPr>
            <w:tcW w:w="1780" w:type="dxa"/>
            <w:shd w:val="clear" w:color="auto" w:fill="auto"/>
            <w:vAlign w:val="center"/>
          </w:tcPr>
          <w:p>
            <w:pPr>
              <w:jc w:val="left"/>
            </w:pPr>
            <w:r>
              <w:t>9.1信息系统设计(A0901)</w:t>
            </w:r>
          </w:p>
          <w:p>
            <w:pPr>
              <w:jc w:val="left"/>
            </w:pPr>
            <w:r>
              <w:t>9.2网络安全(A0902)</w:t>
            </w:r>
          </w:p>
          <w:p>
            <w:pPr>
              <w:jc w:val="left"/>
            </w:pPr>
            <w:r>
              <w:t>9.3通信及信息机房(A0903)</w:t>
            </w:r>
          </w:p>
          <w:p>
            <w:pPr>
              <w:jc w:val="left"/>
            </w:pPr>
            <w:r>
              <w:t>15.信息系统开发监理(A1501)</w:t>
            </w:r>
          </w:p>
          <w:p>
            <w:pPr>
              <w:jc w:val="left"/>
            </w:pPr>
            <w:r>
              <w:t>23.信息系统工程开发(A2301)</w:t>
            </w:r>
          </w:p>
        </w:tc>
        <w:tc>
          <w:tcPr>
            <w:tcW w:w="1134" w:type="dxa"/>
            <w:vMerge w:val="continue"/>
            <w:shd w:val="clear" w:color="auto" w:fill="auto"/>
          </w:tcPr>
          <w:p/>
        </w:tc>
        <w:tc>
          <w:tcPr>
            <w:tcW w:w="851" w:type="dxa"/>
            <w:vMerge w:val="continue"/>
            <w:shd w:val="clear" w:color="auto" w:fill="auto"/>
          </w:tcPr>
          <w:p/>
        </w:tc>
        <w:tc>
          <w:tcPr>
            <w:tcW w:w="1134" w:type="dxa"/>
            <w:vMerge w:val="continue"/>
            <w:shd w:val="clear" w:color="auto" w:fill="auto"/>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gridAfter w:val="1"/>
          <w:wAfter w:w="204" w:type="dxa"/>
          <w:trHeight w:val="0" w:hRule="atLeast"/>
        </w:trPr>
        <w:tc>
          <w:tcPr>
            <w:tcW w:w="1701" w:type="dxa"/>
            <w:vMerge w:val="restart"/>
            <w:shd w:val="clear" w:color="auto" w:fill="FFFFFF"/>
            <w:vAlign w:val="center"/>
          </w:tcPr>
          <w:p>
            <w:pPr>
              <w:jc w:val="center"/>
            </w:pPr>
            <w:r>
              <w:t>系统内专家抽取设置</w:t>
            </w:r>
          </w:p>
        </w:tc>
        <w:tc>
          <w:tcPr>
            <w:tcW w:w="6600" w:type="dxa"/>
            <w:gridSpan w:val="5"/>
            <w:shd w:val="clear" w:color="auto" w:fill="FFFFFF"/>
            <w:vAlign w:val="center"/>
          </w:tcPr>
          <w:p>
            <w:pPr>
              <w:jc w:val="left"/>
            </w:pPr>
            <w:r>
              <w:t>1.抽取区域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gridAfter w:val="1"/>
          <w:wAfter w:w="204" w:type="dxa"/>
          <w:trHeight w:val="0" w:hRule="atLeast"/>
        </w:trPr>
        <w:tc>
          <w:tcPr>
            <w:tcW w:w="1701" w:type="dxa"/>
            <w:vMerge w:val="continue"/>
            <w:shd w:val="clear" w:color="auto" w:fill="FFFFFF"/>
          </w:tcPr>
          <w:p/>
        </w:tc>
        <w:tc>
          <w:tcPr>
            <w:tcW w:w="6600" w:type="dxa"/>
            <w:gridSpan w:val="5"/>
            <w:shd w:val="clear" w:color="auto" w:fill="FFFFFF"/>
            <w:vAlign w:val="center"/>
          </w:tcPr>
          <w:p>
            <w:pPr>
              <w:jc w:val="left"/>
            </w:pPr>
            <w:r>
              <w:t>全网地市局及以上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gridAfter w:val="1"/>
          <w:wAfter w:w="204" w:type="dxa"/>
          <w:trHeight w:val="0" w:hRule="atLeast"/>
        </w:trPr>
        <w:tc>
          <w:tcPr>
            <w:tcW w:w="1701" w:type="dxa"/>
            <w:vMerge w:val="continue"/>
            <w:shd w:val="clear" w:color="auto" w:fill="FFFFFF"/>
          </w:tcPr>
          <w:p/>
        </w:tc>
        <w:tc>
          <w:tcPr>
            <w:tcW w:w="6600" w:type="dxa"/>
            <w:gridSpan w:val="5"/>
            <w:shd w:val="clear" w:color="auto" w:fill="FFFFFF"/>
            <w:vAlign w:val="center"/>
          </w:tcPr>
          <w:p>
            <w:pPr>
              <w:jc w:val="left"/>
            </w:pPr>
            <w:r>
              <w:t>2.职称级别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204" w:type="dxa"/>
          <w:trHeight w:val="0" w:hRule="atLeast"/>
        </w:trPr>
        <w:tc>
          <w:tcPr>
            <w:tcW w:w="1701" w:type="dxa"/>
            <w:vMerge w:val="continue"/>
            <w:shd w:val="clear" w:color="auto" w:fill="FFFFFF"/>
          </w:tcPr>
          <w:p/>
        </w:tc>
        <w:tc>
          <w:tcPr>
            <w:tcW w:w="6600" w:type="dxa"/>
            <w:gridSpan w:val="5"/>
            <w:shd w:val="clear" w:color="auto" w:fill="FFFFFF"/>
            <w:vAlign w:val="center"/>
          </w:tcPr>
          <w:p>
            <w:pPr>
              <w:jc w:val="left"/>
            </w:pPr>
            <w:r>
              <w:t>【中级】及以上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gridAfter w:val="1"/>
          <w:wAfter w:w="204" w:type="dxa"/>
          <w:trHeight w:val="0" w:hRule="atLeast"/>
        </w:trPr>
        <w:tc>
          <w:tcPr>
            <w:tcW w:w="1701" w:type="dxa"/>
            <w:vMerge w:val="continue"/>
            <w:shd w:val="clear" w:color="auto" w:fill="FFFFFF"/>
          </w:tcPr>
          <w:p/>
        </w:tc>
        <w:tc>
          <w:tcPr>
            <w:tcW w:w="6600" w:type="dxa"/>
            <w:gridSpan w:val="5"/>
            <w:shd w:val="clear" w:color="auto" w:fill="FFFFFF"/>
            <w:vAlign w:val="center"/>
          </w:tcPr>
          <w:p>
            <w:pPr>
              <w:jc w:val="left"/>
            </w:pPr>
            <w:r>
              <w:t>3.抽取单位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gridAfter w:val="1"/>
          <w:wAfter w:w="204" w:type="dxa"/>
          <w:trHeight w:val="0" w:hRule="atLeast"/>
        </w:trPr>
        <w:tc>
          <w:tcPr>
            <w:tcW w:w="1701" w:type="dxa"/>
            <w:vMerge w:val="continue"/>
            <w:shd w:val="clear" w:color="auto" w:fill="FFFFFF"/>
          </w:tcPr>
          <w:p/>
        </w:tc>
        <w:tc>
          <w:tcPr>
            <w:tcW w:w="6600" w:type="dxa"/>
            <w:gridSpan w:val="5"/>
            <w:shd w:val="clear" w:color="auto" w:fill="FFFFFF"/>
            <w:vAlign w:val="center"/>
          </w:tcPr>
          <w:p>
            <w:pPr>
              <w:jc w:val="left"/>
            </w:pPr>
            <w:r>
              <w:t>详见上表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204" w:type="dxa"/>
          <w:trHeight w:val="0" w:hRule="atLeast"/>
        </w:trPr>
        <w:tc>
          <w:tcPr>
            <w:tcW w:w="1701" w:type="dxa"/>
            <w:vMerge w:val="continue"/>
            <w:shd w:val="clear" w:color="auto" w:fill="FFFFFF"/>
          </w:tcPr>
          <w:p/>
        </w:tc>
        <w:tc>
          <w:tcPr>
            <w:tcW w:w="6600" w:type="dxa"/>
            <w:gridSpan w:val="5"/>
            <w:shd w:val="clear" w:color="auto" w:fill="FFFFFF"/>
            <w:vAlign w:val="center"/>
          </w:tcPr>
          <w:p>
            <w:pPr>
              <w:jc w:val="left"/>
            </w:pPr>
            <w:r>
              <w:t>4.排除单位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4" w:type="dxa"/>
          <w:trHeight w:val="0" w:hRule="atLeast"/>
        </w:trPr>
        <w:tc>
          <w:tcPr>
            <w:tcW w:w="1701" w:type="dxa"/>
            <w:vMerge w:val="continue"/>
            <w:shd w:val="clear" w:color="auto" w:fill="FFFFFF"/>
          </w:tcPr>
          <w:p/>
        </w:tc>
        <w:tc>
          <w:tcPr>
            <w:tcW w:w="6600" w:type="dxa"/>
            <w:gridSpan w:val="5"/>
            <w:shd w:val="clear" w:color="auto" w:fill="FFFFFF"/>
            <w:vAlign w:val="center"/>
          </w:tcPr>
          <w:p>
            <w:pPr>
              <w:jc w:val="left"/>
            </w:pPr>
            <w:r>
              <w:t>中国南方电网有限责任公司/南方电网公司总部/数字化部(当前单位及下属单位);中国南方电网有限责任公司/中国南方电网有限责任公司人才发展中心(当前单位及下属单位)</w:t>
            </w:r>
          </w:p>
        </w:tc>
      </w:tr>
      <w:bookmarkEnd w:id="54"/>
    </w:tbl>
    <w:p/>
    <w:p>
      <w:pPr>
        <w:rPr>
          <w:rFonts w:hint="eastAsia" w:ascii="宋体" w:hAnsi="宋体" w:eastAsia="宋体" w:cs="宋体"/>
          <w:b w:val="0"/>
          <w:bCs w:val="0"/>
          <w:i w:val="0"/>
          <w:iCs w:val="0"/>
          <w:color w:val="auto"/>
          <w:sz w:val="18"/>
          <w:szCs w:val="18"/>
          <w:highlight w:val="none"/>
          <w:lang w:val="en-US" w:eastAsia="zh-CN"/>
        </w:rPr>
      </w:pPr>
      <w:r>
        <w:rPr>
          <w:rFonts w:hint="eastAsia" w:ascii="宋体" w:hAnsi="宋体" w:eastAsia="宋体" w:cs="宋体"/>
          <w:b w:val="0"/>
          <w:bCs w:val="0"/>
          <w:i w:val="0"/>
          <w:iCs w:val="0"/>
          <w:color w:val="auto"/>
          <w:sz w:val="18"/>
          <w:szCs w:val="18"/>
          <w:highlight w:val="none"/>
          <w:lang w:val="en-US" w:eastAsia="zh-CN"/>
        </w:rPr>
        <w:t>说明：</w:t>
      </w:r>
    </w:p>
    <w:p>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eastAsia" w:ascii="宋体" w:hAnsi="宋体" w:eastAsia="宋体" w:cs="宋体"/>
          <w:i w:val="0"/>
          <w:iCs w:val="0"/>
          <w:color w:val="auto"/>
          <w:kern w:val="0"/>
          <w:sz w:val="18"/>
          <w:szCs w:val="18"/>
          <w:highlight w:val="none"/>
          <w:lang w:val="en-US" w:eastAsia="zh-CN"/>
        </w:rPr>
      </w:pPr>
      <w:r>
        <w:rPr>
          <w:rFonts w:hint="eastAsia" w:ascii="宋体" w:hAnsi="宋体" w:eastAsia="宋体" w:cs="宋体"/>
          <w:b w:val="0"/>
          <w:bCs w:val="0"/>
          <w:i w:val="0"/>
          <w:iCs w:val="0"/>
          <w:color w:val="auto"/>
          <w:sz w:val="18"/>
          <w:szCs w:val="18"/>
          <w:highlight w:val="none"/>
          <w:lang w:val="en-US" w:eastAsia="zh-CN"/>
        </w:rPr>
        <w:t>1.按照专家抽取表中的主备选专业抽取专家人数不满足采购工作组抽取专家人数的情况下，招标代理机构按以下顺序依次补抽：①将评标专家抽取范围扩大到</w:t>
      </w:r>
      <w:r>
        <w:rPr>
          <w:rFonts w:hint="eastAsia" w:ascii="宋体" w:hAnsi="宋体" w:cs="宋体"/>
          <w:b w:val="0"/>
          <w:bCs w:val="0"/>
          <w:i w:val="0"/>
          <w:iCs w:val="0"/>
          <w:color w:val="auto"/>
          <w:sz w:val="18"/>
          <w:szCs w:val="18"/>
          <w:highlight w:val="none"/>
          <w:u w:val="single"/>
          <w:lang w:val="en-US" w:eastAsia="zh-CN"/>
        </w:rPr>
        <w:t>本省</w:t>
      </w:r>
      <w:r>
        <w:rPr>
          <w:rFonts w:hint="eastAsia" w:ascii="宋体" w:hAnsi="宋体" w:eastAsia="宋体" w:cs="宋体"/>
          <w:b w:val="0"/>
          <w:bCs w:val="0"/>
          <w:i w:val="0"/>
          <w:iCs w:val="0"/>
          <w:color w:val="auto"/>
          <w:sz w:val="18"/>
          <w:szCs w:val="18"/>
          <w:highlight w:val="none"/>
          <w:lang w:val="en-US" w:eastAsia="zh-CN"/>
        </w:rPr>
        <w:t>地区；②在保持专家抽取表中的区域基础上扩大至主选类别专业对应的一级专业大类；③再次将抽取范围扩大到</w:t>
      </w:r>
      <w:r>
        <w:rPr>
          <w:rFonts w:hint="eastAsia" w:ascii="宋体" w:hAnsi="宋体" w:eastAsia="宋体" w:cs="宋体"/>
          <w:b w:val="0"/>
          <w:bCs w:val="0"/>
          <w:i w:val="0"/>
          <w:iCs w:val="0"/>
          <w:color w:val="auto"/>
          <w:sz w:val="18"/>
          <w:szCs w:val="18"/>
          <w:highlight w:val="none"/>
          <w:u w:val="single"/>
          <w:lang w:val="en-US" w:eastAsia="zh-CN"/>
        </w:rPr>
        <w:t>全网</w:t>
      </w:r>
      <w:r>
        <w:rPr>
          <w:rFonts w:hint="eastAsia" w:ascii="宋体" w:hAnsi="宋体" w:eastAsia="宋体" w:cs="宋体"/>
          <w:b w:val="0"/>
          <w:bCs w:val="0"/>
          <w:i w:val="0"/>
          <w:iCs w:val="0"/>
          <w:color w:val="auto"/>
          <w:sz w:val="18"/>
          <w:szCs w:val="18"/>
          <w:highlight w:val="none"/>
          <w:lang w:val="en-US" w:eastAsia="zh-CN"/>
        </w:rPr>
        <w:t>地区，④</w:t>
      </w:r>
      <w:r>
        <w:rPr>
          <w:rFonts w:hint="eastAsia" w:ascii="宋体" w:hAnsi="宋体" w:eastAsia="宋体" w:cs="宋体"/>
          <w:b w:val="0"/>
          <w:bCs w:val="0"/>
          <w:i w:val="0"/>
          <w:iCs w:val="0"/>
          <w:strike w:val="0"/>
          <w:dstrike w:val="0"/>
          <w:color w:val="auto"/>
          <w:sz w:val="18"/>
          <w:szCs w:val="18"/>
          <w:highlight w:val="none"/>
          <w:lang w:val="en-US" w:eastAsia="zh-CN"/>
        </w:rPr>
        <w:t>如仍不能满足抽取要求应请示</w:t>
      </w:r>
      <w:r>
        <w:rPr>
          <w:rFonts w:hint="eastAsia" w:ascii="宋体" w:hAnsi="宋体" w:cs="宋体"/>
          <w:b w:val="0"/>
          <w:bCs w:val="0"/>
          <w:i w:val="0"/>
          <w:iCs w:val="0"/>
          <w:strike w:val="0"/>
          <w:dstrike w:val="0"/>
          <w:color w:val="auto"/>
          <w:sz w:val="18"/>
          <w:szCs w:val="18"/>
          <w:highlight w:val="none"/>
          <w:lang w:val="en-US" w:eastAsia="zh-CN"/>
        </w:rPr>
        <w:t>采购</w:t>
      </w:r>
      <w:r>
        <w:rPr>
          <w:rFonts w:hint="eastAsia" w:ascii="宋体" w:hAnsi="宋体" w:eastAsia="宋体" w:cs="宋体"/>
          <w:b w:val="0"/>
          <w:bCs w:val="0"/>
          <w:i w:val="0"/>
          <w:iCs w:val="0"/>
          <w:strike w:val="0"/>
          <w:dstrike w:val="0"/>
          <w:color w:val="auto"/>
          <w:sz w:val="18"/>
          <w:szCs w:val="18"/>
          <w:highlight w:val="none"/>
          <w:lang w:val="en-US" w:eastAsia="zh-CN"/>
        </w:rPr>
        <w:t>人修改专业类别。</w:t>
      </w:r>
    </w:p>
    <w:p>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eastAsia" w:ascii="宋体" w:hAnsi="宋体" w:eastAsia="宋体" w:cs="宋体"/>
          <w:i w:val="0"/>
          <w:iCs w:val="0"/>
          <w:color w:val="auto"/>
          <w:kern w:val="0"/>
          <w:sz w:val="18"/>
          <w:szCs w:val="18"/>
          <w:highlight w:val="none"/>
          <w:lang w:eastAsia="zh-CN"/>
        </w:rPr>
      </w:pPr>
      <w:r>
        <w:rPr>
          <w:rFonts w:hint="eastAsia" w:ascii="宋体" w:hAnsi="宋体" w:cs="宋体"/>
          <w:i w:val="0"/>
          <w:iCs w:val="0"/>
          <w:color w:val="auto"/>
          <w:kern w:val="0"/>
          <w:sz w:val="18"/>
          <w:szCs w:val="18"/>
          <w:highlight w:val="none"/>
          <w:lang w:val="en-US" w:eastAsia="zh-CN"/>
        </w:rPr>
        <w:t>2.</w:t>
      </w:r>
      <w:r>
        <w:rPr>
          <w:rFonts w:hint="eastAsia" w:ascii="宋体" w:hAnsi="宋体" w:eastAsia="宋体" w:cs="宋体"/>
          <w:b w:val="0"/>
          <w:bCs w:val="0"/>
          <w:i w:val="0"/>
          <w:iCs w:val="0"/>
          <w:color w:val="auto"/>
          <w:sz w:val="18"/>
          <w:szCs w:val="18"/>
          <w:highlight w:val="none"/>
          <w:lang w:val="en-US" w:eastAsia="zh-CN"/>
        </w:rPr>
        <w:t>专家临时请假或现场回避的</w:t>
      </w:r>
      <w:r>
        <w:rPr>
          <w:rFonts w:hint="eastAsia" w:ascii="宋体" w:hAnsi="宋体" w:eastAsia="宋体" w:cs="宋体"/>
          <w:i w:val="0"/>
          <w:iCs w:val="0"/>
          <w:color w:val="auto"/>
          <w:kern w:val="0"/>
          <w:sz w:val="18"/>
          <w:szCs w:val="18"/>
          <w:highlight w:val="none"/>
          <w:lang w:eastAsia="zh-CN"/>
        </w:rPr>
        <w:t>应急补抽原则：</w:t>
      </w:r>
    </w:p>
    <w:p>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eastAsia" w:ascii="宋体" w:hAnsi="宋体" w:eastAsia="宋体" w:cs="宋体"/>
          <w:b w:val="0"/>
          <w:bCs w:val="0"/>
          <w:i w:val="0"/>
          <w:iCs w:val="0"/>
          <w:color w:val="auto"/>
          <w:sz w:val="18"/>
          <w:szCs w:val="18"/>
          <w:highlight w:val="none"/>
          <w:lang w:val="en-US" w:eastAsia="zh-CN"/>
        </w:rPr>
      </w:pPr>
      <w:r>
        <w:rPr>
          <w:rFonts w:hint="eastAsia" w:ascii="宋体" w:hAnsi="宋体" w:eastAsia="宋体" w:cs="宋体"/>
          <w:b w:val="0"/>
          <w:bCs w:val="0"/>
          <w:i w:val="0"/>
          <w:iCs w:val="0"/>
          <w:color w:val="auto"/>
          <w:sz w:val="18"/>
          <w:szCs w:val="18"/>
          <w:highlight w:val="none"/>
          <w:lang w:val="en-US" w:eastAsia="zh-CN"/>
        </w:rPr>
        <w:t>（1）应急补抽。剩余抽取时间不足24小时的，原则上在以下区域</w:t>
      </w:r>
      <w:r>
        <w:rPr>
          <w:rFonts w:hint="eastAsia" w:ascii="宋体" w:hAnsi="宋体" w:eastAsia="宋体" w:cs="宋体"/>
          <w:b w:val="0"/>
          <w:bCs w:val="0"/>
          <w:i w:val="0"/>
          <w:iCs w:val="0"/>
          <w:color w:val="auto"/>
          <w:sz w:val="18"/>
          <w:szCs w:val="18"/>
          <w:highlight w:val="none"/>
          <w:u w:val="single"/>
          <w:lang w:val="en-US" w:eastAsia="zh-CN"/>
        </w:rPr>
        <w:t xml:space="preserve"> ② </w:t>
      </w:r>
      <w:r>
        <w:rPr>
          <w:rFonts w:hint="eastAsia" w:ascii="宋体" w:hAnsi="宋体" w:eastAsia="宋体" w:cs="宋体"/>
          <w:b w:val="0"/>
          <w:bCs w:val="0"/>
          <w:i w:val="0"/>
          <w:iCs w:val="0"/>
          <w:color w:val="auto"/>
          <w:sz w:val="18"/>
          <w:szCs w:val="18"/>
          <w:highlight w:val="none"/>
          <w:lang w:val="en-US" w:eastAsia="zh-CN"/>
        </w:rPr>
        <w:t>进行应急补抽：</w:t>
      </w:r>
      <w:r>
        <w:rPr>
          <w:rFonts w:hint="eastAsia" w:ascii="宋体" w:hAnsi="宋体" w:eastAsia="宋体" w:cs="宋体"/>
          <w:b w:val="0"/>
          <w:bCs w:val="0"/>
          <w:i w:val="0"/>
          <w:iCs w:val="0"/>
          <w:color w:val="auto"/>
          <w:sz w:val="18"/>
          <w:szCs w:val="18"/>
          <w:highlight w:val="none"/>
          <w:u w:val="single"/>
          <w:lang w:val="en-US" w:eastAsia="zh-CN"/>
        </w:rPr>
        <w:t>①珠三角，或②广州地区</w:t>
      </w:r>
      <w:r>
        <w:rPr>
          <w:rFonts w:hint="eastAsia" w:ascii="宋体" w:hAnsi="宋体" w:eastAsia="宋体" w:cs="宋体"/>
          <w:b w:val="0"/>
          <w:bCs w:val="0"/>
          <w:i w:val="0"/>
          <w:iCs w:val="0"/>
          <w:color w:val="auto"/>
          <w:sz w:val="18"/>
          <w:szCs w:val="18"/>
          <w:highlight w:val="none"/>
          <w:lang w:val="en-US" w:eastAsia="zh-CN"/>
        </w:rPr>
        <w:t>。</w:t>
      </w:r>
    </w:p>
    <w:p>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eastAsia" w:ascii="宋体" w:hAnsi="宋体" w:eastAsia="宋体" w:cs="宋体"/>
          <w:b w:val="0"/>
          <w:bCs w:val="0"/>
          <w:i w:val="0"/>
          <w:iCs w:val="0"/>
          <w:color w:val="auto"/>
          <w:sz w:val="18"/>
          <w:szCs w:val="18"/>
          <w:highlight w:val="none"/>
          <w:lang w:val="en-US" w:eastAsia="zh-CN"/>
        </w:rPr>
      </w:pPr>
      <w:r>
        <w:rPr>
          <w:rFonts w:hint="eastAsia" w:ascii="宋体" w:hAnsi="宋体" w:eastAsia="宋体" w:cs="宋体"/>
          <w:b w:val="0"/>
          <w:bCs w:val="0"/>
          <w:i w:val="0"/>
          <w:iCs w:val="0"/>
          <w:color w:val="auto"/>
          <w:sz w:val="18"/>
          <w:szCs w:val="18"/>
          <w:highlight w:val="none"/>
          <w:lang w:val="en-US" w:eastAsia="zh-CN"/>
        </w:rPr>
        <w:t>（2）减员处理。</w:t>
      </w:r>
      <w:r>
        <w:rPr>
          <w:rFonts w:hint="eastAsia" w:ascii="宋体" w:hAnsi="宋体" w:cs="宋体"/>
          <w:i w:val="0"/>
          <w:iCs w:val="0"/>
          <w:color w:val="auto"/>
          <w:sz w:val="18"/>
          <w:szCs w:val="18"/>
          <w:highlight w:val="none"/>
        </w:rPr>
        <w:t>由于缺额原因导致</w:t>
      </w:r>
      <w:r>
        <w:rPr>
          <w:rFonts w:hint="eastAsia" w:ascii="宋体" w:hAnsi="宋体" w:cs="宋体"/>
          <w:i w:val="0"/>
          <w:iCs w:val="0"/>
          <w:color w:val="auto"/>
          <w:sz w:val="18"/>
          <w:szCs w:val="18"/>
          <w:highlight w:val="none"/>
          <w:lang w:eastAsia="zh-CN"/>
        </w:rPr>
        <w:t>采购工作组</w:t>
      </w:r>
      <w:r>
        <w:rPr>
          <w:rFonts w:hint="eastAsia" w:ascii="宋体" w:hAnsi="宋体" w:cs="宋体"/>
          <w:i w:val="0"/>
          <w:iCs w:val="0"/>
          <w:color w:val="auto"/>
          <w:sz w:val="18"/>
          <w:szCs w:val="18"/>
          <w:highlight w:val="none"/>
        </w:rPr>
        <w:t>总人数为双数时，在满足抽取专家比例在总人数的三分之二及以上的前提下，先从抽取专家中减少1人，若减少后将导致抽取专家比例不足总人数三分之二及以上，则维持抽取专家不变，相应减少</w:t>
      </w:r>
      <w:r>
        <w:rPr>
          <w:rFonts w:hint="eastAsia" w:ascii="宋体" w:hAnsi="宋体" w:cs="宋体"/>
          <w:i w:val="0"/>
          <w:iCs w:val="0"/>
          <w:color w:val="auto"/>
          <w:sz w:val="18"/>
          <w:szCs w:val="18"/>
          <w:highlight w:val="none"/>
          <w:lang w:eastAsia="zh-CN"/>
        </w:rPr>
        <w:t>采购</w:t>
      </w:r>
      <w:r>
        <w:rPr>
          <w:rFonts w:hint="eastAsia" w:ascii="宋体" w:hAnsi="宋体" w:cs="宋体"/>
          <w:i w:val="0"/>
          <w:iCs w:val="0"/>
          <w:color w:val="auto"/>
          <w:sz w:val="18"/>
          <w:szCs w:val="18"/>
          <w:highlight w:val="none"/>
        </w:rPr>
        <w:t>人代表1人，确保最终</w:t>
      </w:r>
      <w:r>
        <w:rPr>
          <w:rFonts w:hint="eastAsia" w:ascii="宋体" w:hAnsi="宋体" w:cs="宋体"/>
          <w:i w:val="0"/>
          <w:iCs w:val="0"/>
          <w:color w:val="auto"/>
          <w:sz w:val="18"/>
          <w:szCs w:val="18"/>
          <w:highlight w:val="none"/>
          <w:lang w:eastAsia="zh-CN"/>
        </w:rPr>
        <w:t>采购工作组</w:t>
      </w:r>
      <w:r>
        <w:rPr>
          <w:rFonts w:hint="eastAsia" w:ascii="宋体" w:hAnsi="宋体" w:cs="宋体"/>
          <w:i w:val="0"/>
          <w:iCs w:val="0"/>
          <w:color w:val="auto"/>
          <w:sz w:val="18"/>
          <w:szCs w:val="18"/>
          <w:highlight w:val="none"/>
        </w:rPr>
        <w:t>人员为5人及以上单数</w:t>
      </w:r>
      <w:r>
        <w:rPr>
          <w:rFonts w:hint="eastAsia" w:ascii="宋体" w:hAnsi="宋体" w:cs="宋体"/>
          <w:i w:val="0"/>
          <w:iCs w:val="0"/>
          <w:color w:val="auto"/>
          <w:sz w:val="18"/>
          <w:szCs w:val="18"/>
          <w:highlight w:val="none"/>
          <w:lang w:eastAsia="zh-CN"/>
        </w:rPr>
        <w:t>（采购规模未达到公开招标标准的非招项目采购工作组</w:t>
      </w:r>
      <w:r>
        <w:rPr>
          <w:rFonts w:hint="eastAsia" w:ascii="宋体" w:hAnsi="宋体" w:cs="宋体"/>
          <w:i w:val="0"/>
          <w:iCs w:val="0"/>
          <w:color w:val="auto"/>
          <w:sz w:val="18"/>
          <w:szCs w:val="18"/>
          <w:highlight w:val="none"/>
          <w:lang w:val="en-US" w:eastAsia="zh-CN"/>
        </w:rPr>
        <w:t>3人及以上单数</w:t>
      </w:r>
      <w:r>
        <w:rPr>
          <w:rFonts w:hint="eastAsia" w:ascii="宋体" w:hAnsi="宋体" w:cs="宋体"/>
          <w:i w:val="0"/>
          <w:iCs w:val="0"/>
          <w:color w:val="auto"/>
          <w:sz w:val="18"/>
          <w:szCs w:val="18"/>
          <w:highlight w:val="none"/>
          <w:lang w:eastAsia="zh-CN"/>
        </w:rPr>
        <w:t>）</w:t>
      </w:r>
      <w:r>
        <w:rPr>
          <w:rFonts w:hint="eastAsia" w:ascii="宋体" w:hAnsi="宋体" w:cs="宋体"/>
          <w:i w:val="0"/>
          <w:iCs w:val="0"/>
          <w:color w:val="auto"/>
          <w:sz w:val="18"/>
          <w:szCs w:val="18"/>
          <w:highlight w:val="none"/>
        </w:rPr>
        <w:t>。</w:t>
      </w:r>
      <w:r>
        <w:rPr>
          <w:rFonts w:hint="eastAsia" w:ascii="宋体" w:hAnsi="宋体" w:cs="宋体"/>
          <w:i w:val="0"/>
          <w:iCs w:val="0"/>
          <w:color w:val="auto"/>
          <w:sz w:val="18"/>
          <w:szCs w:val="18"/>
          <w:highlight w:val="none"/>
          <w:lang w:eastAsia="zh-CN"/>
        </w:rPr>
        <w:t>采购工作组</w:t>
      </w:r>
      <w:r>
        <w:rPr>
          <w:rFonts w:hint="eastAsia" w:ascii="宋体" w:hAnsi="宋体" w:cs="宋体"/>
          <w:i w:val="0"/>
          <w:iCs w:val="0"/>
          <w:color w:val="auto"/>
          <w:sz w:val="18"/>
          <w:szCs w:val="18"/>
          <w:highlight w:val="none"/>
        </w:rPr>
        <w:t>的组成以实际到会专家为准。</w:t>
      </w:r>
    </w:p>
    <w:p>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eastAsia" w:ascii="宋体" w:hAnsi="宋体" w:eastAsia="宋体" w:cs="宋体"/>
          <w:b w:val="0"/>
          <w:bCs w:val="0"/>
          <w:i w:val="0"/>
          <w:iCs w:val="0"/>
          <w:color w:val="auto"/>
          <w:sz w:val="18"/>
          <w:szCs w:val="18"/>
          <w:highlight w:val="none"/>
          <w:lang w:val="en-US" w:eastAsia="zh-CN"/>
        </w:rPr>
      </w:pPr>
      <w:r>
        <w:rPr>
          <w:rFonts w:hint="eastAsia" w:ascii="宋体" w:hAnsi="宋体" w:eastAsia="宋体" w:cs="宋体"/>
          <w:b w:val="0"/>
          <w:bCs w:val="0"/>
          <w:i w:val="0"/>
          <w:iCs w:val="0"/>
          <w:color w:val="auto"/>
          <w:sz w:val="18"/>
          <w:szCs w:val="18"/>
          <w:highlight w:val="none"/>
          <w:lang w:val="en-US" w:eastAsia="zh-CN"/>
        </w:rPr>
        <w:t>（3）延期评审。减员处理导致不能满足评标委员会（采购工作组）组建要求的，解散专家延期评审。</w:t>
      </w:r>
    </w:p>
    <w:p>
      <w:pPr>
        <w:outlineLvl w:val="9"/>
        <w:rPr>
          <w:rFonts w:hint="default" w:ascii="宋体" w:hAnsi="宋体" w:eastAsia="宋体" w:cs="宋体"/>
          <w:b w:val="0"/>
          <w:bCs w:val="0"/>
          <w:i w:val="0"/>
          <w:iCs w:val="0"/>
          <w:color w:val="auto"/>
          <w:sz w:val="18"/>
          <w:szCs w:val="18"/>
          <w:highlight w:val="none"/>
          <w:lang w:val="en-US" w:eastAsia="zh-CN"/>
        </w:rPr>
      </w:pPr>
      <w:r>
        <w:rPr>
          <w:rFonts w:hint="eastAsia"/>
          <w:i w:val="0"/>
          <w:iCs w:val="0"/>
          <w:color w:val="auto"/>
          <w:sz w:val="18"/>
          <w:szCs w:val="20"/>
          <w:highlight w:val="none"/>
          <w:lang w:val="en-US" w:eastAsia="zh-CN"/>
        </w:rPr>
        <w:t>3.</w:t>
      </w:r>
      <w:r>
        <w:rPr>
          <w:rFonts w:hint="eastAsia" w:ascii="宋体" w:hAnsi="宋体" w:cs="宋体"/>
          <w:b w:val="0"/>
          <w:bCs w:val="0"/>
          <w:i w:val="0"/>
          <w:iCs w:val="0"/>
          <w:color w:val="auto"/>
          <w:sz w:val="18"/>
          <w:szCs w:val="18"/>
          <w:highlight w:val="none"/>
          <w:lang w:val="en-US" w:eastAsia="zh-CN"/>
        </w:rPr>
        <w:t>经济与时效性说明：</w:t>
      </w:r>
      <w:r>
        <w:rPr>
          <w:rFonts w:hint="eastAsia" w:ascii="宋体" w:hAnsi="宋体" w:eastAsia="宋体" w:cs="宋体"/>
          <w:b w:val="0"/>
          <w:bCs w:val="0"/>
          <w:i w:val="0"/>
          <w:iCs w:val="0"/>
          <w:color w:val="auto"/>
          <w:sz w:val="18"/>
          <w:szCs w:val="18"/>
          <w:highlight w:val="none"/>
          <w:lang w:val="en-US" w:eastAsia="zh-CN"/>
        </w:rPr>
        <w:t>根据项目的标包数，预估评标时间不超过1天。从时效性和经济性考虑，本项目抽取范围设置为</w:t>
      </w:r>
      <w:bookmarkStart w:id="55" w:name="TXT_EEB6AAA088D64841844F6BCA34F85B9C_1"/>
      <w:r>
        <w:rPr>
          <w:rFonts w:hint="eastAsia" w:ascii="宋体" w:hAnsi="宋体" w:eastAsia="宋体" w:cs="宋体"/>
          <w:b w:val="0"/>
          <w:bCs w:val="0"/>
          <w:i w:val="0"/>
          <w:iCs w:val="0"/>
          <w:color w:val="auto"/>
          <w:sz w:val="18"/>
          <w:szCs w:val="18"/>
          <w:highlight w:val="none"/>
          <w:u w:val="single"/>
          <w:lang w:val="en-US" w:eastAsia="zh-CN"/>
        </w:rPr>
        <w:t>【专家组】全网地市局及以上</w:t>
      </w:r>
      <w:bookmarkEnd w:id="55"/>
      <w:r>
        <w:rPr>
          <w:rFonts w:hint="eastAsia" w:ascii="宋体" w:hAnsi="宋体" w:eastAsia="宋体" w:cs="宋体"/>
          <w:b w:val="0"/>
          <w:bCs w:val="0"/>
          <w:i w:val="0"/>
          <w:iCs w:val="0"/>
          <w:color w:val="auto"/>
          <w:sz w:val="18"/>
          <w:szCs w:val="18"/>
          <w:highlight w:val="none"/>
          <w:lang w:val="en-US" w:eastAsia="zh-CN"/>
        </w:rPr>
        <w:t>。</w:t>
      </w:r>
    </w:p>
    <w:p>
      <w:pPr>
        <w:pStyle w:val="2"/>
        <w:rPr>
          <w:rFonts w:hint="eastAsia"/>
          <w:lang w:val="en-US" w:eastAsia="zh-CN"/>
        </w:rPr>
      </w:pPr>
    </w:p>
    <w:p>
      <w:pPr>
        <w:rPr>
          <w:rFonts w:hint="eastAsia" w:ascii="宋体" w:hAnsi="宋体" w:eastAsia="宋体" w:cs="宋体"/>
          <w:b w:val="0"/>
          <w:bCs/>
          <w:i w:val="0"/>
          <w:iCs w:val="0"/>
          <w:color w:val="auto"/>
          <w:sz w:val="21"/>
          <w:szCs w:val="21"/>
          <w:highlight w:val="yellow"/>
          <w:lang w:val="en-US" w:eastAsia="zh-CN"/>
        </w:rPr>
      </w:pPr>
      <w:r>
        <w:br w:type="page"/>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textAlignment w:val="auto"/>
        <w:outlineLvl w:val="0"/>
        <w:rPr>
          <w:rFonts w:hint="eastAsia" w:ascii="Times New Roman" w:hAnsi="Times New Roman" w:eastAsia="宋体" w:cs="Times New Roman"/>
          <w:b/>
          <w:i w:val="0"/>
          <w:iCs w:val="0"/>
          <w:color w:val="auto"/>
          <w:sz w:val="24"/>
          <w:highlight w:val="none"/>
          <w:lang w:eastAsia="zh-CN"/>
        </w:rPr>
      </w:pPr>
      <w:r>
        <w:rPr>
          <w:rFonts w:hint="eastAsia" w:ascii="Times New Roman" w:hAnsi="Times New Roman" w:eastAsia="宋体" w:cs="Times New Roman"/>
          <w:b/>
          <w:i w:val="0"/>
          <w:iCs w:val="0"/>
          <w:color w:val="auto"/>
          <w:sz w:val="24"/>
          <w:highlight w:val="none"/>
        </w:rPr>
        <w:t>附件</w:t>
      </w:r>
      <w:r>
        <w:rPr>
          <w:rFonts w:hint="eastAsia" w:ascii="Times New Roman" w:hAnsi="Times New Roman" w:eastAsia="宋体" w:cs="Times New Roman"/>
          <w:b/>
          <w:i w:val="0"/>
          <w:iCs w:val="0"/>
          <w:color w:val="auto"/>
          <w:sz w:val="24"/>
          <w:highlight w:val="none"/>
          <w:lang w:val="en-US" w:eastAsia="zh-CN"/>
        </w:rPr>
        <w:t>4</w:t>
      </w:r>
      <w:r>
        <w:rPr>
          <w:rFonts w:hint="eastAsia" w:ascii="Times New Roman" w:hAnsi="Times New Roman" w:eastAsia="宋体" w:cs="Times New Roman"/>
          <w:b/>
          <w:i w:val="0"/>
          <w:iCs w:val="0"/>
          <w:color w:val="auto"/>
          <w:sz w:val="24"/>
          <w:highlight w:val="none"/>
        </w:rPr>
        <w:t>：</w:t>
      </w:r>
      <w:r>
        <w:rPr>
          <w:rFonts w:hint="eastAsia" w:ascii="Times New Roman" w:hAnsi="Times New Roman" w:cs="Times New Roman"/>
          <w:b/>
          <w:i w:val="0"/>
          <w:iCs w:val="0"/>
          <w:color w:val="auto"/>
          <w:sz w:val="24"/>
          <w:highlight w:val="none"/>
          <w:lang w:eastAsia="zh-CN"/>
        </w:rPr>
        <w:t>评审办法</w:t>
      </w:r>
      <w:r>
        <w:rPr>
          <w:rFonts w:hint="eastAsia" w:ascii="Times New Roman" w:hAnsi="Times New Roman" w:eastAsia="宋体" w:cs="Times New Roman"/>
          <w:b/>
          <w:i w:val="0"/>
          <w:iCs w:val="0"/>
          <w:color w:val="auto"/>
          <w:sz w:val="24"/>
          <w:highlight w:val="none"/>
          <w:lang w:eastAsia="zh-CN"/>
        </w:rPr>
        <w:t>（</w:t>
      </w:r>
      <w:r>
        <w:rPr>
          <w:rFonts w:hint="eastAsia" w:ascii="Times New Roman" w:hAnsi="Times New Roman" w:eastAsia="宋体" w:cs="Times New Roman"/>
          <w:b/>
          <w:i w:val="0"/>
          <w:iCs w:val="0"/>
          <w:color w:val="auto"/>
          <w:sz w:val="24"/>
          <w:highlight w:val="none"/>
          <w:lang w:val="en-US" w:eastAsia="zh-CN"/>
        </w:rPr>
        <w:t>综合评估法</w:t>
      </w:r>
      <w:r>
        <w:rPr>
          <w:rFonts w:hint="eastAsia" w:ascii="Times New Roman" w:hAnsi="Times New Roman" w:eastAsia="宋体" w:cs="Times New Roman"/>
          <w:b/>
          <w:i w:val="0"/>
          <w:iCs w:val="0"/>
          <w:color w:val="auto"/>
          <w:sz w:val="24"/>
          <w:highlight w:val="none"/>
          <w:lang w:eastAsia="zh-CN"/>
        </w:rPr>
        <w:t>）</w:t>
      </w:r>
    </w:p>
    <w:p>
      <w:pPr>
        <w:outlineLvl w:val="9"/>
        <w:rPr>
          <w:rFonts w:hint="eastAsia" w:ascii="黑体" w:hAnsi="黑体" w:eastAsia="黑体" w:cs="黑体"/>
          <w:i w:val="0"/>
          <w:iCs w:val="0"/>
          <w:color w:val="auto"/>
          <w:sz w:val="24"/>
          <w:szCs w:val="24"/>
          <w:highlight w:val="none"/>
        </w:rPr>
      </w:pPr>
      <w:bookmarkStart w:id="56" w:name="_Toc28330"/>
      <w:bookmarkStart w:id="57" w:name="_Toc16844"/>
      <w:bookmarkStart w:id="58" w:name="_Toc10625"/>
      <w:bookmarkStart w:id="59" w:name="_Toc31434"/>
      <w:bookmarkStart w:id="60" w:name="_Toc19322"/>
      <w:bookmarkStart w:id="61" w:name="_Toc21903"/>
    </w:p>
    <w:p>
      <w:pPr>
        <w:outlineLvl w:val="9"/>
        <w:rPr>
          <w:rFonts w:hint="eastAsia" w:ascii="黑体" w:hAnsi="黑体" w:eastAsia="黑体" w:cs="黑体"/>
          <w:i w:val="0"/>
          <w:iCs w:val="0"/>
          <w:color w:val="auto"/>
          <w:sz w:val="28"/>
          <w:szCs w:val="28"/>
          <w:highlight w:val="none"/>
        </w:rPr>
      </w:pPr>
      <w:r>
        <w:rPr>
          <w:rFonts w:hint="eastAsia" w:ascii="黑体" w:hAnsi="黑体" w:eastAsia="黑体" w:cs="黑体"/>
          <w:i w:val="0"/>
          <w:iCs w:val="0"/>
          <w:color w:val="auto"/>
          <w:sz w:val="28"/>
          <w:szCs w:val="28"/>
          <w:highlight w:val="none"/>
          <w:lang w:eastAsia="zh-CN"/>
        </w:rPr>
        <w:t>评审办法</w:t>
      </w:r>
      <w:r>
        <w:rPr>
          <w:rFonts w:hint="eastAsia" w:ascii="黑体" w:hAnsi="黑体" w:eastAsia="黑体" w:cs="黑体"/>
          <w:i w:val="0"/>
          <w:iCs w:val="0"/>
          <w:color w:val="auto"/>
          <w:sz w:val="28"/>
          <w:szCs w:val="28"/>
          <w:highlight w:val="none"/>
        </w:rPr>
        <w:t>前附表</w:t>
      </w:r>
      <w:bookmarkEnd w:id="56"/>
      <w:bookmarkEnd w:id="57"/>
      <w:bookmarkEnd w:id="58"/>
      <w:bookmarkEnd w:id="59"/>
      <w:bookmarkEnd w:id="60"/>
      <w:bookmarkEnd w:id="61"/>
    </w:p>
    <w:p>
      <w:pPr>
        <w:adjustRightInd w:val="0"/>
        <w:snapToGrid w:val="0"/>
        <w:spacing w:line="360" w:lineRule="auto"/>
        <w:jc w:val="left"/>
        <w:outlineLvl w:val="9"/>
        <w:rPr>
          <w:rFonts w:hint="default" w:ascii="宋体" w:hAnsi="宋体" w:eastAsia="宋体" w:cs="Times New Roman"/>
          <w:b w:val="0"/>
          <w:bCs w:val="0"/>
          <w:i w:val="0"/>
          <w:iCs w:val="0"/>
          <w:color w:val="auto"/>
          <w:szCs w:val="21"/>
          <w:highlight w:val="none"/>
          <w:lang w:val="en-US" w:eastAsia="zh-CN"/>
        </w:rPr>
      </w:pPr>
      <w:r>
        <w:rPr>
          <w:rFonts w:hint="eastAsia" w:ascii="宋体" w:hAnsi="宋体" w:eastAsia="宋体" w:cs="Times New Roman"/>
          <w:b w:val="0"/>
          <w:bCs w:val="0"/>
          <w:i w:val="0"/>
          <w:iCs w:val="0"/>
          <w:color w:val="auto"/>
          <w:szCs w:val="21"/>
          <w:highlight w:val="none"/>
          <w:lang w:val="en-US" w:eastAsia="zh-CN"/>
        </w:rPr>
        <w:t>（1）初步评审标准</w:t>
      </w:r>
    </w:p>
    <w:p>
      <w:pPr>
        <w:pStyle w:val="21"/>
        <w:spacing w:line="240" w:lineRule="auto"/>
        <w:ind w:firstLine="240"/>
        <w:outlineLvl w:val="9"/>
        <w:rPr>
          <w:rFonts w:hint="eastAsia" w:ascii="宋体" w:hAnsi="宋体" w:eastAsia="宋体" w:cs="宋体"/>
          <w:b/>
          <w:bCs/>
          <w:i w:val="0"/>
          <w:iCs w:val="0"/>
          <w:color w:val="auto"/>
          <w:sz w:val="21"/>
          <w:szCs w:val="21"/>
          <w:highlight w:val="none"/>
          <w:lang w:val="en-US" w:eastAsia="zh-CN"/>
        </w:rPr>
      </w:pPr>
      <w:bookmarkStart w:id="62" w:name="PO_39F376A24041489CB2563E0AEB1A6B80"/>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1701"/>
        <w:gridCol w:w="59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shd w:val="clear" w:color="auto" w:fill="FFFFFF"/>
            <w:vAlign w:val="center"/>
          </w:tcPr>
          <w:p>
            <w:pPr>
              <w:jc w:val="center"/>
            </w:pPr>
            <w:r>
              <w:rPr>
                <w:b/>
              </w:rPr>
              <w:t>序号</w:t>
            </w:r>
          </w:p>
        </w:tc>
        <w:tc>
          <w:tcPr>
            <w:tcW w:w="1701" w:type="dxa"/>
            <w:shd w:val="clear" w:color="auto" w:fill="FFFFFF"/>
            <w:vAlign w:val="center"/>
          </w:tcPr>
          <w:p>
            <w:pPr>
              <w:jc w:val="center"/>
            </w:pPr>
            <w:r>
              <w:rPr>
                <w:b/>
              </w:rPr>
              <w:t>初审要素</w:t>
            </w:r>
          </w:p>
        </w:tc>
        <w:tc>
          <w:tcPr>
            <w:tcW w:w="5953" w:type="dxa"/>
            <w:shd w:val="clear" w:color="auto" w:fill="FFFFFF"/>
            <w:vAlign w:val="center"/>
          </w:tcPr>
          <w:p>
            <w:pPr>
              <w:jc w:val="center"/>
            </w:pPr>
            <w:r>
              <w:rPr>
                <w:b/>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51" w:type="dxa"/>
            <w:shd w:val="clear" w:color="auto" w:fill="FFFFFF"/>
            <w:vAlign w:val="center"/>
          </w:tcPr>
          <w:p>
            <w:pPr>
              <w:jc w:val="center"/>
            </w:pPr>
            <w:r>
              <w:t>1</w:t>
            </w:r>
          </w:p>
        </w:tc>
        <w:tc>
          <w:tcPr>
            <w:tcW w:w="1701" w:type="dxa"/>
            <w:shd w:val="clear" w:color="auto" w:fill="FFFFFF"/>
            <w:vAlign w:val="center"/>
          </w:tcPr>
          <w:p>
            <w:pPr>
              <w:jc w:val="left"/>
            </w:pPr>
            <w:r>
              <w:t>计算机硬件特征码审查</w:t>
            </w:r>
          </w:p>
        </w:tc>
        <w:tc>
          <w:tcPr>
            <w:tcW w:w="5953" w:type="dxa"/>
            <w:shd w:val="clear" w:color="auto" w:fill="FFFFFF"/>
            <w:vAlign w:val="center"/>
          </w:tcPr>
          <w:p>
            <w:pPr>
              <w:jc w:val="left"/>
            </w:pPr>
            <w:r>
              <w:t>招标： （1）与其他投标人下载招标文件的IP地址、投标文件的CPU序列号及硬盘序列号三者同时一致； （2）与其他投标人上传投标文件的IP地址、投标文件的CPU序列号及硬盘序列号三者同时一致； （3）与其他投标人的投标文件网卡MAC地址一致。  如采购项目最小独立评审单元（标的/标包/标段）出现上述任一情形，将否决投标人响应该采购项目及同一采购项目后续采购的全部投标文件。 非招标： （1）与其他供应商下载采购文件的IP地址、报价文件的CPU序列号及硬盘序列号三者同时一致； （2）与其他供应商上传报价文件的IP地址、报价文件的CPU序列号及硬盘序列号三者同时一致； （3）与其他供应商的报价文件网卡MAC地址一致。  如采购项目最小独立评审单元（标的/标包/标段）出现上述任一情形，将否决供应商响应该采购项目及同一采购项目后续采购的全部报价文件。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51" w:type="dxa"/>
            <w:shd w:val="clear" w:color="auto" w:fill="FFFFFF"/>
            <w:vAlign w:val="center"/>
          </w:tcPr>
          <w:p>
            <w:pPr>
              <w:jc w:val="center"/>
            </w:pPr>
            <w:r>
              <w:t>2</w:t>
            </w:r>
          </w:p>
        </w:tc>
        <w:tc>
          <w:tcPr>
            <w:tcW w:w="1701" w:type="dxa"/>
            <w:shd w:val="clear" w:color="auto" w:fill="FFFFFF"/>
            <w:vAlign w:val="center"/>
          </w:tcPr>
          <w:p>
            <w:pPr>
              <w:jc w:val="left"/>
            </w:pPr>
            <w:r>
              <w:t>报价人名称</w:t>
            </w:r>
          </w:p>
        </w:tc>
        <w:tc>
          <w:tcPr>
            <w:tcW w:w="5953" w:type="dxa"/>
            <w:shd w:val="clear" w:color="auto" w:fill="FFFFFF"/>
            <w:vAlign w:val="center"/>
          </w:tcPr>
          <w:p>
            <w:pPr>
              <w:jc w:val="left"/>
            </w:pPr>
            <w:r>
              <w:t>与营业执照（或事业法人登记证或执业许可证等）、资质证书（如有）一致。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51" w:type="dxa"/>
            <w:shd w:val="clear" w:color="auto" w:fill="FFFFFF"/>
            <w:vAlign w:val="center"/>
          </w:tcPr>
          <w:p>
            <w:pPr>
              <w:jc w:val="center"/>
            </w:pPr>
            <w:r>
              <w:t>3</w:t>
            </w:r>
          </w:p>
        </w:tc>
        <w:tc>
          <w:tcPr>
            <w:tcW w:w="1701" w:type="dxa"/>
            <w:shd w:val="clear" w:color="auto" w:fill="FFFFFF"/>
            <w:vAlign w:val="center"/>
          </w:tcPr>
          <w:p>
            <w:pPr>
              <w:jc w:val="left"/>
            </w:pPr>
            <w:r>
              <w:t>响应文件签字盖章</w:t>
            </w:r>
          </w:p>
        </w:tc>
        <w:tc>
          <w:tcPr>
            <w:tcW w:w="5953" w:type="dxa"/>
            <w:shd w:val="clear" w:color="auto" w:fill="FFFFFF"/>
            <w:vAlign w:val="center"/>
          </w:tcPr>
          <w:p>
            <w:pPr>
              <w:jc w:val="left"/>
            </w:pPr>
            <w:r>
              <w:t>响应文件有法定代表人或者其委托的代理人签字的；如由其委托的代理人签字的，应附有效的法定代表人授权委托书的；响应文件加盖单位公章加盖单位公章（含电子签章）或投标专用章，使用投标专用章的应按采购文件格式提供有效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51" w:type="dxa"/>
            <w:shd w:val="clear" w:color="auto" w:fill="FFFFFF"/>
            <w:vAlign w:val="center"/>
          </w:tcPr>
          <w:p>
            <w:pPr>
              <w:jc w:val="center"/>
            </w:pPr>
            <w:r>
              <w:t>4</w:t>
            </w:r>
          </w:p>
        </w:tc>
        <w:tc>
          <w:tcPr>
            <w:tcW w:w="1701" w:type="dxa"/>
            <w:shd w:val="clear" w:color="auto" w:fill="FFFFFF"/>
            <w:vAlign w:val="center"/>
          </w:tcPr>
          <w:p>
            <w:pPr>
              <w:jc w:val="left"/>
            </w:pPr>
            <w:r>
              <w:t>响应文件格式</w:t>
            </w:r>
          </w:p>
        </w:tc>
        <w:tc>
          <w:tcPr>
            <w:tcW w:w="5953" w:type="dxa"/>
            <w:shd w:val="clear" w:color="auto" w:fill="FFFFFF"/>
            <w:vAlign w:val="center"/>
          </w:tcPr>
          <w:p>
            <w:pPr>
              <w:jc w:val="left"/>
            </w:pPr>
            <w:r>
              <w:t>不存在下列任何一种情况：</w:t>
            </w:r>
          </w:p>
          <w:p>
            <w:pPr>
              <w:jc w:val="left"/>
            </w:pPr>
            <w:r>
              <w:t>1.报价函未按采购文件规定的格式。</w:t>
            </w:r>
          </w:p>
          <w:p>
            <w:pPr>
              <w:jc w:val="left"/>
            </w:pPr>
            <w:r>
              <w:t>2.响应文件不按照采购文件要求编制导致关键信息错误或者缺失。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51" w:type="dxa"/>
            <w:shd w:val="clear" w:color="auto" w:fill="FFFFFF"/>
            <w:vAlign w:val="center"/>
          </w:tcPr>
          <w:p>
            <w:pPr>
              <w:jc w:val="center"/>
            </w:pPr>
            <w:r>
              <w:t>5</w:t>
            </w:r>
          </w:p>
        </w:tc>
        <w:tc>
          <w:tcPr>
            <w:tcW w:w="1701" w:type="dxa"/>
            <w:shd w:val="clear" w:color="auto" w:fill="FFFFFF"/>
            <w:vAlign w:val="center"/>
          </w:tcPr>
          <w:p>
            <w:pPr>
              <w:jc w:val="left"/>
            </w:pPr>
            <w:r>
              <w:t>报价唯一且有效</w:t>
            </w:r>
          </w:p>
        </w:tc>
        <w:tc>
          <w:tcPr>
            <w:tcW w:w="5953" w:type="dxa"/>
            <w:shd w:val="clear" w:color="auto" w:fill="FFFFFF"/>
            <w:vAlign w:val="center"/>
          </w:tcPr>
          <w:p>
            <w:pPr>
              <w:jc w:val="left"/>
            </w:pPr>
            <w:r>
              <w:t>1.报价函只能有一个有效报价（按采购文件规定允许提交备选投标方案的除外），且符合报价要求。</w:t>
            </w:r>
          </w:p>
          <w:p>
            <w:pPr>
              <w:jc w:val="left"/>
            </w:pPr>
            <w:r>
              <w:t>2.按要求提供成本分析报告（如有）。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51" w:type="dxa"/>
            <w:shd w:val="clear" w:color="auto" w:fill="FFFFFF"/>
            <w:vAlign w:val="center"/>
          </w:tcPr>
          <w:p>
            <w:pPr>
              <w:jc w:val="center"/>
            </w:pPr>
            <w:r>
              <w:t>6</w:t>
            </w:r>
          </w:p>
        </w:tc>
        <w:tc>
          <w:tcPr>
            <w:tcW w:w="1701" w:type="dxa"/>
            <w:shd w:val="clear" w:color="auto" w:fill="FFFFFF"/>
            <w:vAlign w:val="center"/>
          </w:tcPr>
          <w:p>
            <w:pPr>
              <w:jc w:val="left"/>
            </w:pPr>
            <w:r>
              <w:t>资格要求</w:t>
            </w:r>
          </w:p>
        </w:tc>
        <w:tc>
          <w:tcPr>
            <w:tcW w:w="5953" w:type="dxa"/>
            <w:shd w:val="clear" w:color="auto" w:fill="FFFFFF"/>
            <w:vAlign w:val="center"/>
          </w:tcPr>
          <w:p>
            <w:pPr>
              <w:jc w:val="left"/>
            </w:pPr>
            <w:r>
              <w:t>符合本项目所列的“通用资格及专用资格（如有）”要求。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51" w:type="dxa"/>
            <w:shd w:val="clear" w:color="auto" w:fill="FFFFFF"/>
            <w:vAlign w:val="center"/>
          </w:tcPr>
          <w:p>
            <w:pPr>
              <w:jc w:val="center"/>
            </w:pPr>
            <w:r>
              <w:t>7</w:t>
            </w:r>
          </w:p>
        </w:tc>
        <w:tc>
          <w:tcPr>
            <w:tcW w:w="1701" w:type="dxa"/>
            <w:shd w:val="clear" w:color="auto" w:fill="FFFFFF"/>
            <w:vAlign w:val="center"/>
          </w:tcPr>
          <w:p>
            <w:pPr>
              <w:jc w:val="left"/>
            </w:pPr>
            <w:r>
              <w:t>报价人不得存在的情形</w:t>
            </w:r>
          </w:p>
        </w:tc>
        <w:tc>
          <w:tcPr>
            <w:tcW w:w="5953" w:type="dxa"/>
            <w:shd w:val="clear" w:color="auto" w:fill="FFFFFF"/>
            <w:vAlign w:val="center"/>
          </w:tcPr>
          <w:p>
            <w:pPr>
              <w:jc w:val="left"/>
            </w:pPr>
            <w:r>
              <w:t>（1）属于《中华人民共和国招标投标法》、《中华人民共和国招标投标法实施条例》等法律法规规章规定的应当否决投标或投标无效的情形的；</w:t>
            </w:r>
          </w:p>
          <w:p>
            <w:pPr>
              <w:jc w:val="left"/>
            </w:pPr>
            <w:r>
              <w:t>（2）与本标段/标包的其他报价人为同一个单位负责人；</w:t>
            </w:r>
          </w:p>
          <w:p>
            <w:pPr>
              <w:jc w:val="left"/>
            </w:pPr>
            <w:r>
              <w:t>（3）与本标段/标包的其他报价人存在控股、管理关系。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51" w:type="dxa"/>
            <w:shd w:val="clear" w:color="auto" w:fill="FFFFFF"/>
            <w:vAlign w:val="center"/>
          </w:tcPr>
          <w:p>
            <w:pPr>
              <w:jc w:val="center"/>
            </w:pPr>
            <w:r>
              <w:t>8</w:t>
            </w:r>
          </w:p>
        </w:tc>
        <w:tc>
          <w:tcPr>
            <w:tcW w:w="1701" w:type="dxa"/>
            <w:shd w:val="clear" w:color="auto" w:fill="FFFFFF"/>
            <w:vAlign w:val="center"/>
          </w:tcPr>
          <w:p>
            <w:pPr>
              <w:jc w:val="left"/>
            </w:pPr>
            <w:r>
              <w:t>服务期</w:t>
            </w:r>
          </w:p>
        </w:tc>
        <w:tc>
          <w:tcPr>
            <w:tcW w:w="5953" w:type="dxa"/>
            <w:shd w:val="clear" w:color="auto" w:fill="FFFFFF"/>
            <w:vAlign w:val="center"/>
          </w:tcPr>
          <w:p>
            <w:pPr>
              <w:jc w:val="left"/>
            </w:pPr>
            <w:r>
              <w:t>工期（或服务期、交货期）符合采购文件要求。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51" w:type="dxa"/>
            <w:shd w:val="clear" w:color="auto" w:fill="FFFFFF"/>
            <w:vAlign w:val="center"/>
          </w:tcPr>
          <w:p>
            <w:pPr>
              <w:jc w:val="center"/>
            </w:pPr>
            <w:r>
              <w:t>9</w:t>
            </w:r>
          </w:p>
        </w:tc>
        <w:tc>
          <w:tcPr>
            <w:tcW w:w="1701" w:type="dxa"/>
            <w:shd w:val="clear" w:color="auto" w:fill="FFFFFF"/>
            <w:vAlign w:val="center"/>
          </w:tcPr>
          <w:p>
            <w:pPr>
              <w:jc w:val="left"/>
            </w:pPr>
            <w:r>
              <w:t>质量要求</w:t>
            </w:r>
          </w:p>
        </w:tc>
        <w:tc>
          <w:tcPr>
            <w:tcW w:w="5953" w:type="dxa"/>
            <w:shd w:val="clear" w:color="auto" w:fill="FFFFFF"/>
            <w:vAlign w:val="center"/>
          </w:tcPr>
          <w:p>
            <w:pPr>
              <w:jc w:val="left"/>
            </w:pPr>
            <w:r>
              <w:t>标的物质量符合采购文件要求。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51" w:type="dxa"/>
            <w:shd w:val="clear" w:color="auto" w:fill="FFFFFF"/>
            <w:vAlign w:val="center"/>
          </w:tcPr>
          <w:p>
            <w:pPr>
              <w:jc w:val="center"/>
            </w:pPr>
            <w:r>
              <w:t>10</w:t>
            </w:r>
          </w:p>
        </w:tc>
        <w:tc>
          <w:tcPr>
            <w:tcW w:w="1701" w:type="dxa"/>
            <w:shd w:val="clear" w:color="auto" w:fill="FFFFFF"/>
            <w:vAlign w:val="center"/>
          </w:tcPr>
          <w:p>
            <w:pPr>
              <w:jc w:val="left"/>
            </w:pPr>
            <w:r>
              <w:t>响应内容</w:t>
            </w:r>
          </w:p>
        </w:tc>
        <w:tc>
          <w:tcPr>
            <w:tcW w:w="5953" w:type="dxa"/>
            <w:shd w:val="clear" w:color="auto" w:fill="FFFFFF"/>
            <w:vAlign w:val="center"/>
          </w:tcPr>
          <w:p>
            <w:pPr>
              <w:jc w:val="left"/>
            </w:pPr>
            <w:r>
              <w:t>对采购文件规定的标的物内容、服务范围、质量及其他实际性要求没有提出偏差的，或提出偏差但优于采购文件要求的。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51" w:type="dxa"/>
            <w:shd w:val="clear" w:color="auto" w:fill="FFFFFF"/>
            <w:vAlign w:val="center"/>
          </w:tcPr>
          <w:p>
            <w:pPr>
              <w:jc w:val="center"/>
            </w:pPr>
            <w:r>
              <w:t>11</w:t>
            </w:r>
          </w:p>
        </w:tc>
        <w:tc>
          <w:tcPr>
            <w:tcW w:w="1701" w:type="dxa"/>
            <w:shd w:val="clear" w:color="auto" w:fill="FFFFFF"/>
            <w:vAlign w:val="center"/>
          </w:tcPr>
          <w:p>
            <w:pPr>
              <w:jc w:val="left"/>
            </w:pPr>
            <w:r>
              <w:t>报价有效期</w:t>
            </w:r>
          </w:p>
        </w:tc>
        <w:tc>
          <w:tcPr>
            <w:tcW w:w="5953" w:type="dxa"/>
            <w:shd w:val="clear" w:color="auto" w:fill="FFFFFF"/>
            <w:vAlign w:val="center"/>
          </w:tcPr>
          <w:p>
            <w:pPr>
              <w:jc w:val="left"/>
            </w:pPr>
            <w:r>
              <w:t>符合采购文件要求。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51" w:type="dxa"/>
            <w:shd w:val="clear" w:color="auto" w:fill="FFFFFF"/>
            <w:vAlign w:val="center"/>
          </w:tcPr>
          <w:p>
            <w:pPr>
              <w:jc w:val="center"/>
            </w:pPr>
            <w:r>
              <w:t>12</w:t>
            </w:r>
          </w:p>
        </w:tc>
        <w:tc>
          <w:tcPr>
            <w:tcW w:w="1701" w:type="dxa"/>
            <w:shd w:val="clear" w:color="auto" w:fill="FFFFFF"/>
            <w:vAlign w:val="center"/>
          </w:tcPr>
          <w:p>
            <w:pPr>
              <w:jc w:val="left"/>
            </w:pPr>
            <w:r>
              <w:t>其他</w:t>
            </w:r>
          </w:p>
        </w:tc>
        <w:tc>
          <w:tcPr>
            <w:tcW w:w="5953" w:type="dxa"/>
            <w:shd w:val="clear" w:color="auto" w:fill="FFFFFF"/>
            <w:vAlign w:val="center"/>
          </w:tcPr>
          <w:p>
            <w:pPr>
              <w:jc w:val="left"/>
            </w:pPr>
            <w:r>
              <w:t>不存在下列任何情况之一：</w:t>
            </w:r>
          </w:p>
          <w:p>
            <w:pPr>
              <w:jc w:val="left"/>
            </w:pPr>
            <w:r>
              <w:t>（1）响应文件、样品（如有）没有对采购文件的实质性要求和条件作出响应，或者对采购文件的偏差超出采购文件规定的偏差范围或最高项数；</w:t>
            </w:r>
          </w:p>
          <w:p>
            <w:pPr>
              <w:jc w:val="left"/>
            </w:pPr>
            <w:r>
              <w:t>（2）有串通投标、弄虚作假、行贿等违法行为。</w:t>
            </w:r>
          </w:p>
          <w:p>
            <w:pPr>
              <w:jc w:val="left"/>
            </w:pPr>
            <w:r>
              <w:t>（3）不按采购工作组要求澄清、说明或补正的。</w:t>
            </w:r>
          </w:p>
          <w:p>
            <w:pPr>
              <w:jc w:val="left"/>
            </w:pPr>
            <w:r>
              <w:t>（4）采购文件规定的其他否决投标的情形。</w:t>
            </w:r>
          </w:p>
        </w:tc>
      </w:tr>
      <w:bookmarkEnd w:id="62"/>
    </w:tbl>
    <w:p/>
    <w:p>
      <w:pPr>
        <w:pStyle w:val="21"/>
        <w:numPr>
          <w:ilvl w:val="0"/>
          <w:numId w:val="2"/>
        </w:numPr>
        <w:spacing w:line="240" w:lineRule="auto"/>
        <w:ind w:firstLine="240"/>
        <w:outlineLvl w:val="9"/>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详细评审标准</w:t>
      </w:r>
    </w:p>
    <w:p>
      <w:pPr>
        <w:pStyle w:val="21"/>
        <w:numPr>
          <w:ilvl w:val="0"/>
          <w:numId w:val="0"/>
        </w:numPr>
        <w:spacing w:line="240" w:lineRule="auto"/>
        <w:outlineLvl w:val="9"/>
        <w:rPr>
          <w:rFonts w:hint="default" w:ascii="宋体" w:hAnsi="宋体" w:eastAsia="宋体" w:cs="宋体"/>
          <w:b w:val="0"/>
          <w:bCs w:val="0"/>
          <w:i w:val="0"/>
          <w:iCs w:val="0"/>
          <w:color w:val="auto"/>
          <w:sz w:val="21"/>
          <w:szCs w:val="21"/>
          <w:highlight w:val="none"/>
          <w:lang w:val="en-US" w:eastAsia="zh-CN"/>
        </w:rPr>
      </w:pPr>
      <w:r>
        <w:rPr>
          <w:rFonts w:hint="eastAsia" w:ascii="宋体" w:hAnsi="宋体" w:cs="宋体"/>
          <w:b w:val="0"/>
          <w:bCs w:val="0"/>
          <w:i w:val="0"/>
          <w:iCs w:val="0"/>
          <w:color w:val="auto"/>
          <w:sz w:val="21"/>
          <w:szCs w:val="21"/>
          <w:highlight w:val="none"/>
          <w:lang w:val="en-US" w:eastAsia="zh-CN"/>
        </w:rPr>
        <w:t xml:space="preserve">  </w:t>
      </w:r>
      <w:bookmarkStart w:id="63" w:name="PO_638CE53E34A141D49CDF3F9AE23E9E16"/>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588"/>
        <w:gridCol w:w="680"/>
        <w:gridCol w:w="1134"/>
        <w:gridCol w:w="1701"/>
        <w:gridCol w:w="2268"/>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5" w:type="dxa"/>
            <w:gridSpan w:val="7"/>
            <w:vAlign w:val="center"/>
          </w:tcPr>
          <w:p>
            <w:pPr>
              <w:spacing w:line="400" w:lineRule="exact"/>
            </w:pPr>
            <w:r>
              <w:t>下列评审标准适用的标包：2025-2026年综合测评系统技术服务支持[2025-2026年综合测评系统技术服务支持]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68" w:type="dxa"/>
            <w:gridSpan w:val="2"/>
            <w:vAlign w:val="center"/>
          </w:tcPr>
          <w:p>
            <w:pPr>
              <w:spacing w:line="400" w:lineRule="exact"/>
              <w:jc w:val="center"/>
            </w:pPr>
            <w:r>
              <w:rPr>
                <w:b/>
              </w:rPr>
              <w:t>条款号</w:t>
            </w:r>
          </w:p>
        </w:tc>
        <w:tc>
          <w:tcPr>
            <w:tcW w:w="680" w:type="dxa"/>
            <w:vAlign w:val="center"/>
          </w:tcPr>
          <w:p>
            <w:pPr>
              <w:spacing w:line="400" w:lineRule="exact"/>
              <w:jc w:val="center"/>
            </w:pPr>
            <w:r>
              <w:rPr>
                <w:b/>
              </w:rPr>
              <w:t>序号</w:t>
            </w:r>
          </w:p>
        </w:tc>
        <w:tc>
          <w:tcPr>
            <w:tcW w:w="1134" w:type="dxa"/>
            <w:vAlign w:val="center"/>
          </w:tcPr>
          <w:p>
            <w:pPr>
              <w:spacing w:line="400" w:lineRule="exact"/>
              <w:jc w:val="center"/>
            </w:pPr>
            <w:r>
              <w:rPr>
                <w:b/>
              </w:rPr>
              <w:t>评分因素</w:t>
            </w:r>
          </w:p>
        </w:tc>
        <w:tc>
          <w:tcPr>
            <w:tcW w:w="1701" w:type="dxa"/>
            <w:vAlign w:val="center"/>
          </w:tcPr>
          <w:p>
            <w:pPr>
              <w:spacing w:line="400" w:lineRule="exact"/>
              <w:jc w:val="center"/>
            </w:pPr>
            <w:r>
              <w:rPr>
                <w:b/>
              </w:rPr>
              <w:t>详细评审项</w:t>
            </w:r>
          </w:p>
        </w:tc>
        <w:tc>
          <w:tcPr>
            <w:tcW w:w="2268" w:type="dxa"/>
            <w:vAlign w:val="center"/>
          </w:tcPr>
          <w:p>
            <w:pPr>
              <w:spacing w:line="400" w:lineRule="exact"/>
              <w:jc w:val="center"/>
            </w:pPr>
            <w:r>
              <w:rPr>
                <w:b/>
              </w:rPr>
              <w:t>详细评审分项要素</w:t>
            </w:r>
          </w:p>
        </w:tc>
        <w:tc>
          <w:tcPr>
            <w:tcW w:w="1134" w:type="dxa"/>
            <w:vAlign w:val="center"/>
          </w:tcPr>
          <w:p>
            <w:pPr>
              <w:spacing w:line="400" w:lineRule="exact"/>
              <w:jc w:val="center"/>
            </w:pPr>
            <w:r>
              <w:rPr>
                <w:b/>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restart"/>
            <w:vAlign w:val="center"/>
          </w:tcPr>
          <w:p>
            <w:pPr>
              <w:spacing w:line="400" w:lineRule="exact"/>
              <w:jc w:val="center"/>
            </w:pPr>
            <w:r>
              <w:t>1（1）</w:t>
            </w:r>
          </w:p>
        </w:tc>
        <w:tc>
          <w:tcPr>
            <w:tcW w:w="1588" w:type="dxa"/>
            <w:vMerge w:val="restart"/>
            <w:vAlign w:val="center"/>
          </w:tcPr>
          <w:p>
            <w:pPr>
              <w:spacing w:line="400" w:lineRule="exact"/>
              <w:jc w:val="center"/>
            </w:pPr>
            <w:r>
              <w:t>商务评分 标准</w:t>
            </w:r>
          </w:p>
        </w:tc>
        <w:tc>
          <w:tcPr>
            <w:tcW w:w="680" w:type="dxa"/>
            <w:vAlign w:val="center"/>
          </w:tcPr>
          <w:p>
            <w:pPr>
              <w:spacing w:line="400" w:lineRule="exact"/>
              <w:jc w:val="center"/>
            </w:pPr>
            <w:r>
              <w:t>1</w:t>
            </w:r>
          </w:p>
        </w:tc>
        <w:tc>
          <w:tcPr>
            <w:tcW w:w="1134" w:type="dxa"/>
            <w:vAlign w:val="center"/>
          </w:tcPr>
          <w:p>
            <w:pPr>
              <w:spacing w:line="400" w:lineRule="exact"/>
              <w:jc w:val="center"/>
            </w:pPr>
            <w:r>
              <w:t>投标文件总体评价</w:t>
            </w:r>
          </w:p>
        </w:tc>
        <w:tc>
          <w:tcPr>
            <w:tcW w:w="1701" w:type="dxa"/>
            <w:vAlign w:val="center"/>
          </w:tcPr>
          <w:p>
            <w:pPr>
              <w:spacing w:line="400" w:lineRule="exact"/>
              <w:jc w:val="center"/>
            </w:pPr>
            <w:r>
              <w:t>投标文件总体评价</w:t>
            </w:r>
          </w:p>
        </w:tc>
        <w:tc>
          <w:tcPr>
            <w:tcW w:w="2268" w:type="dxa"/>
            <w:vAlign w:val="center"/>
          </w:tcPr>
          <w:p>
            <w:pPr>
              <w:spacing w:line="400" w:lineRule="exact"/>
              <w:jc w:val="left"/>
            </w:pPr>
            <w:r>
              <w:t>投标文件总体评价（10分）</w:t>
            </w:r>
          </w:p>
          <w:p>
            <w:pPr>
              <w:spacing w:line="400" w:lineRule="exact"/>
              <w:jc w:val="left"/>
            </w:pPr>
            <w:r>
              <w:t>横向比较各投标人：</w:t>
            </w:r>
          </w:p>
          <w:p>
            <w:pPr>
              <w:spacing w:line="400" w:lineRule="exact"/>
              <w:jc w:val="left"/>
            </w:pPr>
            <w:r>
              <w:t>A（8-10分）：编制条理清晰，结构内容严密，叙述严谨，文字精炼准确，内容结合项目实际，针对性强；</w:t>
            </w:r>
          </w:p>
          <w:p>
            <w:pPr>
              <w:spacing w:line="400" w:lineRule="exact"/>
              <w:jc w:val="left"/>
            </w:pPr>
            <w:r>
              <w:t>B（5-7分）：编制条理不够清晰，结构内容不够严密，叙述不够严谨，文字不够精炼准确，不够结合实际，针对性不强；</w:t>
            </w:r>
          </w:p>
          <w:p>
            <w:pPr>
              <w:spacing w:line="400" w:lineRule="exact"/>
              <w:jc w:val="left"/>
            </w:pPr>
            <w:r>
              <w:t>C（0-4分）：编制条例一般，结构、内容不严密，叙述完全照抄招标文件内容，文字不准确，出现错漏。</w:t>
            </w:r>
          </w:p>
        </w:tc>
        <w:tc>
          <w:tcPr>
            <w:tcW w:w="1134" w:type="dxa"/>
            <w:vAlign w:val="center"/>
          </w:tcPr>
          <w:p>
            <w:pPr>
              <w:spacing w:line="400" w:lineRule="exact"/>
              <w:jc w:val="center"/>
            </w:pPr>
            <w: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2</w:t>
            </w:r>
          </w:p>
        </w:tc>
        <w:tc>
          <w:tcPr>
            <w:tcW w:w="1134" w:type="dxa"/>
            <w:vAlign w:val="center"/>
          </w:tcPr>
          <w:p>
            <w:pPr>
              <w:spacing w:line="400" w:lineRule="exact"/>
              <w:jc w:val="center"/>
            </w:pPr>
            <w:r>
              <w:t>财务状况</w:t>
            </w:r>
          </w:p>
        </w:tc>
        <w:tc>
          <w:tcPr>
            <w:tcW w:w="1701" w:type="dxa"/>
            <w:vAlign w:val="center"/>
          </w:tcPr>
          <w:p>
            <w:pPr>
              <w:spacing w:line="400" w:lineRule="exact"/>
              <w:jc w:val="center"/>
            </w:pPr>
            <w:r>
              <w:t>财务状况</w:t>
            </w:r>
          </w:p>
        </w:tc>
        <w:tc>
          <w:tcPr>
            <w:tcW w:w="2268" w:type="dxa"/>
            <w:vAlign w:val="center"/>
          </w:tcPr>
          <w:p>
            <w:pPr>
              <w:spacing w:line="400" w:lineRule="exact"/>
              <w:jc w:val="left"/>
            </w:pPr>
            <w:r>
              <w:t>成立 3 年及以上的投标人：</w:t>
            </w:r>
          </w:p>
          <w:p>
            <w:pPr>
              <w:spacing w:line="400" w:lineRule="exact"/>
              <w:jc w:val="left"/>
            </w:pPr>
            <w:r>
              <w:t>连续三年盈利，得 20分；</w:t>
            </w:r>
          </w:p>
          <w:p>
            <w:pPr>
              <w:spacing w:line="400" w:lineRule="exact"/>
              <w:jc w:val="left"/>
            </w:pPr>
            <w:r>
              <w:t>两年盈利，得13 分；</w:t>
            </w:r>
          </w:p>
          <w:p>
            <w:pPr>
              <w:spacing w:line="400" w:lineRule="exact"/>
              <w:jc w:val="left"/>
            </w:pPr>
            <w:r>
              <w:t>一年盈利，得6分；</w:t>
            </w:r>
          </w:p>
          <w:p>
            <w:pPr>
              <w:spacing w:line="400" w:lineRule="exact"/>
              <w:jc w:val="left"/>
            </w:pPr>
            <w:r>
              <w:t>无盈利得 0 分。</w:t>
            </w:r>
          </w:p>
          <w:p>
            <w:pPr>
              <w:spacing w:line="400" w:lineRule="exact"/>
              <w:jc w:val="left"/>
            </w:pPr>
            <w:r>
              <w:t>净利润值大于 0 为盈利，投标截止时间在当年 6 月 30 日及以前，未出具上年度财务报表时可上传前一年度财务报表；6 月 30 日以后，应上传上年度财务报表，未按年份和时间要求提供财务报表的本项得 0 分。</w:t>
            </w:r>
          </w:p>
          <w:p>
            <w:pPr>
              <w:spacing w:line="400" w:lineRule="exact"/>
              <w:jc w:val="left"/>
            </w:pPr>
            <w:r>
              <w:t>新成立满两年的投标人，若连续两年盈利，得 20 分；</w:t>
            </w:r>
          </w:p>
          <w:p>
            <w:pPr>
              <w:spacing w:line="400" w:lineRule="exact"/>
              <w:jc w:val="left"/>
            </w:pPr>
            <w:r>
              <w:t>1 年盈利，得 14分。</w:t>
            </w:r>
          </w:p>
          <w:p>
            <w:pPr>
              <w:spacing w:line="400" w:lineRule="exact"/>
              <w:jc w:val="left"/>
            </w:pPr>
            <w:r>
              <w:t>新成立不满两年的投标人，本项得 6分。</w:t>
            </w:r>
          </w:p>
        </w:tc>
        <w:tc>
          <w:tcPr>
            <w:tcW w:w="1134" w:type="dxa"/>
            <w:vAlign w:val="center"/>
          </w:tcPr>
          <w:p>
            <w:pPr>
              <w:spacing w:line="400" w:lineRule="exact"/>
              <w:jc w:val="center"/>
            </w:pPr>
            <w: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3</w:t>
            </w:r>
          </w:p>
        </w:tc>
        <w:tc>
          <w:tcPr>
            <w:tcW w:w="1134" w:type="dxa"/>
            <w:vAlign w:val="center"/>
          </w:tcPr>
          <w:p>
            <w:pPr>
              <w:spacing w:line="400" w:lineRule="exact"/>
              <w:jc w:val="center"/>
            </w:pPr>
            <w:r>
              <w:t>同类项目业绩</w:t>
            </w:r>
          </w:p>
        </w:tc>
        <w:tc>
          <w:tcPr>
            <w:tcW w:w="1701" w:type="dxa"/>
            <w:vAlign w:val="center"/>
          </w:tcPr>
          <w:p>
            <w:pPr>
              <w:spacing w:line="400" w:lineRule="exact"/>
              <w:jc w:val="center"/>
            </w:pPr>
            <w:r>
              <w:t>同类项目业绩</w:t>
            </w:r>
          </w:p>
        </w:tc>
        <w:tc>
          <w:tcPr>
            <w:tcW w:w="2268" w:type="dxa"/>
            <w:vAlign w:val="center"/>
          </w:tcPr>
          <w:p>
            <w:pPr>
              <w:spacing w:line="400" w:lineRule="exact"/>
              <w:jc w:val="left"/>
            </w:pPr>
            <w:r>
              <w:t>近三年（2022年至投标截止之日）具有同类系统维护项目业绩，每项 100 万元（含）及以上的业绩得5分；每项50万元（含）至100万的业绩得3分；每项10万元（含）至50万的业绩得1分；最多得40分。</w:t>
            </w:r>
          </w:p>
          <w:p>
            <w:pPr>
              <w:spacing w:line="400" w:lineRule="exact"/>
              <w:jc w:val="left"/>
            </w:pPr>
            <w:r>
              <w:t>注：需提供合同或中标/成交通知书等证明业绩的资料扫描件，证明材料时间、金额、印章等重要信息模糊不清的，视为无效材料。</w:t>
            </w:r>
          </w:p>
        </w:tc>
        <w:tc>
          <w:tcPr>
            <w:tcW w:w="1134" w:type="dxa"/>
            <w:vAlign w:val="center"/>
          </w:tcPr>
          <w:p>
            <w:pPr>
              <w:spacing w:line="400" w:lineRule="exact"/>
              <w:jc w:val="center"/>
            </w:pPr>
            <w: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4</w:t>
            </w:r>
          </w:p>
        </w:tc>
        <w:tc>
          <w:tcPr>
            <w:tcW w:w="1134" w:type="dxa"/>
            <w:vAlign w:val="center"/>
          </w:tcPr>
          <w:p>
            <w:pPr>
              <w:spacing w:line="400" w:lineRule="exact"/>
              <w:jc w:val="center"/>
            </w:pPr>
            <w:r>
              <w:t>认证体系</w:t>
            </w:r>
          </w:p>
        </w:tc>
        <w:tc>
          <w:tcPr>
            <w:tcW w:w="1701" w:type="dxa"/>
            <w:vAlign w:val="center"/>
          </w:tcPr>
          <w:p>
            <w:pPr>
              <w:spacing w:line="400" w:lineRule="exact"/>
              <w:jc w:val="center"/>
            </w:pPr>
            <w:r>
              <w:t>认证体系</w:t>
            </w:r>
          </w:p>
        </w:tc>
        <w:tc>
          <w:tcPr>
            <w:tcW w:w="2268" w:type="dxa"/>
            <w:vAlign w:val="center"/>
          </w:tcPr>
          <w:p>
            <w:pPr>
              <w:spacing w:line="400" w:lineRule="exact"/>
              <w:jc w:val="left"/>
            </w:pPr>
            <w:r>
              <w:t>投标人具备质量管理体系认证、职业健康安全管理体系认证、信息技术服务管理体系认证、信息安全管理体系认证证书且在有效期范围内。每项认证得5分，最高得20分。</w:t>
            </w:r>
          </w:p>
          <w:p>
            <w:pPr>
              <w:spacing w:line="400" w:lineRule="exact"/>
              <w:jc w:val="left"/>
            </w:pPr>
            <w:r>
              <w:t>注：提供处于有效期内的各体系认证证书复印件，若各体系认证证书处于新旧证书换证期间，须提供由认证机构出示的、加盖认证机构公章的相关证明材料。</w:t>
            </w:r>
          </w:p>
        </w:tc>
        <w:tc>
          <w:tcPr>
            <w:tcW w:w="1134" w:type="dxa"/>
            <w:vAlign w:val="center"/>
          </w:tcPr>
          <w:p>
            <w:pPr>
              <w:spacing w:line="400" w:lineRule="exact"/>
              <w:jc w:val="center"/>
            </w:pPr>
            <w: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5</w:t>
            </w:r>
          </w:p>
        </w:tc>
        <w:tc>
          <w:tcPr>
            <w:tcW w:w="1134" w:type="dxa"/>
            <w:vAlign w:val="center"/>
          </w:tcPr>
          <w:p>
            <w:pPr>
              <w:spacing w:line="400" w:lineRule="exact"/>
              <w:jc w:val="center"/>
            </w:pPr>
            <w:r>
              <w:t>诚信经营</w:t>
            </w:r>
          </w:p>
        </w:tc>
        <w:tc>
          <w:tcPr>
            <w:tcW w:w="1701" w:type="dxa"/>
            <w:vAlign w:val="center"/>
          </w:tcPr>
          <w:p>
            <w:pPr>
              <w:spacing w:line="400" w:lineRule="exact"/>
              <w:jc w:val="center"/>
            </w:pPr>
            <w:r>
              <w:t>诚信经营</w:t>
            </w:r>
          </w:p>
        </w:tc>
        <w:tc>
          <w:tcPr>
            <w:tcW w:w="2268" w:type="dxa"/>
            <w:vAlign w:val="center"/>
          </w:tcPr>
          <w:p>
            <w:pPr>
              <w:spacing w:line="400" w:lineRule="exact"/>
              <w:jc w:val="left"/>
            </w:pPr>
            <w:r>
              <w:t>近三年（2022年至今）均获得税务机关“A级纳税人”评价得10分；</w:t>
            </w:r>
          </w:p>
          <w:p>
            <w:pPr>
              <w:spacing w:line="400" w:lineRule="exact"/>
              <w:jc w:val="left"/>
            </w:pPr>
            <w:r>
              <w:t>近三年（2022年至今）有两年获得过税务机关“A级纳税人”评价得7分；</w:t>
            </w:r>
          </w:p>
          <w:p>
            <w:pPr>
              <w:spacing w:line="400" w:lineRule="exact"/>
              <w:jc w:val="left"/>
            </w:pPr>
            <w:r>
              <w:t>近三年（2022年至今）有1年获得过税务机关“A级纳税人”评价得3分；</w:t>
            </w:r>
          </w:p>
          <w:p>
            <w:pPr>
              <w:spacing w:line="400" w:lineRule="exact"/>
              <w:jc w:val="left"/>
            </w:pPr>
            <w:r>
              <w:t>注：提供税务机关出具的近三年纳税等级证明材料。税务总局每年4月确定上一年度纳税评价结果（www.chinatax.gov.cn），若在投标前仍未公布上一年的评价结果，则将前一年度结果作为最近一年度的查询结果，以此类推。未按要求提供佐证材料相关年度不得分。非盈利法人且未能提供纳税等级的取通过初评的投标人得分平均值。</w:t>
            </w:r>
          </w:p>
        </w:tc>
        <w:tc>
          <w:tcPr>
            <w:tcW w:w="1134" w:type="dxa"/>
            <w:vAlign w:val="center"/>
          </w:tcPr>
          <w:p>
            <w:pPr>
              <w:spacing w:line="400" w:lineRule="exact"/>
              <w:jc w:val="center"/>
            </w:pPr>
            <w: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restart"/>
            <w:vAlign w:val="center"/>
          </w:tcPr>
          <w:p>
            <w:pPr>
              <w:spacing w:line="400" w:lineRule="exact"/>
              <w:jc w:val="center"/>
            </w:pPr>
            <w:r>
              <w:t>1（2）</w:t>
            </w:r>
          </w:p>
        </w:tc>
        <w:tc>
          <w:tcPr>
            <w:tcW w:w="1588" w:type="dxa"/>
            <w:vMerge w:val="restart"/>
            <w:vAlign w:val="center"/>
          </w:tcPr>
          <w:p>
            <w:pPr>
              <w:spacing w:line="400" w:lineRule="exact"/>
              <w:jc w:val="center"/>
            </w:pPr>
            <w:r>
              <w:t>技术评分 标准</w:t>
            </w:r>
          </w:p>
        </w:tc>
        <w:tc>
          <w:tcPr>
            <w:tcW w:w="680" w:type="dxa"/>
            <w:vAlign w:val="center"/>
          </w:tcPr>
          <w:p>
            <w:pPr>
              <w:spacing w:line="400" w:lineRule="exact"/>
              <w:jc w:val="center"/>
            </w:pPr>
            <w:r>
              <w:t>1</w:t>
            </w:r>
          </w:p>
        </w:tc>
        <w:tc>
          <w:tcPr>
            <w:tcW w:w="1134" w:type="dxa"/>
            <w:vAlign w:val="center"/>
          </w:tcPr>
          <w:p>
            <w:pPr>
              <w:spacing w:line="400" w:lineRule="exact"/>
              <w:jc w:val="center"/>
            </w:pPr>
            <w:r>
              <w:t>项目理解情况</w:t>
            </w:r>
          </w:p>
        </w:tc>
        <w:tc>
          <w:tcPr>
            <w:tcW w:w="1701" w:type="dxa"/>
            <w:vAlign w:val="center"/>
          </w:tcPr>
          <w:p>
            <w:pPr>
              <w:spacing w:line="400" w:lineRule="exact"/>
              <w:jc w:val="center"/>
            </w:pPr>
            <w:r>
              <w:t>项目理解情况</w:t>
            </w:r>
          </w:p>
        </w:tc>
        <w:tc>
          <w:tcPr>
            <w:tcW w:w="2268" w:type="dxa"/>
            <w:vAlign w:val="center"/>
          </w:tcPr>
          <w:p>
            <w:pPr>
              <w:spacing w:line="400" w:lineRule="exact"/>
              <w:jc w:val="left"/>
            </w:pPr>
            <w:r>
              <w:t>横向比较各投标人：</w:t>
            </w:r>
          </w:p>
          <w:p>
            <w:pPr>
              <w:spacing w:line="400" w:lineRule="exact"/>
              <w:jc w:val="left"/>
            </w:pPr>
            <w:r>
              <w:t>优秀（7-10分）：投标响应度较高、需求理解到位，能满足或优于招标技术及服务要求。</w:t>
            </w:r>
          </w:p>
          <w:p>
            <w:pPr>
              <w:spacing w:line="400" w:lineRule="exact"/>
              <w:jc w:val="left"/>
            </w:pPr>
            <w:r>
              <w:t>良好（4-6分）：投标响应度良好、需求理解良好，基本满足招标技术及服务要求。</w:t>
            </w:r>
          </w:p>
          <w:p>
            <w:pPr>
              <w:spacing w:line="400" w:lineRule="exact"/>
              <w:jc w:val="left"/>
            </w:pPr>
            <w:r>
              <w:t>一般（0-3分）：投标响应度一般、需求理解一般，存在非关键技术及服务差异或未响应，但未构成对投标的实质性不响应。</w:t>
            </w:r>
          </w:p>
        </w:tc>
        <w:tc>
          <w:tcPr>
            <w:tcW w:w="1134" w:type="dxa"/>
            <w:vAlign w:val="center"/>
          </w:tcPr>
          <w:p>
            <w:pPr>
              <w:spacing w:line="400" w:lineRule="exact"/>
              <w:jc w:val="center"/>
            </w:pPr>
            <w: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2</w:t>
            </w:r>
          </w:p>
        </w:tc>
        <w:tc>
          <w:tcPr>
            <w:tcW w:w="1134" w:type="dxa"/>
            <w:vAlign w:val="center"/>
          </w:tcPr>
          <w:p>
            <w:pPr>
              <w:spacing w:line="400" w:lineRule="exact"/>
              <w:jc w:val="center"/>
            </w:pPr>
            <w:r>
              <w:t>维护服务方案</w:t>
            </w:r>
          </w:p>
        </w:tc>
        <w:tc>
          <w:tcPr>
            <w:tcW w:w="1701" w:type="dxa"/>
            <w:vAlign w:val="center"/>
          </w:tcPr>
          <w:p>
            <w:pPr>
              <w:spacing w:line="400" w:lineRule="exact"/>
              <w:jc w:val="center"/>
            </w:pPr>
            <w:r>
              <w:t>维护服务方案</w:t>
            </w:r>
          </w:p>
        </w:tc>
        <w:tc>
          <w:tcPr>
            <w:tcW w:w="2268" w:type="dxa"/>
            <w:vAlign w:val="center"/>
          </w:tcPr>
          <w:p>
            <w:pPr>
              <w:spacing w:line="400" w:lineRule="exact"/>
              <w:jc w:val="left"/>
            </w:pPr>
            <w:r>
              <w:t>横向比较各投标人：</w:t>
            </w:r>
          </w:p>
          <w:p>
            <w:pPr>
              <w:spacing w:line="400" w:lineRule="exact"/>
              <w:jc w:val="left"/>
            </w:pPr>
            <w:r>
              <w:t>优秀（15-20分）：服务方案密切结合项目背景，具备优秀的可行性和管理先进性，内容详实、全面，描述的技术实现或服务内容预期效果满足项目需求程度优秀。</w:t>
            </w:r>
          </w:p>
          <w:p>
            <w:pPr>
              <w:spacing w:line="400" w:lineRule="exact"/>
              <w:jc w:val="left"/>
            </w:pPr>
            <w:r>
              <w:t>良好（8-14分）：服务方案结合项目背景，具备良好的可行性和管理先进性，描述的技术实现或服务内容预期效果满足项目需求程度良好。</w:t>
            </w:r>
          </w:p>
          <w:p>
            <w:pPr>
              <w:spacing w:line="400" w:lineRule="exact"/>
              <w:jc w:val="left"/>
            </w:pPr>
            <w:r>
              <w:t>一般（0-7分）：服务方案的可行性和管理先进性一般，内容单薄，部分非关键因素没有实质性响应，描述的技术实现或服务内容预期效果一般，满足项目需求程度一般。</w:t>
            </w:r>
          </w:p>
        </w:tc>
        <w:tc>
          <w:tcPr>
            <w:tcW w:w="1134" w:type="dxa"/>
            <w:vAlign w:val="center"/>
          </w:tcPr>
          <w:p>
            <w:pPr>
              <w:spacing w:line="400" w:lineRule="exact"/>
              <w:jc w:val="center"/>
            </w:pPr>
            <w: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3</w:t>
            </w:r>
          </w:p>
        </w:tc>
        <w:tc>
          <w:tcPr>
            <w:tcW w:w="1134" w:type="dxa"/>
            <w:vAlign w:val="center"/>
          </w:tcPr>
          <w:p>
            <w:pPr>
              <w:spacing w:line="400" w:lineRule="exact"/>
              <w:jc w:val="center"/>
            </w:pPr>
            <w:r>
              <w:t>服务团队能力</w:t>
            </w:r>
          </w:p>
        </w:tc>
        <w:tc>
          <w:tcPr>
            <w:tcW w:w="1701" w:type="dxa"/>
            <w:vAlign w:val="center"/>
          </w:tcPr>
          <w:p>
            <w:pPr>
              <w:spacing w:line="400" w:lineRule="exact"/>
              <w:jc w:val="center"/>
            </w:pPr>
            <w:r>
              <w:t>服务团队能力</w:t>
            </w:r>
          </w:p>
        </w:tc>
        <w:tc>
          <w:tcPr>
            <w:tcW w:w="2268" w:type="dxa"/>
            <w:vAlign w:val="center"/>
          </w:tcPr>
          <w:p>
            <w:pPr>
              <w:spacing w:line="400" w:lineRule="exact"/>
              <w:jc w:val="left"/>
            </w:pPr>
            <w:r>
              <w:t>1.项目经理资质（10分）：</w:t>
            </w:r>
          </w:p>
          <w:p>
            <w:pPr>
              <w:spacing w:line="400" w:lineRule="exact"/>
              <w:jc w:val="left"/>
            </w:pPr>
            <w:r>
              <w:t>具备信息系统项目管理师、PMP、IPMP 资格之一，得10分；</w:t>
            </w:r>
          </w:p>
          <w:p>
            <w:pPr>
              <w:spacing w:line="400" w:lineRule="exact"/>
              <w:jc w:val="left"/>
            </w:pPr>
            <w:r>
              <w:t>2.团队经验评分（20分）</w:t>
            </w:r>
          </w:p>
          <w:p>
            <w:pPr>
              <w:spacing w:line="400" w:lineRule="exact"/>
              <w:jc w:val="left"/>
            </w:pPr>
            <w:r>
              <w:t>（1）项目经理经验</w:t>
            </w:r>
          </w:p>
          <w:p>
            <w:pPr>
              <w:spacing w:line="400" w:lineRule="exact"/>
              <w:jc w:val="left"/>
            </w:pPr>
            <w:r>
              <w:t>项目经理2022年至今担任同类系统运维项目负责人的业绩，每项得2分，最高得10分。</w:t>
            </w:r>
          </w:p>
          <w:p>
            <w:pPr>
              <w:spacing w:line="400" w:lineRule="exact"/>
              <w:jc w:val="left"/>
            </w:pPr>
            <w:r>
              <w:t>（2）项目团队其他成员经验：</w:t>
            </w:r>
          </w:p>
          <w:p>
            <w:pPr>
              <w:spacing w:line="400" w:lineRule="exact"/>
              <w:jc w:val="left"/>
            </w:pPr>
            <w:r>
              <w:t>其他成员2022年至今具备同类系统运维项目经验，每人可加2分，最高得10分。</w:t>
            </w:r>
          </w:p>
          <w:p>
            <w:pPr>
              <w:spacing w:line="400" w:lineRule="exact"/>
              <w:jc w:val="left"/>
            </w:pPr>
            <w:r>
              <w:t>注：提供人员证书(复印件/扫描件）、以上人员须提供在本单位投标截止日期前半年内任意连续3个月的社保证明复印件，否则不得分；项目经验证明需提供合同、协议等相关佐证材料。</w:t>
            </w:r>
          </w:p>
        </w:tc>
        <w:tc>
          <w:tcPr>
            <w:tcW w:w="1134" w:type="dxa"/>
            <w:vAlign w:val="center"/>
          </w:tcPr>
          <w:p>
            <w:pPr>
              <w:spacing w:line="400" w:lineRule="exact"/>
              <w:jc w:val="center"/>
            </w:pPr>
            <w: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4</w:t>
            </w:r>
          </w:p>
        </w:tc>
        <w:tc>
          <w:tcPr>
            <w:tcW w:w="1134" w:type="dxa"/>
            <w:vAlign w:val="center"/>
          </w:tcPr>
          <w:p>
            <w:pPr>
              <w:spacing w:line="400" w:lineRule="exact"/>
              <w:jc w:val="center"/>
            </w:pPr>
            <w:r>
              <w:t>项目质量管理及风险控制措施</w:t>
            </w:r>
          </w:p>
        </w:tc>
        <w:tc>
          <w:tcPr>
            <w:tcW w:w="1701" w:type="dxa"/>
            <w:vAlign w:val="center"/>
          </w:tcPr>
          <w:p>
            <w:pPr>
              <w:spacing w:line="400" w:lineRule="exact"/>
              <w:jc w:val="center"/>
            </w:pPr>
            <w:r>
              <w:t>项目质量管理及风险控制措施</w:t>
            </w:r>
          </w:p>
        </w:tc>
        <w:tc>
          <w:tcPr>
            <w:tcW w:w="2268" w:type="dxa"/>
            <w:vAlign w:val="center"/>
          </w:tcPr>
          <w:p>
            <w:pPr>
              <w:spacing w:line="400" w:lineRule="exact"/>
              <w:jc w:val="left"/>
            </w:pPr>
            <w:r>
              <w:t>横向比较各投标人：</w:t>
            </w:r>
          </w:p>
          <w:p>
            <w:pPr>
              <w:spacing w:line="400" w:lineRule="exact"/>
              <w:jc w:val="left"/>
            </w:pPr>
            <w:r>
              <w:t>优秀（15-20分）：方案具备优秀的项目质量管理及风险控制措施，且较好符合项目实际需求；</w:t>
            </w:r>
          </w:p>
          <w:p>
            <w:pPr>
              <w:spacing w:line="400" w:lineRule="exact"/>
              <w:jc w:val="left"/>
            </w:pPr>
            <w:r>
              <w:t>良好（7-14分）：方案具备良好的项目质量管理及风险控制措施，且基本符合项目实际需求；</w:t>
            </w:r>
          </w:p>
          <w:p>
            <w:pPr>
              <w:spacing w:line="400" w:lineRule="exact"/>
              <w:jc w:val="left"/>
            </w:pPr>
            <w:r>
              <w:t>一般（0-6分）：方案的项目质量管理及风险控制措施一般或不佳。</w:t>
            </w:r>
          </w:p>
        </w:tc>
        <w:tc>
          <w:tcPr>
            <w:tcW w:w="1134" w:type="dxa"/>
            <w:vAlign w:val="center"/>
          </w:tcPr>
          <w:p>
            <w:pPr>
              <w:spacing w:line="400" w:lineRule="exact"/>
              <w:jc w:val="center"/>
            </w:pPr>
            <w: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5</w:t>
            </w:r>
          </w:p>
        </w:tc>
        <w:tc>
          <w:tcPr>
            <w:tcW w:w="1134" w:type="dxa"/>
            <w:vAlign w:val="center"/>
          </w:tcPr>
          <w:p>
            <w:pPr>
              <w:spacing w:line="400" w:lineRule="exact"/>
              <w:jc w:val="center"/>
            </w:pPr>
            <w:r>
              <w:t>服务响应承诺</w:t>
            </w:r>
          </w:p>
        </w:tc>
        <w:tc>
          <w:tcPr>
            <w:tcW w:w="1701" w:type="dxa"/>
            <w:vAlign w:val="center"/>
          </w:tcPr>
          <w:p>
            <w:pPr>
              <w:spacing w:line="400" w:lineRule="exact"/>
              <w:jc w:val="center"/>
            </w:pPr>
            <w:r>
              <w:t>服务响应承诺</w:t>
            </w:r>
          </w:p>
        </w:tc>
        <w:tc>
          <w:tcPr>
            <w:tcW w:w="2268" w:type="dxa"/>
            <w:vAlign w:val="center"/>
          </w:tcPr>
          <w:p>
            <w:pPr>
              <w:spacing w:line="400" w:lineRule="exact"/>
              <w:jc w:val="left"/>
            </w:pPr>
            <w:r>
              <w:t>1.投标人按技术要求承诺在招标人办公场所提供长期驻点人员的，得4分。</w:t>
            </w:r>
          </w:p>
          <w:p>
            <w:pPr>
              <w:spacing w:line="400" w:lineRule="exact"/>
              <w:jc w:val="left"/>
            </w:pPr>
            <w:r>
              <w:t>2.横向比较各投标人：</w:t>
            </w:r>
          </w:p>
          <w:p>
            <w:pPr>
              <w:spacing w:line="400" w:lineRule="exact"/>
              <w:jc w:val="left"/>
            </w:pPr>
            <w:r>
              <w:t>优秀（11-16分）：能迅速响应并及时提供完善的解决方案，承诺积极配合第三方测试、现场调试等工作，特殊情况能及时派支援团队到达现场协助客户解决问题。</w:t>
            </w:r>
          </w:p>
          <w:p>
            <w:pPr>
              <w:spacing w:line="400" w:lineRule="exact"/>
              <w:jc w:val="left"/>
            </w:pPr>
            <w:r>
              <w:t>良好（5-10分）：能在较短时间内提供解决措施，承诺配合第三方测试、现场调试等工作，特殊情况能在合理时间内派员到达现场。</w:t>
            </w:r>
          </w:p>
          <w:p>
            <w:pPr>
              <w:spacing w:line="400" w:lineRule="exact"/>
              <w:jc w:val="left"/>
            </w:pPr>
            <w:r>
              <w:t>一般（0-4分）：服务响应能力一般，或所提出的承诺时间较差。</w:t>
            </w:r>
          </w:p>
          <w:p>
            <w:pPr>
              <w:spacing w:line="400" w:lineRule="exact"/>
              <w:jc w:val="left"/>
            </w:pPr>
            <w:r>
              <w:t>需提供服务响应承诺函，不提供者不得分。</w:t>
            </w:r>
          </w:p>
        </w:tc>
        <w:tc>
          <w:tcPr>
            <w:tcW w:w="1134" w:type="dxa"/>
            <w:vAlign w:val="center"/>
          </w:tcPr>
          <w:p>
            <w:pPr>
              <w:spacing w:line="400" w:lineRule="exact"/>
              <w:jc w:val="center"/>
            </w:pPr>
            <w: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68" w:type="dxa"/>
            <w:gridSpan w:val="2"/>
            <w:vAlign w:val="center"/>
          </w:tcPr>
          <w:p>
            <w:pPr>
              <w:spacing w:line="400" w:lineRule="exact"/>
              <w:jc w:val="center"/>
            </w:pPr>
            <w:r>
              <w:rPr>
                <w:b/>
              </w:rPr>
              <w:t>条款号</w:t>
            </w:r>
          </w:p>
        </w:tc>
        <w:tc>
          <w:tcPr>
            <w:tcW w:w="3515" w:type="dxa"/>
            <w:gridSpan w:val="3"/>
            <w:vAlign w:val="center"/>
          </w:tcPr>
          <w:p>
            <w:pPr>
              <w:spacing w:line="400" w:lineRule="exact"/>
              <w:jc w:val="center"/>
            </w:pPr>
            <w:r>
              <w:rPr>
                <w:b/>
              </w:rPr>
              <w:t>评分要素</w:t>
            </w:r>
          </w:p>
        </w:tc>
        <w:tc>
          <w:tcPr>
            <w:tcW w:w="3402" w:type="dxa"/>
            <w:gridSpan w:val="2"/>
            <w:vAlign w:val="center"/>
          </w:tcPr>
          <w:p>
            <w:pPr>
              <w:spacing w:line="400" w:lineRule="exact"/>
              <w:jc w:val="center"/>
            </w:pPr>
            <w:r>
              <w:rPr>
                <w:b/>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restart"/>
            <w:vAlign w:val="center"/>
          </w:tcPr>
          <w:p>
            <w:pPr>
              <w:spacing w:line="400" w:lineRule="exact"/>
              <w:jc w:val="center"/>
            </w:pPr>
            <w:r>
              <w:t>1（3）</w:t>
            </w:r>
          </w:p>
        </w:tc>
        <w:tc>
          <w:tcPr>
            <w:tcW w:w="1588" w:type="dxa"/>
            <w:vMerge w:val="restart"/>
            <w:vAlign w:val="center"/>
          </w:tcPr>
          <w:p>
            <w:pPr>
              <w:spacing w:line="400" w:lineRule="exact"/>
              <w:jc w:val="center"/>
            </w:pPr>
            <w:r>
              <w:t>投标报价 评分标准</w:t>
            </w:r>
          </w:p>
        </w:tc>
        <w:tc>
          <w:tcPr>
            <w:tcW w:w="3515" w:type="dxa"/>
            <w:gridSpan w:val="3"/>
            <w:vAlign w:val="center"/>
          </w:tcPr>
          <w:p>
            <w:pPr>
              <w:spacing w:line="400" w:lineRule="exact"/>
              <w:jc w:val="center"/>
            </w:pPr>
            <w:r>
              <w:t>价格分计算方法名称</w:t>
            </w:r>
          </w:p>
        </w:tc>
        <w:tc>
          <w:tcPr>
            <w:tcW w:w="3402" w:type="dxa"/>
            <w:gridSpan w:val="2"/>
            <w:vAlign w:val="center"/>
          </w:tcPr>
          <w:p>
            <w:pPr>
              <w:spacing w:line="400" w:lineRule="exact"/>
              <w:jc w:val="left"/>
            </w:pPr>
            <w:r>
              <w:t>合理均价基准差径靶心法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3515" w:type="dxa"/>
            <w:gridSpan w:val="3"/>
            <w:vAlign w:val="center"/>
          </w:tcPr>
          <w:p>
            <w:pPr>
              <w:spacing w:line="400" w:lineRule="exact"/>
              <w:jc w:val="center"/>
            </w:pPr>
            <w:r>
              <w:t>评标基准价计算方法</w:t>
            </w:r>
          </w:p>
        </w:tc>
        <w:tc>
          <w:tcPr>
            <w:tcW w:w="3402" w:type="dxa"/>
            <w:gridSpan w:val="2"/>
            <w:vAlign w:val="center"/>
          </w:tcPr>
          <w:p>
            <w:pPr>
              <w:spacing w:line="400" w:lineRule="exact"/>
              <w:jc w:val="left"/>
            </w:pPr>
            <w:r>
              <w:t>1、进入价格分计算的投标人取技术商务加权总分排名前BP%的投标人，按比例HP%、LP%分别去掉最高、最低价格后（当排名前BP%的投标人个数少于等于L个时，根据设定的是否去掉最高最低的值判断是否去掉GH个最高和GL个最低价格后计算平均价），计算平均价作为Y平均。</w:t>
            </w:r>
          </w:p>
          <w:p>
            <w:pPr>
              <w:spacing w:line="400" w:lineRule="exact"/>
              <w:jc w:val="left"/>
            </w:pPr>
            <w:r>
              <w:t>2、计算评标基准价，Y基准＝Y平均×（1-X），X为下浮率，Y基准按四舍五入法保留两位小数。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3515" w:type="dxa"/>
            <w:gridSpan w:val="3"/>
            <w:vAlign w:val="center"/>
          </w:tcPr>
          <w:p>
            <w:pPr>
              <w:spacing w:line="400" w:lineRule="exact"/>
              <w:jc w:val="center"/>
            </w:pPr>
            <w:r>
              <w:t>价格分计算公式</w:t>
            </w:r>
          </w:p>
        </w:tc>
        <w:tc>
          <w:tcPr>
            <w:tcW w:w="3402" w:type="dxa"/>
            <w:gridSpan w:val="2"/>
            <w:vAlign w:val="center"/>
          </w:tcPr>
          <w:p>
            <w:pPr>
              <w:spacing w:line="400" w:lineRule="exact"/>
              <w:jc w:val="left"/>
            </w:pPr>
            <w:r>
              <w:t>1、Yi为某投标人的投标价格；Qi为计算得分，按四舍五入法保留两位小数。</w:t>
            </w:r>
          </w:p>
          <w:p>
            <w:pPr>
              <w:spacing w:line="400" w:lineRule="exact"/>
              <w:jc w:val="left"/>
            </w:pPr>
            <w:r>
              <w:t>2、当Yi＞Y基准，Qi＝报价满分－（Yi－Y基准）/Y基准×报价满分×RH。</w:t>
            </w:r>
          </w:p>
          <w:p>
            <w:pPr>
              <w:spacing w:line="400" w:lineRule="exact"/>
              <w:jc w:val="left"/>
            </w:pPr>
            <w:r>
              <w:t>3、当Yi=Y基准，Qi=报价满分。</w:t>
            </w:r>
          </w:p>
          <w:p>
            <w:pPr>
              <w:spacing w:line="400" w:lineRule="exact"/>
              <w:jc w:val="left"/>
            </w:pPr>
            <w:r>
              <w:t>4、当Yi＜Y基准，Qi＝报价满分－（Y基准－Yi）/Y基准×报价满分×RL。</w:t>
            </w:r>
          </w:p>
          <w:p>
            <w:pPr>
              <w:spacing w:line="400" w:lineRule="exact"/>
              <w:jc w:val="left"/>
            </w:pPr>
            <w:r>
              <w:t>5、当Qi＜0，按Qi=0分计。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3515" w:type="dxa"/>
            <w:gridSpan w:val="3"/>
            <w:vAlign w:val="center"/>
          </w:tcPr>
          <w:p>
            <w:pPr>
              <w:spacing w:line="400" w:lineRule="exact"/>
              <w:jc w:val="center"/>
            </w:pPr>
            <w:r>
              <w:t>进入价格评分厂家数量</w:t>
            </w:r>
          </w:p>
        </w:tc>
        <w:tc>
          <w:tcPr>
            <w:tcW w:w="3402" w:type="dxa"/>
            <w:gridSpan w:val="2"/>
            <w:vAlign w:val="center"/>
          </w:tcPr>
          <w:p>
            <w:pPr>
              <w:spacing w:line="400" w:lineRule="exact"/>
              <w:jc w:val="center"/>
            </w:pPr>
            <w:r>
              <w:t>本次评标不设置技术商务末位淘汰。进入技术商务评分范围的投标人全部进入价格评分。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3515" w:type="dxa"/>
            <w:gridSpan w:val="3"/>
            <w:vAlign w:val="center"/>
          </w:tcPr>
          <w:p>
            <w:pPr>
              <w:spacing w:line="400" w:lineRule="exact"/>
              <w:jc w:val="center"/>
            </w:pPr>
            <w:r>
              <w:t>下浮率</w:t>
            </w:r>
          </w:p>
        </w:tc>
        <w:tc>
          <w:tcPr>
            <w:tcW w:w="3402" w:type="dxa"/>
            <w:gridSpan w:val="2"/>
            <w:vAlign w:val="center"/>
          </w:tcPr>
          <w:p>
            <w:pPr>
              <w:spacing w:line="400" w:lineRule="exact"/>
              <w:jc w:val="center"/>
            </w:pPr>
            <w: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tc>
        <w:tc>
          <w:tcPr>
            <w:tcW w:w="1588" w:type="dxa"/>
            <w:vMerge w:val="continue"/>
          </w:tcPr>
          <w:p/>
        </w:tc>
        <w:tc>
          <w:tcPr>
            <w:tcW w:w="3515" w:type="dxa"/>
            <w:gridSpan w:val="3"/>
            <w:vMerge w:val="restart"/>
            <w:vAlign w:val="center"/>
          </w:tcPr>
          <w:p>
            <w:pPr>
              <w:spacing w:line="400" w:lineRule="exact"/>
              <w:jc w:val="center"/>
            </w:pPr>
            <w:r>
              <w:t>参数设置</w:t>
            </w:r>
          </w:p>
        </w:tc>
        <w:tc>
          <w:tcPr>
            <w:tcW w:w="2268" w:type="dxa"/>
          </w:tcPr>
          <w:p>
            <w:pPr>
              <w:spacing w:line="400" w:lineRule="exact"/>
              <w:jc w:val="center"/>
            </w:pPr>
            <w:r>
              <w:t>RL</w:t>
            </w:r>
          </w:p>
        </w:tc>
        <w:tc>
          <w:tcPr>
            <w:tcW w:w="1134" w:type="dxa"/>
          </w:tcPr>
          <w:p>
            <w:pPr>
              <w:spacing w:line="400" w:lineRule="exact"/>
              <w:jc w:val="center"/>
            </w:pPr>
            <w:r>
              <w:rPr>
                <w:b w:val="0"/>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tc>
        <w:tc>
          <w:tcPr>
            <w:tcW w:w="1588" w:type="dxa"/>
            <w:vMerge w:val="continue"/>
          </w:tcPr>
          <w:p/>
        </w:tc>
        <w:tc>
          <w:tcPr>
            <w:tcW w:w="3515" w:type="dxa"/>
            <w:gridSpan w:val="3"/>
            <w:vMerge w:val="continue"/>
            <w:vAlign w:val="center"/>
          </w:tcPr>
          <w:p/>
        </w:tc>
        <w:tc>
          <w:tcPr>
            <w:tcW w:w="2268" w:type="dxa"/>
          </w:tcPr>
          <w:p>
            <w:pPr>
              <w:spacing w:line="400" w:lineRule="exact"/>
              <w:jc w:val="center"/>
            </w:pPr>
            <w:r>
              <w:t>RH</w:t>
            </w:r>
          </w:p>
        </w:tc>
        <w:tc>
          <w:tcPr>
            <w:tcW w:w="1134" w:type="dxa"/>
          </w:tcPr>
          <w:p>
            <w:pPr>
              <w:spacing w:line="400" w:lineRule="exact"/>
              <w:jc w:val="center"/>
            </w:pPr>
            <w:r>
              <w:rPr>
                <w:b w:val="0"/>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tc>
        <w:tc>
          <w:tcPr>
            <w:tcW w:w="1588" w:type="dxa"/>
            <w:vMerge w:val="continue"/>
          </w:tcPr>
          <w:p/>
        </w:tc>
        <w:tc>
          <w:tcPr>
            <w:tcW w:w="3515" w:type="dxa"/>
            <w:gridSpan w:val="3"/>
            <w:vMerge w:val="continue"/>
            <w:vAlign w:val="center"/>
          </w:tcPr>
          <w:p/>
        </w:tc>
        <w:tc>
          <w:tcPr>
            <w:tcW w:w="2268" w:type="dxa"/>
          </w:tcPr>
          <w:p>
            <w:pPr>
              <w:spacing w:line="400" w:lineRule="exact"/>
              <w:jc w:val="center"/>
            </w:pPr>
            <w:r>
              <w:t>BP</w:t>
            </w:r>
          </w:p>
        </w:tc>
        <w:tc>
          <w:tcPr>
            <w:tcW w:w="1134" w:type="dxa"/>
          </w:tcPr>
          <w:p>
            <w:pPr>
              <w:spacing w:line="400" w:lineRule="exact"/>
              <w:jc w:val="center"/>
            </w:pPr>
            <w:r>
              <w:rPr>
                <w:b w:val="0"/>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tc>
        <w:tc>
          <w:tcPr>
            <w:tcW w:w="1588" w:type="dxa"/>
            <w:vMerge w:val="continue"/>
          </w:tcPr>
          <w:p/>
        </w:tc>
        <w:tc>
          <w:tcPr>
            <w:tcW w:w="3515" w:type="dxa"/>
            <w:gridSpan w:val="3"/>
            <w:vMerge w:val="continue"/>
            <w:vAlign w:val="center"/>
          </w:tcPr>
          <w:p/>
        </w:tc>
        <w:tc>
          <w:tcPr>
            <w:tcW w:w="2268" w:type="dxa"/>
          </w:tcPr>
          <w:p>
            <w:pPr>
              <w:spacing w:line="400" w:lineRule="exact"/>
              <w:jc w:val="center"/>
            </w:pPr>
            <w:r>
              <w:t>HP</w:t>
            </w:r>
          </w:p>
        </w:tc>
        <w:tc>
          <w:tcPr>
            <w:tcW w:w="1134" w:type="dxa"/>
          </w:tcPr>
          <w:p>
            <w:pPr>
              <w:spacing w:line="400" w:lineRule="exact"/>
              <w:jc w:val="center"/>
            </w:pPr>
            <w:r>
              <w:rPr>
                <w:b w:val="0"/>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tc>
        <w:tc>
          <w:tcPr>
            <w:tcW w:w="1588" w:type="dxa"/>
            <w:vMerge w:val="continue"/>
          </w:tcPr>
          <w:p/>
        </w:tc>
        <w:tc>
          <w:tcPr>
            <w:tcW w:w="3515" w:type="dxa"/>
            <w:gridSpan w:val="3"/>
            <w:vMerge w:val="continue"/>
            <w:vAlign w:val="center"/>
          </w:tcPr>
          <w:p/>
        </w:tc>
        <w:tc>
          <w:tcPr>
            <w:tcW w:w="2268" w:type="dxa"/>
          </w:tcPr>
          <w:p>
            <w:pPr>
              <w:spacing w:line="400" w:lineRule="exact"/>
              <w:jc w:val="center"/>
            </w:pPr>
            <w:r>
              <w:t>LP</w:t>
            </w:r>
          </w:p>
        </w:tc>
        <w:tc>
          <w:tcPr>
            <w:tcW w:w="1134" w:type="dxa"/>
          </w:tcPr>
          <w:p>
            <w:pPr>
              <w:spacing w:line="400" w:lineRule="exact"/>
              <w:jc w:val="center"/>
            </w:pPr>
            <w:r>
              <w:rPr>
                <w:b w:val="0"/>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tc>
        <w:tc>
          <w:tcPr>
            <w:tcW w:w="1588" w:type="dxa"/>
            <w:vMerge w:val="continue"/>
          </w:tcPr>
          <w:p/>
        </w:tc>
        <w:tc>
          <w:tcPr>
            <w:tcW w:w="3515" w:type="dxa"/>
            <w:gridSpan w:val="3"/>
            <w:vMerge w:val="continue"/>
            <w:vAlign w:val="center"/>
          </w:tcPr>
          <w:p/>
        </w:tc>
        <w:tc>
          <w:tcPr>
            <w:tcW w:w="2268" w:type="dxa"/>
          </w:tcPr>
          <w:p>
            <w:pPr>
              <w:spacing w:line="400" w:lineRule="exact"/>
              <w:jc w:val="center"/>
            </w:pPr>
            <w:r>
              <w:t>L</w:t>
            </w:r>
          </w:p>
        </w:tc>
        <w:tc>
          <w:tcPr>
            <w:tcW w:w="1134" w:type="dxa"/>
          </w:tcPr>
          <w:p>
            <w:pPr>
              <w:spacing w:line="400" w:lineRule="exact"/>
              <w:jc w:val="center"/>
            </w:pPr>
            <w:r>
              <w:rPr>
                <w:b w:val="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tc>
        <w:tc>
          <w:tcPr>
            <w:tcW w:w="1588" w:type="dxa"/>
            <w:vMerge w:val="continue"/>
          </w:tcPr>
          <w:p/>
        </w:tc>
        <w:tc>
          <w:tcPr>
            <w:tcW w:w="3515" w:type="dxa"/>
            <w:gridSpan w:val="3"/>
            <w:vMerge w:val="continue"/>
            <w:vAlign w:val="center"/>
          </w:tcPr>
          <w:p/>
        </w:tc>
        <w:tc>
          <w:tcPr>
            <w:tcW w:w="2268" w:type="dxa"/>
          </w:tcPr>
          <w:p>
            <w:pPr>
              <w:spacing w:line="400" w:lineRule="exact"/>
              <w:jc w:val="center"/>
            </w:pPr>
            <w:r>
              <w:t>若排名前BP%的供应商数量小于等于L值，是否去掉最高最低</w:t>
            </w:r>
          </w:p>
        </w:tc>
        <w:tc>
          <w:tcPr>
            <w:tcW w:w="1134" w:type="dxa"/>
          </w:tcPr>
          <w:p>
            <w:pPr>
              <w:spacing w:line="400" w:lineRule="exact"/>
              <w:jc w:val="center"/>
            </w:pPr>
            <w:r>
              <w:rPr>
                <w:b w:val="0"/>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3515" w:type="dxa"/>
            <w:gridSpan w:val="3"/>
            <w:vAlign w:val="center"/>
          </w:tcPr>
          <w:p>
            <w:pPr>
              <w:spacing w:line="400" w:lineRule="exact"/>
              <w:jc w:val="center"/>
            </w:pPr>
            <w:r>
              <w:t>参数设置说明</w:t>
            </w:r>
          </w:p>
        </w:tc>
        <w:tc>
          <w:tcPr>
            <w:tcW w:w="3402" w:type="dxa"/>
            <w:gridSpan w:val="2"/>
            <w:vAlign w:val="center"/>
          </w:tcPr>
          <w:p>
            <w:pPr>
              <w:spacing w:line="400" w:lineRule="exact"/>
            </w:pPr>
            <w:r>
              <w:t>1、BP%为技术商务分排名靠前的比例，BP%缺省值为80%，进入价格分计算的投标人数量向上取整。</w:t>
            </w:r>
          </w:p>
          <w:p>
            <w:pPr>
              <w:spacing w:line="400" w:lineRule="exact"/>
            </w:pPr>
            <w:r>
              <w:t>2、HP%去掉最高价的比例，HP%缺省值为10%，计算结果按四舍五入方法取整。</w:t>
            </w:r>
          </w:p>
          <w:p>
            <w:pPr>
              <w:spacing w:line="400" w:lineRule="exact"/>
            </w:pPr>
            <w:r>
              <w:t>3、LP%为去掉最低价的比例，LP%缺省值为10%，计算结果按四舍五入方法取整。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pPr>
              <w:spacing w:line="400" w:lineRule="exact"/>
            </w:pPr>
            <w:r>
              <w:t>2（1）</w:t>
            </w:r>
          </w:p>
        </w:tc>
        <w:tc>
          <w:tcPr>
            <w:tcW w:w="1588" w:type="dxa"/>
            <w:vAlign w:val="center"/>
          </w:tcPr>
          <w:p>
            <w:pPr>
              <w:spacing w:line="400" w:lineRule="exact"/>
            </w:pPr>
            <w:r>
              <w:t>专家技术商务分算法</w:t>
            </w:r>
          </w:p>
        </w:tc>
        <w:tc>
          <w:tcPr>
            <w:tcW w:w="13154" w:type="dxa"/>
            <w:gridSpan w:val="5"/>
            <w:vAlign w:val="center"/>
          </w:tcPr>
          <w:p>
            <w:pPr>
              <w:spacing w:line="400" w:lineRule="exact"/>
            </w:pPr>
            <w:r>
              <w:t>评标专家打分完毕后，计算各标包供应商的商务/技术分时，取专家打分的平均分作为该供应商的商务/技术得分。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5" w:type="dxa"/>
            <w:gridSpan w:val="7"/>
            <w:vAlign w:val="center"/>
          </w:tcPr>
          <w:p>
            <w:pPr>
              <w:spacing w:line="400" w:lineRule="exact"/>
            </w:pPr>
            <w:r>
              <w:t>下列评审标准适用的标包：2025-2026年档案数字化整理[2025-2026年档案数字化整理]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68" w:type="dxa"/>
            <w:gridSpan w:val="2"/>
            <w:vAlign w:val="center"/>
          </w:tcPr>
          <w:p>
            <w:pPr>
              <w:spacing w:line="400" w:lineRule="exact"/>
              <w:jc w:val="center"/>
            </w:pPr>
            <w:r>
              <w:rPr>
                <w:b/>
              </w:rPr>
              <w:t>条款号</w:t>
            </w:r>
          </w:p>
        </w:tc>
        <w:tc>
          <w:tcPr>
            <w:tcW w:w="680" w:type="dxa"/>
            <w:vAlign w:val="center"/>
          </w:tcPr>
          <w:p>
            <w:pPr>
              <w:spacing w:line="400" w:lineRule="exact"/>
              <w:jc w:val="center"/>
            </w:pPr>
            <w:r>
              <w:rPr>
                <w:b/>
              </w:rPr>
              <w:t>序号</w:t>
            </w:r>
          </w:p>
        </w:tc>
        <w:tc>
          <w:tcPr>
            <w:tcW w:w="1134" w:type="dxa"/>
            <w:vAlign w:val="center"/>
          </w:tcPr>
          <w:p>
            <w:pPr>
              <w:spacing w:line="400" w:lineRule="exact"/>
              <w:jc w:val="center"/>
            </w:pPr>
            <w:r>
              <w:rPr>
                <w:b/>
              </w:rPr>
              <w:t>评分因素</w:t>
            </w:r>
          </w:p>
        </w:tc>
        <w:tc>
          <w:tcPr>
            <w:tcW w:w="1701" w:type="dxa"/>
            <w:vAlign w:val="center"/>
          </w:tcPr>
          <w:p>
            <w:pPr>
              <w:spacing w:line="400" w:lineRule="exact"/>
              <w:jc w:val="center"/>
            </w:pPr>
            <w:r>
              <w:rPr>
                <w:b/>
              </w:rPr>
              <w:t>详细评审项</w:t>
            </w:r>
          </w:p>
        </w:tc>
        <w:tc>
          <w:tcPr>
            <w:tcW w:w="2268" w:type="dxa"/>
            <w:vAlign w:val="center"/>
          </w:tcPr>
          <w:p>
            <w:pPr>
              <w:spacing w:line="400" w:lineRule="exact"/>
              <w:jc w:val="center"/>
            </w:pPr>
            <w:r>
              <w:rPr>
                <w:b/>
              </w:rPr>
              <w:t>详细评审分项要素</w:t>
            </w:r>
          </w:p>
        </w:tc>
        <w:tc>
          <w:tcPr>
            <w:tcW w:w="1134" w:type="dxa"/>
            <w:vAlign w:val="center"/>
          </w:tcPr>
          <w:p>
            <w:pPr>
              <w:spacing w:line="400" w:lineRule="exact"/>
              <w:jc w:val="center"/>
            </w:pPr>
            <w:r>
              <w:rPr>
                <w:b/>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restart"/>
            <w:vAlign w:val="center"/>
          </w:tcPr>
          <w:p>
            <w:pPr>
              <w:spacing w:line="400" w:lineRule="exact"/>
              <w:jc w:val="center"/>
            </w:pPr>
            <w:r>
              <w:t>1（1）</w:t>
            </w:r>
          </w:p>
        </w:tc>
        <w:tc>
          <w:tcPr>
            <w:tcW w:w="1588" w:type="dxa"/>
            <w:vMerge w:val="restart"/>
            <w:vAlign w:val="center"/>
          </w:tcPr>
          <w:p>
            <w:pPr>
              <w:spacing w:line="400" w:lineRule="exact"/>
              <w:jc w:val="center"/>
            </w:pPr>
            <w:r>
              <w:t>商务评分 标准</w:t>
            </w:r>
          </w:p>
        </w:tc>
        <w:tc>
          <w:tcPr>
            <w:tcW w:w="680" w:type="dxa"/>
            <w:vAlign w:val="center"/>
          </w:tcPr>
          <w:p>
            <w:pPr>
              <w:spacing w:line="400" w:lineRule="exact"/>
              <w:jc w:val="center"/>
            </w:pPr>
            <w:r>
              <w:t>1</w:t>
            </w:r>
          </w:p>
        </w:tc>
        <w:tc>
          <w:tcPr>
            <w:tcW w:w="1134" w:type="dxa"/>
            <w:vAlign w:val="center"/>
          </w:tcPr>
          <w:p>
            <w:pPr>
              <w:spacing w:line="400" w:lineRule="exact"/>
              <w:jc w:val="center"/>
            </w:pPr>
            <w:r>
              <w:t>投标文件总体评价</w:t>
            </w:r>
          </w:p>
        </w:tc>
        <w:tc>
          <w:tcPr>
            <w:tcW w:w="1701" w:type="dxa"/>
            <w:vAlign w:val="center"/>
          </w:tcPr>
          <w:p>
            <w:pPr>
              <w:spacing w:line="400" w:lineRule="exact"/>
              <w:jc w:val="center"/>
            </w:pPr>
            <w:r>
              <w:t>投标文件总体评价</w:t>
            </w:r>
          </w:p>
        </w:tc>
        <w:tc>
          <w:tcPr>
            <w:tcW w:w="2268" w:type="dxa"/>
            <w:vAlign w:val="center"/>
          </w:tcPr>
          <w:p>
            <w:pPr>
              <w:spacing w:line="400" w:lineRule="exact"/>
              <w:jc w:val="left"/>
            </w:pPr>
            <w:r>
              <w:t>投标文件总体评价（10分）</w:t>
            </w:r>
          </w:p>
          <w:p>
            <w:pPr>
              <w:spacing w:line="400" w:lineRule="exact"/>
              <w:jc w:val="left"/>
            </w:pPr>
            <w:r>
              <w:t>横向比较各投标人：</w:t>
            </w:r>
          </w:p>
          <w:p>
            <w:pPr>
              <w:spacing w:line="400" w:lineRule="exact"/>
              <w:jc w:val="left"/>
            </w:pPr>
            <w:r>
              <w:t>A（8-10分）：编制条理清晰，结构内容严密，叙述严谨，文字精炼准确，内容结合项目实际，针对性强；</w:t>
            </w:r>
          </w:p>
          <w:p>
            <w:pPr>
              <w:spacing w:line="400" w:lineRule="exact"/>
              <w:jc w:val="left"/>
            </w:pPr>
            <w:r>
              <w:t>B（4-7分）：编制条理不够清晰，结构内容不够严密，叙述不够严谨，文字不够精炼准确，不够结合实际，针对性不强；</w:t>
            </w:r>
          </w:p>
          <w:p>
            <w:pPr>
              <w:spacing w:line="400" w:lineRule="exact"/>
              <w:jc w:val="left"/>
            </w:pPr>
            <w:r>
              <w:t>C（0-3分）：编制条例一般，结构、内容不严密，叙述完全照抄招标文件内容，文字不准确，出现错漏。</w:t>
            </w:r>
          </w:p>
        </w:tc>
        <w:tc>
          <w:tcPr>
            <w:tcW w:w="1134" w:type="dxa"/>
            <w:vAlign w:val="center"/>
          </w:tcPr>
          <w:p>
            <w:pPr>
              <w:spacing w:line="400" w:lineRule="exact"/>
              <w:jc w:val="center"/>
            </w:pPr>
            <w: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2</w:t>
            </w:r>
          </w:p>
        </w:tc>
        <w:tc>
          <w:tcPr>
            <w:tcW w:w="1134" w:type="dxa"/>
            <w:vAlign w:val="center"/>
          </w:tcPr>
          <w:p>
            <w:pPr>
              <w:spacing w:line="400" w:lineRule="exact"/>
              <w:jc w:val="center"/>
            </w:pPr>
            <w:r>
              <w:t>投标文件总体评价</w:t>
            </w:r>
          </w:p>
        </w:tc>
        <w:tc>
          <w:tcPr>
            <w:tcW w:w="1701" w:type="dxa"/>
            <w:vAlign w:val="center"/>
          </w:tcPr>
          <w:p>
            <w:pPr>
              <w:spacing w:line="400" w:lineRule="exact"/>
              <w:jc w:val="center"/>
            </w:pPr>
            <w:r>
              <w:t>财务状况</w:t>
            </w:r>
          </w:p>
        </w:tc>
        <w:tc>
          <w:tcPr>
            <w:tcW w:w="2268" w:type="dxa"/>
            <w:vAlign w:val="center"/>
          </w:tcPr>
          <w:p>
            <w:pPr>
              <w:spacing w:line="400" w:lineRule="exact"/>
              <w:jc w:val="left"/>
            </w:pPr>
            <w:r>
              <w:t>A（10分）：近三年（2022年至投标截止之日）连续盈利。</w:t>
            </w:r>
          </w:p>
          <w:p>
            <w:pPr>
              <w:spacing w:line="400" w:lineRule="exact"/>
              <w:jc w:val="left"/>
            </w:pPr>
            <w:r>
              <w:t>B（7分）：近三年内有2年盈利。</w:t>
            </w:r>
          </w:p>
          <w:p>
            <w:pPr>
              <w:spacing w:line="400" w:lineRule="exact"/>
              <w:jc w:val="left"/>
            </w:pPr>
            <w:r>
              <w:t>C（4分）：近三年内有1年盈利。</w:t>
            </w:r>
          </w:p>
          <w:p>
            <w:pPr>
              <w:spacing w:line="400" w:lineRule="exact"/>
              <w:jc w:val="left"/>
            </w:pPr>
            <w:r>
              <w:t>D（0分）：近三年内未盈利或资料不全。</w:t>
            </w:r>
          </w:p>
          <w:p>
            <w:pPr>
              <w:spacing w:line="400" w:lineRule="exact"/>
              <w:jc w:val="left"/>
            </w:pPr>
            <w:r>
              <w:t>注：需提供财务报告/报表，若成立时间不足的按成立时间提供。</w:t>
            </w:r>
          </w:p>
        </w:tc>
        <w:tc>
          <w:tcPr>
            <w:tcW w:w="1134" w:type="dxa"/>
            <w:vAlign w:val="center"/>
          </w:tcPr>
          <w:p>
            <w:pPr>
              <w:spacing w:line="400" w:lineRule="exact"/>
              <w:jc w:val="center"/>
            </w:pPr>
            <w: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3</w:t>
            </w:r>
          </w:p>
        </w:tc>
        <w:tc>
          <w:tcPr>
            <w:tcW w:w="1134" w:type="dxa"/>
            <w:vAlign w:val="center"/>
          </w:tcPr>
          <w:p>
            <w:pPr>
              <w:spacing w:line="400" w:lineRule="exact"/>
              <w:jc w:val="center"/>
            </w:pPr>
            <w:r>
              <w:t>投标文件总体评价</w:t>
            </w:r>
          </w:p>
        </w:tc>
        <w:tc>
          <w:tcPr>
            <w:tcW w:w="1701" w:type="dxa"/>
            <w:vAlign w:val="center"/>
          </w:tcPr>
          <w:p>
            <w:pPr>
              <w:spacing w:line="400" w:lineRule="exact"/>
              <w:jc w:val="center"/>
            </w:pPr>
            <w:r>
              <w:t>企业资质</w:t>
            </w:r>
          </w:p>
        </w:tc>
        <w:tc>
          <w:tcPr>
            <w:tcW w:w="2268" w:type="dxa"/>
            <w:vAlign w:val="center"/>
          </w:tcPr>
          <w:p>
            <w:pPr>
              <w:spacing w:line="400" w:lineRule="exact"/>
              <w:jc w:val="left"/>
            </w:pPr>
            <w:r>
              <w:t>1.投标人具有《信息安全管理体系认证证书》、《ISO9001质量管理体系认证证书》，认证范围包括数字化扫描内容，每项4分，满分8分；</w:t>
            </w:r>
          </w:p>
          <w:p>
            <w:pPr>
              <w:spacing w:line="400" w:lineRule="exact"/>
              <w:jc w:val="left"/>
            </w:pPr>
            <w:r>
              <w:t>2投标人具有《AAAA标准化等级认证证书》替换为 五星级 《档案产品与服务类企业认证证书》（认证范围包含档案整理、档案数字化内容）得10分。</w:t>
            </w:r>
          </w:p>
          <w:p>
            <w:pPr>
              <w:spacing w:line="400" w:lineRule="exact"/>
              <w:jc w:val="left"/>
            </w:pPr>
            <w:r>
              <w:t>3.投标人具有《ISO20000信息技术服务管理体系认证证书 》认证范围包括档案整理、档案数字化服务得10分。</w:t>
            </w:r>
          </w:p>
          <w:p>
            <w:pPr>
              <w:spacing w:line="400" w:lineRule="exact"/>
              <w:jc w:val="left"/>
            </w:pPr>
            <w:r>
              <w:t>4.投标人具有《企业信用等级证书》、《诚信示范经营认证企业》替换为五星级《售后服务认证证书》、《质量、服务、诚信AAA企业》每个得4分，满分12分。</w:t>
            </w:r>
          </w:p>
          <w:p>
            <w:pPr>
              <w:spacing w:line="400" w:lineRule="exact"/>
              <w:jc w:val="left"/>
            </w:pPr>
            <w:r>
              <w:t>注：须提供有效期内的证书复印件并加盖公章，未提供或不清晰不得分。</w:t>
            </w:r>
          </w:p>
          <w:p>
            <w:pPr>
              <w:spacing w:line="400" w:lineRule="exact"/>
              <w:jc w:val="left"/>
            </w:pPr>
            <w:r>
              <w:t>本项目最高得分40分。</w:t>
            </w:r>
          </w:p>
        </w:tc>
        <w:tc>
          <w:tcPr>
            <w:tcW w:w="1134" w:type="dxa"/>
            <w:vAlign w:val="center"/>
          </w:tcPr>
          <w:p>
            <w:pPr>
              <w:spacing w:line="400" w:lineRule="exact"/>
              <w:jc w:val="center"/>
            </w:pPr>
            <w: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4</w:t>
            </w:r>
          </w:p>
        </w:tc>
        <w:tc>
          <w:tcPr>
            <w:tcW w:w="1134" w:type="dxa"/>
            <w:vAlign w:val="center"/>
          </w:tcPr>
          <w:p>
            <w:pPr>
              <w:spacing w:line="400" w:lineRule="exact"/>
              <w:jc w:val="center"/>
            </w:pPr>
            <w:r>
              <w:t>投标文件总体评价</w:t>
            </w:r>
          </w:p>
        </w:tc>
        <w:tc>
          <w:tcPr>
            <w:tcW w:w="1701" w:type="dxa"/>
            <w:vAlign w:val="center"/>
          </w:tcPr>
          <w:p>
            <w:pPr>
              <w:spacing w:line="400" w:lineRule="exact"/>
              <w:jc w:val="center"/>
            </w:pPr>
            <w:r>
              <w:t>同类项目业绩</w:t>
            </w:r>
          </w:p>
        </w:tc>
        <w:tc>
          <w:tcPr>
            <w:tcW w:w="2268" w:type="dxa"/>
            <w:vAlign w:val="center"/>
          </w:tcPr>
          <w:p>
            <w:pPr>
              <w:spacing w:line="400" w:lineRule="exact"/>
              <w:jc w:val="left"/>
            </w:pPr>
            <w:r>
              <w:t>同类项目业绩（40分）</w:t>
            </w:r>
          </w:p>
          <w:p>
            <w:pPr>
              <w:spacing w:line="400" w:lineRule="exact"/>
              <w:jc w:val="left"/>
            </w:pPr>
            <w:r>
              <w:t>近三年（2022年至投标截止之日）具有相关档案数字化整理项目合同业绩：</w:t>
            </w:r>
          </w:p>
          <w:p>
            <w:pPr>
              <w:spacing w:line="400" w:lineRule="exact"/>
              <w:jc w:val="left"/>
            </w:pPr>
            <w:r>
              <w:t xml:space="preserve">1、合同金额在25万元（含）以上的每项6分； </w:t>
            </w:r>
          </w:p>
          <w:p>
            <w:pPr>
              <w:spacing w:line="400" w:lineRule="exact"/>
              <w:jc w:val="left"/>
            </w:pPr>
            <w:r>
              <w:t>2、合同金额在25万元（不含）以下的每项3分。</w:t>
            </w:r>
          </w:p>
          <w:p>
            <w:pPr>
              <w:spacing w:line="400" w:lineRule="exact"/>
              <w:jc w:val="left"/>
            </w:pPr>
            <w:r>
              <w:t>本项最多得40分。</w:t>
            </w:r>
          </w:p>
          <w:p>
            <w:pPr>
              <w:spacing w:line="400" w:lineRule="exact"/>
              <w:jc w:val="left"/>
            </w:pPr>
            <w:r>
              <w:t>注：需提供合同或中标/成交通知书等证明业绩的资料扫描件，证明材料时间、金额、印章等重要信息模糊不清的，视为无效材料。</w:t>
            </w:r>
          </w:p>
        </w:tc>
        <w:tc>
          <w:tcPr>
            <w:tcW w:w="1134" w:type="dxa"/>
            <w:vAlign w:val="center"/>
          </w:tcPr>
          <w:p>
            <w:pPr>
              <w:spacing w:line="400" w:lineRule="exact"/>
              <w:jc w:val="center"/>
            </w:pPr>
            <w: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restart"/>
            <w:vAlign w:val="center"/>
          </w:tcPr>
          <w:p>
            <w:pPr>
              <w:spacing w:line="400" w:lineRule="exact"/>
              <w:jc w:val="center"/>
            </w:pPr>
            <w:r>
              <w:t>1（2）</w:t>
            </w:r>
          </w:p>
        </w:tc>
        <w:tc>
          <w:tcPr>
            <w:tcW w:w="1588" w:type="dxa"/>
            <w:vMerge w:val="restart"/>
            <w:vAlign w:val="center"/>
          </w:tcPr>
          <w:p>
            <w:pPr>
              <w:spacing w:line="400" w:lineRule="exact"/>
              <w:jc w:val="center"/>
            </w:pPr>
            <w:r>
              <w:t>技术评分 标准</w:t>
            </w:r>
          </w:p>
        </w:tc>
        <w:tc>
          <w:tcPr>
            <w:tcW w:w="680" w:type="dxa"/>
            <w:vAlign w:val="center"/>
          </w:tcPr>
          <w:p>
            <w:pPr>
              <w:spacing w:line="400" w:lineRule="exact"/>
              <w:jc w:val="center"/>
            </w:pPr>
            <w:r>
              <w:t>1</w:t>
            </w:r>
          </w:p>
        </w:tc>
        <w:tc>
          <w:tcPr>
            <w:tcW w:w="1134" w:type="dxa"/>
            <w:vAlign w:val="center"/>
          </w:tcPr>
          <w:p>
            <w:pPr>
              <w:spacing w:line="400" w:lineRule="exact"/>
              <w:jc w:val="center"/>
            </w:pPr>
            <w:r>
              <w:t>对项目的理解正确、深入、全面</w:t>
            </w:r>
          </w:p>
        </w:tc>
        <w:tc>
          <w:tcPr>
            <w:tcW w:w="1701" w:type="dxa"/>
            <w:vAlign w:val="center"/>
          </w:tcPr>
          <w:p>
            <w:pPr>
              <w:spacing w:line="400" w:lineRule="exact"/>
              <w:jc w:val="center"/>
            </w:pPr>
            <w:r>
              <w:t>对项目的理解正确、深入、全面</w:t>
            </w:r>
          </w:p>
        </w:tc>
        <w:tc>
          <w:tcPr>
            <w:tcW w:w="2268" w:type="dxa"/>
            <w:vAlign w:val="center"/>
          </w:tcPr>
          <w:p>
            <w:pPr>
              <w:spacing w:line="400" w:lineRule="exact"/>
              <w:jc w:val="left"/>
            </w:pPr>
            <w:r>
              <w:t>横向对比，深刻理解项目背景、现状、目标、实施内容、项目重难点等。对中心档案管理和整理的现状分析到位，对本项目档案种类归档要求和档案数字化需求有深入了解，把握深刻理解本项目相关业务需求及特点，能较好的分析实施的难点和痛点，并能提出解决措施。</w:t>
            </w:r>
          </w:p>
          <w:p>
            <w:pPr>
              <w:spacing w:line="400" w:lineRule="exact"/>
              <w:jc w:val="left"/>
            </w:pPr>
            <w:r>
              <w:t>（1）优：得20-25分。</w:t>
            </w:r>
          </w:p>
          <w:p>
            <w:pPr>
              <w:spacing w:line="400" w:lineRule="exact"/>
              <w:jc w:val="left"/>
            </w:pPr>
            <w:r>
              <w:t>（2）良，得12-19分。</w:t>
            </w:r>
          </w:p>
          <w:p>
            <w:pPr>
              <w:spacing w:line="400" w:lineRule="exact"/>
              <w:jc w:val="left"/>
            </w:pPr>
            <w:r>
              <w:t>（3）一般，1-10分。</w:t>
            </w:r>
          </w:p>
          <w:p>
            <w:pPr>
              <w:spacing w:line="400" w:lineRule="exact"/>
              <w:jc w:val="left"/>
            </w:pPr>
            <w:r>
              <w:t>（4）其他情况或没有内容不得分。</w:t>
            </w:r>
          </w:p>
        </w:tc>
        <w:tc>
          <w:tcPr>
            <w:tcW w:w="1134" w:type="dxa"/>
            <w:vAlign w:val="center"/>
          </w:tcPr>
          <w:p>
            <w:pPr>
              <w:spacing w:line="400" w:lineRule="exact"/>
              <w:jc w:val="center"/>
            </w:pPr>
            <w:r>
              <w:t>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2</w:t>
            </w:r>
          </w:p>
        </w:tc>
        <w:tc>
          <w:tcPr>
            <w:tcW w:w="1134" w:type="dxa"/>
            <w:vAlign w:val="center"/>
          </w:tcPr>
          <w:p>
            <w:pPr>
              <w:spacing w:line="400" w:lineRule="exact"/>
              <w:jc w:val="center"/>
            </w:pPr>
            <w:r>
              <w:t>对项目的理解正确、深入、全面</w:t>
            </w:r>
          </w:p>
        </w:tc>
        <w:tc>
          <w:tcPr>
            <w:tcW w:w="1701" w:type="dxa"/>
            <w:vAlign w:val="center"/>
          </w:tcPr>
          <w:p>
            <w:pPr>
              <w:spacing w:line="400" w:lineRule="exact"/>
              <w:jc w:val="center"/>
            </w:pPr>
            <w:r>
              <w:t>总体技术方案</w:t>
            </w:r>
          </w:p>
        </w:tc>
        <w:tc>
          <w:tcPr>
            <w:tcW w:w="2268" w:type="dxa"/>
            <w:vAlign w:val="center"/>
          </w:tcPr>
          <w:p>
            <w:pPr>
              <w:spacing w:line="400" w:lineRule="exact"/>
              <w:jc w:val="left"/>
            </w:pPr>
            <w:r>
              <w:t>横向比较本项目的服务、现场支撑、培训、日常技术支持服务和响应保障服务提供的技术方案。理解和熟悉项目服务要求和内容，熟悉本项目的工作地点和环境要求，对项目重点难点的掌握明确，能提出科学、可行的解决方案，详细描述各项工作开展流程，响应保障的能力。</w:t>
            </w:r>
          </w:p>
          <w:p>
            <w:pPr>
              <w:spacing w:line="400" w:lineRule="exact"/>
              <w:jc w:val="left"/>
            </w:pPr>
            <w:r>
              <w:t>1、优秀：得30-35分；</w:t>
            </w:r>
          </w:p>
          <w:p>
            <w:pPr>
              <w:spacing w:line="400" w:lineRule="exact"/>
              <w:jc w:val="left"/>
            </w:pPr>
            <w:r>
              <w:t>2、良好：得15-29分；</w:t>
            </w:r>
          </w:p>
          <w:p>
            <w:pPr>
              <w:spacing w:line="400" w:lineRule="exact"/>
              <w:jc w:val="left"/>
            </w:pPr>
            <w:r>
              <w:t>3、一般：得1-14分；</w:t>
            </w:r>
          </w:p>
          <w:p>
            <w:pPr>
              <w:spacing w:line="400" w:lineRule="exact"/>
              <w:jc w:val="left"/>
            </w:pPr>
            <w:r>
              <w:t>4、其他情况或没有内容不得分。</w:t>
            </w:r>
          </w:p>
        </w:tc>
        <w:tc>
          <w:tcPr>
            <w:tcW w:w="1134" w:type="dxa"/>
            <w:vAlign w:val="center"/>
          </w:tcPr>
          <w:p>
            <w:pPr>
              <w:spacing w:line="400" w:lineRule="exact"/>
              <w:jc w:val="center"/>
            </w:pPr>
            <w: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3</w:t>
            </w:r>
          </w:p>
        </w:tc>
        <w:tc>
          <w:tcPr>
            <w:tcW w:w="1134" w:type="dxa"/>
            <w:vAlign w:val="center"/>
          </w:tcPr>
          <w:p>
            <w:pPr>
              <w:spacing w:line="400" w:lineRule="exact"/>
              <w:jc w:val="center"/>
            </w:pPr>
            <w:r>
              <w:t>对项目的理解正确、深入、全面</w:t>
            </w:r>
          </w:p>
        </w:tc>
        <w:tc>
          <w:tcPr>
            <w:tcW w:w="1701" w:type="dxa"/>
            <w:vAlign w:val="center"/>
          </w:tcPr>
          <w:p>
            <w:pPr>
              <w:spacing w:line="400" w:lineRule="exact"/>
              <w:jc w:val="center"/>
            </w:pPr>
            <w:r>
              <w:t>档案数据安全和应急保障措施</w:t>
            </w:r>
          </w:p>
        </w:tc>
        <w:tc>
          <w:tcPr>
            <w:tcW w:w="2268" w:type="dxa"/>
            <w:vAlign w:val="center"/>
          </w:tcPr>
          <w:p>
            <w:pPr>
              <w:spacing w:line="400" w:lineRule="exact"/>
              <w:jc w:val="left"/>
            </w:pPr>
            <w:r>
              <w:t>横向比较针对项目针对档案数字化提供数据安全保密、备份、存储、恢复等应急处置方案，是否有详细的数据安全和应急处置方案，涵盖传达机制、人员和设备调配、责任分工，而且安全和应急预案较全面，传达机制灵活及时，应急人员和设备调配及时优秀，责任清晰。</w:t>
            </w:r>
          </w:p>
          <w:p>
            <w:pPr>
              <w:spacing w:line="400" w:lineRule="exact"/>
              <w:jc w:val="left"/>
            </w:pPr>
            <w:r>
              <w:t>1、优秀：得16-20分；</w:t>
            </w:r>
          </w:p>
          <w:p>
            <w:pPr>
              <w:spacing w:line="400" w:lineRule="exact"/>
              <w:jc w:val="left"/>
            </w:pPr>
            <w:r>
              <w:t>2、良好：得11-15分；</w:t>
            </w:r>
          </w:p>
          <w:p>
            <w:pPr>
              <w:spacing w:line="400" w:lineRule="exact"/>
              <w:jc w:val="left"/>
            </w:pPr>
            <w:r>
              <w:t>3、一般：得1-10分；</w:t>
            </w:r>
          </w:p>
          <w:p>
            <w:pPr>
              <w:spacing w:line="400" w:lineRule="exact"/>
              <w:jc w:val="left"/>
            </w:pPr>
            <w:r>
              <w:t>其他情况或没有内容不得分。</w:t>
            </w:r>
          </w:p>
        </w:tc>
        <w:tc>
          <w:tcPr>
            <w:tcW w:w="1134" w:type="dxa"/>
            <w:vAlign w:val="center"/>
          </w:tcPr>
          <w:p>
            <w:pPr>
              <w:spacing w:line="400" w:lineRule="exact"/>
              <w:jc w:val="center"/>
            </w:pPr>
            <w: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4</w:t>
            </w:r>
          </w:p>
        </w:tc>
        <w:tc>
          <w:tcPr>
            <w:tcW w:w="1134" w:type="dxa"/>
            <w:vAlign w:val="center"/>
          </w:tcPr>
          <w:p>
            <w:pPr>
              <w:spacing w:line="400" w:lineRule="exact"/>
              <w:jc w:val="center"/>
            </w:pPr>
            <w:r>
              <w:t>对项目的理解正确、深入、全面</w:t>
            </w:r>
          </w:p>
        </w:tc>
        <w:tc>
          <w:tcPr>
            <w:tcW w:w="1701" w:type="dxa"/>
            <w:vAlign w:val="center"/>
          </w:tcPr>
          <w:p>
            <w:pPr>
              <w:spacing w:line="400" w:lineRule="exact"/>
              <w:jc w:val="center"/>
            </w:pPr>
            <w:r>
              <w:t>拟投入项目负责人情况</w:t>
            </w:r>
          </w:p>
        </w:tc>
        <w:tc>
          <w:tcPr>
            <w:tcW w:w="2268" w:type="dxa"/>
            <w:vAlign w:val="center"/>
          </w:tcPr>
          <w:p>
            <w:pPr>
              <w:spacing w:line="400" w:lineRule="exact"/>
              <w:jc w:val="left"/>
            </w:pPr>
            <w:r>
              <w:t>项目负责人资质</w:t>
            </w:r>
          </w:p>
          <w:p>
            <w:pPr>
              <w:spacing w:line="400" w:lineRule="exact"/>
              <w:jc w:val="left"/>
            </w:pPr>
            <w:r>
              <w:t>1.拟委派的项目负责人（仅限一名）具有高级档案管理师和保密工作人员岗位资格证书的，且担任过档案服务项目负责人工作经验的得5分，没有不得分；拟委派的项目负责人（仅限一名）人力资源和社会保障部门认可的档案专业中级职称证书、档案管理师和省级保密行政管理部门颁发的保密员资格证书的，且担任过档案服务项目负责人5年及以上工作经验的得5分，没有不得分</w:t>
            </w:r>
          </w:p>
          <w:p>
            <w:pPr>
              <w:spacing w:line="400" w:lineRule="exact"/>
              <w:jc w:val="left"/>
            </w:pPr>
          </w:p>
          <w:p>
            <w:pPr>
              <w:spacing w:line="400" w:lineRule="exact"/>
              <w:jc w:val="left"/>
            </w:pPr>
            <w:r>
              <w:t>（需要提供资格证书、投标截止日期前半年内任意连续3个月的社保证明、参与项目证明）。</w:t>
            </w:r>
          </w:p>
        </w:tc>
        <w:tc>
          <w:tcPr>
            <w:tcW w:w="1134" w:type="dxa"/>
            <w:vAlign w:val="center"/>
          </w:tcPr>
          <w:p>
            <w:pPr>
              <w:spacing w:line="400" w:lineRule="exact"/>
              <w:jc w:val="center"/>
            </w:pPr>
            <w: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680" w:type="dxa"/>
            <w:vAlign w:val="center"/>
          </w:tcPr>
          <w:p>
            <w:pPr>
              <w:spacing w:line="400" w:lineRule="exact"/>
              <w:jc w:val="center"/>
            </w:pPr>
            <w:r>
              <w:t>5</w:t>
            </w:r>
          </w:p>
        </w:tc>
        <w:tc>
          <w:tcPr>
            <w:tcW w:w="1134" w:type="dxa"/>
            <w:vAlign w:val="center"/>
          </w:tcPr>
          <w:p>
            <w:pPr>
              <w:spacing w:line="400" w:lineRule="exact"/>
              <w:jc w:val="center"/>
            </w:pPr>
            <w:r>
              <w:t>对项目的理解正确、深入、全面</w:t>
            </w:r>
          </w:p>
        </w:tc>
        <w:tc>
          <w:tcPr>
            <w:tcW w:w="1701" w:type="dxa"/>
            <w:vAlign w:val="center"/>
          </w:tcPr>
          <w:p>
            <w:pPr>
              <w:spacing w:line="400" w:lineRule="exact"/>
              <w:jc w:val="center"/>
            </w:pPr>
            <w:r>
              <w:t>拟投入项目技术团队情况</w:t>
            </w:r>
          </w:p>
        </w:tc>
        <w:tc>
          <w:tcPr>
            <w:tcW w:w="2268" w:type="dxa"/>
            <w:vAlign w:val="center"/>
          </w:tcPr>
          <w:p>
            <w:pPr>
              <w:spacing w:line="400" w:lineRule="exact"/>
              <w:jc w:val="left"/>
            </w:pPr>
            <w:r>
              <w:t xml:space="preserve"> 拟委派项目技术团队中：</w:t>
            </w:r>
          </w:p>
          <w:p>
            <w:pPr>
              <w:spacing w:line="400" w:lineRule="exact"/>
              <w:jc w:val="left"/>
            </w:pPr>
            <w:r>
              <w:t>1、具备国际PMP项目管理证书一个得2分，具备国际ACP敏捷项目管理证书一个得1分，具备有ITIL最佳IT运维实践证书一个得1分，具备全国百名最佳首席信息官荣誉的一个得1分。本分项最高得分5分；</w:t>
            </w:r>
          </w:p>
          <w:p>
            <w:pPr>
              <w:spacing w:line="400" w:lineRule="exact"/>
              <w:jc w:val="left"/>
            </w:pPr>
            <w:r>
              <w:t>技术负责人（仅限一名）具备国际PMP项目管理证书得2分，具备《注册信息安全工程师》（CISP）证书得1.5分，具备《信息安全高级工程师》证书得1.5分，本分项最高得分5分；</w:t>
            </w:r>
          </w:p>
          <w:p>
            <w:pPr>
              <w:spacing w:line="400" w:lineRule="exact"/>
              <w:jc w:val="left"/>
            </w:pPr>
            <w:r>
              <w:t>2、拟委派项目团队人员中，具有《高级档案工程师》资格证书一个得2分，具有《档案管理师》一个得1分，本分项最高分5分；</w:t>
            </w:r>
          </w:p>
          <w:p>
            <w:pPr>
              <w:spacing w:line="400" w:lineRule="exact"/>
              <w:jc w:val="left"/>
            </w:pPr>
            <w:r>
              <w:t>拟委派项目团队人员中，具有拟委派项目团队人员中，每提供一个具有省级保密行政管理部门颁发的保密员资格证书的得2分，本分项最高分6分；</w:t>
            </w:r>
          </w:p>
          <w:p>
            <w:pPr>
              <w:spacing w:line="400" w:lineRule="exact"/>
              <w:jc w:val="left"/>
            </w:pPr>
          </w:p>
          <w:p>
            <w:pPr>
              <w:spacing w:line="400" w:lineRule="exact"/>
              <w:jc w:val="left"/>
            </w:pPr>
            <w:r>
              <w:t>3.拟委派的项目团队投入人员具有相关部门颁发的档案助理馆员证书或档案业务培训证书，每提供一个得0.5分，本分项最高5分；</w:t>
            </w:r>
          </w:p>
          <w:p>
            <w:pPr>
              <w:spacing w:line="400" w:lineRule="exact"/>
              <w:jc w:val="left"/>
            </w:pPr>
            <w:r>
              <w:t>拟委派的项目团队投入人员具有人力资源和社会保障部门颁发的档案专业初级职称证书的，每提供一个得0.5分，本分项最高5分；</w:t>
            </w:r>
          </w:p>
          <w:p>
            <w:pPr>
              <w:spacing w:line="400" w:lineRule="exact"/>
              <w:jc w:val="left"/>
            </w:pPr>
            <w:r>
              <w:t>注：</w:t>
            </w:r>
          </w:p>
          <w:p>
            <w:pPr>
              <w:spacing w:line="400" w:lineRule="exact"/>
              <w:jc w:val="left"/>
            </w:pPr>
            <w:r>
              <w:t>（1）投标人须提供以上人员证书及近3个月社保缴纳凭证复印件加盖公章。未提供不得分。</w:t>
            </w:r>
          </w:p>
          <w:p>
            <w:pPr>
              <w:spacing w:line="400" w:lineRule="exact"/>
              <w:jc w:val="left"/>
            </w:pPr>
            <w:r>
              <w:t>（2）投标人须承诺以上所列人员均为实际派驻人员，项目结束前不得变更项目人员。</w:t>
            </w:r>
          </w:p>
        </w:tc>
        <w:tc>
          <w:tcPr>
            <w:tcW w:w="1134" w:type="dxa"/>
            <w:vAlign w:val="center"/>
          </w:tcPr>
          <w:p>
            <w:pPr>
              <w:spacing w:line="400" w:lineRule="exact"/>
              <w:jc w:val="center"/>
            </w:pPr>
            <w: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68" w:type="dxa"/>
            <w:gridSpan w:val="2"/>
            <w:vAlign w:val="center"/>
          </w:tcPr>
          <w:p>
            <w:pPr>
              <w:spacing w:line="400" w:lineRule="exact"/>
              <w:jc w:val="center"/>
            </w:pPr>
            <w:r>
              <w:rPr>
                <w:b/>
              </w:rPr>
              <w:t>条款号</w:t>
            </w:r>
          </w:p>
        </w:tc>
        <w:tc>
          <w:tcPr>
            <w:tcW w:w="3515" w:type="dxa"/>
            <w:gridSpan w:val="3"/>
            <w:vAlign w:val="center"/>
          </w:tcPr>
          <w:p>
            <w:pPr>
              <w:spacing w:line="400" w:lineRule="exact"/>
              <w:jc w:val="center"/>
            </w:pPr>
            <w:r>
              <w:rPr>
                <w:b/>
              </w:rPr>
              <w:t>评分要素</w:t>
            </w:r>
          </w:p>
        </w:tc>
        <w:tc>
          <w:tcPr>
            <w:tcW w:w="3402" w:type="dxa"/>
            <w:gridSpan w:val="2"/>
            <w:vAlign w:val="center"/>
          </w:tcPr>
          <w:p>
            <w:pPr>
              <w:spacing w:line="400" w:lineRule="exact"/>
              <w:jc w:val="center"/>
            </w:pPr>
            <w:r>
              <w:rPr>
                <w:b/>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restart"/>
            <w:vAlign w:val="center"/>
          </w:tcPr>
          <w:p>
            <w:pPr>
              <w:spacing w:line="400" w:lineRule="exact"/>
              <w:jc w:val="center"/>
            </w:pPr>
            <w:r>
              <w:t>1（3）</w:t>
            </w:r>
          </w:p>
        </w:tc>
        <w:tc>
          <w:tcPr>
            <w:tcW w:w="1588" w:type="dxa"/>
            <w:vMerge w:val="restart"/>
            <w:vAlign w:val="center"/>
          </w:tcPr>
          <w:p>
            <w:pPr>
              <w:spacing w:line="400" w:lineRule="exact"/>
              <w:jc w:val="center"/>
            </w:pPr>
            <w:r>
              <w:t>投标报价 评分标准</w:t>
            </w:r>
          </w:p>
        </w:tc>
        <w:tc>
          <w:tcPr>
            <w:tcW w:w="3515" w:type="dxa"/>
            <w:gridSpan w:val="3"/>
            <w:vAlign w:val="center"/>
          </w:tcPr>
          <w:p>
            <w:pPr>
              <w:spacing w:line="400" w:lineRule="exact"/>
              <w:jc w:val="center"/>
            </w:pPr>
            <w:r>
              <w:t>价格分计算方法名称</w:t>
            </w:r>
          </w:p>
        </w:tc>
        <w:tc>
          <w:tcPr>
            <w:tcW w:w="3402" w:type="dxa"/>
            <w:gridSpan w:val="2"/>
            <w:vAlign w:val="center"/>
          </w:tcPr>
          <w:p>
            <w:pPr>
              <w:spacing w:line="400" w:lineRule="exact"/>
              <w:jc w:val="left"/>
            </w:pPr>
            <w:r>
              <w:t>合理均价基准差径靶心法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3515" w:type="dxa"/>
            <w:gridSpan w:val="3"/>
            <w:vAlign w:val="center"/>
          </w:tcPr>
          <w:p>
            <w:pPr>
              <w:spacing w:line="400" w:lineRule="exact"/>
              <w:jc w:val="center"/>
            </w:pPr>
            <w:r>
              <w:t>评标基准价计算方法</w:t>
            </w:r>
          </w:p>
        </w:tc>
        <w:tc>
          <w:tcPr>
            <w:tcW w:w="3402" w:type="dxa"/>
            <w:gridSpan w:val="2"/>
            <w:vAlign w:val="center"/>
          </w:tcPr>
          <w:p>
            <w:pPr>
              <w:spacing w:line="400" w:lineRule="exact"/>
              <w:jc w:val="left"/>
            </w:pPr>
            <w:r>
              <w:t>1、进入价格分计算的投标人取技术商务加权总分排名前BP%的投标人，按比例HP%、LP%分别去掉最高、最低价格后（当排名前BP%的投标人个数少于等于L个时，根据设定的是否去掉最高最低的值判断是否去掉GH个最高和GL个最低价格后计算平均价），计算平均价作为Y平均。</w:t>
            </w:r>
          </w:p>
          <w:p>
            <w:pPr>
              <w:spacing w:line="400" w:lineRule="exact"/>
              <w:jc w:val="left"/>
            </w:pPr>
            <w:r>
              <w:t>2、计算评标基准价，Y基准＝Y平均×（1-X），X为下浮率，Y基准按四舍五入法保留两位小数。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3515" w:type="dxa"/>
            <w:gridSpan w:val="3"/>
            <w:vAlign w:val="center"/>
          </w:tcPr>
          <w:p>
            <w:pPr>
              <w:spacing w:line="400" w:lineRule="exact"/>
              <w:jc w:val="center"/>
            </w:pPr>
            <w:r>
              <w:t>价格分计算公式</w:t>
            </w:r>
          </w:p>
        </w:tc>
        <w:tc>
          <w:tcPr>
            <w:tcW w:w="3402" w:type="dxa"/>
            <w:gridSpan w:val="2"/>
            <w:vAlign w:val="center"/>
          </w:tcPr>
          <w:p>
            <w:pPr>
              <w:spacing w:line="400" w:lineRule="exact"/>
              <w:jc w:val="left"/>
            </w:pPr>
            <w:r>
              <w:t>1、Yi为某投标人的投标价格；Qi为计算得分，按四舍五入法保留两位小数。</w:t>
            </w:r>
          </w:p>
          <w:p>
            <w:pPr>
              <w:spacing w:line="400" w:lineRule="exact"/>
              <w:jc w:val="left"/>
            </w:pPr>
            <w:r>
              <w:t>2、当Yi＞Y基准，Qi＝报价满分－（Yi－Y基准）/Y基准×报价满分×RH。</w:t>
            </w:r>
          </w:p>
          <w:p>
            <w:pPr>
              <w:spacing w:line="400" w:lineRule="exact"/>
              <w:jc w:val="left"/>
            </w:pPr>
            <w:r>
              <w:t>3、当Yi=Y基准，Qi=报价满分。</w:t>
            </w:r>
          </w:p>
          <w:p>
            <w:pPr>
              <w:spacing w:line="400" w:lineRule="exact"/>
              <w:jc w:val="left"/>
            </w:pPr>
            <w:r>
              <w:t>4、当Yi＜Y基准，Qi＝报价满分－（Y基准－Yi）/Y基准×报价满分×RL。</w:t>
            </w:r>
          </w:p>
          <w:p>
            <w:pPr>
              <w:spacing w:line="400" w:lineRule="exact"/>
              <w:jc w:val="left"/>
            </w:pPr>
            <w:r>
              <w:t>5、当Qi＜0，按Qi=0分计。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3515" w:type="dxa"/>
            <w:gridSpan w:val="3"/>
            <w:vAlign w:val="center"/>
          </w:tcPr>
          <w:p>
            <w:pPr>
              <w:spacing w:line="400" w:lineRule="exact"/>
              <w:jc w:val="center"/>
            </w:pPr>
            <w:r>
              <w:t>进入价格评分厂家数量</w:t>
            </w:r>
          </w:p>
        </w:tc>
        <w:tc>
          <w:tcPr>
            <w:tcW w:w="3402" w:type="dxa"/>
            <w:gridSpan w:val="2"/>
            <w:vAlign w:val="center"/>
          </w:tcPr>
          <w:p>
            <w:pPr>
              <w:spacing w:line="400" w:lineRule="exact"/>
              <w:jc w:val="center"/>
            </w:pPr>
            <w:r>
              <w:t>本次评标不设置技术商务末位淘汰。进入技术商务评分范围的投标人全部进入价格评分。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3515" w:type="dxa"/>
            <w:gridSpan w:val="3"/>
            <w:vAlign w:val="center"/>
          </w:tcPr>
          <w:p>
            <w:pPr>
              <w:spacing w:line="400" w:lineRule="exact"/>
              <w:jc w:val="center"/>
            </w:pPr>
            <w:r>
              <w:t>下浮率</w:t>
            </w:r>
          </w:p>
        </w:tc>
        <w:tc>
          <w:tcPr>
            <w:tcW w:w="3402" w:type="dxa"/>
            <w:gridSpan w:val="2"/>
            <w:vAlign w:val="center"/>
          </w:tcPr>
          <w:p>
            <w:pPr>
              <w:spacing w:line="400" w:lineRule="exact"/>
              <w:jc w:val="center"/>
            </w:pPr>
            <w: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tc>
        <w:tc>
          <w:tcPr>
            <w:tcW w:w="1588" w:type="dxa"/>
            <w:vMerge w:val="continue"/>
          </w:tcPr>
          <w:p/>
        </w:tc>
        <w:tc>
          <w:tcPr>
            <w:tcW w:w="3515" w:type="dxa"/>
            <w:gridSpan w:val="3"/>
            <w:vMerge w:val="restart"/>
            <w:vAlign w:val="center"/>
          </w:tcPr>
          <w:p>
            <w:pPr>
              <w:spacing w:line="400" w:lineRule="exact"/>
              <w:jc w:val="center"/>
            </w:pPr>
            <w:r>
              <w:t>参数设置</w:t>
            </w:r>
          </w:p>
        </w:tc>
        <w:tc>
          <w:tcPr>
            <w:tcW w:w="2268" w:type="dxa"/>
          </w:tcPr>
          <w:p>
            <w:pPr>
              <w:spacing w:line="400" w:lineRule="exact"/>
              <w:jc w:val="center"/>
            </w:pPr>
            <w:r>
              <w:t>RL</w:t>
            </w:r>
          </w:p>
        </w:tc>
        <w:tc>
          <w:tcPr>
            <w:tcW w:w="1134" w:type="dxa"/>
          </w:tcPr>
          <w:p>
            <w:pPr>
              <w:spacing w:line="400" w:lineRule="exact"/>
              <w:jc w:val="center"/>
            </w:pPr>
            <w:r>
              <w:rPr>
                <w:b w:val="0"/>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tc>
        <w:tc>
          <w:tcPr>
            <w:tcW w:w="1588" w:type="dxa"/>
            <w:vMerge w:val="continue"/>
          </w:tcPr>
          <w:p/>
        </w:tc>
        <w:tc>
          <w:tcPr>
            <w:tcW w:w="3515" w:type="dxa"/>
            <w:gridSpan w:val="3"/>
            <w:vMerge w:val="continue"/>
            <w:vAlign w:val="center"/>
          </w:tcPr>
          <w:p/>
        </w:tc>
        <w:tc>
          <w:tcPr>
            <w:tcW w:w="2268" w:type="dxa"/>
          </w:tcPr>
          <w:p>
            <w:pPr>
              <w:spacing w:line="400" w:lineRule="exact"/>
              <w:jc w:val="center"/>
            </w:pPr>
            <w:r>
              <w:t>RH</w:t>
            </w:r>
          </w:p>
        </w:tc>
        <w:tc>
          <w:tcPr>
            <w:tcW w:w="1134" w:type="dxa"/>
          </w:tcPr>
          <w:p>
            <w:pPr>
              <w:spacing w:line="400" w:lineRule="exact"/>
              <w:jc w:val="center"/>
            </w:pPr>
            <w:r>
              <w:rPr>
                <w:b w:val="0"/>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tc>
        <w:tc>
          <w:tcPr>
            <w:tcW w:w="1588" w:type="dxa"/>
            <w:vMerge w:val="continue"/>
          </w:tcPr>
          <w:p/>
        </w:tc>
        <w:tc>
          <w:tcPr>
            <w:tcW w:w="3515" w:type="dxa"/>
            <w:gridSpan w:val="3"/>
            <w:vMerge w:val="continue"/>
            <w:vAlign w:val="center"/>
          </w:tcPr>
          <w:p/>
        </w:tc>
        <w:tc>
          <w:tcPr>
            <w:tcW w:w="2268" w:type="dxa"/>
          </w:tcPr>
          <w:p>
            <w:pPr>
              <w:spacing w:line="400" w:lineRule="exact"/>
              <w:jc w:val="center"/>
            </w:pPr>
            <w:r>
              <w:t>BP</w:t>
            </w:r>
          </w:p>
        </w:tc>
        <w:tc>
          <w:tcPr>
            <w:tcW w:w="1134" w:type="dxa"/>
          </w:tcPr>
          <w:p>
            <w:pPr>
              <w:spacing w:line="400" w:lineRule="exact"/>
              <w:jc w:val="center"/>
            </w:pPr>
            <w:r>
              <w:rPr>
                <w:b w:val="0"/>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tc>
        <w:tc>
          <w:tcPr>
            <w:tcW w:w="1588" w:type="dxa"/>
            <w:vMerge w:val="continue"/>
          </w:tcPr>
          <w:p/>
        </w:tc>
        <w:tc>
          <w:tcPr>
            <w:tcW w:w="3515" w:type="dxa"/>
            <w:gridSpan w:val="3"/>
            <w:vMerge w:val="continue"/>
            <w:vAlign w:val="center"/>
          </w:tcPr>
          <w:p/>
        </w:tc>
        <w:tc>
          <w:tcPr>
            <w:tcW w:w="2268" w:type="dxa"/>
          </w:tcPr>
          <w:p>
            <w:pPr>
              <w:spacing w:line="400" w:lineRule="exact"/>
              <w:jc w:val="center"/>
            </w:pPr>
            <w:r>
              <w:t>HP</w:t>
            </w:r>
          </w:p>
        </w:tc>
        <w:tc>
          <w:tcPr>
            <w:tcW w:w="1134" w:type="dxa"/>
          </w:tcPr>
          <w:p>
            <w:pPr>
              <w:spacing w:line="400" w:lineRule="exact"/>
              <w:jc w:val="center"/>
            </w:pPr>
            <w:r>
              <w:rPr>
                <w:b w:val="0"/>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tc>
        <w:tc>
          <w:tcPr>
            <w:tcW w:w="1588" w:type="dxa"/>
            <w:vMerge w:val="continue"/>
          </w:tcPr>
          <w:p/>
        </w:tc>
        <w:tc>
          <w:tcPr>
            <w:tcW w:w="3515" w:type="dxa"/>
            <w:gridSpan w:val="3"/>
            <w:vMerge w:val="continue"/>
            <w:vAlign w:val="center"/>
          </w:tcPr>
          <w:p/>
        </w:tc>
        <w:tc>
          <w:tcPr>
            <w:tcW w:w="2268" w:type="dxa"/>
          </w:tcPr>
          <w:p>
            <w:pPr>
              <w:spacing w:line="400" w:lineRule="exact"/>
              <w:jc w:val="center"/>
            </w:pPr>
            <w:r>
              <w:t>LP</w:t>
            </w:r>
          </w:p>
        </w:tc>
        <w:tc>
          <w:tcPr>
            <w:tcW w:w="1134" w:type="dxa"/>
          </w:tcPr>
          <w:p>
            <w:pPr>
              <w:spacing w:line="400" w:lineRule="exact"/>
              <w:jc w:val="center"/>
            </w:pPr>
            <w:r>
              <w:rPr>
                <w:b w:val="0"/>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tc>
        <w:tc>
          <w:tcPr>
            <w:tcW w:w="1588" w:type="dxa"/>
            <w:vMerge w:val="continue"/>
          </w:tcPr>
          <w:p/>
        </w:tc>
        <w:tc>
          <w:tcPr>
            <w:tcW w:w="3515" w:type="dxa"/>
            <w:gridSpan w:val="3"/>
            <w:vMerge w:val="continue"/>
            <w:vAlign w:val="center"/>
          </w:tcPr>
          <w:p/>
        </w:tc>
        <w:tc>
          <w:tcPr>
            <w:tcW w:w="2268" w:type="dxa"/>
          </w:tcPr>
          <w:p>
            <w:pPr>
              <w:spacing w:line="400" w:lineRule="exact"/>
              <w:jc w:val="center"/>
            </w:pPr>
            <w:r>
              <w:t>L</w:t>
            </w:r>
          </w:p>
        </w:tc>
        <w:tc>
          <w:tcPr>
            <w:tcW w:w="1134" w:type="dxa"/>
          </w:tcPr>
          <w:p>
            <w:pPr>
              <w:spacing w:line="400" w:lineRule="exact"/>
              <w:jc w:val="center"/>
            </w:pPr>
            <w:r>
              <w:rPr>
                <w:b w:val="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tc>
        <w:tc>
          <w:tcPr>
            <w:tcW w:w="1588" w:type="dxa"/>
            <w:vMerge w:val="continue"/>
          </w:tcPr>
          <w:p/>
        </w:tc>
        <w:tc>
          <w:tcPr>
            <w:tcW w:w="3515" w:type="dxa"/>
            <w:gridSpan w:val="3"/>
            <w:vMerge w:val="continue"/>
            <w:vAlign w:val="center"/>
          </w:tcPr>
          <w:p/>
        </w:tc>
        <w:tc>
          <w:tcPr>
            <w:tcW w:w="2268" w:type="dxa"/>
          </w:tcPr>
          <w:p>
            <w:pPr>
              <w:spacing w:line="400" w:lineRule="exact"/>
              <w:jc w:val="center"/>
            </w:pPr>
            <w:r>
              <w:t>若排名前BP%的供应商数量小于等于L值，是否去掉最高最低</w:t>
            </w:r>
          </w:p>
        </w:tc>
        <w:tc>
          <w:tcPr>
            <w:tcW w:w="1134" w:type="dxa"/>
          </w:tcPr>
          <w:p>
            <w:pPr>
              <w:spacing w:line="400" w:lineRule="exact"/>
              <w:jc w:val="center"/>
            </w:pPr>
            <w:r>
              <w:rPr>
                <w:b w:val="0"/>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tc>
        <w:tc>
          <w:tcPr>
            <w:tcW w:w="1588" w:type="dxa"/>
            <w:vMerge w:val="continue"/>
          </w:tcPr>
          <w:p/>
        </w:tc>
        <w:tc>
          <w:tcPr>
            <w:tcW w:w="3515" w:type="dxa"/>
            <w:gridSpan w:val="3"/>
            <w:vAlign w:val="center"/>
          </w:tcPr>
          <w:p>
            <w:pPr>
              <w:spacing w:line="400" w:lineRule="exact"/>
              <w:jc w:val="center"/>
            </w:pPr>
            <w:r>
              <w:t>参数设置说明</w:t>
            </w:r>
          </w:p>
        </w:tc>
        <w:tc>
          <w:tcPr>
            <w:tcW w:w="3402" w:type="dxa"/>
            <w:gridSpan w:val="2"/>
            <w:vAlign w:val="center"/>
          </w:tcPr>
          <w:p>
            <w:pPr>
              <w:spacing w:line="400" w:lineRule="exact"/>
            </w:pPr>
            <w:r>
              <w:t>1、BP%为技术商务分排名靠前的比例，BP%缺省值为80%，进入价格分计算的投标人数量向上取整。</w:t>
            </w:r>
          </w:p>
          <w:p>
            <w:pPr>
              <w:spacing w:line="400" w:lineRule="exact"/>
            </w:pPr>
            <w:r>
              <w:t>2、HP%去掉最高价的比例，HP%缺省值为10%，计算结果按四舍五入方法取整。</w:t>
            </w:r>
          </w:p>
          <w:p>
            <w:pPr>
              <w:spacing w:line="400" w:lineRule="exact"/>
            </w:pPr>
            <w:r>
              <w:t>3、LP%为去掉最低价的比例，LP%缺省值为10%，计算结果按四舍五入方法取整。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pPr>
              <w:spacing w:line="400" w:lineRule="exact"/>
            </w:pPr>
            <w:r>
              <w:t>2（1）</w:t>
            </w:r>
          </w:p>
        </w:tc>
        <w:tc>
          <w:tcPr>
            <w:tcW w:w="1588" w:type="dxa"/>
            <w:vAlign w:val="center"/>
          </w:tcPr>
          <w:p>
            <w:pPr>
              <w:spacing w:line="400" w:lineRule="exact"/>
            </w:pPr>
            <w:r>
              <w:t>专家技术商务分算法</w:t>
            </w:r>
          </w:p>
        </w:tc>
        <w:tc>
          <w:tcPr>
            <w:tcW w:w="13154" w:type="dxa"/>
            <w:gridSpan w:val="5"/>
            <w:vAlign w:val="center"/>
          </w:tcPr>
          <w:p>
            <w:pPr>
              <w:spacing w:line="400" w:lineRule="exact"/>
            </w:pPr>
            <w:r>
              <w:t>评标专家打分完毕后，计算各标包供应商的商务/技术分时，取专家打分的平均分作为该供应商的商务/技术得分。</w:t>
            </w:r>
          </w:p>
        </w:tc>
      </w:tr>
      <w:bookmarkEnd w:id="63"/>
    </w:tbl>
    <w:p/>
    <w:p>
      <w:pPr>
        <w:adjustRightInd w:val="0"/>
        <w:snapToGrid w:val="0"/>
        <w:spacing w:line="360" w:lineRule="auto"/>
        <w:ind w:left="284"/>
        <w:outlineLvl w:val="9"/>
        <w:rPr>
          <w:rFonts w:ascii="宋体" w:hAnsi="宋体" w:cs="宋体"/>
          <w:i w:val="0"/>
          <w:iCs w:val="0"/>
          <w:color w:val="auto"/>
          <w:kern w:val="0"/>
          <w:sz w:val="18"/>
          <w:szCs w:val="18"/>
          <w:highlight w:val="none"/>
        </w:rPr>
      </w:pPr>
      <w:r>
        <w:rPr>
          <w:rFonts w:hint="eastAsia" w:ascii="宋体" w:hAnsi="宋体"/>
          <w:i w:val="0"/>
          <w:iCs w:val="0"/>
          <w:color w:val="auto"/>
          <w:kern w:val="0"/>
          <w:sz w:val="18"/>
          <w:szCs w:val="18"/>
          <w:highlight w:val="none"/>
          <w:lang w:val="en-US" w:eastAsia="zh-CN"/>
        </w:rPr>
        <w:t>备</w:t>
      </w:r>
      <w:r>
        <w:rPr>
          <w:rFonts w:hint="eastAsia" w:ascii="宋体" w:hAnsi="宋体"/>
          <w:i w:val="0"/>
          <w:iCs w:val="0"/>
          <w:color w:val="auto"/>
          <w:kern w:val="0"/>
          <w:sz w:val="18"/>
          <w:szCs w:val="18"/>
          <w:highlight w:val="none"/>
        </w:rPr>
        <w:t>注：</w:t>
      </w:r>
    </w:p>
    <w:p>
      <w:pPr>
        <w:pStyle w:val="21"/>
        <w:spacing w:line="240" w:lineRule="auto"/>
        <w:ind w:firstLine="240"/>
        <w:outlineLvl w:val="9"/>
        <w:rPr>
          <w:rFonts w:hint="default"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w:t>
      </w:r>
      <w:r>
        <w:rPr>
          <w:rFonts w:hint="eastAsia" w:ascii="宋体" w:hAnsi="宋体" w:cs="宋体"/>
          <w:b w:val="0"/>
          <w:bCs w:val="0"/>
          <w:i w:val="0"/>
          <w:iCs w:val="0"/>
          <w:color w:val="auto"/>
          <w:sz w:val="21"/>
          <w:szCs w:val="21"/>
          <w:highlight w:val="none"/>
          <w:lang w:val="en-US" w:eastAsia="zh-CN"/>
        </w:rPr>
        <w:t>3</w:t>
      </w:r>
      <w:r>
        <w:rPr>
          <w:rFonts w:hint="eastAsia" w:ascii="宋体" w:hAnsi="宋体" w:eastAsia="宋体" w:cs="宋体"/>
          <w:b w:val="0"/>
          <w:bCs w:val="0"/>
          <w:i w:val="0"/>
          <w:iCs w:val="0"/>
          <w:color w:val="auto"/>
          <w:sz w:val="21"/>
          <w:szCs w:val="21"/>
          <w:highlight w:val="none"/>
          <w:lang w:val="en-US" w:eastAsia="zh-CN"/>
        </w:rPr>
        <w:t>）分值构成</w:t>
      </w:r>
    </w:p>
    <w:p>
      <w:pPr>
        <w:pStyle w:val="21"/>
        <w:spacing w:line="240" w:lineRule="auto"/>
        <w:ind w:firstLine="240"/>
        <w:jc w:val="center"/>
        <w:outlineLvl w:val="9"/>
        <w:rPr>
          <w:rFonts w:hint="eastAsia" w:ascii="宋体" w:hAnsi="宋体" w:eastAsia="宋体" w:cs="宋体"/>
          <w:b w:val="0"/>
          <w:bCs w:val="0"/>
          <w:i w:val="0"/>
          <w:iCs w:val="0"/>
          <w:color w:val="auto"/>
          <w:sz w:val="21"/>
          <w:szCs w:val="21"/>
          <w:highlight w:val="none"/>
          <w:lang w:val="en-US" w:eastAsia="zh-CN"/>
        </w:rPr>
      </w:pPr>
      <w:bookmarkStart w:id="64" w:name="PO_74D7D5637BAD4CE5B171042906FE3D04_2"/>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1789"/>
        <w:gridCol w:w="1363"/>
        <w:gridCol w:w="1363"/>
        <w:gridCol w:w="1364"/>
        <w:gridCol w:w="22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 w:type="pct"/>
            <w:vMerge w:val="restart"/>
            <w:vAlign w:val="center"/>
          </w:tcPr>
          <w:p>
            <w:pPr>
              <w:jc w:val="center"/>
            </w:pPr>
            <w:r>
              <w:rPr>
                <w:b/>
              </w:rPr>
              <w:t>序号</w:t>
            </w:r>
          </w:p>
        </w:tc>
        <w:tc>
          <w:tcPr>
            <w:tcW w:w="1050" w:type="pct"/>
            <w:vMerge w:val="restart"/>
            <w:vAlign w:val="center"/>
          </w:tcPr>
          <w:p>
            <w:pPr>
              <w:jc w:val="center"/>
            </w:pPr>
            <w:r>
              <w:rPr>
                <w:b/>
              </w:rPr>
              <w:t>标的/标包</w:t>
            </w:r>
          </w:p>
        </w:tc>
        <w:tc>
          <w:tcPr>
            <w:tcW w:w="2400" w:type="pct"/>
            <w:gridSpan w:val="3"/>
            <w:vAlign w:val="center"/>
          </w:tcPr>
          <w:p>
            <w:pPr>
              <w:jc w:val="center"/>
            </w:pPr>
            <w:r>
              <w:rPr>
                <w:b/>
              </w:rPr>
              <w:t>分值权重</w:t>
            </w:r>
          </w:p>
        </w:tc>
        <w:tc>
          <w:tcPr>
            <w:tcW w:w="1300" w:type="pct"/>
            <w:vMerge w:val="restart"/>
            <w:vAlign w:val="center"/>
          </w:tcPr>
          <w:p>
            <w:pPr>
              <w:jc w:val="center"/>
            </w:pPr>
            <w:r>
              <w:rPr>
                <w:b/>
              </w:rPr>
              <w:t>价格分计算方法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 w:type="pct"/>
            <w:vMerge w:val="continue"/>
          </w:tcPr>
          <w:p/>
        </w:tc>
        <w:tc>
          <w:tcPr>
            <w:tcW w:w="1050" w:type="pct"/>
            <w:vMerge w:val="continue"/>
          </w:tcPr>
          <w:p/>
        </w:tc>
        <w:tc>
          <w:tcPr>
            <w:tcW w:w="800" w:type="pct"/>
            <w:vAlign w:val="center"/>
          </w:tcPr>
          <w:p>
            <w:pPr>
              <w:jc w:val="center"/>
            </w:pPr>
            <w:r>
              <w:rPr>
                <w:b/>
              </w:rPr>
              <w:t>商务分</w:t>
            </w:r>
          </w:p>
        </w:tc>
        <w:tc>
          <w:tcPr>
            <w:tcW w:w="800" w:type="pct"/>
            <w:vAlign w:val="center"/>
          </w:tcPr>
          <w:p>
            <w:pPr>
              <w:jc w:val="center"/>
            </w:pPr>
            <w:r>
              <w:rPr>
                <w:b/>
              </w:rPr>
              <w:t>技术分</w:t>
            </w:r>
          </w:p>
        </w:tc>
        <w:tc>
          <w:tcPr>
            <w:tcW w:w="800" w:type="pct"/>
            <w:vAlign w:val="center"/>
          </w:tcPr>
          <w:p>
            <w:pPr>
              <w:jc w:val="center"/>
            </w:pPr>
            <w:r>
              <w:rPr>
                <w:b/>
              </w:rPr>
              <w:t>价格分</w:t>
            </w:r>
          </w:p>
        </w:tc>
        <w:tc>
          <w:tcPr>
            <w:tcW w:w="1300" w:type="pct"/>
            <w:vMerge w:val="continue"/>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 w:type="pct"/>
            <w:shd w:val="clear" w:color="auto" w:fill="FFFFFF"/>
            <w:vAlign w:val="center"/>
          </w:tcPr>
          <w:p>
            <w:pPr>
              <w:jc w:val="center"/>
            </w:pPr>
            <w:r>
              <w:t>1</w:t>
            </w:r>
          </w:p>
        </w:tc>
        <w:tc>
          <w:tcPr>
            <w:tcW w:w="1050" w:type="pct"/>
            <w:shd w:val="clear" w:color="auto" w:fill="FFFFFF"/>
            <w:vAlign w:val="center"/>
          </w:tcPr>
          <w:p>
            <w:pPr>
              <w:jc w:val="center"/>
            </w:pPr>
            <w:r>
              <w:t>2025-2026年综合测评系统技术服务支持[2025-2026年综合测评系统技术服务支持]</w:t>
            </w:r>
          </w:p>
        </w:tc>
        <w:tc>
          <w:tcPr>
            <w:tcW w:w="800" w:type="pct"/>
            <w:shd w:val="clear" w:color="auto" w:fill="FFFFFF"/>
            <w:vAlign w:val="center"/>
          </w:tcPr>
          <w:p>
            <w:pPr>
              <w:jc w:val="center"/>
            </w:pPr>
            <w:r>
              <w:t>30.0%</w:t>
            </w:r>
          </w:p>
        </w:tc>
        <w:tc>
          <w:tcPr>
            <w:tcW w:w="800" w:type="pct"/>
            <w:shd w:val="clear" w:color="auto" w:fill="FFFFFF"/>
            <w:vAlign w:val="center"/>
          </w:tcPr>
          <w:p>
            <w:pPr>
              <w:jc w:val="center"/>
            </w:pPr>
            <w:r>
              <w:t>40.0%</w:t>
            </w:r>
          </w:p>
        </w:tc>
        <w:tc>
          <w:tcPr>
            <w:tcW w:w="800" w:type="pct"/>
            <w:shd w:val="clear" w:color="auto" w:fill="FFFFFF"/>
            <w:vAlign w:val="center"/>
          </w:tcPr>
          <w:p>
            <w:pPr>
              <w:jc w:val="center"/>
            </w:pPr>
            <w:r>
              <w:t>30.0%</w:t>
            </w:r>
          </w:p>
        </w:tc>
        <w:tc>
          <w:tcPr>
            <w:tcW w:w="1300" w:type="pct"/>
            <w:shd w:val="clear" w:color="auto" w:fill="FFFFFF"/>
            <w:vAlign w:val="center"/>
          </w:tcPr>
          <w:p>
            <w:pPr>
              <w:jc w:val="center"/>
            </w:pPr>
            <w:r>
              <w:t>合理均价基准差径靶心法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 w:type="pct"/>
            <w:shd w:val="clear" w:color="auto" w:fill="FFFFFF"/>
            <w:vAlign w:val="center"/>
          </w:tcPr>
          <w:p>
            <w:pPr>
              <w:jc w:val="center"/>
            </w:pPr>
            <w:r>
              <w:t>2</w:t>
            </w:r>
          </w:p>
        </w:tc>
        <w:tc>
          <w:tcPr>
            <w:tcW w:w="1050" w:type="pct"/>
            <w:shd w:val="clear" w:color="auto" w:fill="FFFFFF"/>
            <w:vAlign w:val="center"/>
          </w:tcPr>
          <w:p>
            <w:pPr>
              <w:jc w:val="center"/>
            </w:pPr>
            <w:r>
              <w:t>2025-2026年档案数字化整理[2025-2026年档案数字化整理]</w:t>
            </w:r>
          </w:p>
        </w:tc>
        <w:tc>
          <w:tcPr>
            <w:tcW w:w="800" w:type="pct"/>
            <w:shd w:val="clear" w:color="auto" w:fill="FFFFFF"/>
            <w:vAlign w:val="center"/>
          </w:tcPr>
          <w:p>
            <w:pPr>
              <w:jc w:val="center"/>
            </w:pPr>
            <w:r>
              <w:t>20.0%</w:t>
            </w:r>
          </w:p>
        </w:tc>
        <w:tc>
          <w:tcPr>
            <w:tcW w:w="800" w:type="pct"/>
            <w:shd w:val="clear" w:color="auto" w:fill="FFFFFF"/>
            <w:vAlign w:val="center"/>
          </w:tcPr>
          <w:p>
            <w:pPr>
              <w:jc w:val="center"/>
            </w:pPr>
            <w:r>
              <w:t>40.0%</w:t>
            </w:r>
          </w:p>
        </w:tc>
        <w:tc>
          <w:tcPr>
            <w:tcW w:w="800" w:type="pct"/>
            <w:shd w:val="clear" w:color="auto" w:fill="FFFFFF"/>
            <w:vAlign w:val="center"/>
          </w:tcPr>
          <w:p>
            <w:pPr>
              <w:jc w:val="center"/>
            </w:pPr>
            <w:r>
              <w:t>40.0%</w:t>
            </w:r>
          </w:p>
        </w:tc>
        <w:tc>
          <w:tcPr>
            <w:tcW w:w="1300" w:type="pct"/>
            <w:shd w:val="clear" w:color="auto" w:fill="FFFFFF"/>
            <w:vAlign w:val="center"/>
          </w:tcPr>
          <w:p>
            <w:pPr>
              <w:jc w:val="center"/>
            </w:pPr>
            <w:r>
              <w:t>合理均价基准差径靶心法</w:t>
            </w:r>
          </w:p>
        </w:tc>
      </w:tr>
      <w:bookmarkEnd w:id="64"/>
    </w:tbl>
    <w:p/>
    <w:p>
      <w:pPr>
        <w:pStyle w:val="21"/>
        <w:spacing w:line="240" w:lineRule="auto"/>
        <w:ind w:firstLine="240"/>
        <w:outlineLvl w:val="9"/>
        <w:rPr>
          <w:rFonts w:hint="default"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（4）成交推荐原则</w:t>
      </w:r>
    </w:p>
    <w:p>
      <w:pPr>
        <w:pStyle w:val="21"/>
        <w:spacing w:line="240" w:lineRule="auto"/>
        <w:ind w:firstLine="240"/>
        <w:jc w:val="left"/>
        <w:outlineLvl w:val="9"/>
        <w:rPr>
          <w:rFonts w:hint="eastAsia" w:ascii="黑体" w:hAnsi="黑体" w:eastAsia="黑体" w:cs="黑体"/>
          <w:i w:val="0"/>
          <w:iCs w:val="0"/>
          <w:color w:val="auto"/>
          <w:sz w:val="28"/>
          <w:szCs w:val="28"/>
          <w:highlight w:val="none"/>
        </w:rPr>
      </w:pPr>
      <w:bookmarkStart w:id="65" w:name="TXT_B9F534E1F856422F991CA0A75D8231F6_2"/>
      <w:r>
        <w:rPr>
          <w:rFonts w:hint="eastAsia" w:ascii="宋体" w:hAnsi="宋体" w:eastAsia="宋体" w:cs="宋体"/>
          <w:b w:val="0"/>
          <w:bCs w:val="0"/>
          <w:i w:val="0"/>
          <w:iCs w:val="0"/>
          <w:color w:val="auto"/>
          <w:sz w:val="21"/>
          <w:szCs w:val="21"/>
          <w:highlight w:val="none"/>
          <w:u w:val="single"/>
          <w:lang w:val="en-US" w:eastAsia="zh-CN"/>
        </w:rPr>
        <w:t>本项目推荐综合评分排名第一的投标单位为第一中标候选人，在综合分相同的情况下，推荐报价低者为中标候选人，所有标包可以兼中。</w:t>
      </w:r>
      <w:bookmarkEnd w:id="65"/>
      <w:r>
        <w:br w:type="page"/>
      </w:r>
    </w:p>
    <w:p>
      <w:pPr>
        <w:spacing w:before="0" w:after="0" w:line="360" w:lineRule="auto"/>
        <w:jc w:val="both"/>
        <w:outlineLvl w:val="9"/>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1 评审方法</w:t>
      </w:r>
    </w:p>
    <w:p>
      <w:pPr>
        <w:adjustRightInd w:val="0"/>
        <w:snapToGrid w:val="0"/>
        <w:spacing w:line="360" w:lineRule="auto"/>
        <w:ind w:firstLine="420" w:firstLineChars="200"/>
        <w:outlineLvl w:val="9"/>
        <w:rPr>
          <w:rFonts w:ascii="宋体" w:hAnsi="宋体"/>
          <w:color w:val="auto"/>
          <w:highlight w:val="none"/>
        </w:rPr>
      </w:pPr>
      <w:r>
        <w:rPr>
          <w:rFonts w:hint="eastAsia" w:ascii="宋体" w:hAnsi="宋体"/>
          <w:color w:val="auto"/>
          <w:highlight w:val="none"/>
        </w:rPr>
        <w:t>本次评审采用综合评估法。采购工作组对满足采购文件实质性要求的响应文件，按照本章第3款规定的评分标准进行打分，并按得分由高到低顺序推荐成交候选人。</w:t>
      </w:r>
      <w:bookmarkStart w:id="66" w:name="_Toc3400"/>
      <w:bookmarkEnd w:id="66"/>
    </w:p>
    <w:p>
      <w:pPr>
        <w:spacing w:before="0" w:after="0" w:line="360" w:lineRule="auto"/>
        <w:jc w:val="both"/>
        <w:outlineLvl w:val="9"/>
        <w:rPr>
          <w:rFonts w:ascii="黑体" w:hAnsi="黑体" w:eastAsia="黑体" w:cs="黑体"/>
          <w:color w:val="auto"/>
          <w:sz w:val="28"/>
          <w:szCs w:val="28"/>
          <w:highlight w:val="none"/>
        </w:rPr>
      </w:pPr>
      <w:bookmarkStart w:id="67" w:name="_Toc53945711"/>
      <w:bookmarkStart w:id="68" w:name="_Toc12472"/>
      <w:bookmarkStart w:id="69" w:name="_Toc4546"/>
      <w:r>
        <w:rPr>
          <w:rFonts w:hint="eastAsia" w:ascii="黑体" w:hAnsi="黑体" w:eastAsia="黑体" w:cs="黑体"/>
          <w:color w:val="auto"/>
          <w:sz w:val="28"/>
          <w:szCs w:val="28"/>
          <w:highlight w:val="none"/>
        </w:rPr>
        <w:t>2</w:t>
      </w:r>
      <w:r>
        <w:rPr>
          <w:rFonts w:hint="eastAsia" w:ascii="黑体" w:hAnsi="黑体" w:eastAsia="黑体" w:cs="黑体"/>
          <w:color w:val="auto"/>
          <w:sz w:val="28"/>
          <w:szCs w:val="28"/>
          <w:highlight w:val="none"/>
          <w:lang w:val="en-US" w:eastAsia="zh-CN"/>
        </w:rPr>
        <w:t xml:space="preserve"> </w:t>
      </w:r>
      <w:r>
        <w:rPr>
          <w:rFonts w:hint="eastAsia" w:ascii="黑体" w:hAnsi="黑体" w:eastAsia="黑体" w:cs="黑体"/>
          <w:color w:val="auto"/>
          <w:sz w:val="28"/>
          <w:szCs w:val="28"/>
          <w:highlight w:val="none"/>
        </w:rPr>
        <w:t>初步评审标准和程序</w:t>
      </w:r>
      <w:bookmarkEnd w:id="67"/>
      <w:bookmarkEnd w:id="68"/>
      <w:bookmarkEnd w:id="69"/>
    </w:p>
    <w:p>
      <w:pPr>
        <w:spacing w:line="360" w:lineRule="auto"/>
        <w:outlineLvl w:val="9"/>
        <w:rPr>
          <w:rFonts w:ascii="黑体" w:hAnsi="黑体" w:eastAsia="黑体" w:cs="黑体"/>
          <w:color w:val="auto"/>
          <w:sz w:val="24"/>
          <w:szCs w:val="24"/>
          <w:highlight w:val="none"/>
        </w:rPr>
      </w:pPr>
      <w:bookmarkStart w:id="70" w:name="_Toc53945712"/>
      <w:r>
        <w:rPr>
          <w:rFonts w:hint="eastAsia" w:ascii="黑体" w:hAnsi="黑体" w:eastAsia="黑体" w:cs="黑体"/>
          <w:color w:val="auto"/>
          <w:sz w:val="24"/>
          <w:szCs w:val="24"/>
          <w:highlight w:val="none"/>
        </w:rPr>
        <w:t>2.1初步评审标准</w:t>
      </w:r>
      <w:bookmarkEnd w:id="70"/>
    </w:p>
    <w:p>
      <w:pPr>
        <w:pStyle w:val="27"/>
        <w:tabs>
          <w:tab w:val="left" w:pos="1200"/>
        </w:tabs>
        <w:adjustRightInd w:val="0"/>
        <w:snapToGrid w:val="0"/>
        <w:ind w:left="0" w:firstLine="420" w:firstLineChars="200"/>
        <w:outlineLvl w:val="9"/>
        <w:rPr>
          <w:rFonts w:ascii="宋体" w:hAnsi="宋体"/>
          <w:color w:val="auto"/>
          <w:sz w:val="21"/>
          <w:highlight w:val="none"/>
        </w:rPr>
      </w:pPr>
      <w:r>
        <w:rPr>
          <w:rFonts w:hint="eastAsia" w:ascii="宋体" w:hAnsi="宋体"/>
          <w:color w:val="auto"/>
          <w:sz w:val="21"/>
          <w:highlight w:val="none"/>
        </w:rPr>
        <w:t>2.1.1形式评审标准：见评审办法前附表。</w:t>
      </w:r>
    </w:p>
    <w:p>
      <w:pPr>
        <w:pStyle w:val="27"/>
        <w:tabs>
          <w:tab w:val="left" w:pos="1200"/>
        </w:tabs>
        <w:adjustRightInd w:val="0"/>
        <w:snapToGrid w:val="0"/>
        <w:ind w:left="0" w:firstLine="420" w:firstLineChars="200"/>
        <w:outlineLvl w:val="9"/>
        <w:rPr>
          <w:rFonts w:ascii="宋体" w:hAnsi="宋体"/>
          <w:color w:val="auto"/>
          <w:sz w:val="21"/>
          <w:highlight w:val="none"/>
        </w:rPr>
      </w:pPr>
      <w:r>
        <w:rPr>
          <w:rFonts w:hint="eastAsia" w:ascii="宋体" w:hAnsi="宋体"/>
          <w:color w:val="auto"/>
          <w:sz w:val="21"/>
          <w:highlight w:val="none"/>
        </w:rPr>
        <w:t>2.1.2资格评审标准：见评审办法前附表。</w:t>
      </w:r>
    </w:p>
    <w:p>
      <w:pPr>
        <w:pStyle w:val="27"/>
        <w:tabs>
          <w:tab w:val="left" w:pos="1200"/>
        </w:tabs>
        <w:adjustRightInd w:val="0"/>
        <w:snapToGrid w:val="0"/>
        <w:ind w:left="0" w:firstLine="420" w:firstLineChars="200"/>
        <w:outlineLvl w:val="9"/>
        <w:rPr>
          <w:rFonts w:ascii="宋体" w:hAnsi="宋体"/>
          <w:color w:val="auto"/>
          <w:sz w:val="21"/>
          <w:highlight w:val="none"/>
        </w:rPr>
      </w:pPr>
      <w:r>
        <w:rPr>
          <w:rFonts w:hint="eastAsia" w:ascii="宋体" w:hAnsi="宋体"/>
          <w:color w:val="auto"/>
          <w:sz w:val="21"/>
          <w:highlight w:val="none"/>
        </w:rPr>
        <w:t>2.1.3响应性评审标准：见评审办法前附表。</w:t>
      </w:r>
    </w:p>
    <w:p>
      <w:pPr>
        <w:pStyle w:val="27"/>
        <w:tabs>
          <w:tab w:val="left" w:pos="1200"/>
        </w:tabs>
        <w:adjustRightInd w:val="0"/>
        <w:snapToGrid w:val="0"/>
        <w:ind w:left="0" w:firstLine="420" w:firstLineChars="200"/>
        <w:outlineLvl w:val="9"/>
        <w:rPr>
          <w:rFonts w:ascii="宋体" w:hAnsi="宋体"/>
          <w:color w:val="auto"/>
          <w:sz w:val="21"/>
          <w:highlight w:val="none"/>
        </w:rPr>
      </w:pPr>
      <w:bookmarkStart w:id="71" w:name="_Toc53945713"/>
      <w:r>
        <w:rPr>
          <w:rFonts w:hint="eastAsia" w:ascii="宋体" w:hAnsi="宋体"/>
          <w:color w:val="auto"/>
          <w:sz w:val="21"/>
          <w:highlight w:val="none"/>
        </w:rPr>
        <w:t>2.1.</w:t>
      </w:r>
      <w:r>
        <w:rPr>
          <w:rFonts w:hint="eastAsia" w:ascii="宋体" w:hAnsi="宋体"/>
          <w:color w:val="auto"/>
          <w:sz w:val="21"/>
          <w:highlight w:val="none"/>
          <w:lang w:val="en-US" w:eastAsia="zh-CN"/>
        </w:rPr>
        <w:t>4其他</w:t>
      </w:r>
      <w:r>
        <w:rPr>
          <w:rFonts w:hint="eastAsia" w:ascii="宋体" w:hAnsi="宋体"/>
          <w:color w:val="auto"/>
          <w:sz w:val="21"/>
          <w:highlight w:val="none"/>
        </w:rPr>
        <w:t>评审标准：见评审办法前附表。</w:t>
      </w:r>
    </w:p>
    <w:p>
      <w:pPr>
        <w:spacing w:line="360" w:lineRule="auto"/>
        <w:outlineLvl w:val="9"/>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2.2初步评审程序</w:t>
      </w:r>
      <w:bookmarkEnd w:id="71"/>
    </w:p>
    <w:p>
      <w:pPr>
        <w:pStyle w:val="27"/>
        <w:tabs>
          <w:tab w:val="left" w:pos="1200"/>
        </w:tabs>
        <w:adjustRightInd w:val="0"/>
        <w:snapToGrid w:val="0"/>
        <w:ind w:left="0" w:firstLine="420" w:firstLineChars="200"/>
        <w:rPr>
          <w:rFonts w:ascii="宋体" w:hAnsi="宋体"/>
          <w:color w:val="auto"/>
          <w:sz w:val="21"/>
          <w:highlight w:val="none"/>
        </w:rPr>
      </w:pPr>
      <w:r>
        <w:rPr>
          <w:rFonts w:hint="eastAsia" w:ascii="宋体" w:hAnsi="宋体"/>
          <w:color w:val="auto"/>
          <w:sz w:val="21"/>
          <w:highlight w:val="none"/>
        </w:rPr>
        <w:t>2.2.1采购工作组依据本章第 2.1款规定的标准对供应商递交的响应文件进行初步评审，判断响应文件的形式是否符合要求、供应商是否符合资格条件、响应文件是否实质性响应采购文件的要求。只有以上评审合格的响应文件才可通过初步评审。</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2.2.2</w:t>
      </w:r>
      <w:r>
        <w:rPr>
          <w:rFonts w:hint="eastAsia" w:ascii="宋体" w:hAnsi="宋体"/>
          <w:color w:val="auto"/>
          <w:sz w:val="21"/>
          <w:highlight w:val="none"/>
        </w:rPr>
        <w:t>响应文件未实质性响应采购文件要求，或响应文件中有含义不明确、同类问题表述不一致或明显文字或者计算错误的内容，采购工作组认为需要供应商作出必要澄清、说明的，应当书面通知该供应商。供应商的澄清、说明应当采用书面形式。供应商补充完善的内容应由法定代表人或其授权代表签字或盖章确认，澄清、说明和补正作为响应文件的组成部分</w:t>
      </w:r>
      <w:r>
        <w:rPr>
          <w:rFonts w:hint="eastAsia" w:ascii="宋体" w:hAnsi="宋体"/>
          <w:color w:val="auto"/>
          <w:szCs w:val="21"/>
          <w:highlight w:val="none"/>
        </w:rPr>
        <w:t>。</w:t>
      </w:r>
    </w:p>
    <w:p>
      <w:pPr>
        <w:pStyle w:val="27"/>
        <w:tabs>
          <w:tab w:val="left" w:pos="1200"/>
        </w:tabs>
        <w:adjustRightInd w:val="0"/>
        <w:snapToGrid w:val="0"/>
        <w:ind w:left="0" w:firstLine="420" w:firstLineChars="200"/>
        <w:rPr>
          <w:rFonts w:ascii="宋体" w:hAnsi="宋体"/>
          <w:color w:val="auto"/>
          <w:sz w:val="21"/>
          <w:highlight w:val="none"/>
        </w:rPr>
      </w:pPr>
      <w:r>
        <w:rPr>
          <w:rFonts w:hint="eastAsia" w:ascii="宋体" w:hAnsi="宋体"/>
          <w:color w:val="auto"/>
          <w:sz w:val="21"/>
          <w:highlight w:val="none"/>
        </w:rPr>
        <w:t>2.2.3经供应商澄清、说明和补正后仍不满足初步评审要求的响应文件（即响应文件不满足本章第2.1款规定的任一项标准），或供应商有串通、弄虚作假、行贿等违法行为的，其响应文件将被视为无效。</w:t>
      </w:r>
    </w:p>
    <w:p>
      <w:pPr>
        <w:spacing w:before="0" w:after="0" w:line="360" w:lineRule="auto"/>
        <w:jc w:val="both"/>
        <w:outlineLvl w:val="9"/>
        <w:rPr>
          <w:rFonts w:ascii="黑体" w:hAnsi="黑体" w:eastAsia="黑体" w:cs="黑体"/>
          <w:color w:val="auto"/>
          <w:sz w:val="28"/>
          <w:szCs w:val="28"/>
          <w:highlight w:val="none"/>
        </w:rPr>
      </w:pPr>
      <w:bookmarkStart w:id="72" w:name="_Toc21159"/>
      <w:bookmarkStart w:id="73" w:name="_Toc25222"/>
      <w:bookmarkStart w:id="74" w:name="_Toc53945715"/>
      <w:r>
        <w:rPr>
          <w:rFonts w:hint="eastAsia" w:ascii="黑体" w:hAnsi="黑体" w:eastAsia="黑体" w:cs="黑体"/>
          <w:color w:val="auto"/>
          <w:sz w:val="28"/>
          <w:szCs w:val="28"/>
          <w:highlight w:val="none"/>
        </w:rPr>
        <w:t>3</w:t>
      </w:r>
      <w:r>
        <w:rPr>
          <w:rFonts w:hint="eastAsia" w:ascii="黑体" w:hAnsi="黑体" w:eastAsia="黑体" w:cs="黑体"/>
          <w:color w:val="auto"/>
          <w:sz w:val="28"/>
          <w:szCs w:val="28"/>
          <w:highlight w:val="none"/>
          <w:lang w:val="en-US" w:eastAsia="zh-CN"/>
        </w:rPr>
        <w:t xml:space="preserve"> </w:t>
      </w:r>
      <w:r>
        <w:rPr>
          <w:rFonts w:hint="eastAsia" w:ascii="黑体" w:hAnsi="黑体" w:eastAsia="黑体" w:cs="黑体"/>
          <w:color w:val="auto"/>
          <w:sz w:val="28"/>
          <w:szCs w:val="28"/>
          <w:highlight w:val="none"/>
        </w:rPr>
        <w:t>详细评审标准和程序</w:t>
      </w:r>
      <w:bookmarkEnd w:id="72"/>
      <w:bookmarkEnd w:id="73"/>
      <w:bookmarkEnd w:id="74"/>
    </w:p>
    <w:p>
      <w:pPr>
        <w:spacing w:line="360" w:lineRule="auto"/>
        <w:outlineLvl w:val="9"/>
        <w:rPr>
          <w:rFonts w:ascii="黑体" w:hAnsi="黑体" w:eastAsia="黑体" w:cs="黑体"/>
          <w:color w:val="auto"/>
          <w:sz w:val="24"/>
          <w:szCs w:val="24"/>
          <w:highlight w:val="none"/>
        </w:rPr>
      </w:pPr>
      <w:bookmarkStart w:id="75" w:name="_Toc53945716"/>
      <w:r>
        <w:rPr>
          <w:rFonts w:hint="eastAsia" w:ascii="黑体" w:hAnsi="黑体" w:eastAsia="黑体" w:cs="黑体"/>
          <w:color w:val="auto"/>
          <w:sz w:val="24"/>
          <w:szCs w:val="24"/>
          <w:highlight w:val="none"/>
        </w:rPr>
        <w:t>3.1</w:t>
      </w:r>
      <w:bookmarkEnd w:id="75"/>
      <w:r>
        <w:rPr>
          <w:rFonts w:hint="eastAsia" w:ascii="黑体" w:hAnsi="黑体" w:eastAsia="黑体" w:cs="黑体"/>
          <w:color w:val="auto"/>
          <w:sz w:val="24"/>
          <w:szCs w:val="24"/>
          <w:highlight w:val="none"/>
        </w:rPr>
        <w:t>评审价格确定</w:t>
      </w:r>
    </w:p>
    <w:p>
      <w:pPr>
        <w:pStyle w:val="27"/>
        <w:tabs>
          <w:tab w:val="left" w:pos="1200"/>
        </w:tabs>
        <w:adjustRightInd w:val="0"/>
        <w:snapToGrid w:val="0"/>
        <w:ind w:left="0" w:firstLine="420" w:firstLineChars="200"/>
        <w:outlineLvl w:val="9"/>
        <w:rPr>
          <w:rFonts w:ascii="宋体" w:hAnsi="宋体"/>
          <w:color w:val="auto"/>
          <w:sz w:val="21"/>
          <w:highlight w:val="none"/>
        </w:rPr>
      </w:pPr>
      <w:r>
        <w:rPr>
          <w:rFonts w:hint="eastAsia" w:ascii="宋体" w:hAnsi="宋体"/>
          <w:color w:val="auto"/>
          <w:sz w:val="21"/>
          <w:highlight w:val="none"/>
        </w:rPr>
        <w:t>3.1.1除评审办法前附表另有规定外，评审价格以最终报价的大写含税价格为准。</w:t>
      </w:r>
    </w:p>
    <w:p>
      <w:pPr>
        <w:pStyle w:val="27"/>
        <w:tabs>
          <w:tab w:val="left" w:pos="1200"/>
        </w:tabs>
        <w:adjustRightInd w:val="0"/>
        <w:snapToGrid w:val="0"/>
        <w:ind w:left="0" w:firstLine="420" w:firstLineChars="200"/>
        <w:outlineLvl w:val="9"/>
        <w:rPr>
          <w:rFonts w:ascii="宋体" w:hAnsi="宋体"/>
          <w:color w:val="auto"/>
          <w:sz w:val="21"/>
          <w:highlight w:val="none"/>
        </w:rPr>
      </w:pPr>
      <w:r>
        <w:rPr>
          <w:rFonts w:hint="eastAsia" w:ascii="宋体" w:hAnsi="宋体"/>
          <w:color w:val="auto"/>
          <w:sz w:val="21"/>
          <w:highlight w:val="none"/>
        </w:rPr>
        <w:t>3.1.2评审价格超过最高限价（如有）的，其响应文件将被视为无效。</w:t>
      </w:r>
    </w:p>
    <w:p>
      <w:pPr>
        <w:pStyle w:val="27"/>
        <w:tabs>
          <w:tab w:val="left" w:pos="1200"/>
        </w:tabs>
        <w:adjustRightInd w:val="0"/>
        <w:snapToGrid w:val="0"/>
        <w:ind w:left="0" w:firstLine="420" w:firstLineChars="200"/>
        <w:outlineLvl w:val="9"/>
        <w:rPr>
          <w:rFonts w:ascii="宋体" w:hAnsi="宋体"/>
          <w:color w:val="auto"/>
          <w:sz w:val="21"/>
          <w:highlight w:val="none"/>
        </w:rPr>
      </w:pPr>
      <w:r>
        <w:rPr>
          <w:rFonts w:hint="eastAsia" w:ascii="宋体" w:hAnsi="宋体"/>
          <w:color w:val="auto"/>
          <w:sz w:val="21"/>
          <w:highlight w:val="none"/>
        </w:rPr>
        <w:t>3.1.3采购工作组经过对供应商的报价进行比较或基于专业经验认为某一供应商的报价异常过低，可能对其履约造成影响时，应当要求该供应商作出书面说明并提供相应的证明材料。供应商不能合理说明或者不能提供相应证明材料的，其响应文件将被视为无效。</w:t>
      </w:r>
    </w:p>
    <w:p>
      <w:pPr>
        <w:pStyle w:val="27"/>
        <w:tabs>
          <w:tab w:val="left" w:pos="1200"/>
        </w:tabs>
        <w:adjustRightInd w:val="0"/>
        <w:snapToGrid w:val="0"/>
        <w:ind w:left="0" w:firstLine="420" w:firstLineChars="200"/>
        <w:outlineLvl w:val="9"/>
        <w:rPr>
          <w:rFonts w:ascii="宋体" w:hAnsi="宋体"/>
          <w:color w:val="auto"/>
          <w:sz w:val="21"/>
          <w:highlight w:val="none"/>
        </w:rPr>
      </w:pPr>
      <w:r>
        <w:rPr>
          <w:rFonts w:hint="eastAsia" w:ascii="宋体" w:hAnsi="宋体"/>
          <w:color w:val="auto"/>
          <w:sz w:val="21"/>
          <w:highlight w:val="none"/>
        </w:rPr>
        <w:t>3.1.4最终报价有算术错误或其他错误的，采购工作组按以下原则进行修正，并要求供应商对修正后的价格进行书面澄清确认。供应商拒不澄清确认的，其响应文件将被视为无效：</w:t>
      </w:r>
    </w:p>
    <w:p>
      <w:pPr>
        <w:pStyle w:val="27"/>
        <w:tabs>
          <w:tab w:val="left" w:pos="1200"/>
        </w:tabs>
        <w:adjustRightInd w:val="0"/>
        <w:snapToGrid w:val="0"/>
        <w:ind w:left="0" w:firstLine="420" w:firstLineChars="200"/>
        <w:outlineLvl w:val="9"/>
        <w:rPr>
          <w:rFonts w:ascii="宋体" w:hAnsi="宋体"/>
          <w:color w:val="auto"/>
          <w:sz w:val="21"/>
          <w:highlight w:val="none"/>
        </w:rPr>
      </w:pPr>
      <w:r>
        <w:rPr>
          <w:rFonts w:hint="eastAsia" w:ascii="宋体" w:hAnsi="宋体"/>
          <w:color w:val="auto"/>
          <w:sz w:val="21"/>
          <w:highlight w:val="none"/>
        </w:rPr>
        <w:t>（1）大写金额与小写金额不一致的，以大写金额为准；</w:t>
      </w:r>
    </w:p>
    <w:p>
      <w:pPr>
        <w:pStyle w:val="27"/>
        <w:tabs>
          <w:tab w:val="left" w:pos="1200"/>
        </w:tabs>
        <w:adjustRightInd w:val="0"/>
        <w:snapToGrid w:val="0"/>
        <w:ind w:left="0" w:firstLine="420" w:firstLineChars="200"/>
        <w:outlineLvl w:val="9"/>
        <w:rPr>
          <w:rFonts w:ascii="宋体" w:hAnsi="宋体"/>
          <w:color w:val="auto"/>
          <w:sz w:val="21"/>
          <w:highlight w:val="none"/>
        </w:rPr>
      </w:pPr>
      <w:r>
        <w:rPr>
          <w:rFonts w:hint="eastAsia" w:ascii="宋体" w:hAnsi="宋体"/>
          <w:color w:val="auto"/>
          <w:sz w:val="21"/>
          <w:highlight w:val="none"/>
        </w:rPr>
        <w:t>（2）总价金额与单价金额不一致的，以单价金额为准，但单价金额小数点有明显错误的除外；</w:t>
      </w:r>
    </w:p>
    <w:p>
      <w:pPr>
        <w:pStyle w:val="27"/>
        <w:tabs>
          <w:tab w:val="left" w:pos="1200"/>
        </w:tabs>
        <w:adjustRightInd w:val="0"/>
        <w:snapToGrid w:val="0"/>
        <w:ind w:left="0" w:firstLine="420" w:firstLineChars="200"/>
        <w:outlineLvl w:val="9"/>
        <w:rPr>
          <w:rFonts w:ascii="宋体" w:hAnsi="宋体"/>
          <w:color w:val="auto"/>
          <w:sz w:val="21"/>
          <w:highlight w:val="none"/>
        </w:rPr>
      </w:pPr>
      <w:r>
        <w:rPr>
          <w:rFonts w:hint="eastAsia" w:ascii="宋体" w:hAnsi="宋体"/>
          <w:color w:val="auto"/>
          <w:sz w:val="21"/>
          <w:highlight w:val="none"/>
        </w:rPr>
        <w:t>（3）报价表中合计报价与分项报价的合价不一致的，以各分项报价的合价累计数为准；</w:t>
      </w:r>
    </w:p>
    <w:p>
      <w:pPr>
        <w:pStyle w:val="27"/>
        <w:tabs>
          <w:tab w:val="left" w:pos="1200"/>
        </w:tabs>
        <w:adjustRightInd w:val="0"/>
        <w:snapToGrid w:val="0"/>
        <w:ind w:left="0" w:firstLine="420" w:firstLineChars="200"/>
        <w:outlineLvl w:val="9"/>
        <w:rPr>
          <w:rFonts w:ascii="宋体" w:hAnsi="宋体"/>
          <w:color w:val="auto"/>
          <w:sz w:val="21"/>
          <w:highlight w:val="none"/>
        </w:rPr>
      </w:pPr>
      <w:r>
        <w:rPr>
          <w:rFonts w:hint="eastAsia" w:ascii="宋体" w:hAnsi="宋体"/>
          <w:color w:val="auto"/>
          <w:sz w:val="21"/>
          <w:highlight w:val="none"/>
        </w:rPr>
        <w:t>（4）如果分项报价中存在缺漏项，且缺漏项内容不属于实质性偏差的，则视为缺漏项内容的价格已包含在其他分项报价之中。</w:t>
      </w:r>
    </w:p>
    <w:p>
      <w:pPr>
        <w:pStyle w:val="27"/>
        <w:tabs>
          <w:tab w:val="left" w:pos="1200"/>
        </w:tabs>
        <w:adjustRightInd w:val="0"/>
        <w:snapToGrid w:val="0"/>
        <w:ind w:left="0" w:firstLine="0"/>
        <w:outlineLvl w:val="9"/>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3.2 </w:t>
      </w:r>
      <w:r>
        <w:rPr>
          <w:rFonts w:hint="eastAsia" w:ascii="黑体" w:hAnsi="黑体" w:eastAsia="黑体" w:cs="黑体"/>
          <w:color w:val="auto"/>
          <w:sz w:val="24"/>
          <w:szCs w:val="24"/>
          <w:highlight w:val="none"/>
          <w:lang w:val="en-US" w:eastAsia="zh-CN"/>
        </w:rPr>
        <w:t>综合评分和</w:t>
      </w:r>
      <w:r>
        <w:rPr>
          <w:rFonts w:hint="eastAsia" w:ascii="黑体" w:hAnsi="黑体" w:eastAsia="黑体" w:cs="黑体"/>
          <w:color w:val="auto"/>
          <w:sz w:val="24"/>
          <w:szCs w:val="24"/>
          <w:highlight w:val="none"/>
        </w:rPr>
        <w:t>排序</w:t>
      </w:r>
    </w:p>
    <w:p>
      <w:pPr>
        <w:spacing w:line="360" w:lineRule="auto"/>
        <w:ind w:firstLine="420" w:firstLineChars="200"/>
        <w:outlineLvl w:val="9"/>
        <w:rPr>
          <w:rFonts w:ascii="宋体" w:hAnsi="宋体" w:eastAsia="宋体" w:cs="Times New Roman"/>
          <w:color w:val="auto"/>
          <w:kern w:val="0"/>
          <w:szCs w:val="21"/>
          <w:highlight w:val="none"/>
        </w:rPr>
      </w:pPr>
      <w:bookmarkStart w:id="76" w:name="_Toc53945717"/>
      <w:r>
        <w:rPr>
          <w:rFonts w:hint="eastAsia" w:ascii="宋体" w:hAnsi="宋体" w:eastAsia="宋体" w:cs="Times New Roman"/>
          <w:color w:val="auto"/>
          <w:kern w:val="0"/>
          <w:szCs w:val="21"/>
          <w:highlight w:val="none"/>
        </w:rPr>
        <w:t>3.2.1分值构成</w:t>
      </w:r>
    </w:p>
    <w:p>
      <w:pPr>
        <w:spacing w:line="360" w:lineRule="auto"/>
        <w:ind w:firstLine="420" w:firstLineChars="200"/>
        <w:outlineLvl w:val="9"/>
        <w:rPr>
          <w:rFonts w:hint="eastAsia" w:ascii="宋体" w:hAnsi="宋体"/>
          <w:color w:val="auto"/>
          <w:highlight w:val="none"/>
          <w:lang w:val="en-US" w:eastAsia="zh-CN"/>
        </w:rPr>
      </w:pPr>
      <w:r>
        <w:rPr>
          <w:rFonts w:hint="eastAsia" w:ascii="宋体" w:hAnsi="宋体"/>
          <w:color w:val="auto"/>
          <w:highlight w:val="none"/>
          <w:lang w:val="en-US" w:eastAsia="zh-CN"/>
        </w:rPr>
        <w:t>综合得分=商务分×商务分所占权重+技术分×技术分所占权重+价格分×价格分所占权重+其他分×其他分所占权重-供应商扣分。（若商务技术合并，按商务技术合并后的得分及所占权重计算，若综合分为原始分相加，则不计权重）。</w:t>
      </w:r>
    </w:p>
    <w:p>
      <w:pPr>
        <w:spacing w:line="360" w:lineRule="auto"/>
        <w:ind w:firstLine="420" w:firstLineChars="200"/>
        <w:outlineLvl w:val="9"/>
        <w:rPr>
          <w:rFonts w:hint="eastAsia" w:ascii="宋体" w:hAnsi="宋体" w:cs="宋体"/>
          <w:color w:val="auto"/>
          <w:highlight w:val="none"/>
          <w:lang w:val="en-US" w:eastAsia="zh-CN"/>
        </w:rPr>
      </w:pPr>
      <w:r>
        <w:rPr>
          <w:rFonts w:hint="eastAsia" w:ascii="宋体" w:hAnsi="宋体" w:cs="宋体"/>
          <w:color w:val="auto"/>
          <w:highlight w:val="none"/>
          <w:lang w:val="en-US" w:eastAsia="zh-CN"/>
        </w:rPr>
        <w:t>（1）按评审办法前附表规定的评审因素和分值对商务部分计算出得分 A；</w:t>
      </w:r>
    </w:p>
    <w:p>
      <w:pPr>
        <w:spacing w:line="360" w:lineRule="auto"/>
        <w:ind w:firstLine="420" w:firstLineChars="200"/>
        <w:outlineLvl w:val="9"/>
        <w:rPr>
          <w:rFonts w:hint="eastAsia" w:ascii="宋体" w:hAnsi="宋体" w:cs="宋体"/>
          <w:color w:val="auto"/>
          <w:highlight w:val="none"/>
          <w:lang w:val="en-US" w:eastAsia="zh-CN"/>
        </w:rPr>
      </w:pPr>
      <w:r>
        <w:rPr>
          <w:rFonts w:hint="eastAsia" w:ascii="宋体" w:hAnsi="宋体" w:cs="宋体"/>
          <w:color w:val="auto"/>
          <w:highlight w:val="none"/>
          <w:lang w:val="en-US" w:eastAsia="zh-CN"/>
        </w:rPr>
        <w:t>（2）按评审办法前附表规定的评审因素和分值对技术部分计算出得分 B；</w:t>
      </w:r>
    </w:p>
    <w:p>
      <w:pPr>
        <w:spacing w:line="360" w:lineRule="auto"/>
        <w:ind w:firstLine="420" w:firstLineChars="200"/>
        <w:outlineLvl w:val="9"/>
        <w:rPr>
          <w:rFonts w:hint="eastAsia" w:ascii="宋体" w:hAnsi="宋体" w:cs="宋体"/>
          <w:color w:val="auto"/>
          <w:highlight w:val="none"/>
          <w:lang w:val="en-US" w:eastAsia="zh-CN"/>
        </w:rPr>
      </w:pPr>
      <w:r>
        <w:rPr>
          <w:rFonts w:hint="eastAsia" w:ascii="宋体" w:hAnsi="宋体" w:cs="宋体"/>
          <w:color w:val="auto"/>
          <w:highlight w:val="none"/>
          <w:lang w:val="en-US" w:eastAsia="zh-CN"/>
        </w:rPr>
        <w:t>（3）按评审办法前附表规定的评审因素和分值对投标报价计算出得分 C；</w:t>
      </w:r>
    </w:p>
    <w:p>
      <w:pPr>
        <w:spacing w:line="360" w:lineRule="auto"/>
        <w:ind w:firstLine="420" w:firstLineChars="200"/>
        <w:outlineLvl w:val="9"/>
        <w:rPr>
          <w:rFonts w:hint="eastAsia" w:ascii="宋体" w:hAnsi="宋体" w:cs="宋体"/>
          <w:color w:val="auto"/>
          <w:highlight w:val="none"/>
          <w:lang w:eastAsia="zh-CN"/>
        </w:rPr>
      </w:pPr>
      <w:r>
        <w:rPr>
          <w:rFonts w:hint="eastAsia" w:ascii="宋体" w:hAnsi="宋体" w:cs="宋体"/>
          <w:color w:val="auto"/>
          <w:highlight w:val="none"/>
          <w:lang w:val="en-US" w:eastAsia="zh-CN"/>
        </w:rPr>
        <w:t>（4）按评审办法前附表规定的评审因素和分值对其他部分计算出得分 D。</w:t>
      </w:r>
    </w:p>
    <w:p>
      <w:pPr>
        <w:spacing w:line="360" w:lineRule="auto"/>
        <w:ind w:firstLine="420" w:firstLineChars="200"/>
        <w:outlineLvl w:val="9"/>
        <w:rPr>
          <w:rFonts w:hint="eastAsia" w:ascii="宋体" w:hAnsi="宋体"/>
          <w:color w:val="auto"/>
          <w:highlight w:val="none"/>
          <w:lang w:val="en-US" w:eastAsia="zh-CN"/>
        </w:rPr>
      </w:pPr>
      <w:r>
        <w:rPr>
          <w:rFonts w:hint="eastAsia" w:ascii="宋体" w:hAnsi="宋体"/>
          <w:color w:val="auto"/>
          <w:highlight w:val="none"/>
          <w:lang w:val="en-US" w:eastAsia="zh-CN"/>
        </w:rPr>
        <w:t>本项目执行《关于将服务商和非电力物资供货商失信扣分应用于采购评审环节的公告》《关于实施&lt;南方电网公司供应商私设互联网应用失信行为扣分工作指引（试行）&gt;的公告》《关于实施&lt;中国南方电网有限责任公司供应商不良行为处理管理细则（2025年版）&gt;的公告》。南方电网系统范围内开单并生效的扣分均纳入采购评审环节应用范围，不区分扣分主体、不良行为性质，实行全品类扣减评标综合分（不按处罚品类区分应用范围）。应用时效为投标截止日前（含当月）36个月（不满36个月按实际时长计算，数据读取时间节点统一为招标文件载明的投标截止日前一日的24:00）。供应商扣分分值=Σa×（n²/12），扣分结果按四舍五入保留小数点后两位。a为差异化的折算系数（根据扣分生效日期与投标截止日的间隔期长短应用差异化的折算系数，投标截止日前12个月内的a=1，投标截止日前13-24个月内的a=0.5，投标截止日前25-36个月内的a=0.25）；n为每个间隔期的供应商不良行为扣分之和，累计扣分值应用上限为12分。被实施市场禁入的，将禁入期按月折算分数（禁入期满当月为第一个月往前折算，处罚生效当月不计），即禁入一个月折算为1分。各项扣分取值起点时间如下（起点前开单的扣分或列入市场禁入的不予追溯）：</w:t>
      </w:r>
    </w:p>
    <w:p>
      <w:pPr>
        <w:spacing w:line="360" w:lineRule="auto"/>
        <w:ind w:firstLine="420" w:firstLineChars="200"/>
        <w:outlineLvl w:val="9"/>
        <w:rPr>
          <w:rFonts w:hint="eastAsia" w:ascii="宋体" w:hAnsi="宋体"/>
          <w:color w:val="auto"/>
          <w:highlight w:val="none"/>
          <w:lang w:val="en-US" w:eastAsia="zh-CN"/>
        </w:rPr>
      </w:pPr>
      <w:r>
        <w:rPr>
          <w:rFonts w:hint="eastAsia" w:ascii="宋体" w:hAnsi="宋体"/>
          <w:color w:val="auto"/>
          <w:highlight w:val="none"/>
          <w:lang w:val="en-US" w:eastAsia="zh-CN"/>
        </w:rPr>
        <w:t>1.私设互联网应用失信行为扣分：2023年6月19日（含当日）起；</w:t>
      </w:r>
    </w:p>
    <w:p>
      <w:pPr>
        <w:spacing w:line="360" w:lineRule="auto"/>
        <w:ind w:firstLine="420" w:firstLineChars="200"/>
        <w:outlineLvl w:val="9"/>
        <w:rPr>
          <w:rFonts w:hint="eastAsia" w:ascii="宋体" w:hAnsi="宋体"/>
          <w:color w:val="auto"/>
          <w:highlight w:val="none"/>
          <w:lang w:val="en-US" w:eastAsia="zh-CN"/>
        </w:rPr>
      </w:pPr>
      <w:r>
        <w:rPr>
          <w:rFonts w:hint="eastAsia" w:ascii="宋体" w:hAnsi="宋体"/>
          <w:color w:val="auto"/>
          <w:highlight w:val="none"/>
          <w:lang w:val="en-US" w:eastAsia="zh-CN"/>
        </w:rPr>
        <w:t>2.其他按《中国南方电网有限责任公司供应商失信扣分管理细则》《中国南方电网有限责任公司供应商不良行为处理管理细则》实施的扣分：2024年8月21日（含当日）起；</w:t>
      </w:r>
    </w:p>
    <w:p>
      <w:pPr>
        <w:spacing w:line="360" w:lineRule="auto"/>
        <w:ind w:firstLine="420" w:firstLineChars="200"/>
        <w:outlineLvl w:val="9"/>
        <w:rPr>
          <w:rFonts w:hint="eastAsia"/>
          <w:lang w:val="en-US" w:eastAsia="zh-CN"/>
        </w:rPr>
      </w:pPr>
      <w:r>
        <w:rPr>
          <w:rFonts w:hint="eastAsia" w:ascii="宋体" w:hAnsi="宋体"/>
          <w:color w:val="auto"/>
          <w:highlight w:val="none"/>
          <w:lang w:val="en-US" w:eastAsia="zh-CN"/>
        </w:rPr>
        <w:t>3.市场禁入：2024年8月21日（含当日）起。</w:t>
      </w:r>
    </w:p>
    <w:p>
      <w:pPr>
        <w:spacing w:line="360" w:lineRule="auto"/>
        <w:ind w:firstLine="420" w:firstLineChars="200"/>
        <w:outlineLvl w:val="9"/>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3.2.2 评审基准价计算</w:t>
      </w:r>
    </w:p>
    <w:p>
      <w:pPr>
        <w:pStyle w:val="27"/>
        <w:tabs>
          <w:tab w:val="left" w:pos="1200"/>
        </w:tabs>
        <w:adjustRightInd w:val="0"/>
        <w:snapToGrid w:val="0"/>
        <w:ind w:left="0" w:firstLine="420" w:firstLineChars="200"/>
        <w:outlineLvl w:val="9"/>
        <w:rPr>
          <w:rFonts w:ascii="宋体" w:hAnsi="宋体"/>
          <w:color w:val="auto"/>
          <w:sz w:val="21"/>
          <w:highlight w:val="none"/>
        </w:rPr>
      </w:pPr>
      <w:r>
        <w:rPr>
          <w:rFonts w:hint="eastAsia" w:ascii="宋体" w:hAnsi="宋体"/>
          <w:color w:val="auto"/>
          <w:sz w:val="21"/>
          <w:highlight w:val="none"/>
        </w:rPr>
        <w:t>(1)评审价格：评审价格为按照本章第3.1.1项规定确定的价格；</w:t>
      </w:r>
    </w:p>
    <w:p>
      <w:pPr>
        <w:pStyle w:val="27"/>
        <w:tabs>
          <w:tab w:val="left" w:pos="1200"/>
        </w:tabs>
        <w:adjustRightInd w:val="0"/>
        <w:snapToGrid w:val="0"/>
        <w:ind w:left="0" w:firstLine="420" w:firstLineChars="200"/>
        <w:outlineLvl w:val="9"/>
        <w:rPr>
          <w:rFonts w:ascii="宋体" w:hAnsi="宋体"/>
          <w:color w:val="auto"/>
          <w:sz w:val="21"/>
          <w:highlight w:val="none"/>
        </w:rPr>
      </w:pPr>
      <w:r>
        <w:rPr>
          <w:rFonts w:hint="eastAsia" w:ascii="宋体" w:hAnsi="宋体"/>
          <w:color w:val="auto"/>
          <w:sz w:val="21"/>
          <w:highlight w:val="none"/>
        </w:rPr>
        <w:t>(2)评审基准价计算方法：见评审办法前附表。</w:t>
      </w:r>
    </w:p>
    <w:p>
      <w:pPr>
        <w:spacing w:line="360" w:lineRule="auto"/>
        <w:ind w:firstLine="420" w:firstLineChars="200"/>
        <w:outlineLvl w:val="9"/>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3.2.3评分标准</w:t>
      </w:r>
      <w:bookmarkEnd w:id="76"/>
    </w:p>
    <w:p>
      <w:pPr>
        <w:pStyle w:val="27"/>
        <w:tabs>
          <w:tab w:val="left" w:pos="1200"/>
        </w:tabs>
        <w:adjustRightInd w:val="0"/>
        <w:snapToGrid w:val="0"/>
        <w:ind w:left="0" w:firstLine="420" w:firstLineChars="200"/>
        <w:outlineLvl w:val="9"/>
        <w:rPr>
          <w:rFonts w:ascii="宋体" w:hAnsi="宋体"/>
          <w:color w:val="auto"/>
          <w:sz w:val="21"/>
          <w:highlight w:val="none"/>
        </w:rPr>
      </w:pPr>
      <w:r>
        <w:rPr>
          <w:rFonts w:hint="eastAsia" w:ascii="宋体" w:hAnsi="宋体"/>
          <w:color w:val="auto"/>
          <w:sz w:val="21"/>
          <w:highlight w:val="none"/>
        </w:rPr>
        <w:t>(1)商务评分标准：见评审办法前附表；</w:t>
      </w:r>
    </w:p>
    <w:p>
      <w:pPr>
        <w:pStyle w:val="27"/>
        <w:tabs>
          <w:tab w:val="left" w:pos="1200"/>
        </w:tabs>
        <w:adjustRightInd w:val="0"/>
        <w:snapToGrid w:val="0"/>
        <w:ind w:left="0" w:firstLine="420" w:firstLineChars="200"/>
        <w:outlineLvl w:val="9"/>
        <w:rPr>
          <w:rFonts w:ascii="宋体" w:hAnsi="宋体"/>
          <w:color w:val="auto"/>
          <w:sz w:val="21"/>
          <w:highlight w:val="none"/>
        </w:rPr>
      </w:pPr>
      <w:r>
        <w:rPr>
          <w:rFonts w:hint="eastAsia" w:ascii="宋体" w:hAnsi="宋体"/>
          <w:color w:val="auto"/>
          <w:sz w:val="21"/>
          <w:highlight w:val="none"/>
        </w:rPr>
        <w:t>(2)技术评分标准：见评审办法前附表；</w:t>
      </w:r>
    </w:p>
    <w:p>
      <w:pPr>
        <w:pStyle w:val="27"/>
        <w:tabs>
          <w:tab w:val="left" w:pos="1200"/>
        </w:tabs>
        <w:adjustRightInd w:val="0"/>
        <w:snapToGrid w:val="0"/>
        <w:ind w:left="0" w:firstLine="420" w:firstLineChars="200"/>
        <w:outlineLvl w:val="9"/>
        <w:rPr>
          <w:rFonts w:ascii="宋体" w:hAnsi="宋体"/>
          <w:color w:val="auto"/>
          <w:sz w:val="21"/>
          <w:highlight w:val="none"/>
        </w:rPr>
      </w:pPr>
      <w:r>
        <w:rPr>
          <w:rFonts w:hint="eastAsia" w:ascii="宋体" w:hAnsi="宋体"/>
          <w:color w:val="auto"/>
          <w:sz w:val="21"/>
          <w:highlight w:val="none"/>
        </w:rPr>
        <w:t>(3)报价评分标准：见评审办法前附表；</w:t>
      </w:r>
    </w:p>
    <w:p>
      <w:pPr>
        <w:pStyle w:val="27"/>
        <w:tabs>
          <w:tab w:val="left" w:pos="1200"/>
        </w:tabs>
        <w:adjustRightInd w:val="0"/>
        <w:snapToGrid w:val="0"/>
        <w:ind w:left="0" w:firstLine="420" w:firstLineChars="200"/>
        <w:outlineLvl w:val="9"/>
        <w:rPr>
          <w:rFonts w:ascii="宋体" w:hAnsi="宋体"/>
          <w:color w:val="auto"/>
          <w:sz w:val="21"/>
          <w:highlight w:val="none"/>
        </w:rPr>
      </w:pPr>
      <w:r>
        <w:rPr>
          <w:rFonts w:hint="eastAsia" w:ascii="宋体" w:hAnsi="宋体"/>
          <w:color w:val="auto"/>
          <w:sz w:val="21"/>
          <w:highlight w:val="none"/>
        </w:rPr>
        <w:t>(4)其他因素评分标准：其他分数的描述。</w:t>
      </w:r>
    </w:p>
    <w:p>
      <w:pPr>
        <w:spacing w:line="360" w:lineRule="auto"/>
        <w:ind w:firstLine="420" w:firstLineChars="200"/>
        <w:outlineLvl w:val="9"/>
        <w:rPr>
          <w:rFonts w:ascii="宋体" w:hAnsi="宋体" w:eastAsia="宋体" w:cs="Times New Roman"/>
          <w:color w:val="auto"/>
          <w:kern w:val="0"/>
          <w:szCs w:val="21"/>
          <w:highlight w:val="none"/>
        </w:rPr>
      </w:pPr>
      <w:bookmarkStart w:id="77" w:name="_Toc53945718"/>
      <w:r>
        <w:rPr>
          <w:rFonts w:hint="eastAsia" w:ascii="宋体" w:hAnsi="宋体" w:eastAsia="宋体" w:cs="Times New Roman"/>
          <w:color w:val="auto"/>
          <w:kern w:val="0"/>
          <w:szCs w:val="21"/>
          <w:highlight w:val="none"/>
        </w:rPr>
        <w:t>3.2.4评分</w:t>
      </w:r>
      <w:bookmarkEnd w:id="77"/>
    </w:p>
    <w:p>
      <w:pPr>
        <w:pStyle w:val="27"/>
        <w:tabs>
          <w:tab w:val="left" w:pos="1200"/>
        </w:tabs>
        <w:adjustRightInd w:val="0"/>
        <w:snapToGrid w:val="0"/>
        <w:ind w:left="0" w:firstLine="420" w:firstLineChars="200"/>
        <w:outlineLvl w:val="9"/>
        <w:rPr>
          <w:rFonts w:ascii="宋体" w:hAnsi="宋体"/>
          <w:color w:val="auto"/>
          <w:sz w:val="21"/>
          <w:highlight w:val="none"/>
        </w:rPr>
      </w:pPr>
      <w:r>
        <w:rPr>
          <w:rFonts w:hint="eastAsia" w:ascii="宋体" w:hAnsi="宋体"/>
          <w:color w:val="auto"/>
          <w:sz w:val="21"/>
          <w:highlight w:val="none"/>
        </w:rPr>
        <w:t>采购工作组成员按照评分标准独立对供应商的商务、技术和其他因素进行评分。报价评分由采购工作组统一计算。各项得分按照评分标准汇总后为该供应商的评分总分。评分分值计算保留小数点后两位，小数点后第三位“四舍五入”。</w:t>
      </w:r>
    </w:p>
    <w:p>
      <w:pPr>
        <w:spacing w:line="360" w:lineRule="auto"/>
        <w:ind w:firstLine="420" w:firstLineChars="200"/>
        <w:outlineLvl w:val="9"/>
        <w:rPr>
          <w:rFonts w:hint="default" w:ascii="宋体" w:hAnsi="宋体" w:eastAsia="宋体" w:cs="Times New Roman"/>
          <w:color w:val="auto"/>
          <w:kern w:val="0"/>
          <w:szCs w:val="21"/>
          <w:highlight w:val="none"/>
          <w:lang w:val="en-US"/>
        </w:rPr>
      </w:pPr>
      <w:bookmarkStart w:id="78" w:name="_Toc53945719"/>
      <w:r>
        <w:rPr>
          <w:rFonts w:hint="eastAsia" w:ascii="宋体" w:hAnsi="宋体" w:eastAsia="宋体" w:cs="Times New Roman"/>
          <w:color w:val="auto"/>
          <w:kern w:val="0"/>
          <w:szCs w:val="21"/>
          <w:highlight w:val="none"/>
        </w:rPr>
        <w:t>3.2.</w:t>
      </w:r>
      <w:r>
        <w:rPr>
          <w:rFonts w:hint="eastAsia" w:ascii="宋体" w:hAnsi="宋体" w:eastAsia="宋体" w:cs="Times New Roman"/>
          <w:color w:val="auto"/>
          <w:kern w:val="0"/>
          <w:szCs w:val="21"/>
          <w:highlight w:val="none"/>
          <w:lang w:val="en-US" w:eastAsia="zh-CN"/>
        </w:rPr>
        <w:t>5汇总</w:t>
      </w:r>
    </w:p>
    <w:p>
      <w:pPr>
        <w:pStyle w:val="27"/>
        <w:tabs>
          <w:tab w:val="left" w:pos="1200"/>
        </w:tabs>
        <w:adjustRightInd w:val="0"/>
        <w:snapToGrid w:val="0"/>
        <w:ind w:left="0" w:firstLine="420" w:firstLineChars="200"/>
        <w:outlineLvl w:val="9"/>
        <w:rPr>
          <w:rFonts w:hint="default" w:ascii="宋体" w:hAnsi="宋体" w:eastAsia="宋体"/>
          <w:color w:val="auto"/>
          <w:sz w:val="21"/>
          <w:highlight w:val="none"/>
          <w:lang w:val="en-US" w:eastAsia="zh-CN"/>
        </w:rPr>
      </w:pPr>
      <w:r>
        <w:rPr>
          <w:rFonts w:hint="default" w:ascii="宋体" w:hAnsi="宋体" w:eastAsia="宋体"/>
          <w:color w:val="auto"/>
          <w:sz w:val="21"/>
          <w:highlight w:val="none"/>
          <w:lang w:val="en-US" w:eastAsia="zh-CN"/>
        </w:rPr>
        <w:t>（1）专家技术商务分算法：见评标办法前附表；</w:t>
      </w:r>
    </w:p>
    <w:p>
      <w:pPr>
        <w:pStyle w:val="27"/>
        <w:tabs>
          <w:tab w:val="left" w:pos="1200"/>
        </w:tabs>
        <w:adjustRightInd w:val="0"/>
        <w:snapToGrid w:val="0"/>
        <w:ind w:left="0" w:firstLine="420" w:firstLineChars="200"/>
        <w:outlineLvl w:val="9"/>
        <w:rPr>
          <w:rFonts w:hint="default" w:ascii="宋体" w:hAnsi="宋体" w:eastAsia="宋体"/>
          <w:color w:val="auto"/>
          <w:sz w:val="21"/>
          <w:highlight w:val="none"/>
          <w:lang w:val="en-US" w:eastAsia="zh-CN"/>
        </w:rPr>
      </w:pPr>
      <w:r>
        <w:rPr>
          <w:rFonts w:hint="default" w:ascii="宋体" w:hAnsi="宋体" w:eastAsia="宋体"/>
          <w:color w:val="auto"/>
          <w:sz w:val="21"/>
          <w:highlight w:val="none"/>
          <w:lang w:val="en-US" w:eastAsia="zh-CN"/>
        </w:rPr>
        <w:t>（2）技术商务淘汰方式：见评标办法前附表。</w:t>
      </w:r>
    </w:p>
    <w:p>
      <w:pPr>
        <w:pStyle w:val="27"/>
        <w:tabs>
          <w:tab w:val="left" w:pos="1200"/>
        </w:tabs>
        <w:adjustRightInd w:val="0"/>
        <w:snapToGrid w:val="0"/>
        <w:ind w:left="0" w:firstLine="420" w:firstLineChars="200"/>
        <w:outlineLvl w:val="9"/>
        <w:rPr>
          <w:rFonts w:hint="eastAsia" w:ascii="宋体" w:hAnsi="宋体"/>
          <w:color w:val="auto"/>
          <w:sz w:val="21"/>
          <w:highlight w:val="none"/>
          <w:lang w:val="en-US" w:eastAsia="zh-CN"/>
        </w:rPr>
      </w:pPr>
      <w:r>
        <w:rPr>
          <w:rFonts w:hint="eastAsia" w:ascii="宋体" w:hAnsi="宋体"/>
          <w:color w:val="auto"/>
          <w:sz w:val="21"/>
          <w:highlight w:val="none"/>
        </w:rPr>
        <w:t>3.2.</w:t>
      </w:r>
      <w:bookmarkEnd w:id="78"/>
      <w:r>
        <w:rPr>
          <w:rFonts w:hint="eastAsia" w:ascii="宋体" w:hAnsi="宋体"/>
          <w:color w:val="auto"/>
          <w:sz w:val="21"/>
          <w:highlight w:val="none"/>
          <w:lang w:val="en-US" w:eastAsia="zh-CN"/>
        </w:rPr>
        <w:t>6排序</w:t>
      </w:r>
    </w:p>
    <w:p>
      <w:pPr>
        <w:pStyle w:val="27"/>
        <w:tabs>
          <w:tab w:val="left" w:pos="1200"/>
        </w:tabs>
        <w:adjustRightInd w:val="0"/>
        <w:snapToGrid w:val="0"/>
        <w:ind w:left="0" w:firstLine="420" w:firstLineChars="200"/>
        <w:outlineLvl w:val="9"/>
        <w:rPr>
          <w:rFonts w:ascii="宋体" w:hAnsi="宋体"/>
          <w:color w:val="auto"/>
          <w:sz w:val="21"/>
          <w:highlight w:val="none"/>
        </w:rPr>
      </w:pPr>
      <w:r>
        <w:rPr>
          <w:rFonts w:hint="eastAsia" w:ascii="宋体" w:hAnsi="宋体"/>
          <w:color w:val="auto"/>
          <w:sz w:val="21"/>
          <w:highlight w:val="none"/>
        </w:rPr>
        <w:t>采购工作组对供应商最终得分进行比较后，按照供应商最终得分由高到低的顺序对供应商排序。最终得分相等时，按照评审办法前附表的规定确定供应商优先顺序。</w:t>
      </w:r>
    </w:p>
    <w:p>
      <w:pPr>
        <w:spacing w:before="0" w:after="0" w:line="360" w:lineRule="auto"/>
        <w:jc w:val="both"/>
        <w:outlineLvl w:val="9"/>
        <w:rPr>
          <w:rFonts w:ascii="黑体" w:hAnsi="黑体" w:eastAsia="黑体" w:cs="黑体"/>
          <w:color w:val="auto"/>
          <w:sz w:val="28"/>
          <w:szCs w:val="28"/>
          <w:highlight w:val="none"/>
        </w:rPr>
      </w:pPr>
      <w:bookmarkStart w:id="79" w:name="_Toc27484"/>
      <w:bookmarkStart w:id="80" w:name="_Toc53945722"/>
      <w:bookmarkStart w:id="81" w:name="_Toc26777"/>
      <w:r>
        <w:rPr>
          <w:rFonts w:hint="eastAsia" w:ascii="黑体" w:hAnsi="黑体" w:eastAsia="黑体" w:cs="黑体"/>
          <w:color w:val="auto"/>
          <w:sz w:val="28"/>
          <w:szCs w:val="28"/>
          <w:highlight w:val="none"/>
        </w:rPr>
        <w:t>4</w:t>
      </w:r>
      <w:r>
        <w:rPr>
          <w:rFonts w:hint="eastAsia" w:ascii="黑体" w:hAnsi="黑体" w:eastAsia="黑体" w:cs="黑体"/>
          <w:color w:val="auto"/>
          <w:sz w:val="28"/>
          <w:szCs w:val="28"/>
          <w:highlight w:val="none"/>
          <w:lang w:val="en-US" w:eastAsia="zh-CN"/>
        </w:rPr>
        <w:t xml:space="preserve"> </w:t>
      </w:r>
      <w:r>
        <w:rPr>
          <w:rFonts w:hint="eastAsia" w:ascii="黑体" w:hAnsi="黑体" w:eastAsia="黑体" w:cs="黑体"/>
          <w:color w:val="auto"/>
          <w:sz w:val="28"/>
          <w:szCs w:val="28"/>
          <w:highlight w:val="none"/>
        </w:rPr>
        <w:t>评审结果</w:t>
      </w:r>
      <w:bookmarkEnd w:id="79"/>
      <w:bookmarkEnd w:id="80"/>
      <w:bookmarkEnd w:id="81"/>
    </w:p>
    <w:p>
      <w:pPr>
        <w:spacing w:line="360" w:lineRule="auto"/>
        <w:outlineLvl w:val="9"/>
        <w:rPr>
          <w:rFonts w:ascii="黑体" w:hAnsi="黑体" w:eastAsia="黑体" w:cs="黑体"/>
          <w:color w:val="auto"/>
          <w:sz w:val="24"/>
          <w:szCs w:val="24"/>
          <w:highlight w:val="none"/>
        </w:rPr>
      </w:pPr>
      <w:bookmarkStart w:id="82" w:name="_Toc53945723"/>
      <w:r>
        <w:rPr>
          <w:rFonts w:hint="eastAsia" w:ascii="黑体" w:hAnsi="黑体" w:eastAsia="黑体" w:cs="黑体"/>
          <w:color w:val="auto"/>
          <w:sz w:val="24"/>
          <w:szCs w:val="24"/>
          <w:highlight w:val="none"/>
        </w:rPr>
        <w:t>4.1提交书面评审报告</w:t>
      </w:r>
      <w:bookmarkEnd w:id="82"/>
    </w:p>
    <w:p>
      <w:pPr>
        <w:pStyle w:val="27"/>
        <w:tabs>
          <w:tab w:val="left" w:pos="1200"/>
        </w:tabs>
        <w:adjustRightInd w:val="0"/>
        <w:snapToGrid w:val="0"/>
        <w:ind w:left="0" w:firstLine="420" w:firstLineChars="200"/>
        <w:outlineLvl w:val="9"/>
        <w:rPr>
          <w:rFonts w:ascii="宋体" w:hAnsi="宋体"/>
          <w:color w:val="auto"/>
          <w:sz w:val="21"/>
          <w:highlight w:val="none"/>
        </w:rPr>
      </w:pPr>
      <w:r>
        <w:rPr>
          <w:rFonts w:hint="eastAsia" w:ascii="宋体" w:hAnsi="宋体"/>
          <w:color w:val="auto"/>
          <w:sz w:val="21"/>
          <w:highlight w:val="none"/>
        </w:rPr>
        <w:t>采购工作组完成评审后，应当向采购人提交书面评审报告。</w:t>
      </w:r>
    </w:p>
    <w:p>
      <w:pPr>
        <w:spacing w:line="360" w:lineRule="auto"/>
        <w:outlineLvl w:val="9"/>
        <w:rPr>
          <w:rFonts w:ascii="黑体" w:hAnsi="黑体" w:eastAsia="黑体" w:cs="黑体"/>
          <w:color w:val="auto"/>
          <w:sz w:val="24"/>
          <w:szCs w:val="24"/>
          <w:highlight w:val="none"/>
        </w:rPr>
      </w:pPr>
      <w:bookmarkStart w:id="83" w:name="_Toc53945724"/>
      <w:r>
        <w:rPr>
          <w:rFonts w:hint="eastAsia" w:ascii="黑体" w:hAnsi="黑体" w:eastAsia="黑体" w:cs="黑体"/>
          <w:color w:val="auto"/>
          <w:sz w:val="24"/>
          <w:szCs w:val="24"/>
          <w:highlight w:val="none"/>
        </w:rPr>
        <w:t>4.2推荐候选成交供应商</w:t>
      </w:r>
      <w:bookmarkEnd w:id="83"/>
    </w:p>
    <w:p>
      <w:pPr>
        <w:pStyle w:val="27"/>
        <w:tabs>
          <w:tab w:val="left" w:pos="1200"/>
        </w:tabs>
        <w:adjustRightInd w:val="0"/>
        <w:snapToGrid w:val="0"/>
        <w:ind w:left="0" w:firstLine="420" w:firstLineChars="200"/>
        <w:outlineLvl w:val="9"/>
        <w:rPr>
          <w:rFonts w:hint="eastAsia" w:ascii="宋体" w:hAnsi="宋体"/>
          <w:color w:val="auto"/>
          <w:sz w:val="21"/>
          <w:highlight w:val="none"/>
        </w:rPr>
      </w:pPr>
      <w:r>
        <w:rPr>
          <w:rFonts w:hint="eastAsia" w:ascii="宋体" w:hAnsi="宋体"/>
          <w:color w:val="auto"/>
          <w:sz w:val="21"/>
          <w:highlight w:val="none"/>
        </w:rPr>
        <w:t>采购工作组应在书面评审报告中按照供应商排列的优先顺序向采购人推荐成交候选人。</w:t>
      </w:r>
    </w:p>
    <w:p>
      <w:pPr>
        <w:outlineLvl w:val="9"/>
        <w:rPr>
          <w:rFonts w:hint="eastAsia" w:ascii="宋体" w:hAnsi="宋体"/>
          <w:i w:val="0"/>
          <w:iCs w:val="0"/>
          <w:color w:val="auto"/>
          <w:sz w:val="21"/>
          <w:highlight w:val="none"/>
        </w:rPr>
      </w:pPr>
      <w:r>
        <w:br w:type="page"/>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textAlignment w:val="auto"/>
        <w:outlineLvl w:val="0"/>
        <w:rPr>
          <w:rFonts w:hint="eastAsia" w:ascii="Times New Roman" w:hAnsi="Times New Roman" w:eastAsia="宋体" w:cs="Times New Roman"/>
          <w:b/>
          <w:i w:val="0"/>
          <w:iCs w:val="0"/>
          <w:color w:val="auto"/>
          <w:sz w:val="24"/>
          <w:highlight w:val="none"/>
          <w:lang w:eastAsia="zh-CN"/>
        </w:rPr>
      </w:pPr>
      <w:r>
        <w:rPr>
          <w:rFonts w:hint="eastAsia" w:ascii="Times New Roman" w:hAnsi="Times New Roman" w:eastAsia="宋体" w:cs="Times New Roman"/>
          <w:b/>
          <w:i w:val="0"/>
          <w:iCs w:val="0"/>
          <w:color w:val="auto"/>
          <w:sz w:val="24"/>
          <w:highlight w:val="none"/>
        </w:rPr>
        <w:t>附件</w:t>
      </w:r>
      <w:r>
        <w:rPr>
          <w:rFonts w:hint="eastAsia" w:ascii="Times New Roman" w:hAnsi="Times New Roman" w:cs="Times New Roman"/>
          <w:b/>
          <w:i w:val="0"/>
          <w:iCs w:val="0"/>
          <w:color w:val="auto"/>
          <w:sz w:val="24"/>
          <w:highlight w:val="none"/>
          <w:lang w:val="en-US" w:eastAsia="zh-CN"/>
        </w:rPr>
        <w:t>5</w:t>
      </w:r>
      <w:r>
        <w:rPr>
          <w:rFonts w:hint="eastAsia" w:ascii="Times New Roman" w:hAnsi="Times New Roman" w:eastAsia="宋体" w:cs="Times New Roman"/>
          <w:b/>
          <w:i w:val="0"/>
          <w:iCs w:val="0"/>
          <w:color w:val="auto"/>
          <w:sz w:val="24"/>
          <w:highlight w:val="none"/>
        </w:rPr>
        <w:t>：合同文本</w:t>
      </w:r>
    </w:p>
    <w:p>
      <w:pPr>
        <w:outlineLvl w:val="9"/>
        <w:rPr>
          <w:rFonts w:hint="eastAsia" w:ascii="黑体" w:hAnsi="黑体" w:eastAsia="黑体" w:cs="黑体"/>
          <w:i w:val="0"/>
          <w:iCs w:val="0"/>
          <w:color w:val="auto"/>
          <w:sz w:val="24"/>
          <w:szCs w:val="24"/>
          <w:highlight w:val="none"/>
          <w:lang w:eastAsia="zh-CN"/>
        </w:rPr>
      </w:pPr>
      <w:bookmarkStart w:id="84" w:name="PO_65db91e5c623413e9b26a97c611638e1"/>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141"/>
        <w:gridCol w:w="1141"/>
        <w:gridCol w:w="971"/>
        <w:gridCol w:w="1141"/>
        <w:gridCol w:w="1141"/>
        <w:gridCol w:w="1056"/>
        <w:gridCol w:w="1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0" w:hRule="atLeast"/>
        </w:trPr>
        <w:tc>
          <w:tcPr>
            <w:tcW w:w="350" w:type="pct"/>
            <w:shd w:val="clear" w:color="auto" w:fill="FFFFFF"/>
            <w:vAlign w:val="center"/>
          </w:tcPr>
          <w:p>
            <w:pPr>
              <w:jc w:val="center"/>
            </w:pPr>
            <w:r>
              <w:rPr>
                <w:b/>
              </w:rPr>
              <w:t>序号</w:t>
            </w:r>
          </w:p>
        </w:tc>
        <w:tc>
          <w:tcPr>
            <w:tcW w:w="700" w:type="pct"/>
            <w:shd w:val="clear" w:color="auto" w:fill="FFFFFF"/>
            <w:vAlign w:val="center"/>
          </w:tcPr>
          <w:p>
            <w:pPr>
              <w:jc w:val="center"/>
            </w:pPr>
            <w:r>
              <w:rPr>
                <w:b/>
              </w:rPr>
              <w:t>标的名称</w:t>
            </w:r>
          </w:p>
        </w:tc>
        <w:tc>
          <w:tcPr>
            <w:tcW w:w="700" w:type="pct"/>
            <w:shd w:val="clear" w:color="auto" w:fill="FFFFFF"/>
            <w:vAlign w:val="center"/>
          </w:tcPr>
          <w:p>
            <w:pPr>
              <w:jc w:val="center"/>
            </w:pPr>
            <w:r>
              <w:rPr>
                <w:b/>
              </w:rPr>
              <w:t>标包名称</w:t>
            </w:r>
          </w:p>
        </w:tc>
        <w:tc>
          <w:tcPr>
            <w:tcW w:w="600" w:type="pct"/>
            <w:shd w:val="clear" w:color="auto" w:fill="FFFFFF"/>
            <w:vAlign w:val="center"/>
          </w:tcPr>
          <w:p>
            <w:pPr>
              <w:jc w:val="center"/>
            </w:pPr>
            <w:r>
              <w:rPr>
                <w:b/>
              </w:rPr>
              <w:t>是否使用标准合同文本</w:t>
            </w:r>
          </w:p>
        </w:tc>
        <w:tc>
          <w:tcPr>
            <w:tcW w:w="700" w:type="pct"/>
            <w:shd w:val="clear" w:color="auto" w:fill="FFFFFF"/>
            <w:vAlign w:val="center"/>
          </w:tcPr>
          <w:p>
            <w:pPr>
              <w:jc w:val="center"/>
            </w:pPr>
            <w:r>
              <w:rPr>
                <w:b/>
              </w:rPr>
              <w:t>合同模板（合同类别/合同名称/级别）</w:t>
            </w:r>
          </w:p>
        </w:tc>
        <w:tc>
          <w:tcPr>
            <w:tcW w:w="700" w:type="pct"/>
            <w:shd w:val="clear" w:color="auto" w:fill="FFFFFF"/>
            <w:vAlign w:val="center"/>
          </w:tcPr>
          <w:p>
            <w:pPr>
              <w:jc w:val="center"/>
            </w:pPr>
            <w:r>
              <w:rPr>
                <w:b/>
              </w:rPr>
              <w:t>合同条款差异说明</w:t>
            </w:r>
          </w:p>
        </w:tc>
        <w:tc>
          <w:tcPr>
            <w:tcW w:w="650" w:type="pct"/>
            <w:shd w:val="clear" w:color="auto" w:fill="FFFFFF"/>
            <w:vAlign w:val="center"/>
          </w:tcPr>
          <w:p>
            <w:pPr>
              <w:jc w:val="center"/>
            </w:pPr>
            <w:r>
              <w:rPr>
                <w:b/>
              </w:rPr>
              <w:t>签约单位</w:t>
            </w:r>
          </w:p>
        </w:tc>
        <w:tc>
          <w:tcPr>
            <w:tcW w:w="650" w:type="pct"/>
            <w:shd w:val="clear" w:color="auto" w:fill="FFFFFF"/>
            <w:vAlign w:val="center"/>
          </w:tcPr>
          <w:p>
            <w:pPr>
              <w:jc w:val="center"/>
            </w:pPr>
            <w:r>
              <w:rPr>
                <w:b/>
              </w:rPr>
              <w:t>签约联系人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0" w:hRule="atLeast"/>
        </w:trPr>
        <w:tc>
          <w:tcPr>
            <w:tcW w:w="350" w:type="pct"/>
            <w:vMerge w:val="restart"/>
            <w:shd w:val="clear" w:color="auto" w:fill="FFFFFF"/>
            <w:vAlign w:val="center"/>
          </w:tcPr>
          <w:p>
            <w:pPr>
              <w:jc w:val="center"/>
            </w:pPr>
            <w:r>
              <w:t>1</w:t>
            </w:r>
          </w:p>
        </w:tc>
        <w:tc>
          <w:tcPr>
            <w:tcW w:w="700" w:type="pct"/>
            <w:shd w:val="clear" w:color="auto" w:fill="FFFFFF"/>
            <w:vAlign w:val="center"/>
          </w:tcPr>
          <w:p>
            <w:pPr>
              <w:jc w:val="left"/>
            </w:pPr>
            <w:r>
              <w:t>2025-2026年综合测评系统技术服务支持</w:t>
            </w:r>
          </w:p>
        </w:tc>
        <w:tc>
          <w:tcPr>
            <w:tcW w:w="700" w:type="pct"/>
            <w:shd w:val="clear" w:color="auto" w:fill="FFFFFF"/>
            <w:vAlign w:val="center"/>
          </w:tcPr>
          <w:p>
            <w:pPr>
              <w:jc w:val="left"/>
            </w:pPr>
            <w:r>
              <w:t>2025-2026年综合测评系统技术服务支持</w:t>
            </w:r>
          </w:p>
        </w:tc>
        <w:tc>
          <w:tcPr>
            <w:tcW w:w="600" w:type="pct"/>
            <w:vMerge w:val="restart"/>
            <w:shd w:val="clear" w:color="auto" w:fill="FFFFFF"/>
            <w:vAlign w:val="center"/>
          </w:tcPr>
          <w:p>
            <w:pPr>
              <w:jc w:val="center"/>
            </w:pPr>
            <w:r>
              <w:t>是</w:t>
            </w:r>
          </w:p>
        </w:tc>
        <w:tc>
          <w:tcPr>
            <w:tcW w:w="700" w:type="pct"/>
            <w:vMerge w:val="restart"/>
            <w:shd w:val="clear" w:color="auto" w:fill="FFFFFF"/>
            <w:vAlign w:val="center"/>
          </w:tcPr>
          <w:p>
            <w:pPr>
              <w:jc w:val="left"/>
            </w:pPr>
            <w:r>
              <w:t>技术服务合同（通用）</w:t>
            </w:r>
          </w:p>
        </w:tc>
        <w:tc>
          <w:tcPr>
            <w:tcW w:w="700" w:type="pct"/>
            <w:vMerge w:val="restart"/>
            <w:shd w:val="clear" w:color="auto" w:fill="FFFFFF"/>
            <w:vAlign w:val="center"/>
          </w:tcPr>
          <w:p>
            <w:pPr>
              <w:jc w:val="left"/>
            </w:pPr>
            <w:r>
              <w:t>/</w:t>
            </w:r>
          </w:p>
        </w:tc>
        <w:tc>
          <w:tcPr>
            <w:tcW w:w="650" w:type="pct"/>
            <w:shd w:val="clear" w:color="auto" w:fill="FFFFFF"/>
            <w:vAlign w:val="center"/>
          </w:tcPr>
          <w:p>
            <w:pPr>
              <w:jc w:val="left"/>
            </w:pPr>
            <w:r>
              <w:t>南网人才发展中心</w:t>
            </w:r>
          </w:p>
        </w:tc>
        <w:tc>
          <w:tcPr>
            <w:tcW w:w="650" w:type="pct"/>
            <w:shd w:val="clear" w:color="auto" w:fill="FFFFFF"/>
            <w:vAlign w:val="center"/>
          </w:tcPr>
          <w:p>
            <w:pPr>
              <w:jc w:val="left"/>
            </w:pPr>
            <w:r>
              <w:t>廖紫楠18818795598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350" w:type="pct"/>
            <w:vMerge w:val="continue"/>
            <w:shd w:val="clear" w:color="auto" w:fill="FFFFFF"/>
            <w:vAlign w:val="center"/>
          </w:tcPr>
          <w:p/>
        </w:tc>
        <w:tc>
          <w:tcPr>
            <w:tcW w:w="700" w:type="pct"/>
            <w:shd w:val="clear" w:color="auto" w:fill="FFFFFF"/>
            <w:vAlign w:val="center"/>
          </w:tcPr>
          <w:p>
            <w:pPr>
              <w:jc w:val="left"/>
            </w:pPr>
            <w:r>
              <w:t>2025-2026年档案数字化整理</w:t>
            </w:r>
          </w:p>
        </w:tc>
        <w:tc>
          <w:tcPr>
            <w:tcW w:w="700" w:type="pct"/>
            <w:shd w:val="clear" w:color="auto" w:fill="FFFFFF"/>
            <w:vAlign w:val="center"/>
          </w:tcPr>
          <w:p>
            <w:pPr>
              <w:jc w:val="left"/>
            </w:pPr>
            <w:r>
              <w:t>2025-2026年档案数字化整理</w:t>
            </w:r>
          </w:p>
        </w:tc>
        <w:tc>
          <w:tcPr>
            <w:tcW w:w="600" w:type="pct"/>
            <w:vMerge w:val="continue"/>
            <w:shd w:val="clear" w:color="auto" w:fill="FFFFFF"/>
            <w:vAlign w:val="center"/>
          </w:tcPr>
          <w:p/>
        </w:tc>
        <w:tc>
          <w:tcPr>
            <w:tcW w:w="700" w:type="pct"/>
            <w:vMerge w:val="continue"/>
            <w:shd w:val="clear" w:color="auto" w:fill="FFFFFF"/>
            <w:vAlign w:val="center"/>
          </w:tcPr>
          <w:p/>
        </w:tc>
        <w:tc>
          <w:tcPr>
            <w:tcW w:w="700" w:type="pct"/>
            <w:vMerge w:val="continue"/>
            <w:shd w:val="clear" w:color="auto" w:fill="FFFFFF"/>
            <w:vAlign w:val="center"/>
          </w:tcPr>
          <w:p/>
        </w:tc>
        <w:tc>
          <w:tcPr>
            <w:tcW w:w="650" w:type="pct"/>
            <w:shd w:val="clear" w:color="auto" w:fill="FFFFFF"/>
            <w:vAlign w:val="center"/>
          </w:tcPr>
          <w:p>
            <w:pPr>
              <w:jc w:val="left"/>
            </w:pPr>
            <w:r>
              <w:t>南网人才发展中心</w:t>
            </w:r>
          </w:p>
        </w:tc>
        <w:tc>
          <w:tcPr>
            <w:tcW w:w="650" w:type="pct"/>
            <w:shd w:val="clear" w:color="auto" w:fill="FFFFFF"/>
            <w:vAlign w:val="center"/>
          </w:tcPr>
          <w:p>
            <w:pPr>
              <w:jc w:val="left"/>
            </w:pPr>
            <w:r>
              <w:t>罗超群13005112233</w:t>
            </w:r>
          </w:p>
        </w:tc>
      </w:tr>
      <w:bookmarkEnd w:id="84"/>
    </w:tbl>
    <w:p/>
    <w:p>
      <w:pPr>
        <w:rPr>
          <w:rFonts w:hint="eastAsia" w:ascii="Times New Roman" w:hAnsi="Times New Roman" w:eastAsia="宋体" w:cs="Times New Roman"/>
          <w:b/>
          <w:i w:val="0"/>
          <w:iCs w:val="0"/>
          <w:color w:val="auto"/>
          <w:sz w:val="24"/>
          <w:highlight w:val="none"/>
        </w:rPr>
      </w:pPr>
      <w:r>
        <w:br w:type="page"/>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textAlignment w:val="auto"/>
        <w:outlineLvl w:val="0"/>
        <w:rPr>
          <w:rFonts w:hint="eastAsia" w:ascii="Times New Roman" w:hAnsi="Times New Roman" w:eastAsia="宋体" w:cs="Times New Roman"/>
          <w:b/>
          <w:i w:val="0"/>
          <w:iCs w:val="0"/>
          <w:color w:val="auto"/>
          <w:sz w:val="24"/>
          <w:highlight w:val="none"/>
          <w:lang w:eastAsia="zh-CN"/>
        </w:rPr>
      </w:pPr>
      <w:r>
        <w:rPr>
          <w:rFonts w:hint="eastAsia" w:ascii="Times New Roman" w:hAnsi="Times New Roman" w:eastAsia="宋体" w:cs="Times New Roman"/>
          <w:b/>
          <w:i w:val="0"/>
          <w:iCs w:val="0"/>
          <w:color w:val="auto"/>
          <w:sz w:val="24"/>
          <w:highlight w:val="none"/>
        </w:rPr>
        <w:t>附件</w:t>
      </w:r>
      <w:r>
        <w:rPr>
          <w:rFonts w:hint="eastAsia" w:ascii="Times New Roman" w:hAnsi="Times New Roman" w:cs="Times New Roman"/>
          <w:b/>
          <w:i w:val="0"/>
          <w:iCs w:val="0"/>
          <w:color w:val="auto"/>
          <w:sz w:val="24"/>
          <w:highlight w:val="none"/>
          <w:lang w:val="en-US" w:eastAsia="zh-CN"/>
        </w:rPr>
        <w:t>6</w:t>
      </w:r>
      <w:r>
        <w:rPr>
          <w:rFonts w:hint="eastAsia" w:ascii="Times New Roman" w:hAnsi="Times New Roman" w:eastAsia="宋体" w:cs="Times New Roman"/>
          <w:b/>
          <w:i w:val="0"/>
          <w:iCs w:val="0"/>
          <w:color w:val="auto"/>
          <w:sz w:val="24"/>
          <w:highlight w:val="none"/>
        </w:rPr>
        <w:t>：</w:t>
      </w:r>
      <w:r>
        <w:rPr>
          <w:rFonts w:hint="eastAsia" w:ascii="Times New Roman" w:hAnsi="Times New Roman" w:cs="Times New Roman"/>
          <w:b/>
          <w:i w:val="0"/>
          <w:iCs w:val="0"/>
          <w:color w:val="auto"/>
          <w:sz w:val="24"/>
          <w:highlight w:val="none"/>
          <w:lang w:val="en-US" w:eastAsia="zh-CN"/>
        </w:rPr>
        <w:t>其他</w:t>
      </w:r>
    </w:p>
    <w:p>
      <w:pPr>
        <w:outlineLvl w:val="9"/>
        <w:rPr>
          <w:rFonts w:hint="eastAsia" w:ascii="黑体" w:hAnsi="黑体" w:eastAsia="黑体" w:cs="黑体"/>
          <w:i w:val="0"/>
          <w:iCs w:val="0"/>
          <w:color w:val="auto"/>
          <w:sz w:val="24"/>
          <w:szCs w:val="24"/>
          <w:highlight w:val="none"/>
        </w:rPr>
      </w:pPr>
    </w:p>
    <w:tbl>
      <w:tblPr>
        <w:tblStyle w:val="22"/>
        <w:tblW w:w="90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946"/>
        <w:gridCol w:w="6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3" w:type="dxa"/>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jc w:val="center"/>
              <w:rPr>
                <w:rFonts w:hint="eastAsia" w:ascii="宋体" w:hAnsi="宋体" w:eastAsia="宋体" w:cs="宋体"/>
                <w:b/>
                <w:bCs/>
                <w:i w:val="0"/>
                <w:iCs w:val="0"/>
                <w:color w:val="auto"/>
                <w:szCs w:val="21"/>
                <w:highlight w:val="none"/>
                <w:u w:val="none"/>
                <w:lang w:val="en-US" w:eastAsia="zh-CN"/>
              </w:rPr>
            </w:pPr>
            <w:r>
              <w:rPr>
                <w:rFonts w:hint="eastAsia" w:ascii="宋体" w:hAnsi="宋体" w:eastAsia="宋体" w:cs="宋体"/>
                <w:b/>
                <w:bCs/>
                <w:i w:val="0"/>
                <w:iCs w:val="0"/>
                <w:color w:val="auto"/>
                <w:szCs w:val="21"/>
                <w:highlight w:val="none"/>
                <w:u w:val="none"/>
                <w:lang w:val="en-US" w:eastAsia="zh-CN"/>
              </w:rPr>
              <w:t>序号</w:t>
            </w:r>
          </w:p>
        </w:tc>
        <w:tc>
          <w:tcPr>
            <w:tcW w:w="1946" w:type="dxa"/>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jc w:val="center"/>
              <w:rPr>
                <w:rFonts w:hint="eastAsia" w:ascii="宋体" w:hAnsi="宋体" w:eastAsia="宋体" w:cs="宋体"/>
                <w:b/>
                <w:bCs/>
                <w:i w:val="0"/>
                <w:iCs w:val="0"/>
                <w:color w:val="auto"/>
                <w:szCs w:val="21"/>
                <w:highlight w:val="none"/>
                <w:u w:val="none"/>
                <w:lang w:val="en-US" w:eastAsia="zh-CN"/>
              </w:rPr>
            </w:pPr>
            <w:r>
              <w:rPr>
                <w:rFonts w:hint="eastAsia" w:ascii="宋体" w:hAnsi="宋体" w:eastAsia="宋体" w:cs="宋体"/>
                <w:b/>
                <w:bCs/>
                <w:i w:val="0"/>
                <w:iCs w:val="0"/>
                <w:color w:val="auto"/>
                <w:szCs w:val="21"/>
                <w:highlight w:val="none"/>
                <w:u w:val="none"/>
                <w:lang w:val="en-US" w:eastAsia="zh-CN"/>
              </w:rPr>
              <w:t>条款名称</w:t>
            </w:r>
          </w:p>
        </w:tc>
        <w:tc>
          <w:tcPr>
            <w:tcW w:w="6350" w:type="dxa"/>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jc w:val="center"/>
              <w:rPr>
                <w:rFonts w:hint="eastAsia" w:ascii="宋体" w:hAnsi="宋体" w:eastAsia="宋体" w:cs="宋体"/>
                <w:b/>
                <w:bCs/>
                <w:i w:val="0"/>
                <w:iCs w:val="0"/>
                <w:color w:val="auto"/>
                <w:szCs w:val="21"/>
                <w:highlight w:val="none"/>
                <w:u w:val="none"/>
                <w:lang w:val="en-US" w:eastAsia="zh-CN"/>
              </w:rPr>
            </w:pPr>
            <w:r>
              <w:rPr>
                <w:rFonts w:hint="eastAsia" w:ascii="宋体" w:hAnsi="宋体" w:eastAsia="宋体" w:cs="宋体"/>
                <w:b/>
                <w:bCs/>
                <w:i w:val="0"/>
                <w:iCs w:val="0"/>
                <w:color w:val="auto"/>
                <w:szCs w:val="21"/>
                <w:highlight w:val="none"/>
                <w:u w:val="none"/>
                <w:lang w:val="en-US" w:eastAsia="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3" w:type="dxa"/>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jc w:val="center"/>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1</w:t>
            </w:r>
          </w:p>
        </w:tc>
        <w:tc>
          <w:tcPr>
            <w:tcW w:w="1946" w:type="dxa"/>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outlineLvl w:val="9"/>
              <w:rPr>
                <w:rFonts w:hint="eastAsia" w:ascii="宋体" w:hAnsi="宋体" w:eastAsia="宋体" w:cs="宋体"/>
                <w:i w:val="0"/>
                <w:iCs w:val="0"/>
                <w:color w:val="auto"/>
                <w:szCs w:val="21"/>
                <w:highlight w:val="none"/>
                <w:u w:val="none"/>
                <w:lang w:val="en-US" w:eastAsia="zh-CN"/>
              </w:rPr>
            </w:pPr>
            <w:r>
              <w:rPr>
                <w:rFonts w:hint="eastAsia" w:ascii="宋体" w:hAnsi="宋体" w:cs="宋体"/>
                <w:b w:val="0"/>
                <w:bCs w:val="0"/>
                <w:i w:val="0"/>
                <w:iCs w:val="0"/>
                <w:color w:val="auto"/>
                <w:kern w:val="0"/>
                <w:sz w:val="21"/>
                <w:szCs w:val="21"/>
                <w:highlight w:val="none"/>
                <w:u w:val="none"/>
                <w:lang w:val="en-US" w:eastAsia="zh-CN"/>
              </w:rPr>
              <w:t>网络安全审查要求</w:t>
            </w:r>
          </w:p>
        </w:tc>
        <w:tc>
          <w:tcPr>
            <w:tcW w:w="6350" w:type="dxa"/>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outlineLvl w:val="9"/>
              <w:rPr>
                <w:rFonts w:hint="eastAsia" w:ascii="宋体" w:hAnsi="宋体" w:eastAsia="宋体" w:cs="宋体"/>
                <w:b w:val="0"/>
                <w:bCs/>
                <w:i w:val="0"/>
                <w:iCs w:val="0"/>
                <w:color w:val="auto"/>
                <w:kern w:val="2"/>
                <w:sz w:val="21"/>
                <w:szCs w:val="21"/>
                <w:highlight w:val="yellow"/>
                <w:u w:val="single"/>
                <w:lang w:val="en-US" w:eastAsia="zh-CN" w:bidi="ar-SA"/>
              </w:rPr>
            </w:pPr>
            <w:r>
              <w:rPr>
                <w:rFonts w:hint="eastAsia" w:ascii="宋体" w:hAnsi="宋体" w:cs="宋体"/>
                <w:b w:val="0"/>
                <w:bCs w:val="0"/>
                <w:i w:val="0"/>
                <w:iCs w:val="0"/>
                <w:color w:val="auto"/>
                <w:kern w:val="0"/>
                <w:sz w:val="21"/>
                <w:szCs w:val="21"/>
                <w:highlight w:val="yellow"/>
                <w:u w:val="none"/>
                <w:lang w:val="en-US" w:eastAsia="zh-CN"/>
              </w:rPr>
              <w:t>不需要网络安全审查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3" w:type="dxa"/>
            <w:vAlign w:val="center"/>
          </w:tcPr>
          <w:p>
            <w:pPr>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jc w:val="center"/>
              <w:rPr>
                <w:rFonts w:hint="default"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2</w:t>
            </w:r>
          </w:p>
        </w:tc>
        <w:tc>
          <w:tcPr>
            <w:tcW w:w="1946" w:type="dxa"/>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outlineLvl w:val="9"/>
              <w:rPr>
                <w:rFonts w:hint="default" w:ascii="宋体" w:hAnsi="宋体" w:cs="宋体"/>
                <w:b w:val="0"/>
                <w:bCs w:val="0"/>
                <w:i w:val="0"/>
                <w:iCs w:val="0"/>
                <w:color w:val="auto"/>
                <w:kern w:val="0"/>
                <w:sz w:val="21"/>
                <w:szCs w:val="21"/>
                <w:highlight w:val="none"/>
                <w:u w:val="none"/>
                <w:lang w:val="en-US" w:eastAsia="zh-CN"/>
              </w:rPr>
            </w:pPr>
            <w:r>
              <w:rPr>
                <w:rFonts w:hint="eastAsia" w:ascii="宋体" w:hAnsi="宋体" w:cs="宋体"/>
                <w:b w:val="0"/>
                <w:bCs w:val="0"/>
                <w:i w:val="0"/>
                <w:iCs w:val="0"/>
                <w:color w:val="auto"/>
                <w:kern w:val="0"/>
                <w:sz w:val="21"/>
                <w:szCs w:val="21"/>
                <w:highlight w:val="none"/>
                <w:u w:val="none"/>
                <w:lang w:val="en-US" w:eastAsia="zh-CN"/>
              </w:rPr>
              <w:t>其他</w:t>
            </w:r>
          </w:p>
        </w:tc>
        <w:tc>
          <w:tcPr>
            <w:tcW w:w="6350" w:type="dxa"/>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outlineLvl w:val="9"/>
              <w:rPr>
                <w:rFonts w:hint="eastAsia" w:ascii="宋体" w:hAnsi="宋体" w:cs="宋体"/>
                <w:b w:val="0"/>
                <w:bCs w:val="0"/>
                <w:i w:val="0"/>
                <w:iCs w:val="0"/>
                <w:color w:val="auto"/>
                <w:kern w:val="0"/>
                <w:sz w:val="21"/>
                <w:szCs w:val="21"/>
                <w:highlight w:val="yellow"/>
                <w:u w:val="none"/>
                <w:lang w:val="en-US" w:eastAsia="zh-CN"/>
              </w:rPr>
            </w:pPr>
            <w:r>
              <w:rPr>
                <w:rFonts w:hint="eastAsia" w:ascii="宋体" w:hAnsi="宋体" w:cs="宋体"/>
                <w:b w:val="0"/>
                <w:bCs w:val="0"/>
                <w:i w:val="0"/>
                <w:iCs w:val="0"/>
                <w:color w:val="auto"/>
                <w:kern w:val="0"/>
                <w:sz w:val="21"/>
                <w:szCs w:val="21"/>
                <w:highlight w:val="yellow"/>
                <w:u w:val="none"/>
                <w:lang w:val="en-US" w:eastAsia="zh-CN"/>
              </w:rPr>
              <w:t>无</w:t>
            </w:r>
          </w:p>
        </w:tc>
      </w:tr>
    </w:tbl>
    <w:p>
      <w:pPr>
        <w:rPr>
          <w:rFonts w:hint="eastAsia" w:eastAsiaTheme="minorEastAsia"/>
          <w:i w:val="0"/>
          <w:iCs w:val="0"/>
          <w:lang w:val="en-US" w:eastAsia="zh-CN"/>
        </w:rPr>
      </w:pPr>
      <w:r>
        <w:rPr>
          <w:rFonts w:hint="eastAsia"/>
          <w:i w:val="0"/>
          <w:iCs w:val="0"/>
          <w:lang w:val="en-US" w:eastAsia="zh-CN"/>
        </w:rPr>
        <w:t xml:space="preserve">                             </w:t>
      </w:r>
    </w:p>
    <w:p>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粗宋简体">
    <w:altName w:val="宋体"/>
    <w:panose1 w:val="00000000000000000000"/>
    <w:charset w:val="86"/>
    <w:family w:val="auto"/>
    <w:pitch w:val="default"/>
    <w:sig w:usb0="00000000" w:usb1="00000000" w:usb2="00000000" w:usb3="00000000" w:csb0="00040001" w:csb1="00000000"/>
  </w:font>
  <w:font w:name="文鼎CS大黑">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Dialog">
    <w:altName w:val="宋体"/>
    <w:panose1 w:val="00000000000000000000"/>
    <w:charset w:val="00"/>
    <w:family w:val="auto"/>
    <w:pitch w:val="default"/>
    <w:sig w:usb0="00000000" w:usb1="00000000" w:usb2="0000001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spacing w:before="120" w:after="12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20"/>
                          </w:pPr>
                        </w:p>
                      </w:txbxContent>
                    </wps:txbx>
                    <wps:bodyPr rot="0" spcFirstLastPara="0" vertOverflow="overflow" horzOverflow="overflow" vert="horz" wrap="none" lIns="0" tIns="0" rIns="0" bIns="0" numCol="1" rtlCol="0" anchor="t" upright="0">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E1iSwBAgAACgQAAA4AAABkcnMvZTJvRG9jLnhtbK1TwY7TMBC9I/EP&#10;lu80bRGoipquEFUR0oqttPABruM0lmyPNXablA+AP+DEhTvf1e9g7KRdWDjsgYvzPJ48z3szXt70&#10;1rCjwqDBVXw2mXKmnIRau33FP33cvFhwFqJwtTDgVMVPKvCb1fNny86Xag4tmFohIxIXys5XvI3R&#10;l0URZKusCBPwytFhA2hFpC3uixpFR+zWFPPp9HXRAdYeQaoQKLoeDvnIiE8hhKbRUq1BHqxycWBF&#10;ZUQkSaHVPvBVrrZplIx3TRNUZKbipDTmlS4hvEtrsVqKco/Ct1qOJYinlPBIkxXa0aVXqrWIgh1Q&#10;/0VltUQI0MSJBFsMQrIjpGI2feTNfSu8ylrI6uCvpof/Rys/HLfIdF3xV9R3Jyx1/Pzt6/n7z/OP&#10;L+xl8qfzoaS0e7/FcRcIJrF9gzZ9SQbrs6enq6eqj0xScLaYLxZTslvS2WVDPMXD7x5DfKfAsgQq&#10;jtS07KU43oY4pF5S0m0ONtoYiovSuD8CxJkiRap4qDGh2O/6sfAd1CeSizDMQfByo+nOWxHiViA1&#10;nuqkpxHvaGkMdBWHEXHWAn7+VzzlUz/olLOOBqnijt4NZ+a9oz6lmbsAvIDdBbiDfQs0mTPOMJoM&#10;6QfhJNFVPHJ28Kj3ba42KQ3+zSGS/OxK0jYIGiXTiGRfx3FOM/j7Pmc9POHVL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l1uVLQAAAABQEAAA8AAAAAAAAAAQAgAAAAIgAAAGRycy9kb3ducmV2Lnht&#10;bFBLAQIUABQAAAAIAIdO4kCxNYksAQIAAAoEAAAOAAAAAAAAAAEAIAAAAB8BAABkcnMvZTJvRG9j&#10;LnhtbFBLBQYAAAAABgAGAFkBAACSBQAAAAA=&#10;">
              <v:fill on="f" focussize="0,0"/>
              <v:stroke on="f"/>
              <v:imagedata o:title=""/>
              <o:lock v:ext="edit" aspectratio="f"/>
              <v:textbox inset="0mm,0mm,0mm,0mm" style="mso-fit-shape-to-text:t;">
                <w:txbxContent>
                  <w:p>
                    <w:pPr>
                      <w:pStyle w:val="20"/>
                    </w:pPr>
                  </w:p>
                </w:txbxContent>
              </v:textbox>
            </v:rect>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7"/>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pPr>
                            <w:pStyle w:val="20"/>
                            <w:rPr>
                              <w:rFonts w:hint="eastAsia"/>
                            </w:rPr>
                          </w:pPr>
                        </w:p>
                      </w:txbxContent>
                    </wps:txbx>
                    <wps:bodyPr rot="0" spcFirstLastPara="0" vertOverflow="overflow" horzOverflow="overflow" vert="horz" wrap="none" lIns="0" tIns="0" rIns="0" bIns="0" numCol="1" anchor="t" upright="0">
                      <a:spAutoFit/>
                    </wps:bodyPr>
                  </wps:wsp>
                </a:graphicData>
              </a:graphic>
            </wp:anchor>
          </w:drawing>
        </mc:Choice>
        <mc:Fallback>
          <w:pict>
            <v:rect id="文本框 7"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N5f9Dv+AQAA/wMAAA4AAABkcnMvZTJvRG9jLnhtbK1TwY7TMBC9I/EP&#10;lu80aSWgRE1XiKoIacVWWvgA13EaS7bHGrtNygfAH3Diwp3v6nfsOEm7sLuHPXBxZsaTN/PejBdX&#10;nTXsoDBocCWfTnLOlJNQabcr+dcv61dzzkIUrhIGnCr5UQV+tXz5YtH6Qs2gAVMpZATiQtH6kjcx&#10;+iLLgmyUFWECXjm6rAGtiOTiLqtQtIRuTTbL8zdZC1h5BKlCoOhquOQjIj4HEOpaS7UCubfKxQEV&#10;lRGRKIVG+8CXfbd1rWS8qeugIjMlJ6axP6kI2dt0ZsuFKHYofKPl2IJ4TgsPOFmhHRW9QK1EFGyP&#10;+hGU1RIhQB0nEmw2EOkVIRbT/IE2t43wqudCUgd/ET38P1j5+bBBpquSv37HmROWJn76+eP068/p&#10;93f2NunT+lBQ2q3f4OgFMhPZrkabvkSDdb2mx4umqotMUnA6n83nOckt6e7sEE52/7vHED8qsCwZ&#10;JUcaWq+lOFyHOKSeU1I1B2ttDMVFYdw/AcJMkSx1PPSYrNhtu7HxLVRHoosw7EHwcq2p5rUIcSOQ&#10;Bk990tOIN3TUBtqSw2hx1gB+eyqe8mkedMtZS4tUckfvhjPzydGc0s6dDTwb27Ph9vYD0GZOORNO&#10;EkbJI2d7j3rX9C0mesG/30fi3EuRCA0sRp60F72Y4w6nxfvb77Pu3+3yD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Ll1uVLQAAAABQEAAA8AAAAAAAAAAQAgAAAAIgAAAGRycy9kb3ducmV2LnhtbFBL&#10;AQIUABQAAAAIAIdO4kDeX/Q7/gEAAP8DAAAOAAAAAAAAAAEAIAAAAB8BAABkcnMvZTJvRG9jLnht&#10;bFBLBQYAAAAABgAGAFkBAACPBQAAAAA=&#10;">
              <v:fill on="f" focussize="0,0"/>
              <v:stroke on="f"/>
              <v:imagedata o:title=""/>
              <o:lock v:ext="edit" aspectratio="f"/>
              <v:textbox inset="0mm,0mm,0mm,0mm" style="mso-fit-shape-to-text:t;">
                <w:txbxContent>
                  <w:p>
                    <w:pPr>
                      <w:pStyle w:val="20"/>
                      <w:rPr>
                        <w:rFonts w:hint="eastAsia"/>
                      </w:rPr>
                    </w:pP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13"/>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rtlCol="0" anchor="t" upright="0">
                      <a:spAutoFit/>
                    </wps:bodyPr>
                  </wps:wsp>
                </a:graphicData>
              </a:graphic>
            </wp:anchor>
          </w:drawing>
        </mc:Choice>
        <mc:Fallback>
          <w:pict>
            <v:rect id="文本框 13" o:spid="_x0000_s1026" o:spt="1"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9Wc+MDAgAACwQAAA4AAABkcnMvZTJvRG9jLnhtbK1TwY7TMBC9I/EP&#10;lu80bZGqKtp0haiKkFZspYUPcB2nsWR7rLHbpHwA/AEnLtz5rn4HYyftwsJhD1yc5/Hked6b8c1t&#10;bw07KgwaXMVnkylnykmotdtX/NPHzaslZyEKVwsDTlX8pAK/Xb18cdP5Us2hBVMrZETiQtn5ircx&#10;+rIogmyVFWECXjk6bACtiLTFfVGj6IjdmmI+nS6KDrD2CFKFQNH1cMhHRnwOITSNlmoN8mCViwMr&#10;KiMiSQqt9oGvcrVNo2S8b5qgIjMVJ6Uxr3QJ4V1ai9WNKPcofKvlWIJ4TglPNFmhHV16pVqLKNgB&#10;9V9UVkuEAE2cSLDFICQ7Qipm0yfePLTCq6yFrA7+anr4f7Tyw3GLTNcVXyw4c8JSx8/fvp6//zz/&#10;+MJmr5NBnQ8l5T34LY67QDCp7Ru06Us6WJ9NPV1NVX1kkoKz5Xy5nJLfks4uG+IpHn/3GOI7BZYl&#10;UHGkrmUzxfEuxCH1kpJuc7DRxlBclMb9ESDOFClSxUONCcV+14+F76A+kV6EYRCClxtNd96JELcC&#10;qfNUJ72NeE9LY6CrOIyIsxbw87/iKZ8aQqecdTRJFXf0cDgz7x01Kg3dBeAF7C7AHexboNGccYbR&#10;ZEg/CCeJruKRs4NHvW9ztUlp8G8OkeRnV5K2QdAomWYk+zrOcxrC3/c56/ENr3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uXW5UtAAAAAFAQAADwAAAAAAAAABACAAAAAiAAAAZHJzL2Rvd25yZXYu&#10;eG1sUEsBAhQAFAAAAAgAh07iQE9Wc+MDAgAACwQAAA4AAAAAAAAAAQAgAAAAHwEAAGRycy9lMm9E&#10;b2MueG1sUEsFBgAAAAAGAAYAWQEAAJQFAAAAAA==&#10;">
              <v:fill on="f" focussize="0,0"/>
              <v:stroke on="f"/>
              <v:imagedata o:title=""/>
              <o:lock v:ext="edit" aspectratio="f"/>
              <v:textbox inset="0mm,0mm,0mm,0mm" style="mso-fit-shape-to-text:t;">
                <w:txbxContent>
                  <w:p>
                    <w:pPr>
                      <w:pStyle w:val="20"/>
                    </w:pPr>
                    <w:r>
                      <w:fldChar w:fldCharType="begin"/>
                    </w:r>
                    <w:r>
                      <w:instrText xml:space="preserve"> PAGE  \* MERGEFORMAT </w:instrText>
                    </w:r>
                    <w:r>
                      <w:fldChar w:fldCharType="separate"/>
                    </w:r>
                    <w:r>
                      <w:t>2</w:t>
                    </w:r>
                    <w:r>
                      <w:fldChar w:fldCharType="end"/>
                    </w:r>
                  </w:p>
                </w:txbxContent>
              </v:textbox>
            </v:rect>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20"/>
                          </w:pPr>
                        </w:p>
                      </w:txbxContent>
                    </wps:txbx>
                    <wps:bodyPr rot="0" spcFirstLastPara="0" vertOverflow="overflow" horzOverflow="overflow" vert="horz" wrap="none" lIns="0" tIns="0" rIns="0" bIns="0" numCol="1" rtlCol="0" anchor="t" upright="0">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GqZYHkCAgAACgQAAA4AAABkcnMvZTJvRG9jLnhtbK1TwY7TMBC9I/EP&#10;lu80bYWWKmq6QlRFSCu20rIf4DpOY8n2WGO3SfkA+ANOXLjzXfsdjJ20CwuHPXBxnseT53lvxsvr&#10;3hp2VBg0uIrPJlPOlJNQa7ev+P2nzasFZyEKVwsDTlX8pAK/Xr18sex8qebQgqkVMiJxoex8xdsY&#10;fVkUQbbKijABrxwdNoBWRNrivqhRdMRuTTGfTq+KDrD2CFKFQNH1cMhHRnwOITSNlmoN8mCViwMr&#10;KiMiSQqt9oGvcrVNo2S8bZqgIjMVJ6Uxr3QJ4V1ai9VSlHsUvtVyLEE8p4QnmqzQji69UK1FFOyA&#10;+i8qqyVCgCZOJNhiEJIdIRWz6RNv7lrhVdZCVgd/MT38P1r58bhFpuuKX73hzAlLHX/49vXh+8+H&#10;H1/Y6+RP50NJaXd+i+MuEExi+wZt+pIM1mdPTxdPVR+ZpOBsMV8spmS3pLPzhniKx989hvhegWUJ&#10;VBypadlLcbwJcUg9p6TbHGy0MRQXpXF/BIgzRYpU8VBjQrHf9WPhO6hPJBdhmIPg5UbTnTcixK1A&#10;ajzVSU8j3tLSGOgqDiPirAX8/K94yqd+0ClnHQ1SxR29G87MB0d9SjN3BngGuzNwB/sOaDJnnGE0&#10;GdIPwkmiq3jk7OBR79tcbVIa/NtDJPnZlaRtEDRKphHJvo7jnGbw933OenzCq1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5dblS0AAAAAUBAAAPAAAAAAAAAAEAIAAAACIAAABkcnMvZG93bnJldi54&#10;bWxQSwECFAAUAAAACACHTuJAaplgeQICAAAKBAAADgAAAAAAAAABACAAAAAfAQAAZHJzL2Uyb0Rv&#10;Yy54bWxQSwUGAAAAAAYABgBZAQAAkwUAAAAA&#10;">
              <v:fill on="f" focussize="0,0"/>
              <v:stroke on="f"/>
              <v:imagedata o:title=""/>
              <o:lock v:ext="edit" aspectratio="f"/>
              <v:textbox inset="0mm,0mm,0mm,0mm" style="mso-fit-shape-to-text:t;">
                <w:txbxContent>
                  <w:p>
                    <w:pPr>
                      <w:pStyle w:val="20"/>
                    </w:pP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9A0688"/>
    <w:multiLevelType w:val="singleLevel"/>
    <w:tmpl w:val="549A0688"/>
    <w:lvl w:ilvl="0" w:tentative="0">
      <w:start w:val="2"/>
      <w:numFmt w:val="decimal"/>
      <w:suff w:val="nothing"/>
      <w:lvlText w:val="（%1）"/>
      <w:lvlJc w:val="left"/>
    </w:lvl>
  </w:abstractNum>
  <w:abstractNum w:abstractNumId="1">
    <w:nsid w:val="5859DB6C"/>
    <w:multiLevelType w:val="multilevel"/>
    <w:tmpl w:val="5859DB6C"/>
    <w:lvl w:ilvl="0" w:tentative="0">
      <w:start w:val="1"/>
      <w:numFmt w:val="japaneseCounting"/>
      <w:suff w:val="nothing"/>
      <w:lvlText w:val="（%1）"/>
      <w:lvlJc w:val="left"/>
      <w:pPr>
        <w:ind w:left="1185" w:hanging="765"/>
      </w:pPr>
      <w:rPr>
        <w:rFonts w:hint="eastAsia" w:ascii="宋体" w:hAnsi="宋体" w:eastAsia="Times New Roman"/>
        <w:sz w:val="24"/>
      </w:rPr>
    </w:lvl>
    <w:lvl w:ilvl="1" w:tentative="0">
      <w:start w:val="1"/>
      <w:numFmt w:val="decimal"/>
      <w:lvlText w:val="%2、"/>
      <w:lvlJc w:val="left"/>
      <w:pPr>
        <w:ind w:left="1215" w:hanging="375"/>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NotTrackMoves/>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34309B"/>
    <w:rsid w:val="116B27EA"/>
    <w:rsid w:val="76A626A9"/>
    <w:rsid w:val="77B82431"/>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iPriority="99"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9"/>
    <w:pPr>
      <w:widowControl w:val="0"/>
      <w:autoSpaceDE w:val="0"/>
      <w:autoSpaceDN w:val="0"/>
      <w:adjustRightInd w:val="0"/>
      <w:spacing w:beforeLines="0" w:afterLines="0"/>
      <w:outlineLvl w:val="0"/>
    </w:pPr>
    <w:rPr>
      <w:rFonts w:hint="default" w:ascii="Arial" w:hAnsi="Arial" w:eastAsia="宋体" w:cs="Times New Roman"/>
      <w:b/>
      <w:color w:val="000000"/>
      <w:sz w:val="32"/>
    </w:rPr>
  </w:style>
  <w:style w:type="paragraph" w:styleId="3">
    <w:name w:val="heading 2"/>
    <w:basedOn w:val="1"/>
    <w:next w:val="1"/>
    <w:qFormat/>
    <w:uiPriority w:val="99"/>
    <w:pPr>
      <w:widowControl w:val="0"/>
      <w:autoSpaceDE w:val="0"/>
      <w:autoSpaceDN w:val="0"/>
      <w:adjustRightInd w:val="0"/>
      <w:spacing w:beforeLines="0" w:afterLines="0"/>
      <w:outlineLvl w:val="1"/>
    </w:pPr>
    <w:rPr>
      <w:rFonts w:hint="default" w:ascii="Arial" w:hAnsi="Arial" w:eastAsia="宋体" w:cs="Times New Roman"/>
      <w:b/>
      <w:i/>
      <w:color w:val="000000"/>
      <w:sz w:val="28"/>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4">
    <w:name w:val="Normal Indent"/>
    <w:basedOn w:val="1"/>
    <w:next w:val="5"/>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cs="Times New Roman"/>
      <w:szCs w:val="21"/>
      <w:lang w:val="en-US" w:eastAsia="zh-CN"/>
    </w:rPr>
  </w:style>
  <w:style w:type="paragraph" w:customStyle="1" w:styleId="5">
    <w:name w:val="正文 New New New New"/>
    <w:next w:val="6"/>
    <w:qFormat/>
    <w:uiPriority w:val="0"/>
    <w:pPr>
      <w:widowControl w:val="0"/>
      <w:ind w:firstLine="2560"/>
      <w:jc w:val="both"/>
    </w:pPr>
    <w:rPr>
      <w:rFonts w:ascii="Times New Roman" w:hAnsi="Times New Roman" w:eastAsia="宋体" w:cs="Times New Roman"/>
      <w:lang w:val="en-US" w:eastAsia="zh-CN" w:bidi="ar-SA"/>
    </w:rPr>
  </w:style>
  <w:style w:type="paragraph" w:customStyle="1" w:styleId="6">
    <w:name w:val="Table Paragraph"/>
    <w:basedOn w:val="1"/>
    <w:next w:val="7"/>
    <w:qFormat/>
    <w:uiPriority w:val="0"/>
    <w:pPr>
      <w:ind w:firstLine="3584"/>
    </w:pPr>
    <w:rPr>
      <w:rFonts w:ascii="Times New Roman" w:hAnsi="Times New Roman"/>
      <w:kern w:val="0"/>
      <w:sz w:val="20"/>
      <w:szCs w:val="20"/>
    </w:rPr>
  </w:style>
  <w:style w:type="paragraph" w:customStyle="1" w:styleId="7">
    <w:name w:val="普通(Web)1"/>
    <w:basedOn w:val="1"/>
    <w:next w:val="8"/>
    <w:qFormat/>
    <w:uiPriority w:val="0"/>
    <w:pPr>
      <w:widowControl/>
      <w:spacing w:before="280" w:after="280"/>
      <w:ind w:firstLine="5120"/>
    </w:pPr>
    <w:rPr>
      <w:rFonts w:ascii="宋体" w:hAnsi="Times New Roman"/>
      <w:kern w:val="0"/>
      <w:sz w:val="20"/>
      <w:szCs w:val="20"/>
    </w:rPr>
  </w:style>
  <w:style w:type="paragraph" w:customStyle="1" w:styleId="8">
    <w:name w:val="Char Char Char"/>
    <w:basedOn w:val="1"/>
    <w:next w:val="9"/>
    <w:qFormat/>
    <w:uiPriority w:val="0"/>
    <w:pPr>
      <w:widowControl/>
      <w:spacing w:after="160" w:line="240" w:lineRule="exact"/>
      <w:ind w:firstLine="3584"/>
    </w:pPr>
    <w:rPr>
      <w:rFonts w:ascii="Times New Roman" w:hAnsi="Times New Roman"/>
      <w:kern w:val="0"/>
      <w:sz w:val="20"/>
      <w:szCs w:val="20"/>
    </w:rPr>
  </w:style>
  <w:style w:type="paragraph" w:customStyle="1" w:styleId="9">
    <w:name w:val="正文2"/>
    <w:basedOn w:val="1"/>
    <w:next w:val="10"/>
    <w:qFormat/>
    <w:uiPriority w:val="0"/>
    <w:pPr>
      <w:spacing w:before="156" w:line="360" w:lineRule="auto"/>
      <w:ind w:left="510" w:firstLine="3838"/>
    </w:pPr>
    <w:rPr>
      <w:rFonts w:ascii="Times New Roman" w:hAnsi="Times New Roman"/>
      <w:kern w:val="0"/>
      <w:sz w:val="20"/>
      <w:szCs w:val="20"/>
    </w:rPr>
  </w:style>
  <w:style w:type="paragraph" w:customStyle="1" w:styleId="10">
    <w:name w:val="Comment Text"/>
    <w:basedOn w:val="1"/>
    <w:next w:val="11"/>
    <w:qFormat/>
    <w:uiPriority w:val="99"/>
    <w:pPr>
      <w:jc w:val="left"/>
    </w:pPr>
  </w:style>
  <w:style w:type="paragraph" w:customStyle="1" w:styleId="11">
    <w:name w:val="样式6"/>
    <w:next w:val="12"/>
    <w:qFormat/>
    <w:uiPriority w:val="0"/>
    <w:pPr>
      <w:widowControl w:val="0"/>
      <w:spacing w:before="120" w:after="120" w:line="240" w:lineRule="atLeast"/>
      <w:ind w:firstLine="5120"/>
      <w:jc w:val="both"/>
    </w:pPr>
    <w:rPr>
      <w:rFonts w:ascii="宋体" w:hAnsi="Times New Roman" w:eastAsia="宋体" w:cs="Times New Roman"/>
      <w:caps/>
      <w:lang w:val="en-US" w:eastAsia="zh-CN" w:bidi="ar-SA"/>
    </w:rPr>
  </w:style>
  <w:style w:type="paragraph" w:styleId="12">
    <w:name w:val="Body Text 2"/>
    <w:basedOn w:val="1"/>
    <w:next w:val="13"/>
    <w:qFormat/>
    <w:uiPriority w:val="99"/>
    <w:pPr>
      <w:spacing w:after="120" w:line="480" w:lineRule="auto"/>
      <w:ind w:firstLine="3584"/>
    </w:pPr>
    <w:rPr>
      <w:rFonts w:ascii="Times New Roman" w:hAnsi="Times New Roman"/>
      <w:kern w:val="0"/>
      <w:sz w:val="20"/>
      <w:szCs w:val="20"/>
    </w:rPr>
  </w:style>
  <w:style w:type="paragraph" w:customStyle="1" w:styleId="13">
    <w:name w:val="默认段落字体 Para Char"/>
    <w:basedOn w:val="1"/>
    <w:next w:val="14"/>
    <w:qFormat/>
    <w:uiPriority w:val="0"/>
    <w:pPr>
      <w:widowControl/>
      <w:spacing w:before="160" w:after="160" w:line="240" w:lineRule="atLeast"/>
      <w:ind w:left="1701" w:firstLine="3584"/>
    </w:pPr>
    <w:rPr>
      <w:rFonts w:ascii="Times New Roman" w:hAnsi="Times New Roman"/>
      <w:kern w:val="0"/>
      <w:sz w:val="20"/>
      <w:szCs w:val="20"/>
    </w:rPr>
  </w:style>
  <w:style w:type="paragraph" w:customStyle="1" w:styleId="14">
    <w:name w:val="Char Char Char Char Char Char Char Char Char Char Char Char Char Char Char Char"/>
    <w:basedOn w:val="1"/>
    <w:next w:val="15"/>
    <w:qFormat/>
    <w:uiPriority w:val="0"/>
    <w:pPr>
      <w:ind w:firstLine="3584"/>
    </w:pPr>
    <w:rPr>
      <w:rFonts w:ascii="Times New Roman" w:hAnsi="Times New Roman"/>
      <w:kern w:val="0"/>
      <w:sz w:val="20"/>
      <w:szCs w:val="20"/>
    </w:rPr>
  </w:style>
  <w:style w:type="paragraph" w:customStyle="1" w:styleId="15">
    <w:name w:val="列表段落1"/>
    <w:basedOn w:val="1"/>
    <w:next w:val="16"/>
    <w:qFormat/>
    <w:uiPriority w:val="0"/>
    <w:pPr>
      <w:ind w:left="420" w:firstLine="3748"/>
    </w:pPr>
    <w:rPr>
      <w:rFonts w:ascii="Times New Roman" w:hAnsi="Times New Roman"/>
      <w:kern w:val="0"/>
      <w:sz w:val="20"/>
      <w:szCs w:val="20"/>
    </w:rPr>
  </w:style>
  <w:style w:type="paragraph" w:customStyle="1" w:styleId="16">
    <w:name w:val="Char"/>
    <w:basedOn w:val="1"/>
    <w:next w:val="17"/>
    <w:qFormat/>
    <w:uiPriority w:val="0"/>
    <w:pPr>
      <w:ind w:firstLine="3584"/>
    </w:pPr>
    <w:rPr>
      <w:rFonts w:ascii="Times New Roman" w:hAnsi="Times New Roman"/>
      <w:kern w:val="0"/>
      <w:sz w:val="20"/>
      <w:szCs w:val="20"/>
    </w:rPr>
  </w:style>
  <w:style w:type="paragraph" w:customStyle="1" w:styleId="17">
    <w:name w:val="p0"/>
    <w:basedOn w:val="1"/>
    <w:next w:val="18"/>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cs="Times New Roman"/>
      <w:kern w:val="0"/>
      <w:szCs w:val="21"/>
      <w:lang w:val="en-US" w:eastAsia="zh-CN"/>
    </w:rPr>
  </w:style>
  <w:style w:type="paragraph" w:customStyle="1" w:styleId="18">
    <w:name w:val="Char Char2"/>
    <w:basedOn w:val="1"/>
    <w:next w:val="19"/>
    <w:qFormat/>
    <w:uiPriority w:val="0"/>
    <w:pPr>
      <w:ind w:firstLine="3584"/>
    </w:pPr>
    <w:rPr>
      <w:rFonts w:ascii="Times New Roman" w:hAnsi="Times New Roman"/>
      <w:kern w:val="0"/>
      <w:sz w:val="20"/>
      <w:szCs w:val="20"/>
    </w:rPr>
  </w:style>
  <w:style w:type="paragraph" w:styleId="19">
    <w:name w:val="Plain Text"/>
    <w:basedOn w:val="1"/>
    <w:next w:val="20"/>
    <w:qFormat/>
    <w:uiPriority w:val="0"/>
    <w:rPr>
      <w:rFonts w:ascii="宋体" w:hAnsi="Courier New"/>
      <w:kern w:val="0"/>
      <w:sz w:val="20"/>
      <w:szCs w:val="20"/>
    </w:rPr>
  </w:style>
  <w:style w:type="paragraph" w:styleId="20">
    <w:name w:val="footer"/>
    <w:basedOn w:val="1"/>
    <w:unhideWhenUsed/>
    <w:qFormat/>
    <w:uiPriority w:val="99"/>
    <w:pPr>
      <w:tabs>
        <w:tab w:val="center" w:pos="4153"/>
        <w:tab w:val="right" w:pos="8306"/>
      </w:tabs>
      <w:snapToGrid w:val="0"/>
      <w:jc w:val="left"/>
    </w:pPr>
    <w:rPr>
      <w:kern w:val="0"/>
      <w:sz w:val="18"/>
      <w:szCs w:val="18"/>
    </w:rPr>
  </w:style>
  <w:style w:type="paragraph" w:styleId="21">
    <w:name w:val="Body Text First Indent"/>
    <w:basedOn w:val="1"/>
    <w:qFormat/>
    <w:uiPriority w:val="0"/>
    <w:pPr>
      <w:ind w:firstLine="420" w:firstLineChars="100"/>
    </w:pPr>
    <w:rPr>
      <w:rFonts w:ascii="Times New Roman" w:hAnsi="Times New Roman" w:eastAsia="宋体" w:cs="Times New Roman"/>
      <w:szCs w:val="20"/>
    </w:rPr>
  </w:style>
  <w:style w:type="table" w:styleId="23">
    <w:name w:val="Table Grid"/>
    <w:basedOn w:val="22"/>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qFormat/>
    <w:uiPriority w:val="22"/>
    <w:rPr>
      <w:b/>
      <w:bCs/>
    </w:rPr>
  </w:style>
  <w:style w:type="character" w:styleId="26">
    <w:name w:val="Hyperlink"/>
    <w:basedOn w:val="24"/>
    <w:unhideWhenUsed/>
    <w:qFormat/>
    <w:uiPriority w:val="99"/>
    <w:rPr>
      <w:color w:val="0000FF"/>
      <w:u w:val="single"/>
    </w:rPr>
  </w:style>
  <w:style w:type="paragraph" w:customStyle="1" w:styleId="27">
    <w:name w:val="南网5级目录"/>
    <w:basedOn w:val="1"/>
    <w:qFormat/>
    <w:uiPriority w:val="0"/>
    <w:pPr>
      <w:widowControl/>
      <w:spacing w:line="360" w:lineRule="auto"/>
      <w:ind w:left="1200" w:hanging="360"/>
      <w:contextualSpacing/>
      <w:jc w:val="left"/>
    </w:pPr>
    <w:rPr>
      <w:rFonts w:ascii="Times New Roman" w:hAnsi="Times New Roman" w:eastAsia="宋体" w:cs="Times New Roman"/>
      <w:kern w:val="0"/>
      <w:sz w:val="20"/>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4.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ED35513C31D74FF7B1280846D83D3B84</vt:lpwstr>
  </property>
</Properties>
</file>

<file path=customXml/item3.xml><?xml version="1.0" encoding="utf-8"?>
<Properties xmlns="http://schemas.openxmlformats.org/officeDocument/2006/extended-properties" xmlns:vt="http://schemas.openxmlformats.org/officeDocument/2006/docPropsVTypes">
  <Template>Normal.dotm</Template>
  <Pages>19</Pages>
  <Words>7741</Words>
  <Characters>8056</Characters>
  <Lines>0</Lines>
  <Paragraphs>0</Paragraphs>
  <TotalTime>4</TotalTime>
  <ScaleCrop>false</ScaleCrop>
  <LinksUpToDate>false</LinksUpToDate>
  <CharactersWithSpaces>8101</CharactersWithSpaces>
  <Application>WPS Office_11.8.2.12309_F1E327BC-269C-435d-A152-05C5408002CA</Application>
  <DocSecurity>0</DocSecurity>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huangzhen2</dc:creator>
  <cp:lastModifiedBy>gzry7</cp:lastModifiedBy>
  <dcterms:modified xsi:type="dcterms:W3CDTF">2025-08-12T12:23:47Z</dcterms:modified>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96549af-786c-42fc-8cad-79dc76103c06}">
  <ds:schemaRefs/>
</ds:datastoreItem>
</file>

<file path=customXml/itemProps3.xml><?xml version="1.0" encoding="utf-8"?>
<ds:datastoreItem xmlns:ds="http://schemas.openxmlformats.org/officeDocument/2006/customXml" ds:itemID="{e51fb4d0-c34c-459f-9049-4beefe65287c}">
  <ds:schemaRefs/>
</ds:datastoreItem>
</file>

<file path=customXml/itemProps4.xml><?xml version="1.0" encoding="utf-8"?>
<ds:datastoreItem xmlns:ds="http://schemas.openxmlformats.org/officeDocument/2006/customXml" ds:itemID="{125929da-9584-4c52-a4ff-fbb1f703ec16}">
  <ds:schemaRefs/>
</ds:datastoreItem>
</file>

<file path=docProps/app.xml><?xml version="1.0" encoding="utf-8"?>
<Properties xmlns="http://schemas.openxmlformats.org/officeDocument/2006/extended-properties" xmlns:vt="http://schemas.openxmlformats.org/officeDocument/2006/docPropsVTypes">
  <Template>Normal.dotm</Template>
  <Pages>39</Pages>
  <Words>17623</Words>
  <Characters>19071</Characters>
  <Lines>0</Lines>
  <Paragraphs>0</Paragraphs>
  <TotalTime>8</TotalTime>
  <ScaleCrop>false</ScaleCrop>
  <LinksUpToDate>false</LinksUpToDate>
  <CharactersWithSpaces>19184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huangzhen2</dc:creator>
  <cp:lastModifiedBy>王德贺</cp:lastModifiedBy>
  <dcterms:modified xsi:type="dcterms:W3CDTF">2025-09-15T07:29:17Z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F898ADDBDD0A451DAE7CA81936CDAE04</vt:lpwstr>
  </property>
</Properties>
</file>