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E7045">
      <w:pPr>
        <w:widowControl/>
        <w:ind w:firstLine="880"/>
        <w:jc w:val="center"/>
        <w:rPr>
          <w:rFonts w:ascii="宋体" w:hAnsi="宋体"/>
          <w:sz w:val="44"/>
          <w:highlight w:val="none"/>
        </w:rPr>
      </w:pPr>
      <w:bookmarkStart w:id="21" w:name="_GoBack"/>
      <w:bookmarkEnd w:id="21"/>
    </w:p>
    <w:p w14:paraId="641D885C">
      <w:pPr>
        <w:widowControl/>
        <w:ind w:firstLine="880"/>
        <w:jc w:val="center"/>
        <w:rPr>
          <w:rFonts w:ascii="宋体" w:hAnsi="宋体"/>
          <w:sz w:val="44"/>
          <w:highlight w:val="none"/>
        </w:rPr>
      </w:pPr>
    </w:p>
    <w:p w14:paraId="1738F336">
      <w:pPr>
        <w:widowControl/>
        <w:ind w:firstLine="880"/>
        <w:jc w:val="center"/>
        <w:rPr>
          <w:rFonts w:ascii="宋体" w:hAnsi="宋体"/>
          <w:sz w:val="44"/>
          <w:highlight w:val="none"/>
        </w:rPr>
      </w:pPr>
    </w:p>
    <w:p w14:paraId="0C3EE77B">
      <w:pPr>
        <w:widowControl/>
        <w:ind w:firstLine="880"/>
        <w:jc w:val="center"/>
        <w:rPr>
          <w:rFonts w:ascii="宋体" w:hAnsi="宋体"/>
          <w:sz w:val="44"/>
          <w:highlight w:val="none"/>
        </w:rPr>
      </w:pPr>
    </w:p>
    <w:p w14:paraId="7E454874">
      <w:pPr>
        <w:pStyle w:val="65"/>
        <w:adjustRightInd w:val="0"/>
        <w:snapToGrid w:val="0"/>
        <w:spacing w:line="360" w:lineRule="auto"/>
        <w:ind w:firstLine="480"/>
        <w:rPr>
          <w:rFonts w:ascii="宋体" w:hAnsi="宋体" w:eastAsia="宋体"/>
          <w:highlight w:val="none"/>
        </w:rPr>
      </w:pPr>
    </w:p>
    <w:p w14:paraId="2ACC80B2">
      <w:pPr>
        <w:widowControl/>
        <w:spacing w:line="360" w:lineRule="auto"/>
        <w:ind w:firstLine="880"/>
        <w:jc w:val="center"/>
        <w:rPr>
          <w:rFonts w:ascii="宋体" w:hAnsi="宋体"/>
          <w:sz w:val="44"/>
          <w:highlight w:val="none"/>
        </w:rPr>
      </w:pPr>
    </w:p>
    <w:p w14:paraId="75D90059">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标的4</w:t>
      </w:r>
      <w:r>
        <w:rPr>
          <w:rFonts w:hint="eastAsia" w:ascii="黑体" w:eastAsia="黑体"/>
          <w:b/>
          <w:bCs/>
          <w:sz w:val="52"/>
          <w:highlight w:val="none"/>
        </w:rPr>
        <w:t>】</w:t>
      </w:r>
      <w:r>
        <w:rPr>
          <w:rFonts w:hint="eastAsia" w:ascii="黑体" w:eastAsia="黑体"/>
          <w:b/>
          <w:bCs/>
          <w:sz w:val="52"/>
          <w:highlight w:val="none"/>
          <w:lang w:eastAsia="zh-CN"/>
        </w:rPr>
        <w:t>安全建设（智能化场景运营）采购子项</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1727EE8F">
      <w:pPr>
        <w:widowControl/>
        <w:ind w:firstLine="880"/>
        <w:rPr>
          <w:rFonts w:ascii="宋体" w:hAnsi="宋体"/>
          <w:sz w:val="44"/>
          <w:highlight w:val="none"/>
        </w:rPr>
      </w:pPr>
    </w:p>
    <w:p w14:paraId="6D071657">
      <w:pPr>
        <w:widowControl/>
        <w:ind w:firstLine="880"/>
        <w:rPr>
          <w:rFonts w:hint="eastAsia" w:ascii="宋体" w:hAnsi="宋体"/>
          <w:sz w:val="44"/>
          <w:highlight w:val="none"/>
        </w:rPr>
      </w:pPr>
    </w:p>
    <w:p w14:paraId="31494484">
      <w:pPr>
        <w:widowControl/>
        <w:ind w:firstLine="880"/>
        <w:rPr>
          <w:rFonts w:hint="eastAsia" w:ascii="宋体" w:hAnsi="宋体"/>
          <w:sz w:val="44"/>
          <w:highlight w:val="none"/>
        </w:rPr>
      </w:pPr>
    </w:p>
    <w:p w14:paraId="4BE1EB2E">
      <w:pPr>
        <w:widowControl/>
        <w:ind w:firstLine="880"/>
        <w:rPr>
          <w:rFonts w:hint="eastAsia" w:ascii="宋体" w:hAnsi="宋体"/>
          <w:sz w:val="44"/>
          <w:highlight w:val="none"/>
        </w:rPr>
      </w:pPr>
    </w:p>
    <w:p w14:paraId="751198F6">
      <w:pPr>
        <w:ind w:firstLine="0" w:firstLineChars="0"/>
        <w:rPr>
          <w:rFonts w:hint="eastAsia" w:ascii="宋体" w:hAnsi="宋体"/>
          <w:sz w:val="44"/>
          <w:szCs w:val="44"/>
          <w:highlight w:val="none"/>
        </w:rPr>
      </w:pPr>
    </w:p>
    <w:p w14:paraId="4C046C27">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0AF50010">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584ABE9A">
      <w:pPr>
        <w:widowControl/>
        <w:ind w:firstLine="880"/>
        <w:rPr>
          <w:rFonts w:ascii="宋体" w:hAnsi="宋体"/>
          <w:sz w:val="44"/>
          <w:highlight w:val="none"/>
        </w:rPr>
      </w:pPr>
    </w:p>
    <w:p w14:paraId="02BC2AD0">
      <w:pPr>
        <w:pStyle w:val="49"/>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1F6D8FF9">
      <w:pPr>
        <w:pStyle w:val="2"/>
        <w:rPr>
          <w:rFonts w:hint="eastAsia"/>
          <w:highlight w:val="none"/>
        </w:rPr>
      </w:pPr>
      <w:bookmarkStart w:id="1" w:name="_Toc408936464"/>
      <w:r>
        <w:rPr>
          <w:rFonts w:hint="eastAsia"/>
          <w:highlight w:val="none"/>
        </w:rPr>
        <w:t>总则</w:t>
      </w:r>
      <w:bookmarkEnd w:id="0"/>
      <w:bookmarkEnd w:id="1"/>
    </w:p>
    <w:p w14:paraId="1942D019">
      <w:pPr>
        <w:pStyle w:val="58"/>
        <w:rPr>
          <w:rFonts w:hint="eastAsia"/>
          <w:highlight w:val="none"/>
        </w:rPr>
      </w:pPr>
      <w:bookmarkStart w:id="2" w:name="_Toc408936465"/>
      <w:bookmarkStart w:id="3" w:name="_Toc233640519"/>
      <w:r>
        <w:rPr>
          <w:rFonts w:hint="eastAsia"/>
          <w:highlight w:val="none"/>
        </w:rPr>
        <w:t>概述</w:t>
      </w:r>
      <w:bookmarkEnd w:id="2"/>
      <w:bookmarkEnd w:id="3"/>
    </w:p>
    <w:p w14:paraId="0BF6B0DD">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标的4</w:t>
      </w:r>
      <w:r>
        <w:rPr>
          <w:rFonts w:hint="eastAsia"/>
          <w:snapToGrid w:val="0"/>
          <w:highlight w:val="none"/>
        </w:rPr>
        <w:t>】</w:t>
      </w:r>
      <w:r>
        <w:rPr>
          <w:rFonts w:hint="eastAsia"/>
          <w:snapToGrid w:val="0"/>
          <w:highlight w:val="none"/>
          <w:lang w:val="en-US" w:eastAsia="zh-CN"/>
        </w:rPr>
        <w:t>安全建设（智能化场景运营）采购子项</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72F22BAC">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284BD060">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67C07F93">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6975C66D">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66BC0EA2">
      <w:pPr>
        <w:ind w:firstLine="520"/>
        <w:rPr>
          <w:highlight w:val="none"/>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383E228C">
      <w:pPr>
        <w:pStyle w:val="58"/>
        <w:rPr>
          <w:rFonts w:hint="eastAsia"/>
          <w:highlight w:val="none"/>
        </w:rPr>
      </w:pPr>
      <w:bookmarkStart w:id="4" w:name="_Toc408936466"/>
      <w:r>
        <w:rPr>
          <w:rFonts w:hint="eastAsia"/>
          <w:highlight w:val="none"/>
        </w:rPr>
        <w:t>定义</w:t>
      </w:r>
      <w:bookmarkEnd w:id="4"/>
    </w:p>
    <w:p w14:paraId="49BCEE99">
      <w:pPr>
        <w:rPr>
          <w:rFonts w:hint="eastAsia"/>
          <w:highlight w:val="none"/>
        </w:rPr>
      </w:pPr>
      <w:r>
        <w:rPr>
          <w:rFonts w:hint="eastAsia"/>
          <w:highlight w:val="none"/>
        </w:rPr>
        <w:t>1）招标方：南方电网数字电网集团</w:t>
      </w:r>
      <w:r>
        <w:rPr>
          <w:rFonts w:hint="eastAsia"/>
          <w:snapToGrid w:val="0"/>
          <w:highlight w:val="none"/>
          <w:lang w:eastAsia="zh-CN"/>
        </w:rPr>
        <w:t>（广东）</w:t>
      </w:r>
      <w:r>
        <w:rPr>
          <w:rFonts w:hint="eastAsia"/>
          <w:highlight w:val="none"/>
        </w:rPr>
        <w:t>有限公司。</w:t>
      </w:r>
    </w:p>
    <w:p w14:paraId="6D4AE244">
      <w:pPr>
        <w:rPr>
          <w:rFonts w:hint="eastAsia"/>
          <w:highlight w:val="none"/>
        </w:rPr>
      </w:pPr>
      <w:r>
        <w:rPr>
          <w:rFonts w:hint="eastAsia"/>
          <w:highlight w:val="none"/>
        </w:rPr>
        <w:t xml:space="preserve">2）投标方：指响应招标、参加投标竞争的法人。 </w:t>
      </w:r>
    </w:p>
    <w:p w14:paraId="68A75AEC">
      <w:pPr>
        <w:rPr>
          <w:rFonts w:hint="eastAsia"/>
          <w:highlight w:val="none"/>
        </w:rPr>
      </w:pPr>
      <w:r>
        <w:rPr>
          <w:rFonts w:hint="eastAsia"/>
          <w:highlight w:val="none"/>
        </w:rPr>
        <w:t>3）中标方：经过评标，被授予合同的</w:t>
      </w:r>
      <w:r>
        <w:rPr>
          <w:rFonts w:hint="eastAsia"/>
          <w:highlight w:val="none"/>
          <w:lang w:eastAsia="zh-CN"/>
        </w:rPr>
        <w:t>投标方</w:t>
      </w:r>
      <w:r>
        <w:rPr>
          <w:rFonts w:hint="eastAsia"/>
          <w:highlight w:val="none"/>
        </w:rPr>
        <w:t xml:space="preserve">。 </w:t>
      </w:r>
    </w:p>
    <w:p w14:paraId="0D984A2D">
      <w:pPr>
        <w:rPr>
          <w:rFonts w:hint="eastAsia"/>
          <w:highlight w:val="none"/>
        </w:rPr>
      </w:pPr>
      <w:r>
        <w:rPr>
          <w:rFonts w:hint="eastAsia"/>
          <w:highlight w:val="none"/>
        </w:rPr>
        <w:t>4）投标文件有效期：</w:t>
      </w:r>
      <w:bookmarkStart w:id="5" w:name="_Toc15536150"/>
      <w:r>
        <w:rPr>
          <w:rFonts w:hint="eastAsia"/>
          <w:highlight w:val="none"/>
        </w:rPr>
        <w:t>自投标截止之日起至120天。</w:t>
      </w:r>
      <w:bookmarkEnd w:id="5"/>
    </w:p>
    <w:p w14:paraId="3FA106F9">
      <w:pPr>
        <w:pStyle w:val="58"/>
        <w:rPr>
          <w:rFonts w:hint="eastAsia"/>
          <w:highlight w:val="none"/>
        </w:rPr>
      </w:pPr>
      <w:bookmarkStart w:id="6" w:name="_Toc408936467"/>
      <w:r>
        <w:rPr>
          <w:rFonts w:hint="eastAsia"/>
          <w:highlight w:val="none"/>
        </w:rPr>
        <w:t>招标范围</w:t>
      </w:r>
      <w:bookmarkEnd w:id="6"/>
    </w:p>
    <w:p w14:paraId="1B5B3DE9">
      <w:pPr>
        <w:pStyle w:val="49"/>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安全建设服务，</w:t>
      </w:r>
      <w:r>
        <w:rPr>
          <w:rFonts w:hint="eastAsia"/>
          <w:highlight w:val="none"/>
        </w:rPr>
        <w:t>提高网络安全防护能力，确保不发生网络安全事件</w:t>
      </w:r>
      <w:r>
        <w:rPr>
          <w:rFonts w:hint="eastAsia"/>
          <w:highlight w:val="none"/>
          <w:lang w:eastAsia="zh-CN"/>
        </w:rPr>
        <w:t>。</w:t>
      </w:r>
    </w:p>
    <w:p w14:paraId="1A3B99C2">
      <w:pPr>
        <w:pStyle w:val="58"/>
        <w:rPr>
          <w:rFonts w:hint="eastAsia"/>
          <w:highlight w:val="none"/>
        </w:rPr>
      </w:pPr>
      <w:bookmarkStart w:id="7" w:name="_Toc408936468"/>
      <w:bookmarkStart w:id="8" w:name="_Toc233640526"/>
      <w:r>
        <w:rPr>
          <w:rFonts w:hint="eastAsia"/>
          <w:highlight w:val="none"/>
        </w:rPr>
        <w:t>工程保证</w:t>
      </w:r>
      <w:bookmarkEnd w:id="7"/>
      <w:bookmarkEnd w:id="8"/>
    </w:p>
    <w:p w14:paraId="772752B5">
      <w:pPr>
        <w:pStyle w:val="4"/>
        <w:rPr>
          <w:rFonts w:hint="eastAsia"/>
          <w:highlight w:val="none"/>
        </w:rPr>
      </w:pPr>
      <w:bookmarkStart w:id="9" w:name="_Toc408936469"/>
      <w:bookmarkStart w:id="10" w:name="_Toc233640527"/>
      <w:r>
        <w:rPr>
          <w:rFonts w:hint="eastAsia"/>
          <w:highlight w:val="none"/>
        </w:rPr>
        <w:t>组织保证</w:t>
      </w:r>
      <w:bookmarkEnd w:id="9"/>
      <w:bookmarkEnd w:id="10"/>
    </w:p>
    <w:p w14:paraId="412B99FC">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6AC6167D">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54623D0B">
      <w:pPr>
        <w:ind w:firstLine="520"/>
        <w:rPr>
          <w:rFonts w:hint="eastAsia"/>
          <w:highlight w:val="none"/>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62D4ED46">
      <w:pPr>
        <w:pStyle w:val="4"/>
        <w:rPr>
          <w:rFonts w:hint="eastAsia"/>
          <w:highlight w:val="none"/>
        </w:rPr>
      </w:pPr>
      <w:bookmarkStart w:id="12" w:name="_Toc408936470"/>
      <w:bookmarkStart w:id="13" w:name="_Toc233640528"/>
      <w:r>
        <w:rPr>
          <w:rFonts w:hint="eastAsia"/>
          <w:highlight w:val="none"/>
        </w:rPr>
        <w:t>质量保证</w:t>
      </w:r>
      <w:bookmarkEnd w:id="12"/>
      <w:bookmarkEnd w:id="13"/>
    </w:p>
    <w:p w14:paraId="63AEB816">
      <w:pPr>
        <w:ind w:firstLine="520"/>
        <w:rPr>
          <w:rFonts w:hint="eastAsia"/>
          <w:highlight w:val="none"/>
        </w:rPr>
      </w:pPr>
      <w:bookmarkStart w:id="14" w:name="_Toc233640529"/>
      <w:bookmarkStart w:id="15" w:name="_Toc408936471"/>
      <w:r>
        <w:rPr>
          <w:rFonts w:hint="eastAsia"/>
          <w:highlight w:val="none"/>
        </w:rPr>
        <w:t>投标方应保证所提供的所有服务的人员素质及服务质量均能满足本招标文件要求。</w:t>
      </w:r>
    </w:p>
    <w:p w14:paraId="3A089D97">
      <w:pPr>
        <w:pStyle w:val="4"/>
        <w:rPr>
          <w:rFonts w:hint="eastAsia"/>
          <w:highlight w:val="none"/>
        </w:rPr>
      </w:pPr>
      <w:r>
        <w:rPr>
          <w:rFonts w:hint="eastAsia"/>
          <w:highlight w:val="none"/>
        </w:rPr>
        <w:t>进度保证</w:t>
      </w:r>
      <w:bookmarkEnd w:id="14"/>
      <w:bookmarkEnd w:id="15"/>
    </w:p>
    <w:p w14:paraId="7D97C767">
      <w:pPr>
        <w:ind w:firstLine="520"/>
        <w:rPr>
          <w:rFonts w:hint="eastAsia" w:hAnsi="Calibri" w:cs="Times New Roman"/>
          <w:highlight w:val="none"/>
        </w:rPr>
      </w:pPr>
      <w:r>
        <w:rPr>
          <w:rFonts w:hint="eastAsia" w:cs="Times New Roman"/>
          <w:highlight w:val="none"/>
        </w:rPr>
        <w:t>1）</w:t>
      </w:r>
      <w:r>
        <w:rPr>
          <w:rFonts w:hint="eastAsia" w:ascii="Calibri" w:hAnsi="Calibri" w:cs="Times New Roman"/>
          <w:sz w:val="24"/>
          <w:szCs w:val="24"/>
          <w:highlight w:val="none"/>
          <w:lang w:eastAsia="zh-CN"/>
        </w:rPr>
        <w:t>本项目实施时间范围由框架协议签订之日起12个月（在框架有效期内签定委托函，委托函的服务期以委托函具体要求为准）</w:t>
      </w:r>
      <w:r>
        <w:rPr>
          <w:rFonts w:hint="eastAsia" w:ascii="Calibri" w:hAnsi="Calibri" w:eastAsia="宋体" w:cs="Times New Roman"/>
          <w:sz w:val="24"/>
          <w:szCs w:val="24"/>
          <w:highlight w:val="none"/>
        </w:rPr>
        <w:t>。</w:t>
      </w:r>
    </w:p>
    <w:p w14:paraId="0CDA39A9">
      <w:pPr>
        <w:ind w:firstLine="520"/>
        <w:rPr>
          <w:rFonts w:hint="eastAsia" w:cs="Times New Roman"/>
          <w:highlight w:val="none"/>
        </w:rPr>
      </w:pPr>
      <w:r>
        <w:rPr>
          <w:rFonts w:hint="eastAsia" w:cs="Times New Roman"/>
          <w:highlight w:val="none"/>
        </w:rPr>
        <w:t>2）投标方必须根据招标方要求提供相应的服务保证措施、服务计划表。</w:t>
      </w:r>
    </w:p>
    <w:p w14:paraId="5CCB3038">
      <w:pPr>
        <w:pStyle w:val="35"/>
        <w:ind w:left="480" w:firstLine="0" w:firstLineChars="0"/>
        <w:rPr>
          <w:rFonts w:hint="eastAsia"/>
          <w:highlight w:val="none"/>
          <w:lang w:val="sv-SE"/>
        </w:rPr>
      </w:pPr>
    </w:p>
    <w:p w14:paraId="6D141E96">
      <w:pPr>
        <w:pStyle w:val="2"/>
        <w:rPr>
          <w:rFonts w:hint="eastAsia"/>
          <w:highlight w:val="none"/>
        </w:rPr>
      </w:pPr>
      <w:r>
        <w:rPr>
          <w:rFonts w:hint="eastAsia"/>
          <w:highlight w:val="none"/>
        </w:rPr>
        <w:t>项目描述</w:t>
      </w:r>
    </w:p>
    <w:p w14:paraId="47626E45">
      <w:pPr>
        <w:pStyle w:val="58"/>
        <w:rPr>
          <w:rFonts w:hint="eastAsia"/>
          <w:highlight w:val="none"/>
        </w:rPr>
      </w:pPr>
      <w:bookmarkStart w:id="16" w:name="_Toc408936474"/>
      <w:r>
        <w:rPr>
          <w:rFonts w:hint="eastAsia"/>
          <w:highlight w:val="none"/>
        </w:rPr>
        <w:t>项目背景</w:t>
      </w:r>
    </w:p>
    <w:p w14:paraId="2E228C85">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广东省内服务对象协助开展</w:t>
      </w:r>
      <w:r>
        <w:rPr>
          <w:rFonts w:hint="eastAsia"/>
          <w:highlight w:val="none"/>
          <w:lang w:val="en-US" w:eastAsia="zh-CN"/>
        </w:rPr>
        <w:t>安全建设服务</w:t>
      </w:r>
      <w:r>
        <w:rPr>
          <w:rFonts w:hint="eastAsia"/>
          <w:highlight w:val="none"/>
        </w:rPr>
        <w:t>，确保守住</w:t>
      </w:r>
      <w:r>
        <w:rPr>
          <w:rFonts w:hint="eastAsia"/>
          <w:highlight w:val="none"/>
          <w:lang w:val="en-US" w:eastAsia="zh-CN"/>
        </w:rPr>
        <w:t>招标方</w:t>
      </w:r>
      <w:r>
        <w:rPr>
          <w:rFonts w:hint="eastAsia"/>
          <w:highlight w:val="none"/>
        </w:rPr>
        <w:t>单位网络安全底线。</w:t>
      </w:r>
    </w:p>
    <w:p w14:paraId="6D4837C7">
      <w:pPr>
        <w:pStyle w:val="58"/>
        <w:rPr>
          <w:rFonts w:hint="eastAsia"/>
          <w:highlight w:val="none"/>
        </w:rPr>
      </w:pPr>
      <w:r>
        <w:rPr>
          <w:rFonts w:hint="eastAsia"/>
          <w:highlight w:val="none"/>
        </w:rPr>
        <w:t>项目目标</w:t>
      </w:r>
    </w:p>
    <w:p w14:paraId="71D0D0A0">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w:t>
      </w:r>
      <w:r>
        <w:rPr>
          <w:rFonts w:hint="eastAsia"/>
          <w:highlight w:val="none"/>
          <w:lang w:val="en-US" w:eastAsia="zh-CN"/>
        </w:rPr>
        <w:t>智</w:t>
      </w:r>
      <w:r>
        <w:rPr>
          <w:rFonts w:hint="eastAsia"/>
          <w:highlight w:val="none"/>
        </w:rPr>
        <w:t>能化场景运营支撑服务，提高网络安全防护能力，确保不发生网络安全事件</w:t>
      </w:r>
      <w:r>
        <w:rPr>
          <w:rFonts w:hint="eastAsia" w:ascii="宋体" w:hAnsi="宋体" w:cs="宋体"/>
          <w:color w:val="000000"/>
          <w:kern w:val="0"/>
          <w:highlight w:val="none"/>
        </w:rPr>
        <w:t>。</w:t>
      </w:r>
    </w:p>
    <w:p w14:paraId="24A2EC80">
      <w:pPr>
        <w:pStyle w:val="2"/>
        <w:rPr>
          <w:highlight w:val="none"/>
        </w:rPr>
      </w:pPr>
      <w:r>
        <w:rPr>
          <w:rFonts w:hint="eastAsia"/>
          <w:highlight w:val="none"/>
        </w:rPr>
        <w:t>项目内容及要求</w:t>
      </w:r>
    </w:p>
    <w:p w14:paraId="44730680">
      <w:pPr>
        <w:pStyle w:val="58"/>
        <w:rPr>
          <w:rFonts w:hint="eastAsia"/>
          <w:highlight w:val="none"/>
        </w:rPr>
      </w:pPr>
      <w:r>
        <w:rPr>
          <w:rFonts w:hint="eastAsia"/>
          <w:highlight w:val="none"/>
        </w:rPr>
        <w:t>投标方的工作范围</w:t>
      </w:r>
      <w:bookmarkEnd w:id="16"/>
    </w:p>
    <w:p w14:paraId="2C7DE63D">
      <w:pPr>
        <w:ind w:left="0" w:leftChars="0" w:firstLine="520" w:firstLineChars="0"/>
        <w:rPr>
          <w:rFonts w:hint="eastAsia"/>
          <w:highlight w:val="none"/>
        </w:rPr>
      </w:pPr>
      <w:r>
        <w:rPr>
          <w:rFonts w:hint="eastAsia"/>
          <w:highlight w:val="none"/>
        </w:rPr>
        <w:t>投标方需按招标方需求，提供以下服务内容：</w:t>
      </w:r>
    </w:p>
    <w:p w14:paraId="5B26037B">
      <w:pPr>
        <w:ind w:left="0" w:leftChars="0" w:firstLine="520" w:firstLineChars="0"/>
        <w:rPr>
          <w:rFonts w:hint="eastAsia"/>
          <w:highlight w:val="none"/>
          <w:lang w:val="en-US" w:eastAsia="zh-CN"/>
        </w:rPr>
      </w:pPr>
      <w:r>
        <w:rPr>
          <w:rFonts w:hint="eastAsia"/>
          <w:highlight w:val="none"/>
          <w:lang w:val="en-US" w:eastAsia="zh-CN"/>
        </w:rPr>
        <w:t>智</w:t>
      </w:r>
      <w:r>
        <w:rPr>
          <w:rFonts w:hint="eastAsia"/>
          <w:highlight w:val="none"/>
        </w:rPr>
        <w:t>能化场景运营支撑服务</w:t>
      </w:r>
      <w:r>
        <w:rPr>
          <w:rFonts w:hint="eastAsia"/>
          <w:highlight w:val="none"/>
          <w:lang w:eastAsia="zh-CN"/>
        </w:rPr>
        <w:t>，</w:t>
      </w:r>
      <w:r>
        <w:rPr>
          <w:rFonts w:hint="eastAsia"/>
          <w:highlight w:val="none"/>
          <w:lang w:val="en-US" w:eastAsia="zh-CN"/>
        </w:rPr>
        <w:t>配合开展</w:t>
      </w:r>
      <w:r>
        <w:rPr>
          <w:rFonts w:hint="eastAsia"/>
          <w:highlight w:val="none"/>
        </w:rPr>
        <w:t>网络安全资产智能化管理中的资产发现与梳理，通过智能化工具持续扫描并更新资产台账，精准识别资产暴露面，资产配置变更自动化管理，基于智能化工具监控资产配置变动，制定变更校验规则并自动化执行处置流程，保障资产配置的合规性与安全性。</w:t>
      </w:r>
      <w:r>
        <w:rPr>
          <w:rFonts w:hint="eastAsia"/>
          <w:highlight w:val="none"/>
          <w:lang w:val="en-US" w:eastAsia="zh-CN"/>
        </w:rPr>
        <w:t>负责</w:t>
      </w:r>
      <w:r>
        <w:rPr>
          <w:rFonts w:hint="eastAsia"/>
          <w:highlight w:val="none"/>
        </w:rPr>
        <w:t>威胁智能化管理中的安全威胁预警，通过工具实时分析各类威胁数据，提炼攻击前兆特征，建立预警模型并推送预警信息，提前防范潜在威胁。负责攻击溯源工作，结合智能化工具追踪威胁攻击路径、溯源攻击者信息，为威胁处置提供精准的溯源依据，支撑后续防御策略优化。深入分析攻击手段，汇总不同场景下的攻击技术特点与演变趋势，提炼典型攻击模式，为防护策略配置提供技术参考，提升威胁应对针对性。通过智能化处置工具执行有效的IP封禁、文件隔离、通报预警等处置策略，保障管理信息系统的网络安全。</w:t>
      </w:r>
    </w:p>
    <w:p w14:paraId="241E0274">
      <w:pPr>
        <w:ind w:firstLine="520"/>
        <w:rPr>
          <w:rFonts w:hint="eastAsia"/>
          <w:highlight w:val="none"/>
        </w:rPr>
      </w:pPr>
      <w:bookmarkStart w:id="17" w:name="_Toc408936475"/>
      <w:r>
        <w:rPr>
          <w:rFonts w:hint="eastAsia" w:ascii="宋体" w:hAnsi="宋体" w:eastAsia="宋体" w:cs="Times New Roman"/>
          <w:sz w:val="24"/>
          <w:szCs w:val="28"/>
          <w:highlight w:val="none"/>
        </w:rPr>
        <w:t>具体</w:t>
      </w:r>
      <w:r>
        <w:rPr>
          <w:rFonts w:hint="eastAsia" w:ascii="宋体" w:hAnsi="宋体" w:cs="Times New Roman"/>
          <w:szCs w:val="28"/>
          <w:highlight w:val="none"/>
          <w:lang w:val="en-US" w:eastAsia="zh-CN"/>
        </w:rPr>
        <w:t>开展服务内容和</w:t>
      </w:r>
      <w:r>
        <w:rPr>
          <w:rFonts w:hint="eastAsia" w:ascii="宋体" w:hAnsi="宋体" w:eastAsia="宋体" w:cs="Times New Roman"/>
          <w:sz w:val="24"/>
          <w:szCs w:val="28"/>
          <w:highlight w:val="none"/>
        </w:rPr>
        <w:t>次数以实际开展为准</w:t>
      </w:r>
      <w:r>
        <w:rPr>
          <w:rFonts w:hint="eastAsia" w:ascii="宋体" w:hAnsi="宋体" w:eastAsia="宋体" w:cs="Times New Roman"/>
          <w:sz w:val="24"/>
          <w:szCs w:val="28"/>
          <w:highlight w:val="none"/>
          <w:lang w:eastAsia="zh-CN"/>
        </w:rPr>
        <w:t>。</w:t>
      </w:r>
    </w:p>
    <w:bookmarkEnd w:id="17"/>
    <w:p w14:paraId="64F9A976">
      <w:pPr>
        <w:pStyle w:val="58"/>
        <w:rPr>
          <w:rFonts w:hint="eastAsia"/>
          <w:highlight w:val="none"/>
        </w:rPr>
      </w:pPr>
      <w:r>
        <w:rPr>
          <w:rFonts w:hint="eastAsia"/>
          <w:highlight w:val="none"/>
        </w:rPr>
        <w:t>技术服务要求</w:t>
      </w:r>
    </w:p>
    <w:p w14:paraId="4C77F3B8">
      <w:pPr>
        <w:pStyle w:val="4"/>
        <w:rPr>
          <w:highlight w:val="none"/>
        </w:rPr>
      </w:pPr>
      <w:r>
        <w:rPr>
          <w:rFonts w:hint="eastAsia"/>
          <w:highlight w:val="none"/>
        </w:rPr>
        <w:t>技术服务内容的确定与实施程序</w:t>
      </w:r>
    </w:p>
    <w:p w14:paraId="3C6DEF57">
      <w:pPr>
        <w:ind w:firstLine="480"/>
        <w:rPr>
          <w:highlight w:val="none"/>
          <w:lang w:val="sv-SE"/>
        </w:rPr>
      </w:pPr>
      <w:bookmarkStart w:id="18" w:name="_Hlk135846300"/>
      <w:bookmarkStart w:id="19" w:name="_Hlk135845602"/>
      <w:r>
        <w:rPr>
          <w:rFonts w:hint="eastAsia"/>
          <w:highlight w:val="none"/>
          <w:lang w:val="sv-SE"/>
        </w:rPr>
        <w:t>1）服务内容确定方式：</w:t>
      </w:r>
    </w:p>
    <w:p w14:paraId="3867DAB0">
      <w:pPr>
        <w:ind w:firstLine="480"/>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3DC18462">
      <w:pPr>
        <w:ind w:firstLine="480"/>
        <w:rPr>
          <w:rFonts w:hint="eastAsia"/>
          <w:highlight w:val="none"/>
          <w:lang w:val="sv-SE"/>
        </w:rPr>
      </w:pPr>
      <w:r>
        <w:rPr>
          <w:rFonts w:hint="eastAsia"/>
          <w:highlight w:val="none"/>
          <w:lang w:val="sv-SE"/>
        </w:rPr>
        <w:t>2）实施程序：</w:t>
      </w:r>
    </w:p>
    <w:p w14:paraId="4C31D343">
      <w:pPr>
        <w:ind w:firstLine="480"/>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150F634B">
      <w:pPr>
        <w:ind w:firstLine="480"/>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2B26C183">
      <w:pPr>
        <w:ind w:firstLine="480"/>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016CEBAB">
      <w:pPr>
        <w:ind w:firstLine="520"/>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06258319">
      <w:pPr>
        <w:pStyle w:val="4"/>
        <w:rPr>
          <w:highlight w:val="none"/>
        </w:rPr>
      </w:pPr>
      <w:r>
        <w:rPr>
          <w:rFonts w:hint="eastAsia"/>
          <w:highlight w:val="none"/>
        </w:rPr>
        <w:t>技术服务能力要求</w:t>
      </w:r>
    </w:p>
    <w:p w14:paraId="794536F1">
      <w:pPr>
        <w:ind w:firstLine="520"/>
        <w:rPr>
          <w:rFonts w:hint="eastAsia"/>
          <w:highlight w:val="none"/>
        </w:rPr>
      </w:pPr>
      <w:r>
        <w:rPr>
          <w:rFonts w:hint="eastAsia"/>
          <w:highlight w:val="none"/>
          <w:lang w:val="sv-SE"/>
        </w:rPr>
        <w:t>1）</w:t>
      </w:r>
      <w:r>
        <w:rPr>
          <w:rFonts w:hint="eastAsia"/>
          <w:highlight w:val="none"/>
        </w:rPr>
        <w:t>投标方需要提供合理的实施方案。</w:t>
      </w:r>
    </w:p>
    <w:p w14:paraId="257A214B">
      <w:pPr>
        <w:ind w:firstLine="520"/>
        <w:rPr>
          <w:rFonts w:hint="eastAsia"/>
          <w:highlight w:val="none"/>
        </w:rPr>
      </w:pPr>
      <w:r>
        <w:rPr>
          <w:rFonts w:hint="eastAsia"/>
          <w:highlight w:val="none"/>
          <w:lang w:val="en-US" w:eastAsia="zh-CN"/>
        </w:rPr>
        <w:t>2</w:t>
      </w:r>
      <w:r>
        <w:rPr>
          <w:rFonts w:hint="eastAsia"/>
          <w:highlight w:val="none"/>
          <w:lang w:val="sv-SE"/>
        </w:rPr>
        <w:t>）</w:t>
      </w:r>
      <w:r>
        <w:rPr>
          <w:rFonts w:hint="eastAsia"/>
          <w:highlight w:val="none"/>
        </w:rPr>
        <w:t>投标方需要提供必要和完善的服务质量保证措施。</w:t>
      </w:r>
    </w:p>
    <w:p w14:paraId="64AFC576">
      <w:pPr>
        <w:ind w:firstLine="520"/>
        <w:rPr>
          <w:rFonts w:hint="eastAsia"/>
          <w:highlight w:val="none"/>
        </w:rPr>
      </w:pPr>
      <w:r>
        <w:rPr>
          <w:rFonts w:hint="eastAsia"/>
          <w:highlight w:val="none"/>
          <w:lang w:val="en-US" w:eastAsia="zh-CN"/>
        </w:rPr>
        <w:t>3</w:t>
      </w:r>
      <w:r>
        <w:rPr>
          <w:rFonts w:hint="eastAsia"/>
          <w:highlight w:val="none"/>
          <w:lang w:val="sv-SE"/>
        </w:rPr>
        <w:t>）</w:t>
      </w:r>
      <w:r>
        <w:rPr>
          <w:rFonts w:hint="eastAsia"/>
          <w:highlight w:val="none"/>
        </w:rPr>
        <w:t>投标方需要按照实施方案中的时间进行实施，保证实施进度。</w:t>
      </w:r>
    </w:p>
    <w:p w14:paraId="55EB0507">
      <w:pPr>
        <w:pStyle w:val="4"/>
        <w:rPr>
          <w:highlight w:val="none"/>
        </w:rPr>
      </w:pPr>
      <w:r>
        <w:rPr>
          <w:rFonts w:hint="eastAsia"/>
          <w:highlight w:val="none"/>
        </w:rPr>
        <w:t>技术服务团队要求</w:t>
      </w:r>
    </w:p>
    <w:p w14:paraId="106641FC">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0F2B3EBD">
      <w:pPr>
        <w:ind w:firstLine="520"/>
        <w:rPr>
          <w:highlight w:val="none"/>
        </w:rPr>
      </w:pPr>
      <w:r>
        <w:rPr>
          <w:rFonts w:hint="eastAsia"/>
          <w:highlight w:val="none"/>
        </w:rPr>
        <w:t>1）</w:t>
      </w:r>
      <w:r>
        <w:rPr>
          <w:rFonts w:hint="eastAsia" w:ascii="宋体" w:hAnsi="宋体"/>
          <w:kern w:val="2"/>
          <w:highlight w:val="none"/>
          <w:lang w:val="sv-SE" w:eastAsia="zh-CN"/>
        </w:rPr>
        <w:t>投标方需成立一个</w:t>
      </w:r>
      <w:r>
        <w:rPr>
          <w:rFonts w:hint="eastAsia" w:ascii="宋体" w:hAnsi="宋体"/>
          <w:kern w:val="2"/>
          <w:highlight w:val="none"/>
          <w:lang w:val="en-US" w:eastAsia="zh-CN"/>
        </w:rPr>
        <w:t>至少10人的</w:t>
      </w:r>
      <w:r>
        <w:rPr>
          <w:rFonts w:hint="eastAsia" w:ascii="宋体" w:hAnsi="宋体"/>
          <w:kern w:val="2"/>
          <w:highlight w:val="none"/>
          <w:lang w:val="sv-SE" w:eastAsia="zh-CN"/>
        </w:rPr>
        <w:t>项目组为招标方提供</w:t>
      </w:r>
      <w:r>
        <w:rPr>
          <w:rFonts w:hint="eastAsia" w:ascii="宋体" w:hAnsi="宋体"/>
          <w:highlight w:val="none"/>
          <w:lang w:val="en-US" w:eastAsia="zh-CN"/>
        </w:rPr>
        <w:t>安全建设服务</w:t>
      </w:r>
      <w:r>
        <w:rPr>
          <w:rFonts w:hint="eastAsia" w:ascii="宋体" w:hAnsi="宋体"/>
          <w:kern w:val="2"/>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r>
        <w:rPr>
          <w:rFonts w:hint="eastAsia"/>
          <w:highlight w:val="none"/>
        </w:rPr>
        <w:t>。</w:t>
      </w:r>
    </w:p>
    <w:p w14:paraId="3639EC58">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7930D972">
      <w:pPr>
        <w:spacing w:before="156" w:after="156"/>
        <w:rPr>
          <w:highlight w:val="none"/>
        </w:rPr>
      </w:pPr>
      <w:r>
        <w:rPr>
          <w:highlight w:val="none"/>
        </w:rPr>
        <w:t>3</w:t>
      </w:r>
      <w:r>
        <w:rPr>
          <w:rFonts w:hint="eastAsia"/>
          <w:highlight w:val="none"/>
        </w:rPr>
        <w:t>）投标方的服务质量应该满足招标方服务级别协议的要求。</w:t>
      </w:r>
    </w:p>
    <w:p w14:paraId="29F8D5E6">
      <w:pPr>
        <w:spacing w:before="156" w:after="156"/>
        <w:rPr>
          <w:rFonts w:hint="eastAsia"/>
          <w:highlight w:val="none"/>
          <w:lang w:val="sv-SE" w:eastAsia="zh-CN"/>
        </w:rPr>
      </w:pPr>
      <w:r>
        <w:rPr>
          <w:rFonts w:hint="eastAsia"/>
          <w:highlight w:val="none"/>
          <w:lang w:val="en-US" w:eastAsia="zh-CN"/>
        </w:rPr>
        <w:t>4</w:t>
      </w:r>
      <w:r>
        <w:rPr>
          <w:rFonts w:hint="eastAsia"/>
          <w:highlight w:val="none"/>
        </w:rPr>
        <w:t>）</w:t>
      </w:r>
      <w:r>
        <w:rPr>
          <w:rFonts w:hint="eastAsia"/>
          <w:highlight w:val="none"/>
          <w:lang w:val="sv-SE" w:eastAsia="zh-CN"/>
        </w:rPr>
        <w:t>技术服务团队发生变更，</w:t>
      </w:r>
      <w:r>
        <w:rPr>
          <w:rFonts w:hint="eastAsia"/>
          <w:highlight w:val="none"/>
          <w:lang w:val="en-US" w:eastAsia="zh-CN"/>
        </w:rPr>
        <w:t>中</w:t>
      </w:r>
      <w:r>
        <w:rPr>
          <w:rFonts w:hint="eastAsia"/>
          <w:highlight w:val="none"/>
          <w:lang w:val="sv-SE" w:eastAsia="zh-CN"/>
        </w:rPr>
        <w:t>标方须提供水平相当的人员并得到招标方的同意后方可进行替换，除非派出服务人员主动或被动离职，未经招标方书面同意，</w:t>
      </w:r>
      <w:r>
        <w:rPr>
          <w:rFonts w:hint="eastAsia"/>
          <w:highlight w:val="none"/>
          <w:lang w:val="en-US" w:eastAsia="zh-CN"/>
        </w:rPr>
        <w:t>中</w:t>
      </w:r>
      <w:r>
        <w:rPr>
          <w:rFonts w:hint="eastAsia"/>
          <w:highlight w:val="none"/>
          <w:lang w:val="sv-SE" w:eastAsia="zh-CN"/>
        </w:rPr>
        <w:t>标方不得随意撤换派出服务人员，否则招标方有权要求</w:t>
      </w:r>
      <w:r>
        <w:rPr>
          <w:rFonts w:hint="eastAsia"/>
          <w:highlight w:val="none"/>
          <w:lang w:val="en-US" w:eastAsia="zh-CN"/>
        </w:rPr>
        <w:t>中</w:t>
      </w:r>
      <w:r>
        <w:rPr>
          <w:rFonts w:hint="eastAsia"/>
          <w:highlight w:val="none"/>
          <w:lang w:val="sv-SE" w:eastAsia="zh-CN"/>
        </w:rPr>
        <w:t>标方承担因此造成的损失。</w:t>
      </w:r>
    </w:p>
    <w:p w14:paraId="17F0BAF0">
      <w:pPr>
        <w:spacing w:before="156" w:after="156"/>
        <w:rPr>
          <w:rFonts w:hint="eastAsia"/>
          <w:highlight w:val="none"/>
          <w:lang w:val="sv-SE" w:eastAsia="zh-CN"/>
        </w:rPr>
      </w:pPr>
      <w:r>
        <w:rPr>
          <w:rFonts w:hint="eastAsia"/>
          <w:highlight w:val="none"/>
          <w:lang w:val="en-US" w:eastAsia="zh-CN"/>
        </w:rPr>
        <w:t>5</w:t>
      </w:r>
      <w:r>
        <w:rPr>
          <w:rFonts w:hint="eastAsia"/>
          <w:highlight w:val="none"/>
        </w:rPr>
        <w:t>）</w:t>
      </w:r>
      <w:r>
        <w:rPr>
          <w:rFonts w:hint="eastAsia"/>
          <w:highlight w:val="none"/>
          <w:lang w:val="sv-SE" w:eastAsia="zh-CN"/>
        </w:rPr>
        <w:t>技术服务团队无法满足进度要求和技术要求解决的技术问题，技术服务团队在与招标方负责人协商后，需要书面及时反馈，由</w:t>
      </w:r>
      <w:r>
        <w:rPr>
          <w:rFonts w:hint="eastAsia"/>
          <w:highlight w:val="none"/>
          <w:lang w:val="en-US" w:eastAsia="zh-CN"/>
        </w:rPr>
        <w:t>中</w:t>
      </w:r>
      <w:r>
        <w:rPr>
          <w:rFonts w:hint="eastAsia"/>
          <w:highlight w:val="none"/>
          <w:lang w:val="sv-SE" w:eastAsia="zh-CN"/>
        </w:rPr>
        <w:t>标方负责组织形成技术方案和实施方案答复招标方，双方具体协商、确定实施方案，按双方约定的计划落实方案的实施工作。</w:t>
      </w:r>
    </w:p>
    <w:p w14:paraId="47AB4C62">
      <w:pPr>
        <w:spacing w:before="156" w:after="156"/>
        <w:rPr>
          <w:rFonts w:hint="eastAsia"/>
          <w:highlight w:val="none"/>
          <w:lang w:val="sv-SE" w:eastAsia="zh-CN"/>
        </w:rPr>
      </w:pPr>
      <w:r>
        <w:rPr>
          <w:rFonts w:hint="eastAsia"/>
          <w:highlight w:val="none"/>
          <w:lang w:val="en-US" w:eastAsia="zh-CN"/>
        </w:rPr>
        <w:t>6</w:t>
      </w:r>
      <w:r>
        <w:rPr>
          <w:rFonts w:hint="eastAsia"/>
          <w:highlight w:val="none"/>
        </w:rPr>
        <w:t>）</w:t>
      </w:r>
      <w:r>
        <w:rPr>
          <w:rFonts w:hint="eastAsia"/>
          <w:highlight w:val="none"/>
          <w:lang w:val="sv-SE" w:eastAsia="zh-CN"/>
        </w:rPr>
        <w:t>提供现场服务时，</w:t>
      </w:r>
      <w:r>
        <w:rPr>
          <w:rFonts w:hint="eastAsia"/>
          <w:highlight w:val="none"/>
          <w:lang w:val="en-US" w:eastAsia="zh-CN"/>
        </w:rPr>
        <w:t>中</w:t>
      </w:r>
      <w:r>
        <w:rPr>
          <w:rFonts w:hint="eastAsia"/>
          <w:highlight w:val="none"/>
          <w:lang w:val="sv-SE" w:eastAsia="zh-CN"/>
        </w:rPr>
        <w:t>标方将确保其现场人员遵守招标方有关安全规定，前提是</w:t>
      </w:r>
      <w:r>
        <w:rPr>
          <w:rFonts w:hint="eastAsia"/>
          <w:highlight w:val="none"/>
          <w:lang w:val="en-US" w:eastAsia="zh-CN"/>
        </w:rPr>
        <w:t>中</w:t>
      </w:r>
      <w:r>
        <w:rPr>
          <w:rFonts w:hint="eastAsia"/>
          <w:highlight w:val="none"/>
          <w:lang w:val="sv-SE" w:eastAsia="zh-CN"/>
        </w:rPr>
        <w:t>标方收到招标方提供的有关安全规定。</w:t>
      </w:r>
      <w:r>
        <w:rPr>
          <w:rFonts w:hint="eastAsia"/>
          <w:highlight w:val="none"/>
          <w:lang w:val="en-US" w:eastAsia="zh-CN"/>
        </w:rPr>
        <w:t>中</w:t>
      </w:r>
      <w:r>
        <w:rPr>
          <w:rFonts w:hint="eastAsia"/>
          <w:highlight w:val="none"/>
          <w:lang w:val="sv-SE" w:eastAsia="zh-CN"/>
        </w:rPr>
        <w:t>标方有为招标方保密的义务，未经招标方许可，</w:t>
      </w:r>
      <w:r>
        <w:rPr>
          <w:rFonts w:hint="eastAsia"/>
          <w:highlight w:val="none"/>
          <w:lang w:val="en-US" w:eastAsia="zh-CN"/>
        </w:rPr>
        <w:t>中</w:t>
      </w:r>
      <w:r>
        <w:rPr>
          <w:rFonts w:hint="eastAsia"/>
          <w:highlight w:val="none"/>
          <w:lang w:val="sv-SE" w:eastAsia="zh-CN"/>
        </w:rPr>
        <w:t>标方服务人员不得对招标方的业务经营数据进行增删、修改、复制、传送、记录；</w:t>
      </w:r>
      <w:r>
        <w:rPr>
          <w:rFonts w:hint="eastAsia"/>
          <w:highlight w:val="none"/>
          <w:lang w:val="en-US" w:eastAsia="zh-CN"/>
        </w:rPr>
        <w:t>中</w:t>
      </w:r>
      <w:r>
        <w:rPr>
          <w:rFonts w:hint="eastAsia"/>
          <w:highlight w:val="none"/>
          <w:lang w:val="sv-SE" w:eastAsia="zh-CN"/>
        </w:rPr>
        <w:t>标方不得向任何第三方泄露招标方业务数据内容或在公开场合引用招标方数据。</w:t>
      </w:r>
    </w:p>
    <w:p w14:paraId="5F724218">
      <w:pPr>
        <w:ind w:firstLine="520"/>
        <w:rPr>
          <w:highlight w:val="none"/>
        </w:rPr>
      </w:pPr>
      <w:r>
        <w:rPr>
          <w:rFonts w:hint="eastAsia" w:ascii="宋体" w:hAnsi="宋体"/>
          <w:kern w:val="2"/>
          <w:highlight w:val="none"/>
          <w:lang w:val="en-US" w:eastAsia="zh-CN"/>
        </w:rPr>
        <w:t>7</w:t>
      </w:r>
      <w:r>
        <w:rPr>
          <w:rFonts w:hint="eastAsia" w:ascii="宋体" w:hAnsi="宋体"/>
          <w:kern w:val="2"/>
          <w:highlight w:val="none"/>
        </w:rPr>
        <w:t>）</w:t>
      </w:r>
      <w:r>
        <w:rPr>
          <w:rFonts w:hint="eastAsia" w:ascii="Times New Roman" w:hAnsi="Times New Roman" w:cs="Times New Roman"/>
          <w:sz w:val="24"/>
          <w:szCs w:val="24"/>
          <w:highlight w:val="none"/>
          <w:lang w:val="en-US" w:eastAsia="zh-CN"/>
        </w:rPr>
        <w:t>中</w:t>
      </w:r>
      <w:r>
        <w:rPr>
          <w:rFonts w:hint="eastAsia" w:ascii="宋体" w:hAnsi="宋体"/>
          <w:kern w:val="2"/>
          <w:highlight w:val="none"/>
        </w:rPr>
        <w:t>标方</w:t>
      </w:r>
      <w:r>
        <w:rPr>
          <w:rFonts w:hint="eastAsia" w:ascii="宋体" w:hAnsi="宋体"/>
          <w:kern w:val="2"/>
          <w:highlight w:val="none"/>
          <w:lang w:val="en-US" w:eastAsia="zh-CN"/>
        </w:rPr>
        <w:t>须</w:t>
      </w:r>
      <w:r>
        <w:rPr>
          <w:rFonts w:hint="eastAsia" w:ascii="宋体" w:hAnsi="宋体"/>
          <w:kern w:val="2"/>
          <w:highlight w:val="none"/>
        </w:rPr>
        <w:t>承担招标方相应服务交付物及文档的修编配合工作</w:t>
      </w:r>
      <w:r>
        <w:rPr>
          <w:rFonts w:hint="eastAsia"/>
          <w:highlight w:val="none"/>
        </w:rPr>
        <w:t>。</w:t>
      </w:r>
    </w:p>
    <w:p w14:paraId="634AC703">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7E13062D">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5D79186F">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403B917A">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3509A8D5">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1E4467C7">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0"/>
        <w:tblW w:w="0" w:type="auto"/>
        <w:tblInd w:w="-8" w:type="dxa"/>
        <w:tblLayout w:type="fixed"/>
        <w:tblCellMar>
          <w:top w:w="0" w:type="dxa"/>
          <w:left w:w="108" w:type="dxa"/>
          <w:bottom w:w="0" w:type="dxa"/>
          <w:right w:w="108" w:type="dxa"/>
        </w:tblCellMar>
      </w:tblPr>
      <w:tblGrid>
        <w:gridCol w:w="777"/>
        <w:gridCol w:w="1399"/>
        <w:gridCol w:w="5907"/>
      </w:tblGrid>
      <w:tr w14:paraId="3D2B1B7D">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B860248">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5C00E56E">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173CF64F">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5D2D1F5D">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73B2FAE">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73D252AC">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53CBD2D7">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04343ADB">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40A1CE2F">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6840959">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51E20A7B">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427C234C">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32729B63">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1EF71ACE">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3D6A2BB">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64F45858">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0B6CF3E5">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3E588F23">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7845C1AE">
      <w:pPr>
        <w:pStyle w:val="58"/>
        <w:rPr>
          <w:rFonts w:hint="eastAsia"/>
          <w:sz w:val="28"/>
          <w:szCs w:val="28"/>
          <w:highlight w:val="none"/>
        </w:rPr>
      </w:pPr>
      <w:r>
        <w:rPr>
          <w:rFonts w:hint="eastAsia"/>
          <w:sz w:val="28"/>
          <w:szCs w:val="28"/>
          <w:highlight w:val="none"/>
          <w:lang w:val="en-US" w:eastAsia="zh-CN"/>
        </w:rPr>
        <w:t>工作量明细</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425D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5E6A0729">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76D59AE3">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3" w:type="dxa"/>
            <w:shd w:val="clear" w:color="auto" w:fill="CCCCFF"/>
            <w:noWrap w:val="0"/>
            <w:vAlign w:val="center"/>
          </w:tcPr>
          <w:p w14:paraId="59AF4594">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3F0E991E">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09733441">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1F0F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539AEFBB">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611D7ACF">
            <w:pPr>
              <w:widowControl/>
              <w:spacing w:line="240" w:lineRule="auto"/>
              <w:ind w:firstLine="0" w:firstLineChars="0"/>
              <w:jc w:val="center"/>
              <w:rPr>
                <w:rFonts w:hint="default" w:ascii="宋体" w:hAnsi="宋体" w:eastAsia="宋体"/>
                <w:color w:val="000000"/>
                <w:kern w:val="0"/>
                <w:highlight w:val="none"/>
                <w:lang w:val="en-US" w:eastAsia="zh-CN"/>
              </w:rPr>
            </w:pPr>
            <w:r>
              <w:rPr>
                <w:rFonts w:hint="default" w:ascii="宋体" w:hAnsi="宋体"/>
                <w:color w:val="000000"/>
                <w:kern w:val="0"/>
                <w:highlight w:val="none"/>
              </w:rPr>
              <w:t>智能化场景运营支撑服务</w:t>
            </w:r>
          </w:p>
        </w:tc>
        <w:tc>
          <w:tcPr>
            <w:tcW w:w="4533" w:type="dxa"/>
            <w:noWrap w:val="0"/>
            <w:vAlign w:val="center"/>
          </w:tcPr>
          <w:p w14:paraId="2BF1F808">
            <w:pPr>
              <w:widowControl/>
              <w:spacing w:line="240" w:lineRule="auto"/>
              <w:ind w:firstLine="0" w:firstLineChars="0"/>
              <w:jc w:val="left"/>
              <w:rPr>
                <w:rFonts w:ascii="宋体" w:hAnsi="宋体"/>
                <w:color w:val="000000"/>
                <w:kern w:val="0"/>
                <w:highlight w:val="none"/>
              </w:rPr>
            </w:pPr>
            <w:r>
              <w:rPr>
                <w:rFonts w:hint="eastAsia" w:ascii="宋体" w:hAnsi="宋体"/>
                <w:color w:val="000000"/>
                <w:kern w:val="0"/>
                <w:highlight w:val="none"/>
                <w:lang w:val="en-US" w:eastAsia="zh-CN"/>
              </w:rPr>
              <w:t>每次</w:t>
            </w:r>
            <w:r>
              <w:rPr>
                <w:rFonts w:hint="eastAsia" w:ascii="宋体" w:hAnsi="宋体"/>
                <w:color w:val="000000"/>
                <w:kern w:val="0"/>
                <w:highlight w:val="none"/>
              </w:rPr>
              <w:t>配合开展网络安全资产智能化管理中的资产发现与梳理，通过智能化工具持续扫描并更新资产台账，精准识别资产暴露面，资产配置变更自动化管理，基于智能化工具监控资产配置变动，制定变更校验规则并自动化执行处置流程，保障资产配置的合规性与安全性。负责威胁智能化管理中的安全威胁预警，通过工具实时分析各类威胁数据，提炼攻击前兆特征，建立预警模型并推送预警信息，提前防范潜在威胁。负责攻击溯源工作，结合智能化工具追踪威胁攻击路径、溯源攻击者信息，为威胁处置提供精准的溯源依据，支撑后续防御策略优化。深入分析攻击手段，汇总不同场景下的攻击技术特点与演变趋势，提炼典型攻击模式，为防护策略配置提供技术参考，提升威胁应对针对性。通过智能化处置工具执行有效的IP封禁、文件隔离、通报预警等处置策略，保障管理信息系统的网络安全</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每次预估30人天</w:t>
            </w:r>
            <w:r>
              <w:rPr>
                <w:rFonts w:hint="eastAsia" w:ascii="宋体" w:hAnsi="宋体"/>
                <w:color w:val="000000"/>
                <w:kern w:val="0"/>
                <w:highlight w:val="none"/>
                <w:lang w:eastAsia="zh-CN"/>
              </w:rPr>
              <w:t>。</w:t>
            </w:r>
          </w:p>
        </w:tc>
        <w:tc>
          <w:tcPr>
            <w:tcW w:w="757" w:type="dxa"/>
            <w:noWrap w:val="0"/>
            <w:vAlign w:val="center"/>
          </w:tcPr>
          <w:p w14:paraId="0DBA5F6C">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096D99C6">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30人天</w:t>
            </w:r>
          </w:p>
        </w:tc>
      </w:tr>
    </w:tbl>
    <w:p w14:paraId="0DB37BB5">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06247DB0">
      <w:pPr>
        <w:pStyle w:val="58"/>
        <w:rPr>
          <w:rFonts w:hint="eastAsia"/>
          <w:sz w:val="28"/>
          <w:szCs w:val="28"/>
          <w:highlight w:val="none"/>
        </w:rPr>
      </w:pPr>
      <w:r>
        <w:rPr>
          <w:rFonts w:hint="eastAsia"/>
          <w:sz w:val="28"/>
          <w:szCs w:val="28"/>
          <w:highlight w:val="none"/>
        </w:rPr>
        <w:t>交付物要求</w:t>
      </w:r>
    </w:p>
    <w:p w14:paraId="2A98F3C1">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056"/>
        <w:gridCol w:w="2860"/>
        <w:gridCol w:w="2381"/>
      </w:tblGrid>
      <w:tr w14:paraId="63CE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001" w:type="dxa"/>
            <w:shd w:val="clear" w:color="auto" w:fill="CCCCFF"/>
            <w:noWrap w:val="0"/>
            <w:vAlign w:val="center"/>
          </w:tcPr>
          <w:p w14:paraId="7C6500EE">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2056" w:type="dxa"/>
            <w:shd w:val="clear" w:color="auto" w:fill="CCCCFF"/>
            <w:noWrap w:val="0"/>
            <w:vAlign w:val="center"/>
          </w:tcPr>
          <w:p w14:paraId="68A369B1">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860" w:type="dxa"/>
            <w:shd w:val="clear" w:color="auto" w:fill="CCCCFF"/>
            <w:noWrap w:val="0"/>
            <w:vAlign w:val="center"/>
          </w:tcPr>
          <w:p w14:paraId="70D24FFB">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381" w:type="dxa"/>
            <w:shd w:val="clear" w:color="auto" w:fill="CCCCFF"/>
            <w:noWrap w:val="0"/>
            <w:vAlign w:val="center"/>
          </w:tcPr>
          <w:p w14:paraId="0E6A535C">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3D05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exact"/>
          <w:jc w:val="center"/>
        </w:trPr>
        <w:tc>
          <w:tcPr>
            <w:tcW w:w="1001" w:type="dxa"/>
            <w:noWrap w:val="0"/>
            <w:vAlign w:val="center"/>
          </w:tcPr>
          <w:p w14:paraId="32BEB093">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1</w:t>
            </w:r>
          </w:p>
        </w:tc>
        <w:tc>
          <w:tcPr>
            <w:tcW w:w="2056" w:type="dxa"/>
            <w:noWrap w:val="0"/>
            <w:vAlign w:val="center"/>
          </w:tcPr>
          <w:p w14:paraId="66DFFC61">
            <w:pPr>
              <w:widowControl/>
              <w:spacing w:line="240" w:lineRule="auto"/>
              <w:ind w:firstLine="0" w:firstLineChars="0"/>
              <w:jc w:val="left"/>
              <w:rPr>
                <w:rFonts w:hint="eastAsia" w:ascii="宋体" w:hAnsi="宋体"/>
                <w:color w:val="000000"/>
                <w:kern w:val="0"/>
                <w:highlight w:val="none"/>
                <w:lang w:val="en-US" w:eastAsia="zh-CN"/>
              </w:rPr>
            </w:pPr>
            <w:r>
              <w:rPr>
                <w:rFonts w:hint="eastAsia"/>
                <w:b w:val="0"/>
                <w:bCs w:val="0"/>
                <w:highlight w:val="none"/>
                <w:lang w:val="en-US" w:eastAsia="zh-CN"/>
              </w:rPr>
              <w:t>智能化场景运营支撑服务</w:t>
            </w:r>
          </w:p>
        </w:tc>
        <w:tc>
          <w:tcPr>
            <w:tcW w:w="2860" w:type="dxa"/>
            <w:noWrap w:val="0"/>
            <w:vAlign w:val="center"/>
          </w:tcPr>
          <w:p w14:paraId="33E3AB58">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default" w:ascii="宋体" w:hAnsi="宋体"/>
                <w:color w:val="000000"/>
                <w:kern w:val="0"/>
                <w:highlight w:val="none"/>
                <w:lang w:val="en-US" w:eastAsia="zh-CN"/>
              </w:rPr>
              <w:t>智能化场景运营支撑服务</w:t>
            </w:r>
            <w:r>
              <w:rPr>
                <w:rFonts w:hint="eastAsia" w:ascii="宋体" w:hAnsi="宋体"/>
                <w:color w:val="000000"/>
                <w:kern w:val="0"/>
                <w:highlight w:val="none"/>
                <w:lang w:val="en-US" w:eastAsia="zh-CN"/>
              </w:rPr>
              <w:t>报告</w:t>
            </w:r>
          </w:p>
        </w:tc>
        <w:tc>
          <w:tcPr>
            <w:tcW w:w="2381" w:type="dxa"/>
            <w:noWrap w:val="0"/>
            <w:vAlign w:val="center"/>
          </w:tcPr>
          <w:p w14:paraId="67438EBA">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rPr>
              <w:t>按需</w:t>
            </w:r>
          </w:p>
        </w:tc>
      </w:tr>
      <w:bookmarkEnd w:id="20"/>
    </w:tbl>
    <w:p w14:paraId="51B5A6F4">
      <w:pPr>
        <w:pStyle w:val="58"/>
        <w:rPr>
          <w:highlight w:val="none"/>
        </w:rPr>
      </w:pPr>
      <w:r>
        <w:rPr>
          <w:rFonts w:hint="eastAsia"/>
          <w:highlight w:val="none"/>
        </w:rPr>
        <w:t>保密要求</w:t>
      </w:r>
    </w:p>
    <w:p w14:paraId="71EC1554">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7F04BEC6">
      <w:pPr>
        <w:pStyle w:val="58"/>
        <w:rPr>
          <w:highlight w:val="none"/>
        </w:rPr>
      </w:pPr>
      <w:r>
        <w:rPr>
          <w:rFonts w:hint="eastAsia"/>
          <w:highlight w:val="none"/>
          <w:lang w:val="en-US" w:eastAsia="zh-CN"/>
        </w:rPr>
        <w:t>信息安全要求</w:t>
      </w:r>
    </w:p>
    <w:p w14:paraId="2A8C31EF">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0B6EBA9A">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4BF61C61">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6736DC26">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2307F5D0">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23EA78D6">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25B7F815">
      <w:pPr>
        <w:pStyle w:val="58"/>
        <w:rPr>
          <w:highlight w:val="none"/>
        </w:rPr>
      </w:pPr>
      <w:r>
        <w:rPr>
          <w:rFonts w:hint="eastAsia"/>
          <w:highlight w:val="none"/>
        </w:rPr>
        <w:t>知识产权要求</w:t>
      </w:r>
    </w:p>
    <w:p w14:paraId="0EE1A236">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765D9A61">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1623DCAF">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68858607">
      <w:pPr>
        <w:pStyle w:val="15"/>
        <w:rPr>
          <w:rFonts w:hint="eastAsia"/>
          <w:highlight w:val="none"/>
        </w:rPr>
      </w:pPr>
    </w:p>
    <w:p w14:paraId="33E49B5C">
      <w:pPr>
        <w:pStyle w:val="2"/>
        <w:rPr>
          <w:rFonts w:hint="eastAsia"/>
          <w:highlight w:val="none"/>
        </w:rPr>
      </w:pPr>
      <w:r>
        <w:rPr>
          <w:rFonts w:hint="eastAsia"/>
          <w:highlight w:val="none"/>
          <w:lang w:val="en-US" w:eastAsia="zh-CN"/>
        </w:rPr>
        <w:t>服务评价</w:t>
      </w:r>
    </w:p>
    <w:p w14:paraId="1975CCAE">
      <w:pPr>
        <w:ind w:firstLine="520"/>
        <w:rPr>
          <w:rFonts w:hint="eastAsia" w:ascii="Calibri" w:hAnsi="Calibri" w:cs="Times New Roman"/>
          <w:sz w:val="24"/>
          <w:szCs w:val="24"/>
          <w:highlight w:val="none"/>
          <w:lang w:eastAsia="zh-CN"/>
        </w:rPr>
      </w:pPr>
      <w:r>
        <w:rPr>
          <w:rFonts w:hint="eastAsia" w:ascii="Calibri" w:hAnsi="Calibri" w:cs="Times New Roman"/>
          <w:sz w:val="24"/>
          <w:szCs w:val="24"/>
          <w:highlight w:val="none"/>
          <w:lang w:eastAsia="zh-CN"/>
        </w:rPr>
        <w:t>招标人</w:t>
      </w:r>
      <w:r>
        <w:rPr>
          <w:rFonts w:hint="eastAsia" w:cs="Times New Roman"/>
          <w:sz w:val="24"/>
          <w:szCs w:val="24"/>
          <w:highlight w:val="none"/>
          <w:lang w:val="en-US" w:eastAsia="zh-CN"/>
        </w:rPr>
        <w:t>可根据项目实际情况，</w:t>
      </w:r>
      <w:r>
        <w:rPr>
          <w:rFonts w:hint="eastAsia" w:ascii="Calibri" w:hAnsi="Calibri" w:cs="Times New Roman"/>
          <w:sz w:val="24"/>
          <w:szCs w:val="24"/>
          <w:highlight w:val="none"/>
          <w:lang w:eastAsia="zh-CN"/>
        </w:rPr>
        <w:t>按照以下方式，对投标人提供的服务进行考核评价，起始总分为100分。</w:t>
      </w:r>
    </w:p>
    <w:tbl>
      <w:tblPr>
        <w:tblStyle w:val="30"/>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1996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7217419D">
            <w:pPr>
              <w:pStyle w:val="68"/>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5B6712CD">
            <w:pPr>
              <w:pStyle w:val="68"/>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512692C1">
            <w:pPr>
              <w:pStyle w:val="68"/>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40827141">
            <w:pPr>
              <w:pStyle w:val="68"/>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221418F6">
            <w:pPr>
              <w:pStyle w:val="68"/>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7AE754DB">
            <w:pPr>
              <w:pStyle w:val="68"/>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3717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6" w:hRule="atLeast"/>
          <w:jc w:val="center"/>
        </w:trPr>
        <w:tc>
          <w:tcPr>
            <w:tcW w:w="589" w:type="dxa"/>
            <w:vAlign w:val="center"/>
          </w:tcPr>
          <w:p w14:paraId="37C4B2B0">
            <w:pPr>
              <w:pStyle w:val="68"/>
              <w:bidi w:val="0"/>
              <w:ind w:left="0" w:leftChars="0" w:firstLine="0" w:firstLineChars="0"/>
              <w:jc w:val="center"/>
              <w:rPr>
                <w:rFonts w:hint="default"/>
                <w:highlight w:val="none"/>
                <w:lang w:val="en-US" w:eastAsia="zh-CN"/>
              </w:rPr>
            </w:pPr>
            <w:r>
              <w:rPr>
                <w:rFonts w:hint="eastAsia"/>
                <w:highlight w:val="none"/>
                <w:lang w:val="en-US" w:eastAsia="zh-CN"/>
              </w:rPr>
              <w:t>1</w:t>
            </w:r>
          </w:p>
        </w:tc>
        <w:tc>
          <w:tcPr>
            <w:tcW w:w="863" w:type="dxa"/>
            <w:vMerge w:val="restart"/>
            <w:vAlign w:val="center"/>
          </w:tcPr>
          <w:p w14:paraId="03FF42D3">
            <w:pPr>
              <w:pStyle w:val="68"/>
              <w:bidi w:val="0"/>
              <w:ind w:left="0" w:leftChars="0" w:firstLine="0" w:firstLineChars="0"/>
              <w:jc w:val="center"/>
              <w:rPr>
                <w:highlight w:val="none"/>
              </w:rPr>
            </w:pPr>
            <w:r>
              <w:rPr>
                <w:highlight w:val="none"/>
              </w:rPr>
              <w:t>网络安全事件</w:t>
            </w:r>
          </w:p>
          <w:p w14:paraId="36468EDD">
            <w:pPr>
              <w:pStyle w:val="68"/>
              <w:bidi w:val="0"/>
              <w:ind w:left="0" w:leftChars="0" w:firstLine="0" w:firstLineChars="0"/>
              <w:jc w:val="center"/>
              <w:rPr>
                <w:highlight w:val="none"/>
              </w:rPr>
            </w:pPr>
          </w:p>
        </w:tc>
        <w:tc>
          <w:tcPr>
            <w:tcW w:w="1944" w:type="dxa"/>
            <w:vMerge w:val="restart"/>
            <w:vAlign w:val="center"/>
          </w:tcPr>
          <w:p w14:paraId="4F2C110D">
            <w:pPr>
              <w:pStyle w:val="68"/>
              <w:bidi w:val="0"/>
              <w:ind w:left="0" w:leftChars="0" w:firstLine="0" w:firstLineChars="0"/>
              <w:jc w:val="center"/>
              <w:rPr>
                <w:highlight w:val="none"/>
              </w:rPr>
            </w:pPr>
            <w:r>
              <w:rPr>
                <w:highlight w:val="none"/>
              </w:rPr>
              <w:t>网络安全事件通报</w:t>
            </w:r>
          </w:p>
          <w:p w14:paraId="3D6FEA0A">
            <w:pPr>
              <w:pStyle w:val="68"/>
              <w:bidi w:val="0"/>
              <w:ind w:left="0" w:leftChars="0" w:firstLine="0" w:firstLineChars="0"/>
              <w:jc w:val="center"/>
              <w:rPr>
                <w:highlight w:val="none"/>
              </w:rPr>
            </w:pPr>
          </w:p>
        </w:tc>
        <w:tc>
          <w:tcPr>
            <w:tcW w:w="3024" w:type="dxa"/>
            <w:vAlign w:val="center"/>
          </w:tcPr>
          <w:p w14:paraId="555115B8">
            <w:pPr>
              <w:pStyle w:val="68"/>
              <w:bidi w:val="0"/>
              <w:ind w:left="0" w:leftChars="0" w:firstLine="0" w:firstLineChars="0"/>
              <w:jc w:val="left"/>
              <w:rPr>
                <w:highlight w:val="none"/>
              </w:rPr>
            </w:pPr>
            <w:r>
              <w:rPr>
                <w:highlight w:val="none"/>
              </w:rPr>
              <w:t>每发生一次</w:t>
            </w:r>
            <w:r>
              <w:rPr>
                <w:rFonts w:hint="eastAsia"/>
                <w:highlight w:val="none"/>
              </w:rPr>
              <w:t>Ⅲ级及以上</w:t>
            </w:r>
            <w:r>
              <w:rPr>
                <w:highlight w:val="none"/>
              </w:rPr>
              <w:t>网络安全事件</w:t>
            </w:r>
          </w:p>
        </w:tc>
        <w:tc>
          <w:tcPr>
            <w:tcW w:w="660" w:type="dxa"/>
            <w:vAlign w:val="center"/>
          </w:tcPr>
          <w:p w14:paraId="3D41163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2FA40FC4">
            <w:pPr>
              <w:pStyle w:val="68"/>
              <w:bidi w:val="0"/>
              <w:ind w:left="0" w:leftChars="0" w:firstLine="0" w:firstLineChars="0"/>
              <w:jc w:val="center"/>
              <w:rPr>
                <w:highlight w:val="none"/>
              </w:rPr>
            </w:pPr>
            <w:r>
              <w:rPr>
                <w:highlight w:val="none"/>
              </w:rPr>
              <w:t>上级单位通报</w:t>
            </w:r>
          </w:p>
        </w:tc>
      </w:tr>
      <w:tr w14:paraId="23E2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78997400">
            <w:pPr>
              <w:pStyle w:val="68"/>
              <w:bidi w:val="0"/>
              <w:ind w:left="0" w:leftChars="0" w:firstLine="0" w:firstLineChars="0"/>
              <w:jc w:val="center"/>
              <w:rPr>
                <w:rFonts w:hint="default"/>
                <w:highlight w:val="none"/>
                <w:lang w:val="en-US" w:eastAsia="zh-CN"/>
              </w:rPr>
            </w:pPr>
            <w:r>
              <w:rPr>
                <w:rFonts w:hint="eastAsia"/>
                <w:highlight w:val="none"/>
                <w:lang w:val="en-US" w:eastAsia="zh-CN"/>
              </w:rPr>
              <w:t>2</w:t>
            </w:r>
          </w:p>
        </w:tc>
        <w:tc>
          <w:tcPr>
            <w:tcW w:w="863" w:type="dxa"/>
            <w:vMerge w:val="continue"/>
            <w:vAlign w:val="center"/>
          </w:tcPr>
          <w:p w14:paraId="0BFB6BD3">
            <w:pPr>
              <w:pStyle w:val="68"/>
              <w:bidi w:val="0"/>
              <w:ind w:left="0" w:leftChars="0" w:firstLine="0" w:firstLineChars="0"/>
              <w:jc w:val="center"/>
              <w:rPr>
                <w:highlight w:val="none"/>
              </w:rPr>
            </w:pPr>
          </w:p>
        </w:tc>
        <w:tc>
          <w:tcPr>
            <w:tcW w:w="1944" w:type="dxa"/>
            <w:vMerge w:val="continue"/>
            <w:vAlign w:val="center"/>
          </w:tcPr>
          <w:p w14:paraId="5B32CB5F">
            <w:pPr>
              <w:pStyle w:val="68"/>
              <w:bidi w:val="0"/>
              <w:ind w:left="0" w:leftChars="0" w:firstLine="0" w:firstLineChars="0"/>
              <w:jc w:val="center"/>
              <w:rPr>
                <w:highlight w:val="none"/>
              </w:rPr>
            </w:pPr>
          </w:p>
        </w:tc>
        <w:tc>
          <w:tcPr>
            <w:tcW w:w="3024" w:type="dxa"/>
            <w:vAlign w:val="center"/>
          </w:tcPr>
          <w:p w14:paraId="14AD0AC9">
            <w:pPr>
              <w:pStyle w:val="68"/>
              <w:bidi w:val="0"/>
              <w:ind w:left="0" w:leftChars="0" w:firstLine="0" w:firstLineChars="0"/>
              <w:jc w:val="left"/>
              <w:rPr>
                <w:highlight w:val="none"/>
              </w:rPr>
            </w:pPr>
            <w:r>
              <w:rPr>
                <w:highlight w:val="none"/>
              </w:rPr>
              <w:t>每发生一次IV级网络安全事件</w:t>
            </w:r>
          </w:p>
        </w:tc>
        <w:tc>
          <w:tcPr>
            <w:tcW w:w="660" w:type="dxa"/>
            <w:vAlign w:val="center"/>
          </w:tcPr>
          <w:p w14:paraId="68C6EC60">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4755A046">
            <w:pPr>
              <w:pStyle w:val="68"/>
              <w:bidi w:val="0"/>
              <w:ind w:left="0" w:leftChars="0" w:firstLine="0" w:firstLineChars="0"/>
              <w:jc w:val="center"/>
              <w:rPr>
                <w:highlight w:val="none"/>
              </w:rPr>
            </w:pPr>
            <w:r>
              <w:rPr>
                <w:highlight w:val="none"/>
              </w:rPr>
              <w:t>上级单位通报</w:t>
            </w:r>
          </w:p>
        </w:tc>
      </w:tr>
      <w:tr w14:paraId="46AAB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5C71AA7F">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B9319F6">
            <w:pPr>
              <w:pStyle w:val="68"/>
              <w:bidi w:val="0"/>
              <w:ind w:left="0" w:leftChars="0" w:firstLine="0" w:firstLineChars="0"/>
              <w:jc w:val="center"/>
              <w:rPr>
                <w:highlight w:val="none"/>
              </w:rPr>
            </w:pPr>
          </w:p>
        </w:tc>
        <w:tc>
          <w:tcPr>
            <w:tcW w:w="1944" w:type="dxa"/>
            <w:vMerge w:val="continue"/>
            <w:vAlign w:val="center"/>
          </w:tcPr>
          <w:p w14:paraId="3B5A2492">
            <w:pPr>
              <w:pStyle w:val="68"/>
              <w:bidi w:val="0"/>
              <w:ind w:left="0" w:leftChars="0" w:firstLine="0" w:firstLineChars="0"/>
              <w:jc w:val="center"/>
              <w:rPr>
                <w:highlight w:val="none"/>
              </w:rPr>
            </w:pPr>
          </w:p>
        </w:tc>
        <w:tc>
          <w:tcPr>
            <w:tcW w:w="3024" w:type="dxa"/>
            <w:vAlign w:val="center"/>
          </w:tcPr>
          <w:p w14:paraId="4AB56654">
            <w:pPr>
              <w:pStyle w:val="68"/>
              <w:bidi w:val="0"/>
              <w:ind w:left="0" w:leftChars="0" w:firstLine="0" w:firstLineChars="0"/>
              <w:jc w:val="left"/>
              <w:rPr>
                <w:highlight w:val="none"/>
              </w:rPr>
            </w:pPr>
            <w:r>
              <w:rPr>
                <w:highlight w:val="none"/>
              </w:rPr>
              <w:t>每发生一次V级网络安全事件</w:t>
            </w:r>
          </w:p>
        </w:tc>
        <w:tc>
          <w:tcPr>
            <w:tcW w:w="660" w:type="dxa"/>
            <w:vAlign w:val="center"/>
          </w:tcPr>
          <w:p w14:paraId="120A29C0">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10</w:t>
            </w:r>
          </w:p>
        </w:tc>
        <w:tc>
          <w:tcPr>
            <w:tcW w:w="1387" w:type="dxa"/>
            <w:vAlign w:val="center"/>
          </w:tcPr>
          <w:p w14:paraId="0A56F3CB">
            <w:pPr>
              <w:pStyle w:val="68"/>
              <w:bidi w:val="0"/>
              <w:ind w:left="0" w:leftChars="0" w:firstLine="0" w:firstLineChars="0"/>
              <w:jc w:val="center"/>
              <w:rPr>
                <w:highlight w:val="none"/>
              </w:rPr>
            </w:pPr>
            <w:r>
              <w:rPr>
                <w:highlight w:val="none"/>
              </w:rPr>
              <w:t>上级单位通报</w:t>
            </w:r>
          </w:p>
        </w:tc>
      </w:tr>
      <w:tr w14:paraId="48E2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5F401DF5">
            <w:pPr>
              <w:pStyle w:val="68"/>
              <w:bidi w:val="0"/>
              <w:ind w:left="0" w:leftChars="0" w:firstLine="0" w:firstLineChars="0"/>
              <w:jc w:val="center"/>
              <w:rPr>
                <w:rFonts w:hint="default"/>
                <w:highlight w:val="none"/>
                <w:lang w:val="en-US" w:eastAsia="zh-CN"/>
              </w:rPr>
            </w:pPr>
          </w:p>
        </w:tc>
        <w:tc>
          <w:tcPr>
            <w:tcW w:w="863" w:type="dxa"/>
            <w:vMerge w:val="continue"/>
            <w:vAlign w:val="center"/>
          </w:tcPr>
          <w:p w14:paraId="20175A70">
            <w:pPr>
              <w:pStyle w:val="68"/>
              <w:bidi w:val="0"/>
              <w:ind w:left="0" w:leftChars="0" w:firstLine="0" w:firstLineChars="0"/>
              <w:jc w:val="center"/>
              <w:rPr>
                <w:highlight w:val="none"/>
              </w:rPr>
            </w:pPr>
          </w:p>
        </w:tc>
        <w:tc>
          <w:tcPr>
            <w:tcW w:w="1944" w:type="dxa"/>
            <w:vMerge w:val="continue"/>
            <w:vAlign w:val="center"/>
          </w:tcPr>
          <w:p w14:paraId="013E6A83">
            <w:pPr>
              <w:pStyle w:val="68"/>
              <w:bidi w:val="0"/>
              <w:ind w:left="0" w:leftChars="0" w:firstLine="0" w:firstLineChars="0"/>
              <w:jc w:val="center"/>
              <w:rPr>
                <w:highlight w:val="none"/>
              </w:rPr>
            </w:pPr>
          </w:p>
        </w:tc>
        <w:tc>
          <w:tcPr>
            <w:tcW w:w="3024" w:type="dxa"/>
            <w:vAlign w:val="center"/>
          </w:tcPr>
          <w:p w14:paraId="1B9A2123">
            <w:pPr>
              <w:pStyle w:val="68"/>
              <w:bidi w:val="0"/>
              <w:ind w:left="0" w:leftChars="0" w:firstLine="0" w:firstLineChars="0"/>
              <w:jc w:val="left"/>
              <w:rPr>
                <w:rFonts w:hint="eastAsia" w:eastAsia="宋体"/>
                <w:highlight w:val="none"/>
                <w:lang w:val="en-US" w:eastAsia="zh-CN"/>
              </w:rPr>
            </w:pPr>
            <w:r>
              <w:rPr>
                <w:highlight w:val="none"/>
              </w:rPr>
              <w:t>未达到V级网络安全事件级别，但属于严重违反网络安全法律法规及公司网络安全规章制度行为的情况，每发生一</w:t>
            </w:r>
            <w:r>
              <w:rPr>
                <w:rFonts w:hint="eastAsia"/>
                <w:highlight w:val="none"/>
                <w:lang w:val="en-US" w:eastAsia="zh-CN"/>
              </w:rPr>
              <w:t>次</w:t>
            </w:r>
          </w:p>
        </w:tc>
        <w:tc>
          <w:tcPr>
            <w:tcW w:w="660" w:type="dxa"/>
            <w:vAlign w:val="center"/>
          </w:tcPr>
          <w:p w14:paraId="31221288">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5</w:t>
            </w:r>
          </w:p>
        </w:tc>
        <w:tc>
          <w:tcPr>
            <w:tcW w:w="1387" w:type="dxa"/>
            <w:vAlign w:val="center"/>
          </w:tcPr>
          <w:p w14:paraId="704B33F2">
            <w:pPr>
              <w:pStyle w:val="68"/>
              <w:bidi w:val="0"/>
              <w:ind w:left="0" w:leftChars="0" w:firstLine="0" w:firstLineChars="0"/>
              <w:jc w:val="center"/>
              <w:rPr>
                <w:highlight w:val="none"/>
              </w:rPr>
            </w:pPr>
            <w:r>
              <w:rPr>
                <w:highlight w:val="none"/>
              </w:rPr>
              <w:t>上级单位通报</w:t>
            </w:r>
          </w:p>
        </w:tc>
      </w:tr>
      <w:tr w14:paraId="450BF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531B69D9">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3</w:t>
            </w:r>
          </w:p>
        </w:tc>
        <w:tc>
          <w:tcPr>
            <w:tcW w:w="863" w:type="dxa"/>
            <w:vMerge w:val="restart"/>
            <w:vAlign w:val="center"/>
          </w:tcPr>
          <w:p w14:paraId="57DA6305">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服务投诉</w:t>
            </w:r>
          </w:p>
        </w:tc>
        <w:tc>
          <w:tcPr>
            <w:tcW w:w="1944" w:type="dxa"/>
            <w:vMerge w:val="restart"/>
            <w:vAlign w:val="center"/>
          </w:tcPr>
          <w:p w14:paraId="0C662B55">
            <w:pPr>
              <w:pStyle w:val="68"/>
              <w:bidi w:val="0"/>
              <w:ind w:left="0" w:leftChars="0" w:firstLine="0" w:firstLineChars="0"/>
              <w:jc w:val="center"/>
              <w:rPr>
                <w:highlight w:val="none"/>
              </w:rPr>
            </w:pPr>
            <w:r>
              <w:rPr>
                <w:highlight w:val="none"/>
              </w:rPr>
              <w:t>业务部门服务投诉，造成较大舆论或严重影响</w:t>
            </w:r>
          </w:p>
        </w:tc>
        <w:tc>
          <w:tcPr>
            <w:tcW w:w="3024" w:type="dxa"/>
            <w:vAlign w:val="center"/>
          </w:tcPr>
          <w:p w14:paraId="1CF95C68">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，业务部门投诉到网公司级事件</w:t>
            </w:r>
          </w:p>
        </w:tc>
        <w:tc>
          <w:tcPr>
            <w:tcW w:w="660" w:type="dxa"/>
            <w:vAlign w:val="center"/>
          </w:tcPr>
          <w:p w14:paraId="496B1F81">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709EE4AC">
            <w:pPr>
              <w:pStyle w:val="68"/>
              <w:bidi w:val="0"/>
              <w:ind w:firstLine="0" w:firstLineChars="0"/>
              <w:jc w:val="center"/>
              <w:rPr>
                <w:highlight w:val="none"/>
              </w:rPr>
            </w:pPr>
            <w:r>
              <w:rPr>
                <w:highlight w:val="none"/>
              </w:rPr>
              <w:t>业务部门投诉</w:t>
            </w:r>
          </w:p>
        </w:tc>
      </w:tr>
      <w:tr w14:paraId="2726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32F2B5E9">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F54D854">
            <w:pPr>
              <w:pStyle w:val="68"/>
              <w:bidi w:val="0"/>
              <w:ind w:left="0" w:leftChars="0" w:firstLine="0" w:firstLineChars="0"/>
              <w:jc w:val="center"/>
              <w:rPr>
                <w:highlight w:val="none"/>
              </w:rPr>
            </w:pPr>
          </w:p>
        </w:tc>
        <w:tc>
          <w:tcPr>
            <w:tcW w:w="1944" w:type="dxa"/>
            <w:vMerge w:val="continue"/>
            <w:vAlign w:val="center"/>
          </w:tcPr>
          <w:p w14:paraId="21389055">
            <w:pPr>
              <w:pStyle w:val="68"/>
              <w:bidi w:val="0"/>
              <w:ind w:left="0" w:leftChars="0" w:firstLine="0" w:firstLineChars="0"/>
              <w:jc w:val="center"/>
              <w:rPr>
                <w:highlight w:val="none"/>
              </w:rPr>
            </w:pPr>
          </w:p>
        </w:tc>
        <w:tc>
          <w:tcPr>
            <w:tcW w:w="3024" w:type="dxa"/>
            <w:vAlign w:val="center"/>
          </w:tcPr>
          <w:p w14:paraId="1D244A0D">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，业务部门投诉到省公司级事件</w:t>
            </w:r>
          </w:p>
        </w:tc>
        <w:tc>
          <w:tcPr>
            <w:tcW w:w="660" w:type="dxa"/>
            <w:vAlign w:val="center"/>
          </w:tcPr>
          <w:p w14:paraId="7FEE4025">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3AD0AC92">
            <w:pPr>
              <w:pStyle w:val="68"/>
              <w:bidi w:val="0"/>
              <w:ind w:firstLine="0" w:firstLineChars="0"/>
              <w:jc w:val="center"/>
              <w:rPr>
                <w:highlight w:val="none"/>
              </w:rPr>
            </w:pPr>
            <w:r>
              <w:rPr>
                <w:highlight w:val="none"/>
              </w:rPr>
              <w:t>业务部门投诉</w:t>
            </w:r>
          </w:p>
        </w:tc>
      </w:tr>
      <w:tr w14:paraId="3F74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05255517">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03541A6F">
            <w:pPr>
              <w:pStyle w:val="68"/>
              <w:bidi w:val="0"/>
              <w:ind w:left="0" w:leftChars="0" w:firstLine="0" w:firstLineChars="0"/>
              <w:jc w:val="center"/>
              <w:rPr>
                <w:highlight w:val="none"/>
              </w:rPr>
            </w:pPr>
          </w:p>
        </w:tc>
        <w:tc>
          <w:tcPr>
            <w:tcW w:w="1944" w:type="dxa"/>
            <w:vMerge w:val="continue"/>
            <w:vAlign w:val="center"/>
          </w:tcPr>
          <w:p w14:paraId="59D7EECE">
            <w:pPr>
              <w:pStyle w:val="68"/>
              <w:bidi w:val="0"/>
              <w:ind w:left="0" w:leftChars="0" w:firstLine="0" w:firstLineChars="0"/>
              <w:jc w:val="center"/>
              <w:rPr>
                <w:highlight w:val="none"/>
              </w:rPr>
            </w:pPr>
          </w:p>
        </w:tc>
        <w:tc>
          <w:tcPr>
            <w:tcW w:w="3024" w:type="dxa"/>
            <w:vAlign w:val="center"/>
          </w:tcPr>
          <w:p w14:paraId="1DC99FB5">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，投诉到省公司职能部门级事件</w:t>
            </w:r>
          </w:p>
        </w:tc>
        <w:tc>
          <w:tcPr>
            <w:tcW w:w="660" w:type="dxa"/>
            <w:shd w:val="clear" w:color="auto" w:fill="auto"/>
            <w:vAlign w:val="center"/>
          </w:tcPr>
          <w:p w14:paraId="201245DD">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10</w:t>
            </w:r>
          </w:p>
        </w:tc>
        <w:tc>
          <w:tcPr>
            <w:tcW w:w="1387" w:type="dxa"/>
            <w:shd w:val="clear" w:color="auto" w:fill="auto"/>
            <w:vAlign w:val="center"/>
          </w:tcPr>
          <w:p w14:paraId="57403C65">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2E6F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32334E10">
            <w:pPr>
              <w:pStyle w:val="68"/>
              <w:bidi w:val="0"/>
              <w:ind w:left="0" w:leftChars="0" w:firstLine="0" w:firstLineChars="0"/>
              <w:jc w:val="center"/>
              <w:rPr>
                <w:rFonts w:hint="default" w:eastAsia="宋体"/>
                <w:highlight w:val="none"/>
                <w:lang w:val="en-US" w:eastAsia="zh-CN"/>
              </w:rPr>
            </w:pPr>
          </w:p>
        </w:tc>
        <w:tc>
          <w:tcPr>
            <w:tcW w:w="863" w:type="dxa"/>
            <w:vMerge w:val="continue"/>
            <w:vAlign w:val="center"/>
          </w:tcPr>
          <w:p w14:paraId="4B1E2092">
            <w:pPr>
              <w:pStyle w:val="68"/>
              <w:bidi w:val="0"/>
              <w:ind w:left="0" w:leftChars="0" w:firstLine="0" w:firstLineChars="0"/>
              <w:jc w:val="center"/>
              <w:rPr>
                <w:highlight w:val="none"/>
              </w:rPr>
            </w:pPr>
          </w:p>
        </w:tc>
        <w:tc>
          <w:tcPr>
            <w:tcW w:w="1944" w:type="dxa"/>
            <w:vMerge w:val="continue"/>
            <w:vAlign w:val="center"/>
          </w:tcPr>
          <w:p w14:paraId="17687A23">
            <w:pPr>
              <w:pStyle w:val="68"/>
              <w:bidi w:val="0"/>
              <w:ind w:left="0" w:leftChars="0" w:firstLine="0" w:firstLineChars="0"/>
              <w:jc w:val="center"/>
              <w:rPr>
                <w:highlight w:val="none"/>
              </w:rPr>
            </w:pPr>
          </w:p>
        </w:tc>
        <w:tc>
          <w:tcPr>
            <w:tcW w:w="3024" w:type="dxa"/>
            <w:vAlign w:val="center"/>
          </w:tcPr>
          <w:p w14:paraId="1D774D72">
            <w:pPr>
              <w:pStyle w:val="68"/>
              <w:bidi w:val="0"/>
              <w:ind w:left="0" w:leftChars="0" w:firstLine="0" w:firstLineChars="0"/>
              <w:jc w:val="left"/>
              <w:rPr>
                <w:rFonts w:hint="eastAsia" w:eastAsia="宋体"/>
                <w:highlight w:val="none"/>
                <w:lang w:val="en-US" w:eastAsia="zh-CN"/>
              </w:rPr>
            </w:pPr>
            <w:r>
              <w:rPr>
                <w:highlight w:val="none"/>
              </w:rPr>
              <w:t>每发生一次</w:t>
            </w:r>
            <w:r>
              <w:rPr>
                <w:rFonts w:hint="eastAsia"/>
                <w:highlight w:val="none"/>
                <w:lang w:eastAsia="zh-CN"/>
              </w:rPr>
              <w:t>因服务质量</w:t>
            </w:r>
            <w:r>
              <w:rPr>
                <w:highlight w:val="none"/>
              </w:rPr>
              <w:t>，投诉到</w:t>
            </w:r>
            <w:r>
              <w:rPr>
                <w:rFonts w:hint="eastAsia"/>
                <w:highlight w:val="none"/>
                <w:lang w:val="en-US" w:eastAsia="zh-CN"/>
              </w:rPr>
              <w:t>招标方</w:t>
            </w:r>
            <w:r>
              <w:rPr>
                <w:highlight w:val="none"/>
              </w:rPr>
              <w:t>部门级事件</w:t>
            </w:r>
          </w:p>
        </w:tc>
        <w:tc>
          <w:tcPr>
            <w:tcW w:w="660" w:type="dxa"/>
            <w:vAlign w:val="center"/>
          </w:tcPr>
          <w:p w14:paraId="28E76BBE">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5</w:t>
            </w:r>
          </w:p>
        </w:tc>
        <w:tc>
          <w:tcPr>
            <w:tcW w:w="1387" w:type="dxa"/>
            <w:vAlign w:val="center"/>
          </w:tcPr>
          <w:p w14:paraId="716CB650">
            <w:pPr>
              <w:pStyle w:val="68"/>
              <w:bidi w:val="0"/>
              <w:ind w:firstLine="0" w:firstLineChars="0"/>
              <w:jc w:val="center"/>
              <w:rPr>
                <w:highlight w:val="none"/>
              </w:rPr>
            </w:pPr>
            <w:r>
              <w:rPr>
                <w:highlight w:val="none"/>
              </w:rPr>
              <w:t>业务部门投诉</w:t>
            </w:r>
          </w:p>
        </w:tc>
      </w:tr>
      <w:tr w14:paraId="563E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50887029">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4</w:t>
            </w:r>
          </w:p>
        </w:tc>
        <w:tc>
          <w:tcPr>
            <w:tcW w:w="863" w:type="dxa"/>
            <w:vMerge w:val="restart"/>
            <w:vAlign w:val="center"/>
          </w:tcPr>
          <w:p w14:paraId="51BC271A">
            <w:pPr>
              <w:pStyle w:val="68"/>
              <w:bidi w:val="0"/>
              <w:ind w:left="0" w:leftChars="0" w:firstLine="0" w:firstLineChars="0"/>
              <w:jc w:val="center"/>
              <w:rPr>
                <w:highlight w:val="none"/>
              </w:rPr>
            </w:pPr>
            <w:r>
              <w:rPr>
                <w:highlight w:val="none"/>
              </w:rPr>
              <w:t>服务支持度</w:t>
            </w:r>
          </w:p>
        </w:tc>
        <w:tc>
          <w:tcPr>
            <w:tcW w:w="1944" w:type="dxa"/>
            <w:vMerge w:val="restart"/>
            <w:vAlign w:val="center"/>
          </w:tcPr>
          <w:p w14:paraId="016EAA29">
            <w:pPr>
              <w:pStyle w:val="68"/>
              <w:bidi w:val="0"/>
              <w:ind w:left="0" w:leftChars="0" w:firstLine="0" w:firstLineChars="0"/>
              <w:jc w:val="center"/>
              <w:rPr>
                <w:rFonts w:hint="eastAsia" w:eastAsia="宋体"/>
                <w:highlight w:val="none"/>
                <w:lang w:val="en-US" w:eastAsia="zh-CN"/>
              </w:rPr>
            </w:pPr>
            <w:r>
              <w:rPr>
                <w:highlight w:val="none"/>
              </w:rPr>
              <w:t>服务</w:t>
            </w:r>
            <w:r>
              <w:rPr>
                <w:rFonts w:hint="eastAsia"/>
                <w:highlight w:val="none"/>
                <w:lang w:val="en-US" w:eastAsia="zh-CN"/>
              </w:rPr>
              <w:t>支持</w:t>
            </w:r>
          </w:p>
        </w:tc>
        <w:tc>
          <w:tcPr>
            <w:tcW w:w="3024" w:type="dxa"/>
            <w:vAlign w:val="center"/>
          </w:tcPr>
          <w:p w14:paraId="2A0EBA0E">
            <w:pPr>
              <w:pStyle w:val="68"/>
              <w:bidi w:val="0"/>
              <w:ind w:left="0" w:leftChars="0" w:firstLine="0" w:firstLineChars="0"/>
              <w:jc w:val="left"/>
              <w:rPr>
                <w:rFonts w:hint="default"/>
                <w:highlight w:val="none"/>
                <w:lang w:val="en-US" w:eastAsia="zh-CN"/>
              </w:rPr>
            </w:pPr>
            <w:r>
              <w:rPr>
                <w:rFonts w:hint="eastAsia"/>
                <w:highlight w:val="none"/>
                <w:lang w:val="en-US" w:eastAsia="zh-CN"/>
              </w:rPr>
              <w:t>未及时响应招标人服务需求，经提醒后仍未及时响应，每发生一次</w:t>
            </w:r>
          </w:p>
        </w:tc>
        <w:tc>
          <w:tcPr>
            <w:tcW w:w="660" w:type="dxa"/>
            <w:shd w:val="clear" w:color="auto" w:fill="auto"/>
            <w:vAlign w:val="center"/>
          </w:tcPr>
          <w:p w14:paraId="07F74AF9">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4DBD518E">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733C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3CCE88B2">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1A905D02">
            <w:pPr>
              <w:pStyle w:val="68"/>
              <w:bidi w:val="0"/>
              <w:ind w:left="0" w:leftChars="0" w:firstLine="0" w:firstLineChars="0"/>
              <w:jc w:val="center"/>
              <w:rPr>
                <w:highlight w:val="none"/>
              </w:rPr>
            </w:pPr>
          </w:p>
        </w:tc>
        <w:tc>
          <w:tcPr>
            <w:tcW w:w="1944" w:type="dxa"/>
            <w:vMerge w:val="continue"/>
            <w:vAlign w:val="center"/>
          </w:tcPr>
          <w:p w14:paraId="5CD82D21">
            <w:pPr>
              <w:pStyle w:val="68"/>
              <w:bidi w:val="0"/>
              <w:ind w:left="0" w:leftChars="0" w:firstLine="0" w:firstLineChars="0"/>
              <w:jc w:val="center"/>
              <w:rPr>
                <w:highlight w:val="none"/>
              </w:rPr>
            </w:pPr>
          </w:p>
        </w:tc>
        <w:tc>
          <w:tcPr>
            <w:tcW w:w="3024" w:type="dxa"/>
            <w:vAlign w:val="center"/>
          </w:tcPr>
          <w:p w14:paraId="267607EC">
            <w:pPr>
              <w:pStyle w:val="68"/>
              <w:bidi w:val="0"/>
              <w:ind w:left="0" w:leftChars="0" w:firstLine="0" w:firstLineChars="0"/>
              <w:jc w:val="left"/>
              <w:rPr>
                <w:rFonts w:hint="default"/>
                <w:highlight w:val="none"/>
                <w:lang w:val="en-US" w:eastAsia="zh-CN"/>
              </w:rPr>
            </w:pPr>
            <w:r>
              <w:rPr>
                <w:rFonts w:hint="eastAsia"/>
                <w:highlight w:val="none"/>
                <w:lang w:val="en-US" w:eastAsia="zh-CN"/>
              </w:rPr>
              <w:t>未按照招标人需求安排服务人员到位，每发生一次</w:t>
            </w:r>
          </w:p>
        </w:tc>
        <w:tc>
          <w:tcPr>
            <w:tcW w:w="660" w:type="dxa"/>
            <w:shd w:val="clear" w:color="auto" w:fill="auto"/>
            <w:vAlign w:val="center"/>
          </w:tcPr>
          <w:p w14:paraId="57DBB24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28B9F173">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69B5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68C3C1E5">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32E7C566">
            <w:pPr>
              <w:pStyle w:val="68"/>
              <w:bidi w:val="0"/>
              <w:ind w:left="0" w:leftChars="0" w:firstLine="0" w:firstLineChars="0"/>
              <w:jc w:val="center"/>
              <w:rPr>
                <w:highlight w:val="none"/>
              </w:rPr>
            </w:pPr>
          </w:p>
        </w:tc>
        <w:tc>
          <w:tcPr>
            <w:tcW w:w="1944" w:type="dxa"/>
            <w:vMerge w:val="continue"/>
            <w:vAlign w:val="center"/>
          </w:tcPr>
          <w:p w14:paraId="3F09D96C">
            <w:pPr>
              <w:pStyle w:val="68"/>
              <w:bidi w:val="0"/>
              <w:ind w:left="0" w:leftChars="0" w:firstLine="0" w:firstLineChars="0"/>
              <w:jc w:val="center"/>
              <w:rPr>
                <w:highlight w:val="none"/>
              </w:rPr>
            </w:pPr>
          </w:p>
        </w:tc>
        <w:tc>
          <w:tcPr>
            <w:tcW w:w="3024" w:type="dxa"/>
            <w:shd w:val="clear" w:color="auto" w:fill="auto"/>
            <w:vAlign w:val="center"/>
          </w:tcPr>
          <w:p w14:paraId="042C551E">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服务人员被用户质疑工作水平或能力，要求换人，每发生一次</w:t>
            </w:r>
          </w:p>
        </w:tc>
        <w:tc>
          <w:tcPr>
            <w:tcW w:w="660" w:type="dxa"/>
            <w:shd w:val="clear" w:color="auto" w:fill="auto"/>
            <w:vAlign w:val="center"/>
          </w:tcPr>
          <w:p w14:paraId="6071655D">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3</w:t>
            </w:r>
          </w:p>
        </w:tc>
        <w:tc>
          <w:tcPr>
            <w:tcW w:w="1387" w:type="dxa"/>
            <w:shd w:val="clear" w:color="auto" w:fill="auto"/>
            <w:vAlign w:val="center"/>
          </w:tcPr>
          <w:p w14:paraId="06F81B01">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59B8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72FD43FC">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CC26906">
            <w:pPr>
              <w:pStyle w:val="68"/>
              <w:bidi w:val="0"/>
              <w:ind w:left="0" w:leftChars="0" w:firstLine="0" w:firstLineChars="0"/>
              <w:jc w:val="center"/>
              <w:rPr>
                <w:highlight w:val="none"/>
              </w:rPr>
            </w:pPr>
          </w:p>
        </w:tc>
        <w:tc>
          <w:tcPr>
            <w:tcW w:w="1944" w:type="dxa"/>
            <w:vMerge w:val="continue"/>
            <w:vAlign w:val="center"/>
          </w:tcPr>
          <w:p w14:paraId="7114AAC1">
            <w:pPr>
              <w:pStyle w:val="68"/>
              <w:bidi w:val="0"/>
              <w:ind w:left="0" w:leftChars="0" w:firstLine="0" w:firstLineChars="0"/>
              <w:jc w:val="center"/>
              <w:rPr>
                <w:highlight w:val="none"/>
              </w:rPr>
            </w:pPr>
          </w:p>
        </w:tc>
        <w:tc>
          <w:tcPr>
            <w:tcW w:w="3024" w:type="dxa"/>
            <w:shd w:val="clear" w:color="auto" w:fill="auto"/>
            <w:vAlign w:val="center"/>
          </w:tcPr>
          <w:p w14:paraId="44E0EC3E">
            <w:pPr>
              <w:pStyle w:val="68"/>
              <w:bidi w:val="0"/>
              <w:ind w:left="0" w:leftChars="0" w:firstLine="0" w:firstLineChars="0"/>
              <w:jc w:val="left"/>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服务人员推诿工作，每发生一次</w:t>
            </w:r>
          </w:p>
        </w:tc>
        <w:tc>
          <w:tcPr>
            <w:tcW w:w="660" w:type="dxa"/>
            <w:shd w:val="clear" w:color="auto" w:fill="auto"/>
            <w:vAlign w:val="center"/>
          </w:tcPr>
          <w:p w14:paraId="59AC7FB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1</w:t>
            </w:r>
          </w:p>
        </w:tc>
        <w:tc>
          <w:tcPr>
            <w:tcW w:w="1387" w:type="dxa"/>
            <w:shd w:val="clear" w:color="auto" w:fill="auto"/>
            <w:vAlign w:val="center"/>
          </w:tcPr>
          <w:p w14:paraId="55CFA291">
            <w:pPr>
              <w:pStyle w:val="68"/>
              <w:bidi w:val="0"/>
              <w:ind w:firstLine="0" w:firstLineChars="0"/>
              <w:jc w:val="center"/>
              <w:rPr>
                <w:rFonts w:hint="eastAsia"/>
                <w:highlight w:val="none"/>
                <w:lang w:val="en-US" w:eastAsia="zh-CN"/>
              </w:rPr>
            </w:pPr>
            <w:r>
              <w:rPr>
                <w:highlight w:val="none"/>
              </w:rPr>
              <w:t>业务部门投诉</w:t>
            </w:r>
            <w:r>
              <w:rPr>
                <w:rFonts w:hint="eastAsia"/>
                <w:highlight w:val="none"/>
                <w:lang w:val="en-US" w:eastAsia="zh-CN"/>
              </w:rPr>
              <w:t>或招标人</w:t>
            </w:r>
            <w:r>
              <w:rPr>
                <w:highlight w:val="none"/>
              </w:rPr>
              <w:t>投诉</w:t>
            </w:r>
          </w:p>
        </w:tc>
      </w:tr>
      <w:tr w14:paraId="356B0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466CC870">
            <w:pPr>
              <w:pStyle w:val="68"/>
              <w:bidi w:val="0"/>
              <w:ind w:left="0" w:leftChars="0" w:firstLine="0" w:firstLineChars="0"/>
              <w:jc w:val="center"/>
              <w:rPr>
                <w:rFonts w:hint="eastAsia" w:eastAsia="宋体"/>
                <w:highlight w:val="none"/>
                <w:lang w:val="en-US" w:eastAsia="zh-CN"/>
              </w:rPr>
            </w:pPr>
          </w:p>
        </w:tc>
        <w:tc>
          <w:tcPr>
            <w:tcW w:w="863" w:type="dxa"/>
            <w:vMerge w:val="continue"/>
            <w:vAlign w:val="center"/>
          </w:tcPr>
          <w:p w14:paraId="3BBBD171">
            <w:pPr>
              <w:pStyle w:val="68"/>
              <w:bidi w:val="0"/>
              <w:ind w:left="0" w:leftChars="0" w:firstLine="0" w:firstLineChars="0"/>
              <w:jc w:val="center"/>
              <w:rPr>
                <w:highlight w:val="none"/>
              </w:rPr>
            </w:pPr>
          </w:p>
        </w:tc>
        <w:tc>
          <w:tcPr>
            <w:tcW w:w="1944" w:type="dxa"/>
            <w:vMerge w:val="continue"/>
            <w:vAlign w:val="center"/>
          </w:tcPr>
          <w:p w14:paraId="25D94146">
            <w:pPr>
              <w:pStyle w:val="68"/>
              <w:bidi w:val="0"/>
              <w:ind w:left="0" w:leftChars="0" w:firstLine="0" w:firstLineChars="0"/>
              <w:jc w:val="center"/>
              <w:rPr>
                <w:highlight w:val="none"/>
              </w:rPr>
            </w:pPr>
          </w:p>
        </w:tc>
        <w:tc>
          <w:tcPr>
            <w:tcW w:w="3024" w:type="dxa"/>
            <w:shd w:val="clear" w:color="auto" w:fill="auto"/>
            <w:vAlign w:val="center"/>
          </w:tcPr>
          <w:p w14:paraId="3D1AC03C">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cs="宋体"/>
                <w:bCs/>
                <w:spacing w:val="6"/>
                <w:kern w:val="2"/>
                <w:sz w:val="20"/>
                <w:szCs w:val="24"/>
                <w:highlight w:val="none"/>
                <w:lang w:val="en-US" w:eastAsia="zh-CN" w:bidi="ar-SA"/>
              </w:rPr>
              <w:t>常规工作出现低级错误或宣贯后仍同样出现问题</w:t>
            </w:r>
            <w:r>
              <w:rPr>
                <w:rFonts w:hint="eastAsia"/>
                <w:highlight w:val="none"/>
                <w:lang w:val="en-US" w:eastAsia="zh-CN"/>
              </w:rPr>
              <w:t>，每发生一次</w:t>
            </w:r>
          </w:p>
        </w:tc>
        <w:tc>
          <w:tcPr>
            <w:tcW w:w="660" w:type="dxa"/>
            <w:shd w:val="clear" w:color="auto" w:fill="auto"/>
            <w:vAlign w:val="center"/>
          </w:tcPr>
          <w:p w14:paraId="5AE8784F">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1</w:t>
            </w:r>
          </w:p>
        </w:tc>
        <w:tc>
          <w:tcPr>
            <w:tcW w:w="1387" w:type="dxa"/>
            <w:vAlign w:val="center"/>
          </w:tcPr>
          <w:p w14:paraId="371C8637">
            <w:pPr>
              <w:pStyle w:val="68"/>
              <w:bidi w:val="0"/>
              <w:ind w:left="0" w:leftChars="0" w:firstLine="0" w:firstLineChars="0"/>
              <w:jc w:val="center"/>
              <w:rPr>
                <w:highlight w:val="none"/>
              </w:rPr>
            </w:pPr>
            <w:r>
              <w:rPr>
                <w:highlight w:val="none"/>
              </w:rPr>
              <w:t>根据实际</w:t>
            </w:r>
            <w:r>
              <w:rPr>
                <w:rFonts w:hint="eastAsia"/>
                <w:highlight w:val="none"/>
                <w:lang w:val="en-US" w:eastAsia="zh-CN"/>
              </w:rPr>
              <w:t>服务</w:t>
            </w:r>
            <w:r>
              <w:rPr>
                <w:highlight w:val="none"/>
              </w:rPr>
              <w:t>情况取得</w:t>
            </w:r>
          </w:p>
        </w:tc>
      </w:tr>
      <w:tr w14:paraId="0C14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2883460D">
            <w:pPr>
              <w:pStyle w:val="68"/>
              <w:bidi w:val="0"/>
              <w:jc w:val="center"/>
              <w:rPr>
                <w:highlight w:val="none"/>
              </w:rPr>
            </w:pPr>
          </w:p>
        </w:tc>
        <w:tc>
          <w:tcPr>
            <w:tcW w:w="863" w:type="dxa"/>
            <w:vMerge w:val="continue"/>
            <w:vAlign w:val="center"/>
          </w:tcPr>
          <w:p w14:paraId="41027659">
            <w:pPr>
              <w:pStyle w:val="68"/>
              <w:bidi w:val="0"/>
              <w:jc w:val="center"/>
              <w:rPr>
                <w:highlight w:val="none"/>
              </w:rPr>
            </w:pPr>
          </w:p>
        </w:tc>
        <w:tc>
          <w:tcPr>
            <w:tcW w:w="1944" w:type="dxa"/>
            <w:vMerge w:val="restart"/>
            <w:vAlign w:val="center"/>
          </w:tcPr>
          <w:p w14:paraId="696F4E3F">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交付成果支持</w:t>
            </w:r>
          </w:p>
        </w:tc>
        <w:tc>
          <w:tcPr>
            <w:tcW w:w="3024" w:type="dxa"/>
            <w:vAlign w:val="center"/>
          </w:tcPr>
          <w:p w14:paraId="59310C7E">
            <w:pPr>
              <w:pStyle w:val="68"/>
              <w:bidi w:val="0"/>
              <w:ind w:left="0" w:leftChars="0" w:firstLine="0" w:firstLineChars="0"/>
              <w:jc w:val="left"/>
              <w:rPr>
                <w:highlight w:val="none"/>
              </w:rPr>
            </w:pPr>
            <w:r>
              <w:rPr>
                <w:highlight w:val="none"/>
              </w:rPr>
              <w:t>无故未在约定时间提交</w:t>
            </w:r>
            <w:r>
              <w:rPr>
                <w:rFonts w:hint="eastAsia"/>
                <w:highlight w:val="none"/>
                <w:lang w:val="en-US" w:eastAsia="zh-CN"/>
              </w:rPr>
              <w:t>服务交付</w:t>
            </w:r>
            <w:r>
              <w:rPr>
                <w:highlight w:val="none"/>
              </w:rPr>
              <w:t>材料，每发生一次</w:t>
            </w:r>
          </w:p>
        </w:tc>
        <w:tc>
          <w:tcPr>
            <w:tcW w:w="660" w:type="dxa"/>
            <w:shd w:val="clear" w:color="auto" w:fill="auto"/>
            <w:vAlign w:val="center"/>
          </w:tcPr>
          <w:p w14:paraId="77D904C9">
            <w:pPr>
              <w:pStyle w:val="68"/>
              <w:bidi w:val="0"/>
              <w:ind w:left="0" w:leftChars="0"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3</w:t>
            </w:r>
          </w:p>
        </w:tc>
        <w:tc>
          <w:tcPr>
            <w:tcW w:w="1387" w:type="dxa"/>
            <w:shd w:val="clear" w:color="auto" w:fill="auto"/>
            <w:vAlign w:val="center"/>
          </w:tcPr>
          <w:p w14:paraId="7C665137">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3059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01C59EF0">
            <w:pPr>
              <w:pStyle w:val="68"/>
              <w:bidi w:val="0"/>
              <w:jc w:val="center"/>
              <w:rPr>
                <w:highlight w:val="none"/>
              </w:rPr>
            </w:pPr>
          </w:p>
        </w:tc>
        <w:tc>
          <w:tcPr>
            <w:tcW w:w="863" w:type="dxa"/>
            <w:vMerge w:val="continue"/>
            <w:vAlign w:val="center"/>
          </w:tcPr>
          <w:p w14:paraId="112146DE">
            <w:pPr>
              <w:pStyle w:val="68"/>
              <w:bidi w:val="0"/>
              <w:jc w:val="center"/>
              <w:rPr>
                <w:highlight w:val="none"/>
              </w:rPr>
            </w:pPr>
          </w:p>
        </w:tc>
        <w:tc>
          <w:tcPr>
            <w:tcW w:w="1944" w:type="dxa"/>
            <w:vMerge w:val="continue"/>
            <w:vAlign w:val="center"/>
          </w:tcPr>
          <w:p w14:paraId="003F8F00">
            <w:pPr>
              <w:pStyle w:val="68"/>
              <w:bidi w:val="0"/>
              <w:ind w:left="0" w:leftChars="0" w:firstLine="0" w:firstLineChars="0"/>
              <w:jc w:val="center"/>
              <w:rPr>
                <w:rFonts w:hint="eastAsia"/>
                <w:highlight w:val="none"/>
                <w:lang w:val="en-US" w:eastAsia="zh-CN"/>
              </w:rPr>
            </w:pPr>
          </w:p>
        </w:tc>
        <w:tc>
          <w:tcPr>
            <w:tcW w:w="3024" w:type="dxa"/>
            <w:shd w:val="clear" w:color="auto" w:fill="auto"/>
            <w:vAlign w:val="center"/>
          </w:tcPr>
          <w:p w14:paraId="7DB52BA9">
            <w:pPr>
              <w:pStyle w:val="68"/>
              <w:bidi w:val="0"/>
              <w:ind w:left="0" w:leftChars="0" w:firstLine="0" w:firstLineChars="0"/>
              <w:jc w:val="left"/>
              <w:rPr>
                <w:rFonts w:ascii="宋体" w:hAnsi="宋体" w:eastAsia="宋体" w:cs="宋体"/>
                <w:bCs/>
                <w:spacing w:val="6"/>
                <w:kern w:val="2"/>
                <w:sz w:val="20"/>
                <w:szCs w:val="24"/>
                <w:highlight w:val="none"/>
                <w:lang w:val="en-US" w:eastAsia="en-US" w:bidi="ar-SA"/>
              </w:rPr>
            </w:pPr>
            <w:r>
              <w:rPr>
                <w:highlight w:val="none"/>
              </w:rPr>
              <w:t>提交</w:t>
            </w:r>
            <w:r>
              <w:rPr>
                <w:rFonts w:hint="eastAsia"/>
                <w:highlight w:val="none"/>
                <w:lang w:val="en-US" w:eastAsia="zh-CN"/>
              </w:rPr>
              <w:t>交付</w:t>
            </w:r>
            <w:r>
              <w:rPr>
                <w:highlight w:val="none"/>
              </w:rPr>
              <w:t>材料由于质量原因被回退，每发生一次</w:t>
            </w:r>
          </w:p>
        </w:tc>
        <w:tc>
          <w:tcPr>
            <w:tcW w:w="660" w:type="dxa"/>
            <w:shd w:val="clear" w:color="auto" w:fill="auto"/>
            <w:vAlign w:val="center"/>
          </w:tcPr>
          <w:p w14:paraId="16C1C831">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663C3ED2">
            <w:pPr>
              <w:pStyle w:val="68"/>
              <w:bidi w:val="0"/>
              <w:ind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招标人</w:t>
            </w:r>
            <w:r>
              <w:rPr>
                <w:highlight w:val="none"/>
              </w:rPr>
              <w:t>投诉</w:t>
            </w:r>
          </w:p>
        </w:tc>
      </w:tr>
      <w:tr w14:paraId="62BB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54B7B3DA">
            <w:pPr>
              <w:pStyle w:val="68"/>
              <w:bidi w:val="0"/>
              <w:rPr>
                <w:highlight w:val="none"/>
              </w:rPr>
            </w:pPr>
          </w:p>
        </w:tc>
        <w:tc>
          <w:tcPr>
            <w:tcW w:w="863" w:type="dxa"/>
            <w:vMerge w:val="continue"/>
            <w:vAlign w:val="center"/>
          </w:tcPr>
          <w:p w14:paraId="6918FFB0">
            <w:pPr>
              <w:pStyle w:val="68"/>
              <w:bidi w:val="0"/>
              <w:rPr>
                <w:highlight w:val="none"/>
              </w:rPr>
            </w:pPr>
          </w:p>
        </w:tc>
        <w:tc>
          <w:tcPr>
            <w:tcW w:w="1944" w:type="dxa"/>
            <w:vMerge w:val="continue"/>
            <w:vAlign w:val="center"/>
          </w:tcPr>
          <w:p w14:paraId="7F38CC2D">
            <w:pPr>
              <w:pStyle w:val="68"/>
              <w:bidi w:val="0"/>
              <w:jc w:val="center"/>
              <w:rPr>
                <w:highlight w:val="none"/>
              </w:rPr>
            </w:pPr>
          </w:p>
        </w:tc>
        <w:tc>
          <w:tcPr>
            <w:tcW w:w="3024" w:type="dxa"/>
            <w:vAlign w:val="center"/>
          </w:tcPr>
          <w:p w14:paraId="4ED10031">
            <w:pPr>
              <w:pStyle w:val="68"/>
              <w:bidi w:val="0"/>
              <w:ind w:left="0" w:leftChars="0" w:firstLine="0" w:firstLineChars="0"/>
              <w:jc w:val="left"/>
              <w:rPr>
                <w:rFonts w:hint="default" w:eastAsia="宋体"/>
                <w:highlight w:val="none"/>
                <w:lang w:val="en-US" w:eastAsia="zh-CN"/>
              </w:rPr>
            </w:pPr>
            <w:r>
              <w:rPr>
                <w:rFonts w:hint="eastAsia"/>
                <w:highlight w:val="none"/>
                <w:lang w:val="en-US" w:eastAsia="zh-CN"/>
              </w:rPr>
              <w:t>交付成果质量过差或无成果</w:t>
            </w:r>
            <w:r>
              <w:rPr>
                <w:highlight w:val="none"/>
              </w:rPr>
              <w:t>，每发生一次</w:t>
            </w:r>
          </w:p>
        </w:tc>
        <w:tc>
          <w:tcPr>
            <w:tcW w:w="660" w:type="dxa"/>
            <w:shd w:val="clear" w:color="auto" w:fill="auto"/>
            <w:vAlign w:val="center"/>
          </w:tcPr>
          <w:p w14:paraId="2FAFF740">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3</w:t>
            </w:r>
          </w:p>
        </w:tc>
        <w:tc>
          <w:tcPr>
            <w:tcW w:w="1387" w:type="dxa"/>
            <w:shd w:val="clear" w:color="auto" w:fill="auto"/>
            <w:vAlign w:val="center"/>
          </w:tcPr>
          <w:p w14:paraId="31FA0688">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根据实际</w:t>
            </w:r>
            <w:r>
              <w:rPr>
                <w:rFonts w:hint="eastAsia"/>
                <w:highlight w:val="none"/>
                <w:lang w:val="en-US" w:eastAsia="zh-CN"/>
              </w:rPr>
              <w:t>服务</w:t>
            </w:r>
            <w:r>
              <w:rPr>
                <w:highlight w:val="none"/>
              </w:rPr>
              <w:t>情况取得</w:t>
            </w:r>
          </w:p>
        </w:tc>
      </w:tr>
    </w:tbl>
    <w:p w14:paraId="61D0D197">
      <w:pPr>
        <w:pStyle w:val="15"/>
        <w:ind w:firstLine="0" w:firstLineChars="0"/>
        <w:rPr>
          <w:rFonts w:hint="eastAsia"/>
          <w:highlight w:val="none"/>
        </w:rPr>
      </w:pPr>
    </w:p>
    <w:p w14:paraId="25DF59DD">
      <w:pPr>
        <w:pStyle w:val="2"/>
        <w:rPr>
          <w:rFonts w:hint="eastAsia"/>
          <w:highlight w:val="none"/>
        </w:rPr>
      </w:pPr>
      <w:r>
        <w:rPr>
          <w:rFonts w:hint="eastAsia"/>
          <w:highlight w:val="none"/>
          <w:lang w:val="en-US" w:eastAsia="zh-CN"/>
        </w:rPr>
        <w:t>违约责任</w:t>
      </w:r>
    </w:p>
    <w:p w14:paraId="6E13523A">
      <w:pPr>
        <w:pStyle w:val="58"/>
        <w:rPr>
          <w:rFonts w:hint="eastAsia"/>
          <w:highlight w:val="none"/>
        </w:rPr>
      </w:pPr>
      <w:r>
        <w:rPr>
          <w:rFonts w:hint="eastAsia"/>
          <w:highlight w:val="none"/>
          <w:lang w:val="en-US" w:eastAsia="zh-CN"/>
        </w:rPr>
        <w:t>委托函</w:t>
      </w:r>
      <w:r>
        <w:rPr>
          <w:rFonts w:hint="eastAsia"/>
          <w:highlight w:val="none"/>
        </w:rPr>
        <w:t>终止条款</w:t>
      </w:r>
    </w:p>
    <w:p w14:paraId="24756B97">
      <w:pPr>
        <w:ind w:firstLine="520"/>
        <w:rPr>
          <w:rFonts w:hint="eastAsia"/>
          <w:highlight w:val="none"/>
        </w:rPr>
      </w:pPr>
      <w:r>
        <w:rPr>
          <w:rFonts w:hint="eastAsia"/>
          <w:highlight w:val="none"/>
        </w:rPr>
        <w:t>若出现以下情况之一的，招标人有权终止委托函并追究相关法律责任。</w:t>
      </w:r>
    </w:p>
    <w:p w14:paraId="1B5D52D9">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563FB8DA">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1B8895C0">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2395751C">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61A3EC7E">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73CBAF9F">
      <w:pPr>
        <w:rPr>
          <w:rFonts w:hint="eastAsia"/>
          <w:highlight w:val="none"/>
          <w:lang w:val="en-US" w:eastAsia="zh-CN"/>
        </w:rPr>
      </w:pPr>
      <w:r>
        <w:rPr>
          <w:rFonts w:hint="eastAsia"/>
          <w:highlight w:val="none"/>
        </w:rPr>
        <w:t>6</w:t>
      </w:r>
      <w:r>
        <w:rPr>
          <w:rFonts w:hint="eastAsia"/>
          <w:highlight w:val="none"/>
          <w:lang w:val="en-US" w:eastAsia="zh-CN"/>
        </w:rPr>
        <w:t>）任何一方均可提前至少1个工作日书面通知对方，经双方协商一致后终止该份委托函。</w:t>
      </w:r>
    </w:p>
    <w:p w14:paraId="6FFBB3BE">
      <w:pPr>
        <w:rPr>
          <w:rFonts w:hint="eastAsia"/>
          <w:highlight w:val="none"/>
        </w:rPr>
      </w:pPr>
      <w:r>
        <w:rPr>
          <w:rFonts w:hint="eastAsia"/>
          <w:highlight w:val="none"/>
          <w:lang w:val="en-US" w:eastAsia="zh-CN"/>
        </w:rPr>
        <w:t>7）</w:t>
      </w:r>
      <w:r>
        <w:rPr>
          <w:rFonts w:hint="eastAsia"/>
          <w:highlight w:val="none"/>
        </w:rPr>
        <w:t>经招标人发出部门整改通知书3次或以上。</w:t>
      </w:r>
    </w:p>
    <w:p w14:paraId="719DBA61">
      <w:pPr>
        <w:pStyle w:val="58"/>
        <w:rPr>
          <w:rFonts w:hint="eastAsia"/>
          <w:highlight w:val="none"/>
        </w:rPr>
      </w:pPr>
      <w:r>
        <w:rPr>
          <w:rFonts w:hint="eastAsia"/>
          <w:highlight w:val="none"/>
          <w:lang w:val="en-US" w:eastAsia="zh-CN"/>
        </w:rPr>
        <w:t>委托函扣款</w:t>
      </w:r>
      <w:r>
        <w:rPr>
          <w:rFonts w:hint="eastAsia"/>
          <w:highlight w:val="none"/>
        </w:rPr>
        <w:t>条款</w:t>
      </w:r>
    </w:p>
    <w:p w14:paraId="0463FF90">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6A4EE77B">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1E5E434D">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50191E94">
      <w:pPr>
        <w:ind w:firstLine="520"/>
        <w:rPr>
          <w:rFonts w:hint="eastAsia"/>
          <w:highlight w:val="none"/>
        </w:rPr>
      </w:pPr>
    </w:p>
    <w:p w14:paraId="085E642E">
      <w:pPr>
        <w:ind w:firstLine="0" w:firstLineChars="0"/>
        <w:rPr>
          <w:rFonts w:hint="eastAsia"/>
          <w:highlight w:val="none"/>
        </w:rPr>
      </w:pPr>
    </w:p>
    <w:p w14:paraId="2841A3D9">
      <w:pPr>
        <w:pStyle w:val="15"/>
        <w:rPr>
          <w:rFonts w:hint="eastAsia"/>
          <w:highlight w:val="none"/>
        </w:rPr>
      </w:pPr>
    </w:p>
    <w:p w14:paraId="760A1E67">
      <w:pPr>
        <w:pStyle w:val="2"/>
        <w:rPr>
          <w:rFonts w:hint="eastAsia"/>
          <w:highlight w:val="none"/>
        </w:rPr>
      </w:pPr>
      <w:r>
        <w:rPr>
          <w:rFonts w:hint="eastAsia"/>
          <w:highlight w:val="none"/>
        </w:rPr>
        <w:t>项目结算</w:t>
      </w:r>
    </w:p>
    <w:p w14:paraId="651EFFEF">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6C49F0BD">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4311575F">
      <w:pPr>
        <w:ind w:firstLine="520"/>
        <w:rPr>
          <w:rFonts w:hint="eastAsia"/>
          <w:highlight w:val="none"/>
        </w:rPr>
      </w:pPr>
      <w:r>
        <w:rPr>
          <w:rFonts w:hint="eastAsia"/>
          <w:highlight w:val="none"/>
        </w:rPr>
        <w:t>结算标准为：</w:t>
      </w:r>
    </w:p>
    <w:p w14:paraId="4F621998">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297E8FD2">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0D0ABE65">
      <w:pPr>
        <w:ind w:firstLine="520"/>
        <w:rPr>
          <w:rFonts w:hint="eastAsia"/>
          <w:highlight w:val="none"/>
        </w:rPr>
      </w:pPr>
    </w:p>
    <w:p w14:paraId="56BDC8E1">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5780BA35">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07B2CB4D">
      <w:pPr>
        <w:ind w:firstLine="520"/>
        <w:rPr>
          <w:rFonts w:hint="eastAsia"/>
          <w:highlight w:val="none"/>
        </w:rPr>
      </w:pPr>
    </w:p>
    <w:p w14:paraId="5CFD7EC5">
      <w:pPr>
        <w:pStyle w:val="2"/>
        <w:rPr>
          <w:rFonts w:hint="eastAsia" w:eastAsia="宋体" w:cs="Times New Roman"/>
          <w:highlight w:val="none"/>
        </w:rPr>
      </w:pPr>
      <w:r>
        <w:rPr>
          <w:rFonts w:hint="eastAsia" w:eastAsia="宋体" w:cs="Times New Roman"/>
          <w:highlight w:val="none"/>
        </w:rPr>
        <w:t>其他要求</w:t>
      </w:r>
    </w:p>
    <w:p w14:paraId="57F893BA">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798CEC5D">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386196A0">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7C740113">
      <w:pPr>
        <w:pStyle w:val="15"/>
        <w:rPr>
          <w:rFonts w:hint="eastAsia"/>
          <w:highlight w:val="none"/>
          <w:lang w:eastAsia="zh-CN"/>
        </w:rPr>
      </w:pPr>
    </w:p>
    <w:p w14:paraId="5648C3F5">
      <w:pPr>
        <w:rPr>
          <w:rFonts w:hint="eastAsia"/>
          <w:highlight w:val="none"/>
        </w:rPr>
      </w:pPr>
      <w:r>
        <w:rPr>
          <w:rFonts w:hint="eastAsia"/>
          <w:highlight w:val="none"/>
        </w:rPr>
        <w:br w:type="page"/>
      </w:r>
    </w:p>
    <w:p w14:paraId="47E7192C">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2025年安全建设（智能化场景运营）采购子项</w:t>
      </w:r>
      <w:r>
        <w:rPr>
          <w:rFonts w:hint="eastAsia"/>
          <w:highlight w:val="none"/>
          <w:lang w:val="sv-SE"/>
        </w:rPr>
        <w:t>服务</w:t>
      </w:r>
      <w:r>
        <w:rPr>
          <w:rFonts w:hint="eastAsia"/>
          <w:highlight w:val="none"/>
          <w:lang w:val="en-US" w:eastAsia="zh-CN"/>
        </w:rPr>
        <w:t>通知书</w:t>
      </w:r>
    </w:p>
    <w:p w14:paraId="00F3976E">
      <w:pPr>
        <w:ind w:firstLine="640"/>
        <w:jc w:val="center"/>
        <w:rPr>
          <w:rFonts w:hint="eastAsia"/>
          <w:sz w:val="32"/>
          <w:szCs w:val="32"/>
          <w:highlight w:val="none"/>
          <w:lang w:val="sv-SE"/>
        </w:rPr>
      </w:pPr>
    </w:p>
    <w:p w14:paraId="5627D6FD">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31736E33">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3022AEF8">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6996BFE5">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3A71E57F">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51552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12" w:type="dxa"/>
            <w:noWrap w:val="0"/>
            <w:vAlign w:val="center"/>
          </w:tcPr>
          <w:p w14:paraId="025F614E">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487B5266">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5D9119BF">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5C83187D">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39CE76C5">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1BD79B8E">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0FA4360B">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4E92F839">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546BCFED">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2B00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44FA6EE2">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300DF2E2">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266F97F2">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266B006B">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06BFA99B">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2B53F6DE">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5F6C77CB">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15A0B99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68B12AF7">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24D5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65676792">
            <w:pPr>
              <w:spacing w:line="240" w:lineRule="auto"/>
              <w:ind w:firstLine="0" w:firstLineChars="0"/>
              <w:jc w:val="center"/>
              <w:rPr>
                <w:rFonts w:hint="eastAsia"/>
                <w:sz w:val="22"/>
                <w:szCs w:val="22"/>
                <w:highlight w:val="none"/>
                <w:lang w:val="sv-SE"/>
              </w:rPr>
            </w:pPr>
          </w:p>
        </w:tc>
        <w:tc>
          <w:tcPr>
            <w:tcW w:w="1551" w:type="dxa"/>
            <w:noWrap w:val="0"/>
            <w:vAlign w:val="center"/>
          </w:tcPr>
          <w:p w14:paraId="567ABA46">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3E9C195B">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26AE81A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6ED18A95">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4D67EFE2">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2DBDBD87">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63DA45F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109A4865">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4F32FB54">
      <w:pPr>
        <w:pStyle w:val="15"/>
        <w:spacing w:line="480" w:lineRule="auto"/>
        <w:ind w:firstLine="480"/>
        <w:rPr>
          <w:highlight w:val="none"/>
          <w:u w:val="single"/>
          <w:lang w:val="sv-SE"/>
        </w:rPr>
      </w:pPr>
    </w:p>
    <w:p w14:paraId="7902D263">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79FF0AFB">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775660A6">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3200394E">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6D081">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6CCB3">
    <w:pPr>
      <w:pStyle w:val="22"/>
      <w:framePr w:wrap="around" w:vAnchor="text" w:hAnchor="margin" w:xAlign="center" w:y="1"/>
      <w:ind w:firstLine="360"/>
      <w:rPr>
        <w:rStyle w:val="33"/>
      </w:rPr>
    </w:pPr>
    <w:r>
      <w:fldChar w:fldCharType="begin"/>
    </w:r>
    <w:r>
      <w:rPr>
        <w:rStyle w:val="33"/>
      </w:rPr>
      <w:instrText xml:space="preserve">PAGE  </w:instrText>
    </w:r>
    <w:r>
      <w:fldChar w:fldCharType="end"/>
    </w:r>
  </w:p>
  <w:p w14:paraId="1EC60670">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51A9C">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58F25">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1DAAC">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9C18A">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E092E">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8"/>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3"/>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3A13F4F"/>
    <w:rsid w:val="05150942"/>
    <w:rsid w:val="05EC2979"/>
    <w:rsid w:val="06B27FFC"/>
    <w:rsid w:val="06E92E82"/>
    <w:rsid w:val="07F301D9"/>
    <w:rsid w:val="096E5610"/>
    <w:rsid w:val="0CED4A67"/>
    <w:rsid w:val="0DEA4B54"/>
    <w:rsid w:val="0E342853"/>
    <w:rsid w:val="0EEC540D"/>
    <w:rsid w:val="11AB57BF"/>
    <w:rsid w:val="128B7B47"/>
    <w:rsid w:val="13501954"/>
    <w:rsid w:val="150B58A6"/>
    <w:rsid w:val="157E4AEB"/>
    <w:rsid w:val="15BC4C52"/>
    <w:rsid w:val="197D5CC6"/>
    <w:rsid w:val="1A793A61"/>
    <w:rsid w:val="1B0F0873"/>
    <w:rsid w:val="1B952CFE"/>
    <w:rsid w:val="1CC71CF1"/>
    <w:rsid w:val="1E2A3E1A"/>
    <w:rsid w:val="1E7137E9"/>
    <w:rsid w:val="1F5E021B"/>
    <w:rsid w:val="1F6F1F2B"/>
    <w:rsid w:val="1F910D4A"/>
    <w:rsid w:val="21EE091E"/>
    <w:rsid w:val="226E5579"/>
    <w:rsid w:val="23CF27A7"/>
    <w:rsid w:val="25F227CB"/>
    <w:rsid w:val="25F62E2D"/>
    <w:rsid w:val="26210BBE"/>
    <w:rsid w:val="26B37A7F"/>
    <w:rsid w:val="27F0021F"/>
    <w:rsid w:val="2808303D"/>
    <w:rsid w:val="28457AE6"/>
    <w:rsid w:val="29AA2D18"/>
    <w:rsid w:val="2AE52B3C"/>
    <w:rsid w:val="2BE83BB7"/>
    <w:rsid w:val="2E21000A"/>
    <w:rsid w:val="2FAA0038"/>
    <w:rsid w:val="324C1682"/>
    <w:rsid w:val="3332520E"/>
    <w:rsid w:val="33DB342C"/>
    <w:rsid w:val="33F7720E"/>
    <w:rsid w:val="34231F5A"/>
    <w:rsid w:val="34C96E23"/>
    <w:rsid w:val="352D3E1E"/>
    <w:rsid w:val="353E78FC"/>
    <w:rsid w:val="360124C3"/>
    <w:rsid w:val="3621007C"/>
    <w:rsid w:val="37126C86"/>
    <w:rsid w:val="373552B4"/>
    <w:rsid w:val="37E421A7"/>
    <w:rsid w:val="38380C12"/>
    <w:rsid w:val="38806A2E"/>
    <w:rsid w:val="3A3A4D57"/>
    <w:rsid w:val="3C0C1FB2"/>
    <w:rsid w:val="3D9219EF"/>
    <w:rsid w:val="40064CA7"/>
    <w:rsid w:val="40AC425B"/>
    <w:rsid w:val="42035676"/>
    <w:rsid w:val="43DA5F92"/>
    <w:rsid w:val="44CA24D2"/>
    <w:rsid w:val="45213848"/>
    <w:rsid w:val="458E1117"/>
    <w:rsid w:val="46752C70"/>
    <w:rsid w:val="469118C4"/>
    <w:rsid w:val="4C067384"/>
    <w:rsid w:val="4C6A7DA0"/>
    <w:rsid w:val="4EDF237F"/>
    <w:rsid w:val="50563308"/>
    <w:rsid w:val="50762803"/>
    <w:rsid w:val="515A1D68"/>
    <w:rsid w:val="522B1438"/>
    <w:rsid w:val="54512141"/>
    <w:rsid w:val="546F5918"/>
    <w:rsid w:val="54FC5FEF"/>
    <w:rsid w:val="562D21EF"/>
    <w:rsid w:val="56414451"/>
    <w:rsid w:val="583354EA"/>
    <w:rsid w:val="58E9083A"/>
    <w:rsid w:val="58F908BF"/>
    <w:rsid w:val="5CC62C3A"/>
    <w:rsid w:val="5E5672EA"/>
    <w:rsid w:val="5FC8370C"/>
    <w:rsid w:val="601247C8"/>
    <w:rsid w:val="61A97F30"/>
    <w:rsid w:val="61AE57C0"/>
    <w:rsid w:val="63D800FB"/>
    <w:rsid w:val="63F77B96"/>
    <w:rsid w:val="64063AD5"/>
    <w:rsid w:val="64AE696E"/>
    <w:rsid w:val="6552780A"/>
    <w:rsid w:val="665233DE"/>
    <w:rsid w:val="665F30CB"/>
    <w:rsid w:val="67B35311"/>
    <w:rsid w:val="68091DC3"/>
    <w:rsid w:val="68251AA9"/>
    <w:rsid w:val="685C1FAA"/>
    <w:rsid w:val="68B867C2"/>
    <w:rsid w:val="68CC58FB"/>
    <w:rsid w:val="693337A2"/>
    <w:rsid w:val="6BCC7786"/>
    <w:rsid w:val="6BD133EA"/>
    <w:rsid w:val="6C6B0C6F"/>
    <w:rsid w:val="6CE50C2A"/>
    <w:rsid w:val="6D804045"/>
    <w:rsid w:val="6E3B50E8"/>
    <w:rsid w:val="6EC151A6"/>
    <w:rsid w:val="70B8672F"/>
    <w:rsid w:val="728D3D7E"/>
    <w:rsid w:val="72B3396F"/>
    <w:rsid w:val="73DC4C67"/>
    <w:rsid w:val="74D85438"/>
    <w:rsid w:val="75AC57BF"/>
    <w:rsid w:val="7650475C"/>
    <w:rsid w:val="765E152C"/>
    <w:rsid w:val="77337677"/>
    <w:rsid w:val="773F0EA9"/>
    <w:rsid w:val="79486177"/>
    <w:rsid w:val="79733502"/>
    <w:rsid w:val="7CC320E5"/>
    <w:rsid w:val="7E3F712D"/>
    <w:rsid w:val="7EEF71C5"/>
    <w:rsid w:val="7F572C91"/>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39"/>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0"/>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1"/>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2"/>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3"/>
    <w:qFormat/>
    <w:uiPriority w:val="0"/>
    <w:rPr>
      <w:sz w:val="18"/>
      <w:szCs w:val="18"/>
    </w:rPr>
  </w:style>
  <w:style w:type="paragraph" w:styleId="22">
    <w:name w:val="footer"/>
    <w:basedOn w:val="1"/>
    <w:link w:val="44"/>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99"/>
  </w:style>
  <w:style w:type="character" w:styleId="34">
    <w:name w:val="annotation reference"/>
    <w:semiHidden/>
    <w:qFormat/>
    <w:uiPriority w:val="0"/>
    <w:rPr>
      <w:sz w:val="21"/>
      <w:szCs w:val="21"/>
    </w:rPr>
  </w:style>
  <w:style w:type="paragraph" w:styleId="35">
    <w:name w:val="List Paragraph"/>
    <w:basedOn w:val="1"/>
    <w:qFormat/>
    <w:uiPriority w:val="34"/>
    <w:pPr>
      <w:ind w:firstLine="420"/>
    </w:pPr>
  </w:style>
  <w:style w:type="character" w:customStyle="1" w:styleId="36">
    <w:name w:val="标题 3 字符"/>
    <w:link w:val="4"/>
    <w:qFormat/>
    <w:uiPriority w:val="0"/>
    <w:rPr>
      <w:b/>
      <w:bCs/>
      <w:kern w:val="2"/>
      <w:sz w:val="28"/>
      <w:szCs w:val="28"/>
      <w:lang w:val="sv-SE"/>
    </w:rPr>
  </w:style>
  <w:style w:type="character" w:customStyle="1" w:styleId="37">
    <w:name w:val="标题 5 字符"/>
    <w:link w:val="6"/>
    <w:qFormat/>
    <w:uiPriority w:val="0"/>
    <w:rPr>
      <w:b/>
      <w:bCs/>
      <w:kern w:val="44"/>
      <w:sz w:val="24"/>
      <w:szCs w:val="28"/>
    </w:rPr>
  </w:style>
  <w:style w:type="character" w:customStyle="1" w:styleId="38">
    <w:name w:val="标题 7 字符"/>
    <w:link w:val="8"/>
    <w:qFormat/>
    <w:uiPriority w:val="0"/>
    <w:rPr>
      <w:b/>
      <w:bCs/>
      <w:kern w:val="2"/>
      <w:sz w:val="24"/>
      <w:szCs w:val="24"/>
    </w:rPr>
  </w:style>
  <w:style w:type="character" w:customStyle="1" w:styleId="39">
    <w:name w:val="标题 1 字符"/>
    <w:link w:val="2"/>
    <w:qFormat/>
    <w:uiPriority w:val="0"/>
    <w:rPr>
      <w:b/>
      <w:bCs/>
      <w:snapToGrid/>
      <w:sz w:val="28"/>
      <w:szCs w:val="28"/>
    </w:rPr>
  </w:style>
  <w:style w:type="character" w:customStyle="1" w:styleId="40">
    <w:name w:val="正文缩进 字符"/>
    <w:link w:val="12"/>
    <w:qFormat/>
    <w:uiPriority w:val="0"/>
    <w:rPr>
      <w:kern w:val="2"/>
      <w:sz w:val="21"/>
      <w:szCs w:val="24"/>
    </w:rPr>
  </w:style>
  <w:style w:type="character" w:customStyle="1" w:styleId="41">
    <w:name w:val="正文文本缩进 字符"/>
    <w:link w:val="16"/>
    <w:qFormat/>
    <w:uiPriority w:val="0"/>
    <w:rPr>
      <w:kern w:val="2"/>
      <w:sz w:val="21"/>
      <w:lang w:eastAsia="zh-TW"/>
    </w:rPr>
  </w:style>
  <w:style w:type="character" w:customStyle="1" w:styleId="42">
    <w:name w:val="纯文本 字符"/>
    <w:link w:val="19"/>
    <w:qFormat/>
    <w:uiPriority w:val="0"/>
    <w:rPr>
      <w:rFonts w:ascii="宋体" w:hAnsi="Courier New"/>
      <w:kern w:val="2"/>
      <w:sz w:val="21"/>
    </w:rPr>
  </w:style>
  <w:style w:type="character" w:customStyle="1" w:styleId="43">
    <w:name w:val="批注框文本 字符"/>
    <w:link w:val="21"/>
    <w:qFormat/>
    <w:uiPriority w:val="0"/>
    <w:rPr>
      <w:kern w:val="2"/>
      <w:sz w:val="18"/>
      <w:szCs w:val="18"/>
    </w:rPr>
  </w:style>
  <w:style w:type="character" w:customStyle="1" w:styleId="44">
    <w:name w:val="页脚 字符"/>
    <w:link w:val="22"/>
    <w:qFormat/>
    <w:uiPriority w:val="99"/>
    <w:rPr>
      <w:kern w:val="2"/>
      <w:sz w:val="18"/>
      <w:szCs w:val="18"/>
    </w:rPr>
  </w:style>
  <w:style w:type="character" w:customStyle="1" w:styleId="45">
    <w:name w:val="页眉 字符"/>
    <w:link w:val="23"/>
    <w:qFormat/>
    <w:uiPriority w:val="99"/>
    <w:rPr>
      <w:kern w:val="2"/>
      <w:sz w:val="18"/>
      <w:szCs w:val="18"/>
    </w:rPr>
  </w:style>
  <w:style w:type="character" w:customStyle="1" w:styleId="46">
    <w:name w:val="封面副标题 Char"/>
    <w:link w:val="47"/>
    <w:qFormat/>
    <w:uiPriority w:val="0"/>
    <w:rPr>
      <w:rFonts w:ascii="Arial" w:hAnsi="Arial" w:eastAsia="黑体"/>
      <w:sz w:val="32"/>
      <w:szCs w:val="24"/>
      <w:lang w:val="en-US" w:eastAsia="zh-CN" w:bidi="ar-SA"/>
    </w:rPr>
  </w:style>
  <w:style w:type="paragraph" w:customStyle="1" w:styleId="47">
    <w:name w:val="封面副标题"/>
    <w:link w:val="46"/>
    <w:qFormat/>
    <w:uiPriority w:val="0"/>
    <w:pPr>
      <w:spacing w:line="360" w:lineRule="auto"/>
      <w:jc w:val="center"/>
    </w:pPr>
    <w:rPr>
      <w:rFonts w:ascii="Arial" w:hAnsi="Arial" w:eastAsia="黑体" w:cs="Times New Roman"/>
      <w:sz w:val="32"/>
      <w:szCs w:val="24"/>
      <w:lang w:val="en-US" w:eastAsia="zh-CN" w:bidi="ar-SA"/>
    </w:rPr>
  </w:style>
  <w:style w:type="character" w:customStyle="1" w:styleId="48">
    <w:name w:val="GEDI正文样式 Char"/>
    <w:link w:val="49"/>
    <w:qFormat/>
    <w:uiPriority w:val="0"/>
    <w:rPr>
      <w:rFonts w:eastAsia="宋体"/>
      <w:kern w:val="2"/>
      <w:sz w:val="24"/>
      <w:szCs w:val="24"/>
      <w:lang w:val="en-US" w:eastAsia="zh-CN" w:bidi="ar-SA"/>
    </w:rPr>
  </w:style>
  <w:style w:type="paragraph" w:customStyle="1" w:styleId="49">
    <w:name w:val="GEDI正文样式"/>
    <w:basedOn w:val="1"/>
    <w:link w:val="48"/>
    <w:qFormat/>
    <w:uiPriority w:val="0"/>
    <w:pPr>
      <w:adjustRightInd w:val="0"/>
      <w:snapToGrid w:val="0"/>
      <w:spacing w:line="480" w:lineRule="atLeast"/>
      <w:ind w:firstLine="480"/>
    </w:pPr>
  </w:style>
  <w:style w:type="character" w:customStyle="1" w:styleId="50">
    <w:name w:val="无间隔 字符"/>
    <w:link w:val="51"/>
    <w:qFormat/>
    <w:uiPriority w:val="1"/>
    <w:rPr>
      <w:rFonts w:ascii="Calibri" w:hAnsi="Calibri"/>
      <w:sz w:val="22"/>
      <w:szCs w:val="22"/>
      <w:lang w:bidi="ar-SA"/>
    </w:rPr>
  </w:style>
  <w:style w:type="paragraph" w:styleId="51">
    <w:name w:val="No Spacing"/>
    <w:link w:val="50"/>
    <w:qFormat/>
    <w:uiPriority w:val="1"/>
    <w:rPr>
      <w:rFonts w:ascii="Calibri" w:hAnsi="Calibri" w:eastAsia="宋体" w:cs="Times New Roman"/>
      <w:sz w:val="22"/>
      <w:szCs w:val="22"/>
      <w:lang w:val="en-US" w:eastAsia="zh-CN" w:bidi="ar-SA"/>
    </w:rPr>
  </w:style>
  <w:style w:type="character" w:customStyle="1" w:styleId="52">
    <w:name w:val="GEDI正文(无编号) Char"/>
    <w:link w:val="53"/>
    <w:qFormat/>
    <w:uiPriority w:val="0"/>
    <w:rPr>
      <w:rFonts w:hAnsi="宋体"/>
      <w:kern w:val="2"/>
      <w:sz w:val="24"/>
    </w:rPr>
  </w:style>
  <w:style w:type="paragraph" w:customStyle="1" w:styleId="53">
    <w:name w:val="GEDI正文(无编号)"/>
    <w:basedOn w:val="1"/>
    <w:link w:val="52"/>
    <w:qFormat/>
    <w:uiPriority w:val="0"/>
    <w:pPr>
      <w:adjustRightInd w:val="0"/>
      <w:snapToGrid w:val="0"/>
      <w:ind w:left="420" w:firstLine="0" w:firstLineChars="0"/>
    </w:pPr>
    <w:rPr>
      <w:rFonts w:hAnsi="宋体"/>
      <w:szCs w:val="20"/>
    </w:rPr>
  </w:style>
  <w:style w:type="character" w:customStyle="1" w:styleId="54">
    <w:name w:val="GEDI一级项目编号 Char"/>
    <w:link w:val="55"/>
    <w:qFormat/>
    <w:uiPriority w:val="0"/>
    <w:rPr>
      <w:rFonts w:eastAsia="宋体"/>
      <w:kern w:val="2"/>
      <w:sz w:val="24"/>
      <w:szCs w:val="24"/>
      <w:lang w:val="en-US" w:eastAsia="zh-CN" w:bidi="ar-SA"/>
    </w:rPr>
  </w:style>
  <w:style w:type="paragraph" w:customStyle="1" w:styleId="55">
    <w:name w:val="GEDI一级项目编号"/>
    <w:basedOn w:val="1"/>
    <w:link w:val="54"/>
    <w:qFormat/>
    <w:uiPriority w:val="0"/>
    <w:pPr>
      <w:adjustRightInd w:val="0"/>
      <w:snapToGrid w:val="0"/>
      <w:spacing w:line="480" w:lineRule="atLeast"/>
      <w:ind w:firstLine="0" w:firstLineChars="0"/>
    </w:pPr>
  </w:style>
  <w:style w:type="paragraph" w:customStyle="1" w:styleId="56">
    <w:name w:val="正文加粗"/>
    <w:basedOn w:val="1"/>
    <w:qFormat/>
    <w:uiPriority w:val="0"/>
    <w:pPr>
      <w:spacing w:line="240" w:lineRule="auto"/>
      <w:ind w:firstLine="0" w:firstLineChars="0"/>
    </w:pPr>
    <w:rPr>
      <w:rFonts w:cs="宋体"/>
      <w:b/>
      <w:bCs/>
      <w:sz w:val="21"/>
      <w:szCs w:val="20"/>
    </w:rPr>
  </w:style>
  <w:style w:type="paragraph" w:customStyle="1" w:styleId="57">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8">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59">
    <w:name w:val="p0"/>
    <w:basedOn w:val="1"/>
    <w:qFormat/>
    <w:uiPriority w:val="0"/>
    <w:pPr>
      <w:widowControl/>
      <w:spacing w:line="360" w:lineRule="auto"/>
      <w:ind w:firstLine="0" w:firstLineChars="0"/>
    </w:pPr>
    <w:rPr>
      <w:kern w:val="0"/>
    </w:rPr>
  </w:style>
  <w:style w:type="paragraph" w:customStyle="1" w:styleId="60">
    <w:name w:val="_Style 1"/>
    <w:basedOn w:val="1"/>
    <w:qFormat/>
    <w:uiPriority w:val="34"/>
    <w:pPr>
      <w:ind w:firstLine="420"/>
    </w:pPr>
  </w:style>
  <w:style w:type="paragraph" w:customStyle="1" w:styleId="61">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2">
    <w:name w:val=" Char"/>
    <w:basedOn w:val="1"/>
    <w:qFormat/>
    <w:uiPriority w:val="0"/>
    <w:pPr>
      <w:spacing w:line="240" w:lineRule="auto"/>
      <w:ind w:firstLine="0" w:firstLineChars="0"/>
    </w:pPr>
    <w:rPr>
      <w:rFonts w:ascii="Tahoma" w:hAnsi="Tahoma"/>
      <w:szCs w:val="20"/>
    </w:rPr>
  </w:style>
  <w:style w:type="paragraph" w:customStyle="1" w:styleId="63">
    <w:name w:val="园点"/>
    <w:basedOn w:val="1"/>
    <w:qFormat/>
    <w:uiPriority w:val="0"/>
    <w:pPr>
      <w:numPr>
        <w:ilvl w:val="0"/>
        <w:numId w:val="2"/>
      </w:numPr>
      <w:spacing w:line="360" w:lineRule="auto"/>
      <w:ind w:firstLineChars="0"/>
    </w:pPr>
    <w:rPr>
      <w:rFonts w:ascii="宋体" w:hAnsi="宋体"/>
    </w:rPr>
  </w:style>
  <w:style w:type="paragraph" w:customStyle="1" w:styleId="6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5">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6">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7">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8">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7047</Words>
  <Characters>7188</Characters>
  <Lines>37</Lines>
  <Paragraphs>10</Paragraphs>
  <TotalTime>0</TotalTime>
  <ScaleCrop>false</ScaleCrop>
  <LinksUpToDate>false</LinksUpToDate>
  <CharactersWithSpaces>7335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2025-09-18T08:33:49Z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059ABF7063404BABA88EAE7E0F154143_13</vt:lpwstr>
  </property>
  <property fmtid="{D5CDD505-2E9C-101B-9397-08002B2CF9AE}" pid="4" name="KSOTemplateDocerSaveRecord">
    <vt:lpwstr>eyJoZGlkIjoiM2E5OWFmMzRmYmQwY2QzODU5NTRkZDNiNDZlNmMwN2IiLCJ1c2VySWQiOiIyODU0ODk0NiJ9</vt:lpwstr>
  </property>
</Properties>
</file>