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516420">
      <w:pPr>
        <w:widowControl/>
        <w:ind w:firstLine="880"/>
        <w:jc w:val="center"/>
        <w:rPr>
          <w:rFonts w:ascii="宋体" w:hAnsi="宋体"/>
          <w:sz w:val="44"/>
          <w:highlight w:val="none"/>
        </w:rPr>
      </w:pPr>
      <w:bookmarkStart w:id="21" w:name="_GoBack"/>
      <w:bookmarkEnd w:id="21"/>
    </w:p>
    <w:p w14:paraId="654CE46B">
      <w:pPr>
        <w:widowControl/>
        <w:ind w:firstLine="880"/>
        <w:jc w:val="center"/>
        <w:rPr>
          <w:rFonts w:ascii="宋体" w:hAnsi="宋体"/>
          <w:sz w:val="44"/>
          <w:highlight w:val="none"/>
        </w:rPr>
      </w:pPr>
    </w:p>
    <w:p w14:paraId="65C538DA">
      <w:pPr>
        <w:widowControl/>
        <w:ind w:firstLine="880"/>
        <w:jc w:val="center"/>
        <w:rPr>
          <w:rFonts w:ascii="宋体" w:hAnsi="宋体"/>
          <w:sz w:val="44"/>
          <w:highlight w:val="none"/>
        </w:rPr>
      </w:pPr>
    </w:p>
    <w:p w14:paraId="55E93D87">
      <w:pPr>
        <w:widowControl/>
        <w:ind w:firstLine="880"/>
        <w:jc w:val="center"/>
        <w:rPr>
          <w:rFonts w:ascii="宋体" w:hAnsi="宋体"/>
          <w:sz w:val="44"/>
          <w:highlight w:val="none"/>
        </w:rPr>
      </w:pPr>
    </w:p>
    <w:p w14:paraId="734472ED">
      <w:pPr>
        <w:pStyle w:val="65"/>
        <w:adjustRightInd w:val="0"/>
        <w:snapToGrid w:val="0"/>
        <w:spacing w:line="360" w:lineRule="auto"/>
        <w:ind w:firstLine="480"/>
        <w:rPr>
          <w:rFonts w:ascii="宋体" w:hAnsi="宋体" w:eastAsia="宋体"/>
          <w:highlight w:val="none"/>
        </w:rPr>
      </w:pPr>
    </w:p>
    <w:p w14:paraId="7572D227">
      <w:pPr>
        <w:widowControl/>
        <w:spacing w:line="360" w:lineRule="auto"/>
        <w:ind w:firstLine="880"/>
        <w:jc w:val="center"/>
        <w:rPr>
          <w:rFonts w:ascii="宋体" w:hAnsi="宋体"/>
          <w:sz w:val="44"/>
          <w:highlight w:val="none"/>
        </w:rPr>
      </w:pPr>
    </w:p>
    <w:p w14:paraId="05DA32F5">
      <w:pPr>
        <w:spacing w:line="360" w:lineRule="auto"/>
        <w:ind w:firstLine="0" w:firstLineChars="0"/>
        <w:jc w:val="center"/>
        <w:rPr>
          <w:rFonts w:hint="eastAsia" w:ascii="黑体" w:eastAsia="黑体"/>
          <w:b/>
          <w:bCs/>
          <w:sz w:val="52"/>
          <w:highlight w:val="none"/>
          <w:lang w:eastAsia="zh-CN"/>
        </w:rPr>
      </w:pPr>
      <w:r>
        <w:rPr>
          <w:rFonts w:hint="eastAsia" w:ascii="黑体" w:eastAsia="黑体"/>
          <w:b/>
          <w:bCs/>
          <w:sz w:val="52"/>
          <w:highlight w:val="none"/>
          <w:lang w:eastAsia="zh-CN"/>
        </w:rPr>
        <w:t>2025年南方电网数字电网集团（广东）有限公司安全建设支撑服务框架采购项目</w:t>
      </w:r>
      <w:r>
        <w:rPr>
          <w:rFonts w:hint="eastAsia" w:ascii="黑体" w:eastAsia="黑体"/>
          <w:b/>
          <w:bCs/>
          <w:sz w:val="52"/>
          <w:highlight w:val="none"/>
        </w:rPr>
        <w:t>【</w:t>
      </w:r>
      <w:r>
        <w:rPr>
          <w:rFonts w:hint="eastAsia" w:ascii="黑体" w:eastAsia="黑体"/>
          <w:b/>
          <w:bCs/>
          <w:sz w:val="52"/>
          <w:highlight w:val="none"/>
          <w:lang w:eastAsia="zh-CN"/>
        </w:rPr>
        <w:t>标的6</w:t>
      </w:r>
      <w:r>
        <w:rPr>
          <w:rFonts w:hint="eastAsia" w:ascii="黑体" w:eastAsia="黑体"/>
          <w:b/>
          <w:bCs/>
          <w:sz w:val="52"/>
          <w:highlight w:val="none"/>
        </w:rPr>
        <w:t>】</w:t>
      </w:r>
      <w:r>
        <w:rPr>
          <w:rFonts w:hint="eastAsia" w:ascii="黑体" w:eastAsia="黑体"/>
          <w:b/>
          <w:bCs/>
          <w:sz w:val="52"/>
          <w:highlight w:val="none"/>
          <w:lang w:eastAsia="zh-CN"/>
        </w:rPr>
        <w:t>网络安全检查支持采购子项标包1</w:t>
      </w:r>
      <w:r>
        <w:rPr>
          <w:rFonts w:hint="eastAsia" w:ascii="黑体" w:eastAsia="黑体"/>
          <w:b/>
          <w:bCs/>
          <w:sz w:val="52"/>
          <w:highlight w:val="none"/>
        </w:rPr>
        <w:t>技术</w:t>
      </w:r>
      <w:r>
        <w:rPr>
          <w:rFonts w:hint="eastAsia" w:ascii="黑体" w:eastAsia="黑体"/>
          <w:b/>
          <w:bCs/>
          <w:sz w:val="52"/>
          <w:highlight w:val="none"/>
          <w:lang w:val="en-US" w:eastAsia="zh-CN"/>
        </w:rPr>
        <w:t>规范书</w:t>
      </w:r>
    </w:p>
    <w:p w14:paraId="3ED9A789">
      <w:pPr>
        <w:widowControl/>
        <w:ind w:firstLine="880"/>
        <w:rPr>
          <w:rFonts w:ascii="宋体" w:hAnsi="宋体"/>
          <w:sz w:val="44"/>
          <w:highlight w:val="none"/>
        </w:rPr>
      </w:pPr>
    </w:p>
    <w:p w14:paraId="65769A85">
      <w:pPr>
        <w:widowControl/>
        <w:ind w:firstLine="880"/>
        <w:rPr>
          <w:rFonts w:hint="eastAsia" w:ascii="宋体" w:hAnsi="宋体"/>
          <w:sz w:val="44"/>
          <w:highlight w:val="none"/>
        </w:rPr>
      </w:pPr>
    </w:p>
    <w:p w14:paraId="44449BE7">
      <w:pPr>
        <w:widowControl/>
        <w:ind w:firstLine="880"/>
        <w:rPr>
          <w:rFonts w:hint="eastAsia" w:ascii="宋体" w:hAnsi="宋体"/>
          <w:sz w:val="44"/>
          <w:highlight w:val="none"/>
        </w:rPr>
      </w:pPr>
    </w:p>
    <w:p w14:paraId="34CAB950">
      <w:pPr>
        <w:widowControl/>
        <w:ind w:firstLine="880"/>
        <w:rPr>
          <w:rFonts w:hint="eastAsia" w:ascii="宋体" w:hAnsi="宋体"/>
          <w:sz w:val="44"/>
          <w:highlight w:val="none"/>
        </w:rPr>
      </w:pPr>
    </w:p>
    <w:p w14:paraId="79D201C1">
      <w:pPr>
        <w:ind w:firstLine="0" w:firstLineChars="0"/>
        <w:rPr>
          <w:rFonts w:hint="eastAsia" w:ascii="宋体" w:hAnsi="宋体"/>
          <w:sz w:val="44"/>
          <w:szCs w:val="44"/>
          <w:highlight w:val="none"/>
        </w:rPr>
      </w:pPr>
    </w:p>
    <w:p w14:paraId="3869EE69">
      <w:pPr>
        <w:ind w:firstLine="0" w:firstLineChars="0"/>
        <w:jc w:val="center"/>
        <w:rPr>
          <w:rFonts w:hint="eastAsia" w:eastAsia="黑体"/>
          <w:b/>
          <w:bCs/>
          <w:sz w:val="40"/>
          <w:szCs w:val="40"/>
          <w:highlight w:val="none"/>
        </w:rPr>
      </w:pPr>
      <w:r>
        <w:rPr>
          <w:rFonts w:hint="eastAsia" w:eastAsia="黑体"/>
          <w:b/>
          <w:bCs/>
          <w:sz w:val="40"/>
          <w:szCs w:val="40"/>
          <w:highlight w:val="none"/>
        </w:rPr>
        <w:t>南方电网数字电网集团</w:t>
      </w:r>
      <w:r>
        <w:rPr>
          <w:rFonts w:hint="eastAsia" w:eastAsia="黑体"/>
          <w:b/>
          <w:bCs/>
          <w:sz w:val="40"/>
          <w:szCs w:val="40"/>
          <w:highlight w:val="none"/>
          <w:lang w:eastAsia="zh-CN"/>
        </w:rPr>
        <w:t>（广东）</w:t>
      </w:r>
      <w:r>
        <w:rPr>
          <w:rFonts w:hint="eastAsia" w:eastAsia="黑体"/>
          <w:b/>
          <w:bCs/>
          <w:sz w:val="40"/>
          <w:szCs w:val="40"/>
          <w:highlight w:val="none"/>
        </w:rPr>
        <w:t>有限公司</w:t>
      </w:r>
    </w:p>
    <w:p w14:paraId="66AE170F">
      <w:pPr>
        <w:ind w:firstLine="0" w:firstLineChars="0"/>
        <w:jc w:val="center"/>
        <w:rPr>
          <w:rFonts w:ascii="宋体"/>
          <w:color w:val="000000"/>
          <w:sz w:val="28"/>
          <w:szCs w:val="28"/>
          <w:highlight w:val="none"/>
        </w:rPr>
      </w:pPr>
      <w:r>
        <w:rPr>
          <w:rFonts w:hint="eastAsia" w:eastAsia="黑体"/>
          <w:b/>
          <w:bCs/>
          <w:sz w:val="40"/>
          <w:szCs w:val="40"/>
          <w:highlight w:val="none"/>
        </w:rPr>
        <w:t>202</w:t>
      </w:r>
      <w:r>
        <w:rPr>
          <w:rFonts w:hint="eastAsia" w:eastAsia="黑体"/>
          <w:b/>
          <w:bCs/>
          <w:sz w:val="40"/>
          <w:szCs w:val="40"/>
          <w:highlight w:val="none"/>
          <w:lang w:val="en-US" w:eastAsia="zh-CN"/>
        </w:rPr>
        <w:t>5</w:t>
      </w:r>
      <w:r>
        <w:rPr>
          <w:rFonts w:hint="eastAsia" w:eastAsia="黑体"/>
          <w:b/>
          <w:bCs/>
          <w:sz w:val="40"/>
          <w:szCs w:val="40"/>
          <w:highlight w:val="none"/>
        </w:rPr>
        <w:t>年</w:t>
      </w:r>
      <w:r>
        <w:rPr>
          <w:rFonts w:hint="eastAsia" w:eastAsia="黑体"/>
          <w:b/>
          <w:bCs/>
          <w:sz w:val="40"/>
          <w:szCs w:val="40"/>
          <w:highlight w:val="none"/>
          <w:lang w:val="en-US" w:eastAsia="zh-CN"/>
        </w:rPr>
        <w:t>7</w:t>
      </w:r>
      <w:r>
        <w:rPr>
          <w:rFonts w:eastAsia="黑体"/>
          <w:b/>
          <w:bCs/>
          <w:sz w:val="40"/>
          <w:szCs w:val="40"/>
          <w:highlight w:val="none"/>
        </w:rPr>
        <w:t>月</w:t>
      </w:r>
    </w:p>
    <w:p w14:paraId="30778805">
      <w:pPr>
        <w:widowControl/>
        <w:ind w:firstLine="880"/>
        <w:rPr>
          <w:rFonts w:ascii="宋体" w:hAnsi="宋体"/>
          <w:sz w:val="44"/>
          <w:highlight w:val="none"/>
        </w:rPr>
      </w:pPr>
    </w:p>
    <w:p w14:paraId="532E14FC">
      <w:pPr>
        <w:pStyle w:val="49"/>
        <w:jc w:val="left"/>
        <w:rPr>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706" w:bottom="1440" w:left="1800" w:header="851" w:footer="992" w:gutter="0"/>
          <w:cols w:space="720" w:num="1"/>
          <w:docGrid w:type="lines" w:linePitch="312" w:charSpace="0"/>
        </w:sectPr>
      </w:pPr>
      <w:bookmarkStart w:id="0" w:name="_Toc233640518"/>
    </w:p>
    <w:p w14:paraId="6C9DDC3D">
      <w:pPr>
        <w:pStyle w:val="2"/>
        <w:rPr>
          <w:rFonts w:hint="eastAsia"/>
          <w:highlight w:val="none"/>
        </w:rPr>
      </w:pPr>
      <w:bookmarkStart w:id="1" w:name="_Toc408936464"/>
      <w:r>
        <w:rPr>
          <w:rFonts w:hint="eastAsia"/>
          <w:highlight w:val="none"/>
        </w:rPr>
        <w:t>总则</w:t>
      </w:r>
      <w:bookmarkEnd w:id="0"/>
      <w:bookmarkEnd w:id="1"/>
    </w:p>
    <w:p w14:paraId="3079F58C">
      <w:pPr>
        <w:pStyle w:val="58"/>
        <w:rPr>
          <w:rFonts w:hint="eastAsia"/>
          <w:highlight w:val="none"/>
        </w:rPr>
      </w:pPr>
      <w:bookmarkStart w:id="2" w:name="_Toc408936465"/>
      <w:bookmarkStart w:id="3" w:name="_Toc233640519"/>
      <w:r>
        <w:rPr>
          <w:rFonts w:hint="eastAsia"/>
          <w:highlight w:val="none"/>
        </w:rPr>
        <w:t>概述</w:t>
      </w:r>
      <w:bookmarkEnd w:id="2"/>
      <w:bookmarkEnd w:id="3"/>
    </w:p>
    <w:p w14:paraId="3D8967D6">
      <w:pPr>
        <w:ind w:firstLine="520"/>
        <w:rPr>
          <w:snapToGrid w:val="0"/>
          <w:highlight w:val="none"/>
        </w:rPr>
      </w:pPr>
      <w:r>
        <w:rPr>
          <w:rFonts w:hint="eastAsia"/>
          <w:snapToGrid w:val="0"/>
          <w:highlight w:val="none"/>
        </w:rPr>
        <w:t>1）本招标文件适用</w:t>
      </w:r>
      <w:r>
        <w:rPr>
          <w:rFonts w:hint="eastAsia"/>
          <w:snapToGrid w:val="0"/>
          <w:highlight w:val="none"/>
          <w:lang w:eastAsia="zh-CN"/>
        </w:rPr>
        <w:t>2025年南方电网数字电网集团（广东）有限公司安全建设支撑服务框架采购项目</w:t>
      </w:r>
      <w:r>
        <w:rPr>
          <w:rFonts w:hint="eastAsia"/>
          <w:snapToGrid w:val="0"/>
          <w:highlight w:val="none"/>
        </w:rPr>
        <w:t>【</w:t>
      </w:r>
      <w:r>
        <w:rPr>
          <w:rFonts w:hint="eastAsia"/>
          <w:snapToGrid w:val="0"/>
          <w:highlight w:val="none"/>
          <w:lang w:eastAsia="zh-CN"/>
        </w:rPr>
        <w:t>标的6</w:t>
      </w:r>
      <w:r>
        <w:rPr>
          <w:rFonts w:hint="eastAsia"/>
          <w:snapToGrid w:val="0"/>
          <w:highlight w:val="none"/>
        </w:rPr>
        <w:t>】</w:t>
      </w:r>
      <w:r>
        <w:rPr>
          <w:rFonts w:hint="eastAsia"/>
          <w:snapToGrid w:val="0"/>
          <w:highlight w:val="none"/>
          <w:lang w:val="en-US" w:eastAsia="zh-CN"/>
        </w:rPr>
        <w:t>网络安全检查支持采购子项标包1</w:t>
      </w:r>
      <w:r>
        <w:rPr>
          <w:rFonts w:hint="eastAsia"/>
          <w:snapToGrid w:val="0"/>
          <w:highlight w:val="none"/>
        </w:rPr>
        <w:t>，本招标文件的所有解释权归南方电网数字电网集团</w:t>
      </w:r>
      <w:r>
        <w:rPr>
          <w:rFonts w:hint="eastAsia"/>
          <w:snapToGrid w:val="0"/>
          <w:highlight w:val="none"/>
          <w:lang w:eastAsia="zh-CN"/>
        </w:rPr>
        <w:t>（广东）</w:t>
      </w:r>
      <w:r>
        <w:rPr>
          <w:rFonts w:hint="eastAsia"/>
          <w:snapToGrid w:val="0"/>
          <w:highlight w:val="none"/>
        </w:rPr>
        <w:t>有限公司。</w:t>
      </w:r>
    </w:p>
    <w:p w14:paraId="6D37F636">
      <w:pPr>
        <w:ind w:firstLine="520"/>
        <w:rPr>
          <w:snapToGrid w:val="0"/>
          <w:highlight w:val="none"/>
        </w:rPr>
      </w:pPr>
      <w:r>
        <w:rPr>
          <w:rFonts w:hint="eastAsia"/>
          <w:snapToGrid w:val="0"/>
          <w:highlight w:val="none"/>
        </w:rPr>
        <w:t>2）本招标文件提出了本次招标项目的技术服务工作要求，可供投标</w:t>
      </w:r>
      <w:r>
        <w:rPr>
          <w:rFonts w:hint="eastAsia"/>
          <w:snapToGrid w:val="0"/>
          <w:highlight w:val="none"/>
          <w:lang w:val="en-US" w:eastAsia="zh-CN"/>
        </w:rPr>
        <w:t>方</w:t>
      </w:r>
      <w:r>
        <w:rPr>
          <w:rFonts w:hint="eastAsia"/>
          <w:snapToGrid w:val="0"/>
          <w:highlight w:val="none"/>
        </w:rPr>
        <w:t>编写投标文件之用。</w:t>
      </w:r>
    </w:p>
    <w:p w14:paraId="7001F6A7">
      <w:pPr>
        <w:ind w:firstLine="520"/>
        <w:rPr>
          <w:snapToGrid w:val="0"/>
          <w:highlight w:val="none"/>
        </w:rPr>
      </w:pPr>
      <w:r>
        <w:rPr>
          <w:rFonts w:hint="eastAsia"/>
          <w:snapToGrid w:val="0"/>
          <w:highlight w:val="none"/>
        </w:rPr>
        <w:t>3）</w:t>
      </w:r>
      <w:r>
        <w:rPr>
          <w:rFonts w:hint="eastAsia"/>
          <w:snapToGrid w:val="0"/>
          <w:highlight w:val="none"/>
          <w:lang w:eastAsia="zh-CN"/>
        </w:rPr>
        <w:t>投标方</w:t>
      </w:r>
      <w:r>
        <w:rPr>
          <w:rFonts w:hint="eastAsia"/>
          <w:snapToGrid w:val="0"/>
          <w:highlight w:val="none"/>
        </w:rPr>
        <w:t>应按照本招标文件的要求提供详细、完整的技术投标书。技术投标书应完全满足或高于本招标文件要求，对于本招标文件中的某些部分，</w:t>
      </w:r>
      <w:r>
        <w:rPr>
          <w:rFonts w:hint="eastAsia"/>
          <w:snapToGrid w:val="0"/>
          <w:highlight w:val="none"/>
          <w:lang w:eastAsia="zh-CN"/>
        </w:rPr>
        <w:t>投标方</w:t>
      </w:r>
      <w:r>
        <w:rPr>
          <w:rFonts w:hint="eastAsia"/>
          <w:snapToGrid w:val="0"/>
          <w:highlight w:val="none"/>
        </w:rPr>
        <w:t>如不能满足要求，或有其它替代方案，或有其它修改建议，应在技术投标书中指出其必须进行修改的理由以及与原要求的差别，否则，</w:t>
      </w:r>
      <w:r>
        <w:rPr>
          <w:rFonts w:hint="eastAsia"/>
          <w:snapToGrid w:val="0"/>
          <w:highlight w:val="none"/>
          <w:lang w:eastAsia="zh-CN"/>
        </w:rPr>
        <w:t>招标方</w:t>
      </w:r>
      <w:r>
        <w:rPr>
          <w:rFonts w:hint="eastAsia"/>
          <w:snapToGrid w:val="0"/>
          <w:highlight w:val="none"/>
        </w:rPr>
        <w:t>即认为</w:t>
      </w:r>
      <w:r>
        <w:rPr>
          <w:rFonts w:hint="eastAsia"/>
          <w:snapToGrid w:val="0"/>
          <w:highlight w:val="none"/>
          <w:lang w:eastAsia="zh-CN"/>
        </w:rPr>
        <w:t>投标方</w:t>
      </w:r>
      <w:r>
        <w:rPr>
          <w:rFonts w:hint="eastAsia"/>
          <w:snapToGrid w:val="0"/>
          <w:highlight w:val="none"/>
        </w:rPr>
        <w:t>可以满足本招标文件的要求。</w:t>
      </w:r>
    </w:p>
    <w:p w14:paraId="794BE1E7">
      <w:pPr>
        <w:ind w:firstLine="520"/>
        <w:rPr>
          <w:rFonts w:hint="eastAsia"/>
          <w:snapToGrid w:val="0"/>
          <w:highlight w:val="none"/>
        </w:rPr>
      </w:pPr>
      <w:r>
        <w:rPr>
          <w:rFonts w:hint="eastAsia"/>
          <w:snapToGrid w:val="0"/>
          <w:highlight w:val="none"/>
          <w:lang w:val="en-US" w:eastAsia="zh-CN"/>
        </w:rPr>
        <w:t>4</w:t>
      </w:r>
      <w:r>
        <w:rPr>
          <w:rFonts w:hint="eastAsia"/>
          <w:snapToGrid w:val="0"/>
          <w:highlight w:val="none"/>
        </w:rPr>
        <w:t>）</w:t>
      </w:r>
      <w:r>
        <w:rPr>
          <w:rFonts w:hint="eastAsia"/>
          <w:snapToGrid w:val="0"/>
          <w:highlight w:val="none"/>
          <w:lang w:eastAsia="zh-CN"/>
        </w:rPr>
        <w:t>投标方</w:t>
      </w:r>
      <w:r>
        <w:rPr>
          <w:rFonts w:hint="eastAsia"/>
          <w:snapToGrid w:val="0"/>
          <w:highlight w:val="none"/>
        </w:rPr>
        <w:t>应保证所提供的所有资料真实、完整、准确无误，否则</w:t>
      </w:r>
      <w:r>
        <w:rPr>
          <w:rFonts w:hint="eastAsia"/>
          <w:snapToGrid w:val="0"/>
          <w:highlight w:val="none"/>
          <w:lang w:eastAsia="zh-CN"/>
        </w:rPr>
        <w:t>招标方</w:t>
      </w:r>
      <w:r>
        <w:rPr>
          <w:rFonts w:hint="eastAsia"/>
          <w:snapToGrid w:val="0"/>
          <w:highlight w:val="none"/>
        </w:rPr>
        <w:t>将有权取消</w:t>
      </w:r>
      <w:r>
        <w:rPr>
          <w:rFonts w:hint="eastAsia"/>
          <w:snapToGrid w:val="0"/>
          <w:highlight w:val="none"/>
          <w:lang w:eastAsia="zh-CN"/>
        </w:rPr>
        <w:t>投标方</w:t>
      </w:r>
      <w:r>
        <w:rPr>
          <w:rFonts w:hint="eastAsia"/>
          <w:snapToGrid w:val="0"/>
          <w:highlight w:val="none"/>
        </w:rPr>
        <w:t>的中标资格，由此产生的一切后果由</w:t>
      </w:r>
      <w:r>
        <w:rPr>
          <w:rFonts w:hint="eastAsia"/>
          <w:snapToGrid w:val="0"/>
          <w:highlight w:val="none"/>
          <w:lang w:eastAsia="zh-CN"/>
        </w:rPr>
        <w:t>投标方</w:t>
      </w:r>
      <w:r>
        <w:rPr>
          <w:rFonts w:hint="eastAsia"/>
          <w:snapToGrid w:val="0"/>
          <w:highlight w:val="none"/>
        </w:rPr>
        <w:t>承担。</w:t>
      </w:r>
    </w:p>
    <w:p w14:paraId="19B9C909">
      <w:pPr>
        <w:ind w:firstLine="520"/>
        <w:rPr>
          <w:rFonts w:hint="eastAsia"/>
          <w:snapToGrid w:val="0"/>
          <w:highlight w:val="none"/>
        </w:rPr>
      </w:pPr>
      <w:r>
        <w:rPr>
          <w:rFonts w:hint="eastAsia"/>
          <w:snapToGrid w:val="0"/>
          <w:highlight w:val="none"/>
          <w:lang w:val="en-US" w:eastAsia="zh-CN"/>
        </w:rPr>
        <w:t>5</w:t>
      </w:r>
      <w:r>
        <w:rPr>
          <w:rFonts w:hint="eastAsia"/>
          <w:snapToGrid w:val="0"/>
          <w:highlight w:val="none"/>
        </w:rPr>
        <w:t>）投标文件的响应</w:t>
      </w:r>
    </w:p>
    <w:p w14:paraId="3852AB06">
      <w:pPr>
        <w:ind w:firstLine="520"/>
        <w:rPr>
          <w:highlight w:val="none"/>
        </w:rPr>
      </w:pPr>
      <w:r>
        <w:rPr>
          <w:rFonts w:hint="eastAsia"/>
          <w:snapToGrid w:val="0"/>
          <w:highlight w:val="none"/>
        </w:rPr>
        <w:t>投标人的投标技术文件响应中，要求对本招标文件所提出各项要求进行逐条逐项答复、说明和解释。首先对实现或满足程度明确作出“满足”、“部分满足”、“不满足”等应答，不得使用“明白”、“理解”等词语。凡采用“详见”、“参见”等方式说明的，应指明参见文档的章节及页码。凡采用“部分满足”应答的，应详细说明哪部分满足或不满足</w:t>
      </w:r>
      <w:r>
        <w:rPr>
          <w:rFonts w:hint="eastAsia"/>
          <w:snapToGrid w:val="0"/>
          <w:highlight w:val="none"/>
          <w:lang w:eastAsia="zh-CN"/>
        </w:rPr>
        <w:t>。</w:t>
      </w:r>
      <w:r>
        <w:rPr>
          <w:rFonts w:hint="eastAsia"/>
          <w:snapToGrid w:val="0"/>
          <w:highlight w:val="none"/>
          <w:lang w:val="en-US" w:eastAsia="zh-CN"/>
        </w:rPr>
        <w:t>标注“</w:t>
      </w:r>
      <w:r>
        <w:rPr>
          <w:rFonts w:hint="eastAsia" w:ascii="微软雅黑" w:hAnsi="微软雅黑" w:eastAsia="微软雅黑" w:cs="微软雅黑"/>
          <w:highlight w:val="none"/>
          <w:lang w:val="en-US" w:eastAsia="zh-CN"/>
        </w:rPr>
        <w:t>★</w:t>
      </w:r>
      <w:r>
        <w:rPr>
          <w:rFonts w:hint="eastAsia"/>
          <w:snapToGrid w:val="0"/>
          <w:highlight w:val="none"/>
          <w:lang w:val="en-US" w:eastAsia="zh-CN"/>
        </w:rPr>
        <w:t>”条款为关键条款，对这些关键条款产生负偏离将导致废标</w:t>
      </w:r>
      <w:r>
        <w:rPr>
          <w:rFonts w:hint="eastAsia"/>
          <w:snapToGrid w:val="0"/>
          <w:highlight w:val="none"/>
        </w:rPr>
        <w:t>。</w:t>
      </w:r>
    </w:p>
    <w:p w14:paraId="56FD028B">
      <w:pPr>
        <w:pStyle w:val="58"/>
        <w:rPr>
          <w:rFonts w:hint="eastAsia"/>
          <w:highlight w:val="none"/>
        </w:rPr>
      </w:pPr>
      <w:bookmarkStart w:id="4" w:name="_Toc408936466"/>
      <w:r>
        <w:rPr>
          <w:rFonts w:hint="eastAsia"/>
          <w:highlight w:val="none"/>
        </w:rPr>
        <w:t>定义</w:t>
      </w:r>
      <w:bookmarkEnd w:id="4"/>
    </w:p>
    <w:p w14:paraId="01E0B4F4">
      <w:pPr>
        <w:rPr>
          <w:rFonts w:hint="eastAsia"/>
          <w:highlight w:val="none"/>
        </w:rPr>
      </w:pPr>
      <w:r>
        <w:rPr>
          <w:rFonts w:hint="eastAsia"/>
          <w:highlight w:val="none"/>
        </w:rPr>
        <w:t>1）招标方：南方电网数字电网集团</w:t>
      </w:r>
      <w:r>
        <w:rPr>
          <w:rFonts w:hint="eastAsia"/>
          <w:snapToGrid w:val="0"/>
          <w:highlight w:val="none"/>
          <w:lang w:eastAsia="zh-CN"/>
        </w:rPr>
        <w:t>（广东）</w:t>
      </w:r>
      <w:r>
        <w:rPr>
          <w:rFonts w:hint="eastAsia"/>
          <w:highlight w:val="none"/>
        </w:rPr>
        <w:t>有限公司。</w:t>
      </w:r>
    </w:p>
    <w:p w14:paraId="60450BC6">
      <w:pPr>
        <w:rPr>
          <w:rFonts w:hint="eastAsia"/>
          <w:highlight w:val="none"/>
        </w:rPr>
      </w:pPr>
      <w:r>
        <w:rPr>
          <w:rFonts w:hint="eastAsia"/>
          <w:highlight w:val="none"/>
        </w:rPr>
        <w:t xml:space="preserve">2）投标方：指响应招标、参加投标竞争的法人。 </w:t>
      </w:r>
    </w:p>
    <w:p w14:paraId="51DC400E">
      <w:pPr>
        <w:rPr>
          <w:rFonts w:hint="eastAsia"/>
          <w:highlight w:val="none"/>
        </w:rPr>
      </w:pPr>
      <w:r>
        <w:rPr>
          <w:rFonts w:hint="eastAsia"/>
          <w:highlight w:val="none"/>
        </w:rPr>
        <w:t>3）中标方：经过评标，被授予合同的</w:t>
      </w:r>
      <w:r>
        <w:rPr>
          <w:rFonts w:hint="eastAsia"/>
          <w:highlight w:val="none"/>
          <w:lang w:eastAsia="zh-CN"/>
        </w:rPr>
        <w:t>投标方</w:t>
      </w:r>
      <w:r>
        <w:rPr>
          <w:rFonts w:hint="eastAsia"/>
          <w:highlight w:val="none"/>
        </w:rPr>
        <w:t xml:space="preserve">。 </w:t>
      </w:r>
    </w:p>
    <w:p w14:paraId="767C6051">
      <w:pPr>
        <w:rPr>
          <w:rFonts w:hint="eastAsia"/>
          <w:highlight w:val="none"/>
        </w:rPr>
      </w:pPr>
      <w:r>
        <w:rPr>
          <w:rFonts w:hint="eastAsia"/>
          <w:highlight w:val="none"/>
        </w:rPr>
        <w:t>4）投标文件有效期：</w:t>
      </w:r>
      <w:bookmarkStart w:id="5" w:name="_Toc15536150"/>
      <w:r>
        <w:rPr>
          <w:rFonts w:hint="eastAsia"/>
          <w:highlight w:val="none"/>
        </w:rPr>
        <w:t>自投标截止之日起至120天。</w:t>
      </w:r>
      <w:bookmarkEnd w:id="5"/>
    </w:p>
    <w:p w14:paraId="5F79FE45">
      <w:pPr>
        <w:pStyle w:val="58"/>
        <w:rPr>
          <w:rFonts w:hint="eastAsia"/>
          <w:highlight w:val="none"/>
        </w:rPr>
      </w:pPr>
      <w:bookmarkStart w:id="6" w:name="_Toc408936467"/>
      <w:r>
        <w:rPr>
          <w:rFonts w:hint="eastAsia"/>
          <w:highlight w:val="none"/>
        </w:rPr>
        <w:t>招标范围</w:t>
      </w:r>
      <w:bookmarkEnd w:id="6"/>
    </w:p>
    <w:p w14:paraId="589F41CB">
      <w:pPr>
        <w:pStyle w:val="49"/>
        <w:ind w:firstLine="520"/>
        <w:rPr>
          <w:rFonts w:hint="eastAsia" w:eastAsia="宋体"/>
          <w:highlight w:val="none"/>
          <w:lang w:eastAsia="zh-CN"/>
        </w:rPr>
      </w:pPr>
      <w:r>
        <w:rPr>
          <w:rFonts w:hint="eastAsia"/>
          <w:highlight w:val="none"/>
        </w:rPr>
        <w:t>本次招标范围为</w:t>
      </w:r>
      <w:r>
        <w:rPr>
          <w:rFonts w:hint="eastAsia"/>
          <w:highlight w:val="none"/>
          <w:lang w:val="en-US" w:eastAsia="zh-CN"/>
        </w:rPr>
        <w:t>按公司要求</w:t>
      </w:r>
      <w:r>
        <w:rPr>
          <w:rFonts w:hint="eastAsia"/>
          <w:highlight w:val="none"/>
        </w:rPr>
        <w:t>开展</w:t>
      </w:r>
      <w:r>
        <w:rPr>
          <w:rFonts w:hint="eastAsia"/>
          <w:highlight w:val="none"/>
          <w:lang w:val="en-US" w:eastAsia="zh-CN"/>
        </w:rPr>
        <w:t>网络安全检查专家支持服务，</w:t>
      </w:r>
      <w:r>
        <w:rPr>
          <w:rFonts w:hint="eastAsia"/>
          <w:highlight w:val="none"/>
        </w:rPr>
        <w:t>提高网络安全防护能力，确保不发生网络安全事件</w:t>
      </w:r>
      <w:r>
        <w:rPr>
          <w:rFonts w:hint="eastAsia"/>
          <w:highlight w:val="none"/>
          <w:lang w:eastAsia="zh-CN"/>
        </w:rPr>
        <w:t>。</w:t>
      </w:r>
    </w:p>
    <w:p w14:paraId="2210F272">
      <w:pPr>
        <w:pStyle w:val="58"/>
        <w:rPr>
          <w:rFonts w:hint="eastAsia"/>
          <w:highlight w:val="none"/>
        </w:rPr>
      </w:pPr>
      <w:bookmarkStart w:id="7" w:name="_Toc233640526"/>
      <w:bookmarkStart w:id="8" w:name="_Toc408936468"/>
      <w:r>
        <w:rPr>
          <w:rFonts w:hint="eastAsia"/>
          <w:highlight w:val="none"/>
        </w:rPr>
        <w:t>工程保证</w:t>
      </w:r>
      <w:bookmarkEnd w:id="7"/>
      <w:bookmarkEnd w:id="8"/>
    </w:p>
    <w:p w14:paraId="2C1A3208">
      <w:pPr>
        <w:pStyle w:val="4"/>
        <w:rPr>
          <w:rFonts w:hint="eastAsia"/>
          <w:highlight w:val="none"/>
        </w:rPr>
      </w:pPr>
      <w:bookmarkStart w:id="9" w:name="_Toc233640527"/>
      <w:bookmarkStart w:id="10" w:name="_Toc408936469"/>
      <w:r>
        <w:rPr>
          <w:rFonts w:hint="eastAsia"/>
          <w:highlight w:val="none"/>
        </w:rPr>
        <w:t>组织保证</w:t>
      </w:r>
      <w:bookmarkEnd w:id="9"/>
      <w:bookmarkEnd w:id="10"/>
    </w:p>
    <w:p w14:paraId="72AF72E5">
      <w:pPr>
        <w:ind w:firstLine="520"/>
        <w:rPr>
          <w:rFonts w:hint="eastAsia"/>
          <w:highlight w:val="none"/>
        </w:rPr>
      </w:pPr>
      <w:bookmarkStart w:id="11" w:name="_Hlk135845390"/>
      <w:r>
        <w:rPr>
          <w:rFonts w:hint="eastAsia"/>
          <w:highlight w:val="none"/>
        </w:rPr>
        <w:t>1）</w:t>
      </w:r>
      <w:r>
        <w:rPr>
          <w:rFonts w:ascii="宋体" w:hAnsi="宋体" w:eastAsia="宋体" w:cs="宋体"/>
          <w:sz w:val="24"/>
          <w:szCs w:val="24"/>
          <w:highlight w:val="none"/>
        </w:rPr>
        <w:t>投标方应标时，必须建立专业服务团队安全高效完成本项目工作内容。向招标方提供拟派参加本项目的人员名单以及参加人员的资料。参加本项目的实施人员必须为投标方的正式员工，具备社保证明材料，禁止一切的劳务派遣、外委、分包等实施方式。</w:t>
      </w:r>
    </w:p>
    <w:bookmarkEnd w:id="11"/>
    <w:p w14:paraId="317BB183">
      <w:pPr>
        <w:ind w:firstLine="520"/>
        <w:rPr>
          <w:rFonts w:hint="eastAsia"/>
          <w:highlight w:val="none"/>
        </w:rPr>
      </w:pPr>
      <w:r>
        <w:rPr>
          <w:rFonts w:hint="eastAsia"/>
          <w:highlight w:val="none"/>
        </w:rPr>
        <w:t>2）投标方必须向招标方保证工程人员组织的稳定性，项目服务周期内禁止人员变更，除非派出服务人员主动或被动离职，未经招标方书面同意，投标方不得随意撤换派出服务人员。</w:t>
      </w:r>
    </w:p>
    <w:p w14:paraId="33647030">
      <w:pPr>
        <w:ind w:firstLine="520"/>
        <w:rPr>
          <w:rFonts w:hint="eastAsia"/>
          <w:highlight w:val="none"/>
        </w:rPr>
      </w:pPr>
      <w:r>
        <w:rPr>
          <w:rFonts w:hint="eastAsia"/>
          <w:highlight w:val="none"/>
          <w:lang w:val="en-US" w:eastAsia="zh-CN"/>
        </w:rPr>
        <w:t>3）</w:t>
      </w:r>
      <w:r>
        <w:rPr>
          <w:rFonts w:hint="eastAsia" w:ascii="微软雅黑" w:hAnsi="微软雅黑" w:eastAsia="微软雅黑" w:cs="微软雅黑"/>
          <w:highlight w:val="none"/>
          <w:lang w:val="en-US" w:eastAsia="zh-CN"/>
        </w:rPr>
        <w:t>★</w:t>
      </w:r>
      <w:r>
        <w:rPr>
          <w:rFonts w:hint="eastAsia"/>
          <w:highlight w:val="none"/>
        </w:rPr>
        <w:t>投标人须承诺在项目所在地（广东省）有技术支持及售后服务团队（须出具签字盖章的书面承诺书）</w:t>
      </w:r>
      <w:r>
        <w:rPr>
          <w:rFonts w:hint="eastAsia"/>
          <w:highlight w:val="none"/>
          <w:lang w:eastAsia="zh-CN"/>
        </w:rPr>
        <w:t>。</w:t>
      </w:r>
    </w:p>
    <w:p w14:paraId="5F4F5FE3">
      <w:pPr>
        <w:pStyle w:val="4"/>
        <w:rPr>
          <w:rFonts w:hint="eastAsia"/>
          <w:highlight w:val="none"/>
        </w:rPr>
      </w:pPr>
      <w:bookmarkStart w:id="12" w:name="_Toc408936470"/>
      <w:bookmarkStart w:id="13" w:name="_Toc233640528"/>
      <w:r>
        <w:rPr>
          <w:rFonts w:hint="eastAsia"/>
          <w:highlight w:val="none"/>
        </w:rPr>
        <w:t>质量保证</w:t>
      </w:r>
      <w:bookmarkEnd w:id="12"/>
      <w:bookmarkEnd w:id="13"/>
    </w:p>
    <w:p w14:paraId="6A7B43E1">
      <w:pPr>
        <w:ind w:firstLine="520"/>
        <w:rPr>
          <w:rFonts w:hint="eastAsia"/>
          <w:highlight w:val="none"/>
        </w:rPr>
      </w:pPr>
      <w:bookmarkStart w:id="14" w:name="_Toc408936471"/>
      <w:bookmarkStart w:id="15" w:name="_Toc233640529"/>
      <w:r>
        <w:rPr>
          <w:rFonts w:hint="eastAsia"/>
          <w:highlight w:val="none"/>
        </w:rPr>
        <w:t>投标方应保证所提供的所有服务的人员素质及服务质量均能满足本招标文件要求。</w:t>
      </w:r>
    </w:p>
    <w:p w14:paraId="7E36FB97">
      <w:pPr>
        <w:pStyle w:val="4"/>
        <w:rPr>
          <w:rFonts w:hint="eastAsia"/>
          <w:highlight w:val="none"/>
        </w:rPr>
      </w:pPr>
      <w:r>
        <w:rPr>
          <w:rFonts w:hint="eastAsia"/>
          <w:highlight w:val="none"/>
        </w:rPr>
        <w:t>进度保证</w:t>
      </w:r>
      <w:bookmarkEnd w:id="14"/>
      <w:bookmarkEnd w:id="15"/>
    </w:p>
    <w:p w14:paraId="6CC8BE49">
      <w:pPr>
        <w:ind w:firstLine="520"/>
        <w:rPr>
          <w:rFonts w:hint="eastAsia" w:hAnsi="Calibri"/>
          <w:highlight w:val="none"/>
        </w:rPr>
      </w:pPr>
      <w:r>
        <w:rPr>
          <w:rFonts w:hint="eastAsia"/>
          <w:highlight w:val="none"/>
        </w:rPr>
        <w:t>1）</w:t>
      </w:r>
      <w:r>
        <w:rPr>
          <w:rFonts w:hint="eastAsia" w:ascii="Calibri" w:hAnsi="Calibri" w:cs="Times New Roman"/>
          <w:sz w:val="24"/>
          <w:szCs w:val="24"/>
          <w:highlight w:val="none"/>
          <w:lang w:eastAsia="zh-CN"/>
        </w:rPr>
        <w:t>本项目实施时间范围由框架协议签订之日起12个月（在框架有效期内签定委托函，委托函的服务期以委托函具体要求为准）</w:t>
      </w:r>
      <w:r>
        <w:rPr>
          <w:rFonts w:hint="eastAsia" w:ascii="Calibri" w:hAnsi="Calibri" w:eastAsia="宋体" w:cs="Times New Roman"/>
          <w:sz w:val="24"/>
          <w:szCs w:val="24"/>
          <w:highlight w:val="none"/>
        </w:rPr>
        <w:t>。</w:t>
      </w:r>
    </w:p>
    <w:p w14:paraId="055D0A73">
      <w:pPr>
        <w:ind w:firstLine="520"/>
        <w:rPr>
          <w:rFonts w:hint="eastAsia"/>
          <w:highlight w:val="none"/>
        </w:rPr>
      </w:pPr>
      <w:r>
        <w:rPr>
          <w:rFonts w:hint="eastAsia"/>
          <w:highlight w:val="none"/>
        </w:rPr>
        <w:t>2）投标方必须根据招标方要求提供相应的服务保证措施、服务计划表。</w:t>
      </w:r>
    </w:p>
    <w:p w14:paraId="7297FCF7">
      <w:pPr>
        <w:pStyle w:val="35"/>
        <w:ind w:left="480" w:firstLine="0" w:firstLineChars="0"/>
        <w:rPr>
          <w:rFonts w:hint="eastAsia"/>
          <w:highlight w:val="none"/>
          <w:lang w:val="sv-SE"/>
        </w:rPr>
      </w:pPr>
    </w:p>
    <w:p w14:paraId="51D5C7B6">
      <w:pPr>
        <w:pStyle w:val="2"/>
        <w:rPr>
          <w:rFonts w:hint="eastAsia"/>
          <w:highlight w:val="none"/>
        </w:rPr>
      </w:pPr>
      <w:r>
        <w:rPr>
          <w:rFonts w:hint="eastAsia"/>
          <w:highlight w:val="none"/>
        </w:rPr>
        <w:t>项目描述</w:t>
      </w:r>
    </w:p>
    <w:p w14:paraId="73FC4648">
      <w:pPr>
        <w:pStyle w:val="58"/>
        <w:rPr>
          <w:rFonts w:hint="eastAsia"/>
          <w:highlight w:val="none"/>
        </w:rPr>
      </w:pPr>
      <w:bookmarkStart w:id="16" w:name="_Toc408936474"/>
      <w:r>
        <w:rPr>
          <w:rFonts w:hint="eastAsia"/>
          <w:highlight w:val="none"/>
        </w:rPr>
        <w:t>项目背景</w:t>
      </w:r>
    </w:p>
    <w:p w14:paraId="544E5565">
      <w:pPr>
        <w:ind w:firstLine="520"/>
        <w:rPr>
          <w:rFonts w:hint="eastAsia"/>
          <w:highlight w:val="none"/>
        </w:rPr>
      </w:pPr>
      <w:r>
        <w:rPr>
          <w:rFonts w:hint="eastAsia"/>
          <w:highlight w:val="none"/>
        </w:rPr>
        <w:t>随着信息科技不断改进和创新，网络和信息安全方面的风险日益突出，导致国家对网络和信息安全问题倍加关注，网络信息安全上升至国家重大战略议题。因此，在业务运营和网络安全方面，两者紧密联系，互相影响。本项目将面向</w:t>
      </w:r>
      <w:r>
        <w:rPr>
          <w:rFonts w:hint="eastAsia"/>
          <w:highlight w:val="none"/>
          <w:lang w:val="en-US" w:eastAsia="zh-CN"/>
        </w:rPr>
        <w:t>南网五</w:t>
      </w:r>
      <w:r>
        <w:rPr>
          <w:rFonts w:hint="eastAsia"/>
          <w:highlight w:val="none"/>
        </w:rPr>
        <w:t>省内服务对象协助开展</w:t>
      </w:r>
      <w:r>
        <w:rPr>
          <w:rFonts w:hint="eastAsia"/>
          <w:highlight w:val="none"/>
          <w:lang w:val="en-US" w:eastAsia="zh-CN"/>
        </w:rPr>
        <w:t>网络安全检查专家支持服务</w:t>
      </w:r>
      <w:r>
        <w:rPr>
          <w:rFonts w:hint="eastAsia"/>
          <w:highlight w:val="none"/>
        </w:rPr>
        <w:t>，确保守住</w:t>
      </w:r>
      <w:r>
        <w:rPr>
          <w:rFonts w:hint="eastAsia"/>
          <w:highlight w:val="none"/>
          <w:lang w:val="en-US" w:eastAsia="zh-CN"/>
        </w:rPr>
        <w:t>招标方</w:t>
      </w:r>
      <w:r>
        <w:rPr>
          <w:rFonts w:hint="eastAsia"/>
          <w:highlight w:val="none"/>
        </w:rPr>
        <w:t>网络安全底线。</w:t>
      </w:r>
    </w:p>
    <w:p w14:paraId="4BC48D99">
      <w:pPr>
        <w:pStyle w:val="58"/>
        <w:rPr>
          <w:rFonts w:hint="eastAsia"/>
          <w:highlight w:val="none"/>
        </w:rPr>
      </w:pPr>
      <w:r>
        <w:rPr>
          <w:rFonts w:hint="eastAsia"/>
          <w:highlight w:val="none"/>
        </w:rPr>
        <w:t>项目目标</w:t>
      </w:r>
    </w:p>
    <w:p w14:paraId="4FCCAFAC">
      <w:pPr>
        <w:ind w:firstLine="520"/>
        <w:rPr>
          <w:rFonts w:hint="eastAsia"/>
          <w:highlight w:val="none"/>
        </w:rPr>
      </w:pPr>
      <w:r>
        <w:rPr>
          <w:rFonts w:hint="eastAsia"/>
          <w:highlight w:val="none"/>
        </w:rPr>
        <w:t>为保证做好</w:t>
      </w:r>
      <w:r>
        <w:rPr>
          <w:rFonts w:hint="eastAsia"/>
          <w:highlight w:val="none"/>
          <w:lang w:val="en-US" w:eastAsia="zh-CN"/>
        </w:rPr>
        <w:t>招标方</w:t>
      </w:r>
      <w:r>
        <w:rPr>
          <w:rFonts w:hint="eastAsia"/>
          <w:highlight w:val="none"/>
        </w:rPr>
        <w:t>网络安全技术服务项目交付，确保守住网络安全底线，实现网络安全专业高水平技术支持，配合协助完成</w:t>
      </w:r>
      <w:r>
        <w:rPr>
          <w:rFonts w:hint="default"/>
          <w:b w:val="0"/>
          <w:bCs w:val="0"/>
          <w:highlight w:val="none"/>
          <w:lang w:val="en-US" w:eastAsia="zh-CN"/>
        </w:rPr>
        <w:t>网络安全检查技术服务、网络安全检查咨询服务</w:t>
      </w:r>
      <w:r>
        <w:rPr>
          <w:rFonts w:hint="eastAsia"/>
          <w:highlight w:val="none"/>
        </w:rPr>
        <w:t>提高网络安全防护能力，确保不发生网络安全事件。</w:t>
      </w:r>
    </w:p>
    <w:p w14:paraId="420714A9">
      <w:pPr>
        <w:pStyle w:val="2"/>
        <w:rPr>
          <w:highlight w:val="none"/>
        </w:rPr>
      </w:pPr>
      <w:r>
        <w:rPr>
          <w:rFonts w:hint="eastAsia"/>
          <w:highlight w:val="none"/>
        </w:rPr>
        <w:t>项目内容及要求</w:t>
      </w:r>
    </w:p>
    <w:p w14:paraId="0395742A">
      <w:pPr>
        <w:pStyle w:val="58"/>
        <w:rPr>
          <w:rFonts w:hint="eastAsia"/>
          <w:highlight w:val="none"/>
        </w:rPr>
      </w:pPr>
      <w:r>
        <w:rPr>
          <w:rFonts w:hint="eastAsia"/>
          <w:highlight w:val="none"/>
        </w:rPr>
        <w:t>投标方的工作范围</w:t>
      </w:r>
      <w:bookmarkEnd w:id="16"/>
    </w:p>
    <w:p w14:paraId="12FBC347">
      <w:pPr>
        <w:ind w:left="0" w:leftChars="0" w:firstLine="520" w:firstLineChars="0"/>
        <w:rPr>
          <w:rFonts w:hint="eastAsia"/>
          <w:highlight w:val="none"/>
        </w:rPr>
      </w:pPr>
      <w:r>
        <w:rPr>
          <w:rFonts w:hint="eastAsia"/>
          <w:highlight w:val="none"/>
        </w:rPr>
        <w:t>投标方需按招标方需求，提供以下服务内容：</w:t>
      </w:r>
    </w:p>
    <w:p w14:paraId="7B4C4E32">
      <w:pPr>
        <w:ind w:left="0" w:leftChars="0" w:firstLine="520" w:firstLineChars="0"/>
        <w:rPr>
          <w:rFonts w:hint="eastAsia"/>
          <w:highlight w:val="none"/>
          <w:lang w:eastAsia="zh-CN"/>
        </w:rPr>
      </w:pPr>
      <w:r>
        <w:rPr>
          <w:rFonts w:hint="eastAsia"/>
          <w:highlight w:val="none"/>
        </w:rPr>
        <w:t>网络安全检查技术服务</w:t>
      </w:r>
      <w:r>
        <w:rPr>
          <w:rFonts w:hint="eastAsia" w:ascii="Calibri" w:hAnsi="Calibri"/>
          <w:kern w:val="2"/>
          <w:highlight w:val="none"/>
          <w:lang w:eastAsia="zh-CN"/>
        </w:rPr>
        <w:t>，</w:t>
      </w:r>
      <w:r>
        <w:rPr>
          <w:rFonts w:hint="eastAsia"/>
          <w:highlight w:val="none"/>
        </w:rPr>
        <w:t>开展网络安全</w:t>
      </w:r>
      <w:r>
        <w:rPr>
          <w:rFonts w:hint="eastAsia"/>
          <w:highlight w:val="none"/>
          <w:lang w:val="en-US" w:eastAsia="zh-CN"/>
        </w:rPr>
        <w:t>检查</w:t>
      </w:r>
      <w:r>
        <w:rPr>
          <w:rFonts w:hint="eastAsia"/>
          <w:highlight w:val="none"/>
        </w:rPr>
        <w:t>技术服务，如检查三同步管控情况、信息系统的等级保护情况、数据安全责任落实情况、数据安全管理落实情况；密码评估落实情况、物联网安全管控情况、IT资产账实一致性核查、公共区域显示屏网络安全要求落实情况、互联网出口流量监测情况、网络安全监测系统情况等内容；风险隐患排查情况、应急响应情况、漏洞修复情况、安全日志留存情况、各类办公终端的补丁策略更新情况等内容；办公终端的敏感信息保存情况、应急预案的演练和闭环情况、人走是否锁屏、资产设备主人的落实情况，网络安全运行监测闭环处置情况、作业计划和工作票管控情况、机房环境及巡检情况等内容</w:t>
      </w:r>
      <w:r>
        <w:rPr>
          <w:rFonts w:hint="eastAsia"/>
          <w:highlight w:val="none"/>
          <w:lang w:eastAsia="zh-CN"/>
        </w:rPr>
        <w:t>。</w:t>
      </w:r>
    </w:p>
    <w:p w14:paraId="07FFDF09">
      <w:pPr>
        <w:pStyle w:val="15"/>
        <w:rPr>
          <w:rFonts w:hint="eastAsia"/>
          <w:highlight w:val="none"/>
          <w:lang w:eastAsia="zh-CN"/>
        </w:rPr>
      </w:pPr>
      <w:r>
        <w:rPr>
          <w:rFonts w:hint="eastAsia"/>
          <w:highlight w:val="none"/>
        </w:rPr>
        <w:t>网络安全检查咨询服务</w:t>
      </w:r>
      <w:r>
        <w:rPr>
          <w:rFonts w:hint="eastAsia"/>
          <w:highlight w:val="none"/>
          <w:lang w:eastAsia="zh-CN"/>
        </w:rPr>
        <w:t>，</w:t>
      </w:r>
      <w:r>
        <w:rPr>
          <w:rFonts w:hint="eastAsia"/>
          <w:highlight w:val="none"/>
          <w:lang w:val="en-US" w:eastAsia="zh-CN"/>
        </w:rPr>
        <w:t>协助提供安全检查的技术咨询和答疑，结合网省网络安全规章制度和工作要求，协助修订和完善网络安全检查大纲、检查操作流程，协助梳理自查计划，基于检查发现的风险隐患、缺陷和漏洞，提供规则优化、配置指导和修复建议，协助更新优化安全策略，汇总所有检查结果，形成清晰、详实、可操作的综合报告，能明确指出风险点、合规差距、技术缺陷和管理不足的地方，提出切实可行的整改建议和解决方案，并持续跟踪问题的整改情况，确保问题能够得到及时整改和闭环。</w:t>
      </w:r>
    </w:p>
    <w:p w14:paraId="7FEE951A">
      <w:pPr>
        <w:ind w:firstLine="520"/>
        <w:rPr>
          <w:rFonts w:hint="eastAsia"/>
          <w:highlight w:val="none"/>
        </w:rPr>
      </w:pPr>
      <w:bookmarkStart w:id="17" w:name="_Toc408936475"/>
      <w:r>
        <w:rPr>
          <w:rFonts w:hint="eastAsia" w:ascii="宋体" w:hAnsi="宋体" w:eastAsia="宋体" w:cs="Times New Roman"/>
          <w:sz w:val="24"/>
          <w:szCs w:val="28"/>
          <w:highlight w:val="none"/>
        </w:rPr>
        <w:t>具体</w:t>
      </w:r>
      <w:r>
        <w:rPr>
          <w:rFonts w:hint="eastAsia" w:ascii="宋体" w:hAnsi="宋体" w:cs="Times New Roman"/>
          <w:szCs w:val="28"/>
          <w:highlight w:val="none"/>
          <w:lang w:val="en-US" w:eastAsia="zh-CN"/>
        </w:rPr>
        <w:t>开展服务内容和</w:t>
      </w:r>
      <w:r>
        <w:rPr>
          <w:rFonts w:hint="eastAsia" w:ascii="宋体" w:hAnsi="宋体" w:eastAsia="宋体" w:cs="Times New Roman"/>
          <w:sz w:val="24"/>
          <w:szCs w:val="28"/>
          <w:highlight w:val="none"/>
        </w:rPr>
        <w:t>次数以实际开展为准</w:t>
      </w:r>
      <w:r>
        <w:rPr>
          <w:rFonts w:hint="eastAsia" w:ascii="宋体" w:hAnsi="宋体" w:eastAsia="宋体" w:cs="Times New Roman"/>
          <w:sz w:val="24"/>
          <w:szCs w:val="28"/>
          <w:highlight w:val="none"/>
          <w:lang w:eastAsia="zh-CN"/>
        </w:rPr>
        <w:t>。</w:t>
      </w:r>
    </w:p>
    <w:bookmarkEnd w:id="17"/>
    <w:p w14:paraId="02D41368">
      <w:pPr>
        <w:pStyle w:val="58"/>
        <w:rPr>
          <w:rFonts w:hint="eastAsia"/>
          <w:highlight w:val="none"/>
        </w:rPr>
      </w:pPr>
      <w:r>
        <w:rPr>
          <w:rFonts w:hint="eastAsia"/>
          <w:highlight w:val="none"/>
        </w:rPr>
        <w:t>技术服务要求</w:t>
      </w:r>
    </w:p>
    <w:p w14:paraId="34A5A219">
      <w:pPr>
        <w:pStyle w:val="4"/>
        <w:rPr>
          <w:highlight w:val="none"/>
        </w:rPr>
      </w:pPr>
      <w:r>
        <w:rPr>
          <w:rFonts w:hint="eastAsia"/>
          <w:highlight w:val="none"/>
        </w:rPr>
        <w:t>技术服务内容的确定与实施程序</w:t>
      </w:r>
    </w:p>
    <w:p w14:paraId="106C8B43">
      <w:pPr>
        <w:ind w:firstLine="480"/>
        <w:rPr>
          <w:highlight w:val="none"/>
          <w:lang w:val="sv-SE"/>
        </w:rPr>
      </w:pPr>
      <w:bookmarkStart w:id="18" w:name="_Hlk135846300"/>
      <w:bookmarkStart w:id="19" w:name="_Hlk135845602"/>
      <w:r>
        <w:rPr>
          <w:rFonts w:hint="eastAsia"/>
          <w:highlight w:val="none"/>
          <w:lang w:val="sv-SE"/>
        </w:rPr>
        <w:t>1）服务内容确定方式：</w:t>
      </w:r>
    </w:p>
    <w:p w14:paraId="73FF49D0">
      <w:pPr>
        <w:ind w:firstLine="480"/>
        <w:rPr>
          <w:rFonts w:hint="eastAsia"/>
          <w:highlight w:val="none"/>
          <w:lang w:val="sv-SE"/>
        </w:rPr>
      </w:pPr>
      <w:r>
        <w:rPr>
          <w:rFonts w:hint="eastAsia"/>
          <w:highlight w:val="none"/>
          <w:lang w:val="en-US" w:eastAsia="zh-CN"/>
        </w:rPr>
        <w:t>招标方</w:t>
      </w:r>
      <w:r>
        <w:rPr>
          <w:rFonts w:hint="eastAsia"/>
          <w:highlight w:val="none"/>
          <w:lang w:val="sv-SE"/>
        </w:rPr>
        <w:t>向</w:t>
      </w:r>
      <w:r>
        <w:rPr>
          <w:rFonts w:hint="eastAsia"/>
          <w:highlight w:val="none"/>
          <w:lang w:val="sv-SE" w:eastAsia="zh-CN"/>
        </w:rPr>
        <w:t>中标方</w:t>
      </w:r>
      <w:r>
        <w:rPr>
          <w:rFonts w:hint="eastAsia"/>
          <w:highlight w:val="none"/>
          <w:lang w:val="sv-SE"/>
        </w:rPr>
        <w:t>以书面通知的形式提交附件</w:t>
      </w:r>
      <w:r>
        <w:rPr>
          <w:rFonts w:hint="eastAsia"/>
          <w:highlight w:val="none"/>
          <w:lang w:val="en-US" w:eastAsia="zh-CN"/>
        </w:rPr>
        <w:t>1</w:t>
      </w:r>
      <w:r>
        <w:rPr>
          <w:rFonts w:hint="eastAsia"/>
          <w:highlight w:val="none"/>
          <w:lang w:val="sv-SE"/>
        </w:rPr>
        <w:t xml:space="preserve"> 《</w:t>
      </w:r>
      <w:r>
        <w:rPr>
          <w:rFonts w:hint="eastAsia"/>
          <w:highlight w:val="none"/>
          <w:lang w:val="en-US" w:eastAsia="zh-CN"/>
        </w:rPr>
        <w:t>服务</w:t>
      </w:r>
      <w:r>
        <w:rPr>
          <w:rFonts w:hint="eastAsia"/>
          <w:highlight w:val="none"/>
          <w:lang w:val="sv-SE" w:eastAsia="zh-CN"/>
        </w:rPr>
        <w:t>通知书</w:t>
      </w:r>
      <w:r>
        <w:rPr>
          <w:rFonts w:hint="eastAsia"/>
          <w:highlight w:val="none"/>
          <w:lang w:val="sv-SE"/>
        </w:rPr>
        <w:t>》（下简称“</w:t>
      </w:r>
      <w:r>
        <w:rPr>
          <w:rFonts w:hint="eastAsia"/>
          <w:highlight w:val="none"/>
          <w:lang w:val="sv-SE" w:eastAsia="zh-CN"/>
        </w:rPr>
        <w:t>通知书</w:t>
      </w:r>
      <w:r>
        <w:rPr>
          <w:rFonts w:hint="eastAsia"/>
          <w:highlight w:val="none"/>
          <w:lang w:val="sv-SE"/>
        </w:rPr>
        <w:t>”），</w:t>
      </w:r>
      <w:r>
        <w:rPr>
          <w:rFonts w:hint="eastAsia"/>
          <w:highlight w:val="none"/>
          <w:lang w:val="sv-SE" w:eastAsia="zh-CN"/>
        </w:rPr>
        <w:t>通知书</w:t>
      </w:r>
      <w:r>
        <w:rPr>
          <w:rFonts w:hint="eastAsia"/>
          <w:highlight w:val="none"/>
          <w:lang w:val="sv-SE"/>
        </w:rPr>
        <w:t>确定拟实施的技术服务具体内容，项目内容包括但不限于项目服务内容、服务形式、服务时间、人数、人员资质要求、服务地点要求。</w:t>
      </w:r>
    </w:p>
    <w:p w14:paraId="565E98CD">
      <w:pPr>
        <w:ind w:firstLine="480"/>
        <w:rPr>
          <w:rFonts w:hint="eastAsia"/>
          <w:highlight w:val="none"/>
          <w:lang w:val="sv-SE"/>
        </w:rPr>
      </w:pPr>
      <w:r>
        <w:rPr>
          <w:rFonts w:hint="eastAsia"/>
          <w:highlight w:val="none"/>
          <w:lang w:val="sv-SE"/>
        </w:rPr>
        <w:t>2）实施程序：</w:t>
      </w:r>
    </w:p>
    <w:p w14:paraId="0C36C075">
      <w:pPr>
        <w:ind w:firstLine="480"/>
        <w:rPr>
          <w:rFonts w:hint="eastAsia"/>
          <w:highlight w:val="none"/>
          <w:lang w:val="sv-SE"/>
        </w:rPr>
      </w:pPr>
      <w:r>
        <w:rPr>
          <w:rFonts w:hint="eastAsia"/>
          <w:highlight w:val="none"/>
          <w:lang w:val="sv-SE" w:eastAsia="zh-CN"/>
        </w:rPr>
        <w:t>中标方</w:t>
      </w:r>
      <w:r>
        <w:rPr>
          <w:rFonts w:hint="eastAsia"/>
          <w:highlight w:val="none"/>
          <w:lang w:val="sv-SE"/>
        </w:rPr>
        <w:t>收到</w:t>
      </w:r>
      <w:r>
        <w:rPr>
          <w:rFonts w:hint="eastAsia"/>
          <w:highlight w:val="none"/>
          <w:lang w:val="sv-SE" w:eastAsia="zh-CN"/>
        </w:rPr>
        <w:t>招标方通知书</w:t>
      </w:r>
      <w:r>
        <w:rPr>
          <w:rFonts w:hint="eastAsia"/>
          <w:highlight w:val="none"/>
          <w:lang w:val="sv-SE"/>
        </w:rPr>
        <w:t>后应在1个自然日内响应</w:t>
      </w:r>
      <w:r>
        <w:rPr>
          <w:rFonts w:hint="eastAsia"/>
          <w:highlight w:val="none"/>
          <w:lang w:val="sv-SE" w:eastAsia="zh-CN"/>
        </w:rPr>
        <w:t>通知书</w:t>
      </w:r>
      <w:r>
        <w:rPr>
          <w:rFonts w:hint="eastAsia"/>
          <w:highlight w:val="none"/>
          <w:lang w:val="sv-SE"/>
        </w:rPr>
        <w:t>要求，提交</w:t>
      </w:r>
      <w:r>
        <w:rPr>
          <w:rFonts w:hint="eastAsia"/>
          <w:highlight w:val="none"/>
          <w:lang w:val="sv-SE" w:eastAsia="zh-CN"/>
        </w:rPr>
        <w:t>通知书</w:t>
      </w:r>
      <w:r>
        <w:rPr>
          <w:rFonts w:hint="eastAsia"/>
          <w:highlight w:val="none"/>
          <w:lang w:val="sv-SE"/>
        </w:rPr>
        <w:t>要求的服务人员清单及相关材料，</w:t>
      </w:r>
      <w:r>
        <w:rPr>
          <w:rFonts w:hint="eastAsia"/>
          <w:highlight w:val="none"/>
        </w:rPr>
        <w:t>逾期提交的将视为</w:t>
      </w:r>
      <w:r>
        <w:rPr>
          <w:rFonts w:hint="eastAsia"/>
          <w:highlight w:val="none"/>
          <w:lang w:eastAsia="zh-CN"/>
        </w:rPr>
        <w:t>中标方</w:t>
      </w:r>
      <w:r>
        <w:rPr>
          <w:rFonts w:hint="eastAsia"/>
          <w:highlight w:val="none"/>
        </w:rPr>
        <w:t>无偿提供当次</w:t>
      </w:r>
      <w:r>
        <w:rPr>
          <w:rFonts w:hint="eastAsia"/>
          <w:highlight w:val="none"/>
          <w:lang w:eastAsia="zh-CN"/>
        </w:rPr>
        <w:t>通知书</w:t>
      </w:r>
      <w:r>
        <w:rPr>
          <w:rFonts w:hint="eastAsia"/>
          <w:highlight w:val="none"/>
        </w:rPr>
        <w:t>服务，当次</w:t>
      </w:r>
      <w:r>
        <w:rPr>
          <w:rFonts w:hint="eastAsia"/>
          <w:highlight w:val="none"/>
          <w:lang w:eastAsia="zh-CN"/>
        </w:rPr>
        <w:t>通知书</w:t>
      </w:r>
      <w:r>
        <w:rPr>
          <w:rFonts w:hint="eastAsia"/>
          <w:highlight w:val="none"/>
        </w:rPr>
        <w:t>服务不予结算</w:t>
      </w:r>
      <w:r>
        <w:rPr>
          <w:rFonts w:hint="eastAsia"/>
          <w:highlight w:val="none"/>
          <w:lang w:val="sv-SE"/>
        </w:rPr>
        <w:t>。</w:t>
      </w:r>
    </w:p>
    <w:p w14:paraId="7510E0BE">
      <w:pPr>
        <w:ind w:firstLine="480"/>
        <w:rPr>
          <w:rFonts w:hint="eastAsia"/>
          <w:highlight w:val="none"/>
        </w:rPr>
      </w:pPr>
      <w:r>
        <w:rPr>
          <w:rFonts w:hint="eastAsia"/>
          <w:highlight w:val="none"/>
          <w:lang w:eastAsia="zh-CN"/>
        </w:rPr>
        <w:t>招标方</w:t>
      </w:r>
      <w:r>
        <w:rPr>
          <w:rFonts w:hint="eastAsia"/>
          <w:highlight w:val="none"/>
        </w:rPr>
        <w:t>有权通过内部评审方式，根据实际服务需求，从技术服务团队清单中选定服务人员。</w:t>
      </w:r>
    </w:p>
    <w:p w14:paraId="6980E18D">
      <w:pPr>
        <w:ind w:firstLine="480"/>
        <w:rPr>
          <w:rFonts w:hint="eastAsia"/>
          <w:highlight w:val="none"/>
        </w:rPr>
      </w:pPr>
      <w:r>
        <w:rPr>
          <w:rFonts w:hint="eastAsia"/>
          <w:highlight w:val="none"/>
          <w:lang w:eastAsia="zh-CN"/>
        </w:rPr>
        <w:t>招标方</w:t>
      </w:r>
      <w:r>
        <w:rPr>
          <w:rFonts w:hint="eastAsia"/>
          <w:highlight w:val="none"/>
        </w:rPr>
        <w:t>确认当次</w:t>
      </w:r>
      <w:r>
        <w:rPr>
          <w:rFonts w:hint="eastAsia"/>
          <w:highlight w:val="none"/>
          <w:lang w:eastAsia="zh-CN"/>
        </w:rPr>
        <w:t>通知书</w:t>
      </w:r>
      <w:r>
        <w:rPr>
          <w:rFonts w:hint="eastAsia"/>
          <w:highlight w:val="none"/>
        </w:rPr>
        <w:t>服务团队人员后，通知</w:t>
      </w:r>
      <w:r>
        <w:rPr>
          <w:rFonts w:hint="eastAsia"/>
          <w:highlight w:val="none"/>
          <w:lang w:eastAsia="zh-CN"/>
        </w:rPr>
        <w:t>中标方</w:t>
      </w:r>
      <w:r>
        <w:rPr>
          <w:rFonts w:hint="eastAsia"/>
          <w:highlight w:val="none"/>
        </w:rPr>
        <w:t>人员到场工作，</w:t>
      </w:r>
      <w:r>
        <w:rPr>
          <w:rFonts w:hint="eastAsia"/>
          <w:highlight w:val="none"/>
          <w:lang w:eastAsia="zh-CN"/>
        </w:rPr>
        <w:t>中标方</w:t>
      </w:r>
      <w:r>
        <w:rPr>
          <w:rFonts w:hint="eastAsia"/>
          <w:highlight w:val="none"/>
        </w:rPr>
        <w:t>应在接到</w:t>
      </w:r>
      <w:r>
        <w:rPr>
          <w:rFonts w:hint="eastAsia"/>
          <w:highlight w:val="none"/>
          <w:lang w:eastAsia="zh-CN"/>
        </w:rPr>
        <w:t>招标方</w:t>
      </w:r>
      <w:r>
        <w:rPr>
          <w:rFonts w:hint="eastAsia"/>
          <w:highlight w:val="none"/>
        </w:rPr>
        <w:t>通知后派出服务人员</w:t>
      </w:r>
      <w:r>
        <w:rPr>
          <w:rFonts w:hint="eastAsia"/>
          <w:highlight w:val="none"/>
          <w:lang w:val="en-US" w:eastAsia="zh-CN"/>
        </w:rPr>
        <w:t>在指定时间内</w:t>
      </w:r>
      <w:r>
        <w:rPr>
          <w:rFonts w:hint="eastAsia"/>
          <w:highlight w:val="none"/>
        </w:rPr>
        <w:t>到达服务地区，按照服务方式及服务时间要求提供技术服务工作。</w:t>
      </w:r>
    </w:p>
    <w:p w14:paraId="4C5CD08C">
      <w:pPr>
        <w:ind w:firstLine="520"/>
        <w:rPr>
          <w:rFonts w:hint="eastAsia"/>
          <w:highlight w:val="none"/>
        </w:rPr>
      </w:pPr>
      <w:r>
        <w:rPr>
          <w:rFonts w:hint="eastAsia"/>
          <w:highlight w:val="none"/>
        </w:rPr>
        <w:t>在当次</w:t>
      </w:r>
      <w:r>
        <w:rPr>
          <w:rFonts w:hint="eastAsia"/>
          <w:highlight w:val="none"/>
          <w:lang w:eastAsia="zh-CN"/>
        </w:rPr>
        <w:t>通知书</w:t>
      </w:r>
      <w:r>
        <w:rPr>
          <w:rFonts w:hint="eastAsia"/>
          <w:highlight w:val="none"/>
        </w:rPr>
        <w:t>结束前</w:t>
      </w:r>
      <w:r>
        <w:rPr>
          <w:rFonts w:hint="eastAsia"/>
          <w:highlight w:val="none"/>
          <w:lang w:eastAsia="zh-CN"/>
        </w:rPr>
        <w:t>招标方</w:t>
      </w:r>
      <w:r>
        <w:rPr>
          <w:rFonts w:hint="eastAsia"/>
          <w:highlight w:val="none"/>
        </w:rPr>
        <w:t>可提交续订</w:t>
      </w:r>
      <w:r>
        <w:rPr>
          <w:rFonts w:hint="eastAsia"/>
          <w:highlight w:val="none"/>
          <w:lang w:eastAsia="zh-CN"/>
        </w:rPr>
        <w:t>通知书</w:t>
      </w:r>
      <w:r>
        <w:rPr>
          <w:rFonts w:hint="eastAsia"/>
          <w:highlight w:val="none"/>
        </w:rPr>
        <w:t>，以延长当次当地相同服务内容的服务时长，</w:t>
      </w:r>
      <w:r>
        <w:rPr>
          <w:rFonts w:hint="eastAsia"/>
          <w:highlight w:val="none"/>
          <w:lang w:eastAsia="zh-CN"/>
        </w:rPr>
        <w:t>中标方</w:t>
      </w:r>
      <w:r>
        <w:rPr>
          <w:rFonts w:hint="eastAsia"/>
          <w:highlight w:val="none"/>
        </w:rPr>
        <w:t>应服从工作调度并予以配合</w:t>
      </w:r>
      <w:bookmarkEnd w:id="18"/>
      <w:r>
        <w:rPr>
          <w:rFonts w:hint="eastAsia"/>
          <w:highlight w:val="none"/>
        </w:rPr>
        <w:t>。</w:t>
      </w:r>
      <w:bookmarkEnd w:id="19"/>
    </w:p>
    <w:p w14:paraId="75EF1733">
      <w:pPr>
        <w:pStyle w:val="4"/>
        <w:rPr>
          <w:highlight w:val="none"/>
        </w:rPr>
      </w:pPr>
      <w:r>
        <w:rPr>
          <w:rFonts w:hint="eastAsia"/>
          <w:highlight w:val="none"/>
        </w:rPr>
        <w:t>技术服务能力要求</w:t>
      </w:r>
    </w:p>
    <w:p w14:paraId="3BE25EB7">
      <w:pPr>
        <w:ind w:firstLine="520"/>
        <w:rPr>
          <w:rFonts w:hint="eastAsia"/>
          <w:highlight w:val="none"/>
        </w:rPr>
      </w:pPr>
      <w:r>
        <w:rPr>
          <w:rFonts w:hint="eastAsia"/>
          <w:highlight w:val="none"/>
          <w:lang w:val="sv-SE"/>
        </w:rPr>
        <w:t>1）</w:t>
      </w:r>
      <w:r>
        <w:rPr>
          <w:rFonts w:hint="eastAsia"/>
          <w:highlight w:val="none"/>
        </w:rPr>
        <w:t>投标方需要提供合理的实施方案。</w:t>
      </w:r>
    </w:p>
    <w:p w14:paraId="50A097CE">
      <w:pPr>
        <w:ind w:firstLine="520"/>
        <w:rPr>
          <w:rFonts w:hint="eastAsia"/>
          <w:highlight w:val="none"/>
        </w:rPr>
      </w:pPr>
      <w:r>
        <w:rPr>
          <w:rFonts w:hint="eastAsia"/>
          <w:highlight w:val="none"/>
          <w:lang w:val="en-US" w:eastAsia="zh-CN"/>
        </w:rPr>
        <w:t>2</w:t>
      </w:r>
      <w:r>
        <w:rPr>
          <w:rFonts w:hint="eastAsia"/>
          <w:highlight w:val="none"/>
          <w:lang w:val="sv-SE"/>
        </w:rPr>
        <w:t>）</w:t>
      </w:r>
      <w:r>
        <w:rPr>
          <w:rFonts w:hint="eastAsia"/>
          <w:highlight w:val="none"/>
        </w:rPr>
        <w:t>投标方需要提供必要和完善的服务质量保证措施。</w:t>
      </w:r>
    </w:p>
    <w:p w14:paraId="49F7BF0F">
      <w:pPr>
        <w:ind w:firstLine="520"/>
        <w:rPr>
          <w:rFonts w:hint="eastAsia"/>
          <w:highlight w:val="none"/>
        </w:rPr>
      </w:pPr>
      <w:r>
        <w:rPr>
          <w:rFonts w:hint="eastAsia"/>
          <w:highlight w:val="none"/>
          <w:lang w:val="en-US" w:eastAsia="zh-CN"/>
        </w:rPr>
        <w:t>3</w:t>
      </w:r>
      <w:r>
        <w:rPr>
          <w:rFonts w:hint="eastAsia"/>
          <w:highlight w:val="none"/>
          <w:lang w:val="sv-SE"/>
        </w:rPr>
        <w:t>）</w:t>
      </w:r>
      <w:r>
        <w:rPr>
          <w:rFonts w:hint="eastAsia"/>
          <w:highlight w:val="none"/>
        </w:rPr>
        <w:t>投标方需要按照实施方案中的时间进行实施，保证实施进度。</w:t>
      </w:r>
    </w:p>
    <w:p w14:paraId="0E7C6664">
      <w:pPr>
        <w:pStyle w:val="4"/>
        <w:rPr>
          <w:highlight w:val="none"/>
        </w:rPr>
      </w:pPr>
      <w:r>
        <w:rPr>
          <w:rFonts w:hint="eastAsia"/>
          <w:highlight w:val="none"/>
        </w:rPr>
        <w:t>技术服务团队要求</w:t>
      </w:r>
    </w:p>
    <w:p w14:paraId="4BAD7172">
      <w:pPr>
        <w:ind w:firstLine="522"/>
        <w:outlineLvl w:val="3"/>
        <w:rPr>
          <w:rFonts w:ascii="宋体" w:hAnsi="宋体"/>
          <w:b/>
          <w:highlight w:val="none"/>
        </w:rPr>
      </w:pPr>
      <w:r>
        <w:rPr>
          <w:rFonts w:hint="eastAsia" w:ascii="宋体" w:hAnsi="宋体"/>
          <w:b/>
          <w:highlight w:val="none"/>
        </w:rPr>
        <w:t>3.</w:t>
      </w:r>
      <w:r>
        <w:rPr>
          <w:rFonts w:hint="eastAsia" w:ascii="宋体" w:hAnsi="宋体"/>
          <w:b/>
          <w:highlight w:val="none"/>
          <w:lang w:val="en-US" w:eastAsia="zh-CN"/>
        </w:rPr>
        <w:t>2</w:t>
      </w:r>
      <w:r>
        <w:rPr>
          <w:rFonts w:hint="eastAsia" w:ascii="宋体" w:hAnsi="宋体"/>
          <w:b/>
          <w:highlight w:val="none"/>
        </w:rPr>
        <w:t>.</w:t>
      </w:r>
      <w:r>
        <w:rPr>
          <w:rFonts w:hint="eastAsia" w:ascii="宋体" w:hAnsi="宋体"/>
          <w:b/>
          <w:highlight w:val="none"/>
          <w:lang w:val="en-US" w:eastAsia="zh-CN"/>
        </w:rPr>
        <w:t>3</w:t>
      </w:r>
      <w:r>
        <w:rPr>
          <w:rFonts w:hint="eastAsia" w:ascii="宋体" w:hAnsi="宋体"/>
          <w:b/>
          <w:highlight w:val="none"/>
        </w:rPr>
        <w:t>.1服务团队及人员素质要求</w:t>
      </w:r>
    </w:p>
    <w:p w14:paraId="00D92BBD">
      <w:pPr>
        <w:ind w:firstLine="520"/>
        <w:rPr>
          <w:highlight w:val="none"/>
        </w:rPr>
      </w:pPr>
      <w:r>
        <w:rPr>
          <w:rFonts w:hint="eastAsia"/>
          <w:highlight w:val="none"/>
        </w:rPr>
        <w:t>1）</w:t>
      </w:r>
      <w:r>
        <w:rPr>
          <w:rFonts w:hint="eastAsia" w:ascii="宋体" w:hAnsi="宋体"/>
          <w:kern w:val="2"/>
          <w:highlight w:val="none"/>
          <w:lang w:val="sv-SE" w:eastAsia="zh-CN"/>
        </w:rPr>
        <w:t>投标方需成立一个</w:t>
      </w:r>
      <w:r>
        <w:rPr>
          <w:rFonts w:hint="eastAsia" w:ascii="宋体" w:hAnsi="宋体"/>
          <w:kern w:val="2"/>
          <w:highlight w:val="none"/>
          <w:lang w:val="en-US" w:eastAsia="zh-CN"/>
        </w:rPr>
        <w:t>至少15人的</w:t>
      </w:r>
      <w:r>
        <w:rPr>
          <w:rFonts w:hint="eastAsia" w:ascii="宋体" w:hAnsi="宋体"/>
          <w:kern w:val="2"/>
          <w:highlight w:val="none"/>
          <w:lang w:val="sv-SE" w:eastAsia="zh-CN"/>
        </w:rPr>
        <w:t>项目组为招标方提供</w:t>
      </w:r>
      <w:r>
        <w:rPr>
          <w:rFonts w:hint="eastAsia" w:ascii="宋体" w:hAnsi="宋体"/>
          <w:highlight w:val="none"/>
          <w:lang w:val="en-US" w:eastAsia="zh-CN"/>
        </w:rPr>
        <w:t>网络安全检查专家支持服务</w:t>
      </w:r>
      <w:r>
        <w:rPr>
          <w:rFonts w:hint="eastAsia" w:ascii="宋体" w:hAnsi="宋体"/>
          <w:kern w:val="2"/>
          <w:highlight w:val="none"/>
        </w:rPr>
        <w:t>。项目组成员必须符合招标方的用人标准要求，项目团队成员需至少具备之一：全国信息技术高级人才水平考试（NIEH）中级及以上、计算机技术与软件专业技术资格（水平）考试中级及以上资格、红帽认证（RHCA）、三维数字化技术应用能力测评与认证、CEAC认证、DevOps认证等证书、全国计算机等级考试一、二、三级、四级合格证书、java高级软件工程师、信息安全（CISP、CISE、CISO、CISA）认证、信息安全保障人员（CISAW）认证、信息系统安全（CISSP）认证、ITIL证书、信息安全（NISP、ISO 27001 foundation）、个人原创漏洞证明、与本项目相关的工程师证，并提供招标方要求的各类资格证明</w:t>
      </w:r>
      <w:r>
        <w:rPr>
          <w:rFonts w:hint="eastAsia"/>
          <w:highlight w:val="none"/>
        </w:rPr>
        <w:t>。</w:t>
      </w:r>
    </w:p>
    <w:p w14:paraId="0D2FC8AA">
      <w:pPr>
        <w:spacing w:before="156" w:after="156"/>
        <w:rPr>
          <w:highlight w:val="none"/>
        </w:rPr>
      </w:pPr>
      <w:r>
        <w:rPr>
          <w:rFonts w:hint="eastAsia"/>
          <w:highlight w:val="none"/>
        </w:rPr>
        <w:t>2）</w:t>
      </w:r>
      <w:r>
        <w:rPr>
          <w:rFonts w:hint="eastAsia"/>
          <w:highlight w:val="none"/>
          <w:lang w:val="en-US" w:eastAsia="zh-CN"/>
        </w:rPr>
        <w:t>中</w:t>
      </w:r>
      <w:r>
        <w:rPr>
          <w:rFonts w:hint="eastAsia"/>
          <w:highlight w:val="none"/>
          <w:lang w:val="sv-SE" w:eastAsia="zh-CN"/>
        </w:rPr>
        <w:t>标方必须保持服务团队人员的稳定，应督促派出服务人员服从招标方及招标方客户工作调度，未经招标方同意，不得随意调换项目组成员，因工作原因确实需要调换的须提前15天与招标方协商，并经招标方同意后才能更换，更换应确保不影响项目质量与进度</w:t>
      </w:r>
      <w:r>
        <w:rPr>
          <w:rFonts w:hint="eastAsia"/>
          <w:highlight w:val="none"/>
        </w:rPr>
        <w:t>。</w:t>
      </w:r>
    </w:p>
    <w:p w14:paraId="0305BA37">
      <w:pPr>
        <w:spacing w:before="156" w:after="156"/>
        <w:rPr>
          <w:highlight w:val="none"/>
        </w:rPr>
      </w:pPr>
      <w:r>
        <w:rPr>
          <w:highlight w:val="none"/>
        </w:rPr>
        <w:t>3</w:t>
      </w:r>
      <w:r>
        <w:rPr>
          <w:rFonts w:hint="eastAsia"/>
          <w:highlight w:val="none"/>
        </w:rPr>
        <w:t>）投标方的服务质量应该满足招标方服务级别协议的要求。</w:t>
      </w:r>
    </w:p>
    <w:p w14:paraId="516E6DEF">
      <w:pPr>
        <w:spacing w:before="156" w:after="156"/>
        <w:rPr>
          <w:rFonts w:hint="eastAsia"/>
          <w:highlight w:val="none"/>
          <w:lang w:val="sv-SE" w:eastAsia="zh-CN"/>
        </w:rPr>
      </w:pPr>
      <w:r>
        <w:rPr>
          <w:rFonts w:hint="eastAsia"/>
          <w:highlight w:val="none"/>
          <w:lang w:val="en-US" w:eastAsia="zh-CN"/>
        </w:rPr>
        <w:t>4</w:t>
      </w:r>
      <w:r>
        <w:rPr>
          <w:rFonts w:hint="eastAsia"/>
          <w:highlight w:val="none"/>
        </w:rPr>
        <w:t>）</w:t>
      </w:r>
      <w:r>
        <w:rPr>
          <w:rFonts w:hint="eastAsia"/>
          <w:highlight w:val="none"/>
          <w:lang w:val="sv-SE" w:eastAsia="zh-CN"/>
        </w:rPr>
        <w:t>技术服务团队发生变更，</w:t>
      </w:r>
      <w:r>
        <w:rPr>
          <w:rFonts w:hint="eastAsia"/>
          <w:highlight w:val="none"/>
          <w:lang w:val="en-US" w:eastAsia="zh-CN"/>
        </w:rPr>
        <w:t>中</w:t>
      </w:r>
      <w:r>
        <w:rPr>
          <w:rFonts w:hint="eastAsia"/>
          <w:highlight w:val="none"/>
          <w:lang w:val="sv-SE" w:eastAsia="zh-CN"/>
        </w:rPr>
        <w:t>标方须提供水平相当的人员并得到招标方的同意后方可进行替换，除非派出服务人员主动或被动离职，未经招标方书面同意，</w:t>
      </w:r>
      <w:r>
        <w:rPr>
          <w:rFonts w:hint="eastAsia"/>
          <w:highlight w:val="none"/>
          <w:lang w:val="en-US" w:eastAsia="zh-CN"/>
        </w:rPr>
        <w:t>中</w:t>
      </w:r>
      <w:r>
        <w:rPr>
          <w:rFonts w:hint="eastAsia"/>
          <w:highlight w:val="none"/>
          <w:lang w:val="sv-SE" w:eastAsia="zh-CN"/>
        </w:rPr>
        <w:t>标方不得随意撤换派出服务人员，否则招标方有权要求</w:t>
      </w:r>
      <w:r>
        <w:rPr>
          <w:rFonts w:hint="eastAsia"/>
          <w:highlight w:val="none"/>
          <w:lang w:val="en-US" w:eastAsia="zh-CN"/>
        </w:rPr>
        <w:t>中</w:t>
      </w:r>
      <w:r>
        <w:rPr>
          <w:rFonts w:hint="eastAsia"/>
          <w:highlight w:val="none"/>
          <w:lang w:val="sv-SE" w:eastAsia="zh-CN"/>
        </w:rPr>
        <w:t>标方承担因此造成的损失。</w:t>
      </w:r>
    </w:p>
    <w:p w14:paraId="16716D55">
      <w:pPr>
        <w:spacing w:before="156" w:after="156"/>
        <w:rPr>
          <w:rFonts w:hint="eastAsia"/>
          <w:highlight w:val="none"/>
          <w:lang w:val="sv-SE" w:eastAsia="zh-CN"/>
        </w:rPr>
      </w:pPr>
      <w:r>
        <w:rPr>
          <w:rFonts w:hint="eastAsia"/>
          <w:highlight w:val="none"/>
          <w:lang w:val="en-US" w:eastAsia="zh-CN"/>
        </w:rPr>
        <w:t>5</w:t>
      </w:r>
      <w:r>
        <w:rPr>
          <w:rFonts w:hint="eastAsia"/>
          <w:highlight w:val="none"/>
        </w:rPr>
        <w:t>）</w:t>
      </w:r>
      <w:r>
        <w:rPr>
          <w:rFonts w:hint="eastAsia"/>
          <w:highlight w:val="none"/>
          <w:lang w:val="sv-SE" w:eastAsia="zh-CN"/>
        </w:rPr>
        <w:t>技术服务团队无法满足进度要求和技术要求解决的技术问题，技术服务团队在与招标方负责人协商后，需要书面及时反馈，由</w:t>
      </w:r>
      <w:r>
        <w:rPr>
          <w:rFonts w:hint="eastAsia"/>
          <w:highlight w:val="none"/>
          <w:lang w:val="en-US" w:eastAsia="zh-CN"/>
        </w:rPr>
        <w:t>中</w:t>
      </w:r>
      <w:r>
        <w:rPr>
          <w:rFonts w:hint="eastAsia"/>
          <w:highlight w:val="none"/>
          <w:lang w:val="sv-SE" w:eastAsia="zh-CN"/>
        </w:rPr>
        <w:t>标方负责组织形成技术方案和实施方案答复招标方，双方具体协商、确定实施方案，按双方约定的计划落实方案的实施工作。</w:t>
      </w:r>
    </w:p>
    <w:p w14:paraId="53941B72">
      <w:pPr>
        <w:spacing w:before="156" w:after="156"/>
        <w:rPr>
          <w:rFonts w:hint="eastAsia"/>
          <w:highlight w:val="none"/>
          <w:lang w:val="sv-SE" w:eastAsia="zh-CN"/>
        </w:rPr>
      </w:pPr>
      <w:r>
        <w:rPr>
          <w:rFonts w:hint="eastAsia"/>
          <w:highlight w:val="none"/>
          <w:lang w:val="en-US" w:eastAsia="zh-CN"/>
        </w:rPr>
        <w:t>6</w:t>
      </w:r>
      <w:r>
        <w:rPr>
          <w:rFonts w:hint="eastAsia"/>
          <w:highlight w:val="none"/>
        </w:rPr>
        <w:t>）</w:t>
      </w:r>
      <w:r>
        <w:rPr>
          <w:rFonts w:hint="eastAsia"/>
          <w:highlight w:val="none"/>
          <w:lang w:val="sv-SE" w:eastAsia="zh-CN"/>
        </w:rPr>
        <w:t>提供现场服务时，</w:t>
      </w:r>
      <w:r>
        <w:rPr>
          <w:rFonts w:hint="eastAsia"/>
          <w:highlight w:val="none"/>
          <w:lang w:val="en-US" w:eastAsia="zh-CN"/>
        </w:rPr>
        <w:t>中</w:t>
      </w:r>
      <w:r>
        <w:rPr>
          <w:rFonts w:hint="eastAsia"/>
          <w:highlight w:val="none"/>
          <w:lang w:val="sv-SE" w:eastAsia="zh-CN"/>
        </w:rPr>
        <w:t>标方将确保其现场人员遵守招标方有关安全规定，前提是</w:t>
      </w:r>
      <w:r>
        <w:rPr>
          <w:rFonts w:hint="eastAsia"/>
          <w:highlight w:val="none"/>
          <w:lang w:val="en-US" w:eastAsia="zh-CN"/>
        </w:rPr>
        <w:t>中</w:t>
      </w:r>
      <w:r>
        <w:rPr>
          <w:rFonts w:hint="eastAsia"/>
          <w:highlight w:val="none"/>
          <w:lang w:val="sv-SE" w:eastAsia="zh-CN"/>
        </w:rPr>
        <w:t>标方收到招标方提供的有关安全规定。</w:t>
      </w:r>
      <w:r>
        <w:rPr>
          <w:rFonts w:hint="eastAsia"/>
          <w:highlight w:val="none"/>
          <w:lang w:val="en-US" w:eastAsia="zh-CN"/>
        </w:rPr>
        <w:t>中</w:t>
      </w:r>
      <w:r>
        <w:rPr>
          <w:rFonts w:hint="eastAsia"/>
          <w:highlight w:val="none"/>
          <w:lang w:val="sv-SE" w:eastAsia="zh-CN"/>
        </w:rPr>
        <w:t>标方有为招标方保密的义务，未经招标方许可，</w:t>
      </w:r>
      <w:r>
        <w:rPr>
          <w:rFonts w:hint="eastAsia"/>
          <w:highlight w:val="none"/>
          <w:lang w:val="en-US" w:eastAsia="zh-CN"/>
        </w:rPr>
        <w:t>中</w:t>
      </w:r>
      <w:r>
        <w:rPr>
          <w:rFonts w:hint="eastAsia"/>
          <w:highlight w:val="none"/>
          <w:lang w:val="sv-SE" w:eastAsia="zh-CN"/>
        </w:rPr>
        <w:t>标方服务人员不得对招标方的业务经营数据进行增删、修改、复制、传送、记录；</w:t>
      </w:r>
      <w:r>
        <w:rPr>
          <w:rFonts w:hint="eastAsia"/>
          <w:highlight w:val="none"/>
          <w:lang w:val="en-US" w:eastAsia="zh-CN"/>
        </w:rPr>
        <w:t>中</w:t>
      </w:r>
      <w:r>
        <w:rPr>
          <w:rFonts w:hint="eastAsia"/>
          <w:highlight w:val="none"/>
          <w:lang w:val="sv-SE" w:eastAsia="zh-CN"/>
        </w:rPr>
        <w:t>标方不得向任何第三方泄露招标方业务数据内容或在公开场合引用招标方数据。</w:t>
      </w:r>
    </w:p>
    <w:p w14:paraId="0DFDB04B">
      <w:pPr>
        <w:ind w:firstLine="520"/>
        <w:rPr>
          <w:highlight w:val="none"/>
        </w:rPr>
      </w:pPr>
      <w:r>
        <w:rPr>
          <w:rFonts w:hint="eastAsia" w:ascii="宋体" w:hAnsi="宋体"/>
          <w:kern w:val="2"/>
          <w:highlight w:val="none"/>
          <w:lang w:val="en-US" w:eastAsia="zh-CN"/>
        </w:rPr>
        <w:t>7</w:t>
      </w:r>
      <w:r>
        <w:rPr>
          <w:rFonts w:hint="eastAsia" w:ascii="宋体" w:hAnsi="宋体"/>
          <w:kern w:val="2"/>
          <w:highlight w:val="none"/>
        </w:rPr>
        <w:t>）</w:t>
      </w:r>
      <w:r>
        <w:rPr>
          <w:rFonts w:hint="eastAsia" w:ascii="Times New Roman" w:hAnsi="Times New Roman" w:cs="Times New Roman"/>
          <w:sz w:val="24"/>
          <w:szCs w:val="24"/>
          <w:highlight w:val="none"/>
          <w:lang w:val="en-US" w:eastAsia="zh-CN"/>
        </w:rPr>
        <w:t>中</w:t>
      </w:r>
      <w:r>
        <w:rPr>
          <w:rFonts w:hint="eastAsia" w:ascii="宋体" w:hAnsi="宋体"/>
          <w:kern w:val="2"/>
          <w:highlight w:val="none"/>
        </w:rPr>
        <w:t>标方</w:t>
      </w:r>
      <w:r>
        <w:rPr>
          <w:rFonts w:hint="eastAsia" w:ascii="宋体" w:hAnsi="宋体"/>
          <w:kern w:val="2"/>
          <w:highlight w:val="none"/>
          <w:lang w:val="en-US" w:eastAsia="zh-CN"/>
        </w:rPr>
        <w:t>须</w:t>
      </w:r>
      <w:r>
        <w:rPr>
          <w:rFonts w:hint="eastAsia" w:ascii="宋体" w:hAnsi="宋体"/>
          <w:kern w:val="2"/>
          <w:highlight w:val="none"/>
        </w:rPr>
        <w:t>承担招标方相应服务交付物及文档的修编配合工作</w:t>
      </w:r>
      <w:r>
        <w:rPr>
          <w:rFonts w:hint="eastAsia"/>
          <w:highlight w:val="none"/>
        </w:rPr>
        <w:t>。</w:t>
      </w:r>
    </w:p>
    <w:p w14:paraId="635FF779">
      <w:pPr>
        <w:ind w:firstLine="522"/>
        <w:outlineLvl w:val="3"/>
        <w:rPr>
          <w:rFonts w:hint="eastAsia" w:ascii="宋体" w:hAnsi="宋体"/>
          <w:b/>
          <w:highlight w:val="none"/>
        </w:rPr>
      </w:pPr>
      <w:r>
        <w:rPr>
          <w:rFonts w:hint="eastAsia" w:ascii="宋体" w:hAnsi="宋体"/>
          <w:b/>
          <w:highlight w:val="none"/>
        </w:rPr>
        <w:t>3.</w:t>
      </w:r>
      <w:r>
        <w:rPr>
          <w:rFonts w:hint="eastAsia" w:ascii="宋体" w:hAnsi="宋体"/>
          <w:b/>
          <w:highlight w:val="none"/>
          <w:lang w:val="en-US" w:eastAsia="zh-CN"/>
        </w:rPr>
        <w:t>2</w:t>
      </w:r>
      <w:r>
        <w:rPr>
          <w:rFonts w:hint="eastAsia" w:ascii="宋体" w:hAnsi="宋体"/>
          <w:b/>
          <w:highlight w:val="none"/>
        </w:rPr>
        <w:t>.</w:t>
      </w:r>
      <w:r>
        <w:rPr>
          <w:rFonts w:hint="eastAsia" w:ascii="宋体" w:hAnsi="宋体"/>
          <w:b/>
          <w:highlight w:val="none"/>
          <w:lang w:val="en-US" w:eastAsia="zh-CN"/>
        </w:rPr>
        <w:t>3</w:t>
      </w:r>
      <w:r>
        <w:rPr>
          <w:rFonts w:hint="eastAsia" w:ascii="宋体" w:hAnsi="宋体"/>
          <w:b/>
          <w:highlight w:val="none"/>
        </w:rPr>
        <w:t>.2服务方式</w:t>
      </w:r>
    </w:p>
    <w:p w14:paraId="21B33483">
      <w:pPr>
        <w:spacing w:before="156" w:after="156"/>
        <w:rPr>
          <w:highlight w:val="none"/>
        </w:rPr>
      </w:pPr>
      <w:r>
        <w:rPr>
          <w:rFonts w:hint="eastAsia"/>
          <w:highlight w:val="none"/>
        </w:rPr>
        <w:t>1）</w:t>
      </w:r>
      <w:r>
        <w:rPr>
          <w:rFonts w:hint="eastAsia"/>
          <w:highlight w:val="none"/>
          <w:lang w:val="sv-SE" w:eastAsia="zh-CN"/>
        </w:rPr>
        <w:t>投标方须</w:t>
      </w:r>
      <w:r>
        <w:rPr>
          <w:rFonts w:hint="eastAsia"/>
          <w:highlight w:val="none"/>
          <w:lang w:val="en-US" w:eastAsia="zh-CN"/>
        </w:rPr>
        <w:t>按招标方需求</w:t>
      </w:r>
      <w:r>
        <w:rPr>
          <w:rFonts w:hint="eastAsia"/>
          <w:highlight w:val="none"/>
          <w:lang w:val="sv-SE" w:eastAsia="zh-CN"/>
        </w:rPr>
        <w:t>提供现场技术服务</w:t>
      </w:r>
      <w:r>
        <w:rPr>
          <w:rFonts w:hint="eastAsia"/>
          <w:highlight w:val="none"/>
          <w:lang w:val="en-US" w:eastAsia="zh-CN"/>
        </w:rPr>
        <w:t>的</w:t>
      </w:r>
      <w:r>
        <w:rPr>
          <w:rFonts w:hint="eastAsia"/>
          <w:highlight w:val="none"/>
          <w:lang w:val="sv-SE" w:eastAsia="zh-CN"/>
        </w:rPr>
        <w:t>，工作地点由招标方指定（广东省内），</w:t>
      </w:r>
      <w:r>
        <w:rPr>
          <w:rFonts w:hint="eastAsia"/>
          <w:highlight w:val="none"/>
          <w:lang w:val="en-US" w:eastAsia="zh-CN"/>
        </w:rPr>
        <w:t>特殊</w:t>
      </w:r>
      <w:r>
        <w:rPr>
          <w:rFonts w:hint="eastAsia"/>
          <w:highlight w:val="none"/>
          <w:lang w:val="sv-SE" w:eastAsia="zh-CN"/>
        </w:rPr>
        <w:t>时期</w:t>
      </w:r>
      <w:r>
        <w:rPr>
          <w:rFonts w:hint="eastAsia"/>
          <w:highlight w:val="none"/>
          <w:lang w:val="en-US" w:eastAsia="zh-CN"/>
        </w:rPr>
        <w:t>情况下</w:t>
      </w:r>
      <w:r>
        <w:rPr>
          <w:rFonts w:hint="eastAsia"/>
          <w:highlight w:val="none"/>
          <w:lang w:val="sv-SE" w:eastAsia="zh-CN"/>
        </w:rPr>
        <w:t>按招标方要求开展值守</w:t>
      </w:r>
      <w:r>
        <w:rPr>
          <w:rFonts w:hint="eastAsia"/>
          <w:highlight w:val="none"/>
        </w:rPr>
        <w:t>。</w:t>
      </w:r>
      <w:r>
        <w:rPr>
          <w:rFonts w:hint="eastAsia"/>
          <w:highlight w:val="none"/>
          <w:lang w:val="sv-SE" w:eastAsia="zh-CN"/>
        </w:rPr>
        <w:t>参与保障值守工作的服务人员需按招标方需求安排进场，确保</w:t>
      </w:r>
      <w:r>
        <w:rPr>
          <w:rFonts w:hint="eastAsia"/>
          <w:highlight w:val="none"/>
          <w:lang w:val="en-US" w:eastAsia="zh-CN"/>
        </w:rPr>
        <w:t>保障</w:t>
      </w:r>
      <w:r>
        <w:rPr>
          <w:rFonts w:hint="eastAsia"/>
          <w:highlight w:val="none"/>
          <w:lang w:val="sv-SE" w:eastAsia="zh-CN"/>
        </w:rPr>
        <w:t>的顺利进行</w:t>
      </w:r>
      <w:r>
        <w:rPr>
          <w:rFonts w:hint="eastAsia"/>
          <w:highlight w:val="none"/>
        </w:rPr>
        <w:t>。</w:t>
      </w:r>
    </w:p>
    <w:p w14:paraId="1852D466">
      <w:pPr>
        <w:spacing w:before="156" w:after="156"/>
        <w:rPr>
          <w:highlight w:val="none"/>
        </w:rPr>
      </w:pPr>
      <w:r>
        <w:rPr>
          <w:rFonts w:hint="eastAsia"/>
          <w:highlight w:val="none"/>
        </w:rPr>
        <w:t>2）</w:t>
      </w:r>
      <w:r>
        <w:rPr>
          <w:rFonts w:hint="eastAsia"/>
          <w:highlight w:val="none"/>
          <w:lang w:val="en-US" w:eastAsia="zh-CN"/>
        </w:rPr>
        <w:t>中</w:t>
      </w:r>
      <w:r>
        <w:rPr>
          <w:rFonts w:hint="eastAsia"/>
          <w:highlight w:val="none"/>
        </w:rPr>
        <w:t>标方须提供足够的后台支持，</w:t>
      </w:r>
      <w:r>
        <w:rPr>
          <w:rFonts w:hint="eastAsia"/>
          <w:highlight w:val="none"/>
          <w:lang w:val="sv-SE" w:eastAsia="zh-CN"/>
        </w:rPr>
        <w:t>当提供的服务不能满足招标方的工作要求时，</w:t>
      </w:r>
      <w:r>
        <w:rPr>
          <w:rFonts w:hint="eastAsia"/>
          <w:highlight w:val="none"/>
          <w:lang w:val="en-US" w:eastAsia="zh-CN"/>
        </w:rPr>
        <w:t>中</w:t>
      </w:r>
      <w:r>
        <w:rPr>
          <w:rFonts w:hint="eastAsia"/>
          <w:highlight w:val="none"/>
          <w:lang w:val="sv-SE" w:eastAsia="zh-CN"/>
        </w:rPr>
        <w:t>标方须在服务期内提供双方协商确定的后台支持，后台支持包括：人员支持、技术支持等</w:t>
      </w:r>
      <w:r>
        <w:rPr>
          <w:rFonts w:hint="eastAsia"/>
          <w:highlight w:val="none"/>
        </w:rPr>
        <w:t>。</w:t>
      </w:r>
    </w:p>
    <w:p w14:paraId="365F40A5">
      <w:pPr>
        <w:spacing w:before="156" w:after="156"/>
        <w:rPr>
          <w:rFonts w:hint="eastAsia"/>
          <w:highlight w:val="none"/>
        </w:rPr>
      </w:pPr>
      <w:r>
        <w:rPr>
          <w:rFonts w:hint="eastAsia"/>
          <w:highlight w:val="none"/>
        </w:rPr>
        <w:t>3）</w:t>
      </w:r>
      <w:r>
        <w:rPr>
          <w:rFonts w:hint="eastAsia"/>
          <w:highlight w:val="none"/>
          <w:lang w:val="en-US" w:eastAsia="zh-CN"/>
        </w:rPr>
        <w:t>中</w:t>
      </w:r>
      <w:r>
        <w:rPr>
          <w:rFonts w:hint="eastAsia"/>
          <w:highlight w:val="none"/>
        </w:rPr>
        <w:t>标方的现场服务团队需要遵守招标方的</w:t>
      </w:r>
      <w:r>
        <w:rPr>
          <w:rFonts w:hint="eastAsia"/>
          <w:highlight w:val="none"/>
          <w:lang w:val="en-US" w:eastAsia="zh-CN"/>
        </w:rPr>
        <w:t>安全</w:t>
      </w:r>
      <w:r>
        <w:rPr>
          <w:rFonts w:hint="eastAsia"/>
          <w:highlight w:val="none"/>
        </w:rPr>
        <w:t>管理要求，同时接受招标方的管理，设置团队负责人与</w:t>
      </w:r>
      <w:r>
        <w:rPr>
          <w:rFonts w:hint="eastAsia"/>
          <w:highlight w:val="none"/>
          <w:lang w:val="en-US" w:eastAsia="zh-CN"/>
        </w:rPr>
        <w:t>招</w:t>
      </w:r>
      <w:r>
        <w:rPr>
          <w:rFonts w:hint="eastAsia"/>
          <w:highlight w:val="none"/>
        </w:rPr>
        <w:t>标方负责人对口，遇突发事件或特急事件，招标方可要求应急人员提供现场支持服务。</w:t>
      </w:r>
    </w:p>
    <w:p w14:paraId="6BBF33B4">
      <w:pPr>
        <w:tabs>
          <w:tab w:val="left" w:pos="864"/>
        </w:tabs>
        <w:ind w:firstLine="522"/>
        <w:outlineLvl w:val="3"/>
        <w:rPr>
          <w:rFonts w:hint="eastAsia" w:ascii="宋体" w:hAnsi="宋体"/>
          <w:b/>
          <w:highlight w:val="none"/>
        </w:rPr>
      </w:pPr>
      <w:r>
        <w:rPr>
          <w:rFonts w:hint="eastAsia" w:ascii="宋体" w:hAnsi="宋体"/>
          <w:b/>
          <w:highlight w:val="none"/>
        </w:rPr>
        <w:t>3.</w:t>
      </w:r>
      <w:r>
        <w:rPr>
          <w:rFonts w:hint="eastAsia" w:ascii="宋体" w:hAnsi="宋体"/>
          <w:b/>
          <w:highlight w:val="none"/>
          <w:lang w:val="en-US" w:eastAsia="zh-CN"/>
        </w:rPr>
        <w:t>2</w:t>
      </w:r>
      <w:r>
        <w:rPr>
          <w:rFonts w:hint="eastAsia" w:ascii="宋体" w:hAnsi="宋体"/>
          <w:b/>
          <w:highlight w:val="none"/>
        </w:rPr>
        <w:t>.</w:t>
      </w:r>
      <w:r>
        <w:rPr>
          <w:rFonts w:hint="eastAsia" w:ascii="宋体" w:hAnsi="宋体"/>
          <w:b/>
          <w:highlight w:val="none"/>
          <w:lang w:val="en-US" w:eastAsia="zh-CN"/>
        </w:rPr>
        <w:t>3</w:t>
      </w:r>
      <w:r>
        <w:rPr>
          <w:rFonts w:hint="eastAsia" w:ascii="宋体" w:hAnsi="宋体"/>
          <w:b/>
          <w:highlight w:val="none"/>
        </w:rPr>
        <w:t>.3服务时间及方式</w:t>
      </w:r>
    </w:p>
    <w:p w14:paraId="44420B45">
      <w:pPr>
        <w:widowControl/>
        <w:snapToGrid w:val="0"/>
        <w:spacing w:line="480" w:lineRule="atLeast"/>
        <w:ind w:firstLine="520"/>
        <w:rPr>
          <w:rFonts w:ascii="宋体" w:hAnsi="宋体"/>
          <w:highlight w:val="none"/>
        </w:rPr>
      </w:pPr>
      <w:r>
        <w:rPr>
          <w:rFonts w:hint="eastAsia" w:ascii="宋体" w:hAnsi="宋体"/>
          <w:highlight w:val="none"/>
        </w:rPr>
        <w:t>服务时间及方式</w:t>
      </w:r>
    </w:p>
    <w:tbl>
      <w:tblPr>
        <w:tblStyle w:val="30"/>
        <w:tblW w:w="0" w:type="auto"/>
        <w:tblInd w:w="-8" w:type="dxa"/>
        <w:tblLayout w:type="fixed"/>
        <w:tblCellMar>
          <w:top w:w="0" w:type="dxa"/>
          <w:left w:w="108" w:type="dxa"/>
          <w:bottom w:w="0" w:type="dxa"/>
          <w:right w:w="108" w:type="dxa"/>
        </w:tblCellMar>
      </w:tblPr>
      <w:tblGrid>
        <w:gridCol w:w="777"/>
        <w:gridCol w:w="1399"/>
        <w:gridCol w:w="5907"/>
      </w:tblGrid>
      <w:tr w14:paraId="012454D0">
        <w:tblPrEx>
          <w:tblCellMar>
            <w:top w:w="0" w:type="dxa"/>
            <w:left w:w="108" w:type="dxa"/>
            <w:bottom w:w="0" w:type="dxa"/>
            <w:right w:w="108" w:type="dxa"/>
          </w:tblCellMar>
        </w:tblPrEx>
        <w:trPr>
          <w:trHeight w:val="502"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0249AB8">
            <w:pPr>
              <w:widowControl/>
              <w:spacing w:line="240" w:lineRule="auto"/>
              <w:ind w:firstLine="0" w:firstLineChars="0"/>
              <w:rPr>
                <w:rFonts w:ascii="宋体" w:hAnsi="宋体"/>
                <w:highlight w:val="none"/>
              </w:rPr>
            </w:pPr>
            <w:r>
              <w:rPr>
                <w:rFonts w:hint="eastAsia" w:ascii="宋体" w:hAnsi="宋体"/>
                <w:highlight w:val="none"/>
              </w:rPr>
              <w:t>序号</w:t>
            </w:r>
          </w:p>
        </w:tc>
        <w:tc>
          <w:tcPr>
            <w:tcW w:w="1399" w:type="dxa"/>
            <w:tcBorders>
              <w:top w:val="single" w:color="000000" w:sz="4" w:space="0"/>
              <w:left w:val="nil"/>
              <w:bottom w:val="single" w:color="000000" w:sz="4" w:space="0"/>
              <w:right w:val="single" w:color="000000" w:sz="4" w:space="0"/>
            </w:tcBorders>
            <w:noWrap w:val="0"/>
            <w:vAlign w:val="center"/>
          </w:tcPr>
          <w:p w14:paraId="5BF62B57">
            <w:pPr>
              <w:widowControl/>
              <w:spacing w:line="240" w:lineRule="auto"/>
              <w:ind w:firstLine="0" w:firstLineChars="0"/>
              <w:rPr>
                <w:rFonts w:ascii="宋体" w:hAnsi="宋体"/>
                <w:highlight w:val="none"/>
              </w:rPr>
            </w:pPr>
            <w:r>
              <w:rPr>
                <w:rFonts w:hint="eastAsia" w:ascii="宋体" w:hAnsi="宋体"/>
                <w:highlight w:val="none"/>
              </w:rPr>
              <w:t>服务方式</w:t>
            </w:r>
          </w:p>
        </w:tc>
        <w:tc>
          <w:tcPr>
            <w:tcW w:w="5907" w:type="dxa"/>
            <w:tcBorders>
              <w:top w:val="single" w:color="000000" w:sz="4" w:space="0"/>
              <w:left w:val="nil"/>
              <w:bottom w:val="single" w:color="000000" w:sz="4" w:space="0"/>
              <w:right w:val="single" w:color="000000" w:sz="4" w:space="0"/>
            </w:tcBorders>
            <w:noWrap w:val="0"/>
            <w:vAlign w:val="center"/>
          </w:tcPr>
          <w:p w14:paraId="7C8DC88A">
            <w:pPr>
              <w:widowControl/>
              <w:spacing w:line="240" w:lineRule="auto"/>
              <w:ind w:firstLine="520"/>
              <w:jc w:val="center"/>
              <w:rPr>
                <w:rFonts w:ascii="宋体" w:hAnsi="宋体"/>
                <w:highlight w:val="none"/>
              </w:rPr>
            </w:pPr>
            <w:r>
              <w:rPr>
                <w:rFonts w:hint="eastAsia" w:ascii="宋体" w:hAnsi="宋体"/>
                <w:highlight w:val="none"/>
              </w:rPr>
              <w:t>工作时间</w:t>
            </w:r>
          </w:p>
        </w:tc>
      </w:tr>
      <w:tr w14:paraId="3AC884FC">
        <w:tblPrEx>
          <w:tblCellMar>
            <w:top w:w="0" w:type="dxa"/>
            <w:left w:w="108" w:type="dxa"/>
            <w:bottom w:w="0" w:type="dxa"/>
            <w:right w:w="108" w:type="dxa"/>
          </w:tblCellMar>
        </w:tblPrEx>
        <w:trPr>
          <w:trHeight w:val="921"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CC222CB">
            <w:pPr>
              <w:widowControl/>
              <w:spacing w:line="240" w:lineRule="auto"/>
              <w:ind w:firstLine="170" w:firstLineChars="71"/>
              <w:rPr>
                <w:rFonts w:ascii="宋体" w:hAnsi="宋体"/>
                <w:highlight w:val="none"/>
              </w:rPr>
            </w:pPr>
            <w:r>
              <w:rPr>
                <w:rFonts w:hint="eastAsia" w:ascii="宋体" w:hAnsi="宋体"/>
                <w:highlight w:val="none"/>
              </w:rPr>
              <w:t>1</w:t>
            </w:r>
          </w:p>
        </w:tc>
        <w:tc>
          <w:tcPr>
            <w:tcW w:w="1399" w:type="dxa"/>
            <w:tcBorders>
              <w:top w:val="single" w:color="000000" w:sz="4" w:space="0"/>
              <w:left w:val="nil"/>
              <w:bottom w:val="single" w:color="000000" w:sz="4" w:space="0"/>
              <w:right w:val="single" w:color="000000" w:sz="4" w:space="0"/>
            </w:tcBorders>
            <w:noWrap w:val="0"/>
            <w:vAlign w:val="center"/>
          </w:tcPr>
          <w:p w14:paraId="3CF51AA6">
            <w:pPr>
              <w:widowControl/>
              <w:spacing w:line="240" w:lineRule="auto"/>
              <w:ind w:firstLine="0" w:firstLineChars="0"/>
              <w:jc w:val="left"/>
              <w:rPr>
                <w:rFonts w:ascii="宋体" w:hAnsi="宋体"/>
                <w:highlight w:val="none"/>
              </w:rPr>
            </w:pPr>
            <w:r>
              <w:rPr>
                <w:rFonts w:hint="eastAsia" w:ascii="宋体" w:hAnsi="宋体"/>
                <w:highlight w:val="none"/>
              </w:rPr>
              <w:t>电话及邮件支持</w:t>
            </w:r>
          </w:p>
        </w:tc>
        <w:tc>
          <w:tcPr>
            <w:tcW w:w="5907" w:type="dxa"/>
            <w:tcBorders>
              <w:top w:val="single" w:color="000000" w:sz="4" w:space="0"/>
              <w:left w:val="nil"/>
              <w:bottom w:val="single" w:color="000000" w:sz="4" w:space="0"/>
              <w:right w:val="single" w:color="000000" w:sz="4" w:space="0"/>
            </w:tcBorders>
            <w:noWrap w:val="0"/>
            <w:vAlign w:val="center"/>
          </w:tcPr>
          <w:p w14:paraId="05EC2A7E">
            <w:pPr>
              <w:widowControl/>
              <w:spacing w:line="240" w:lineRule="auto"/>
              <w:ind w:firstLine="0" w:firstLineChars="0"/>
              <w:jc w:val="left"/>
              <w:rPr>
                <w:rFonts w:ascii="宋体" w:hAnsi="宋体"/>
                <w:highlight w:val="none"/>
              </w:rPr>
            </w:pPr>
            <w:r>
              <w:rPr>
                <w:rFonts w:hint="eastAsia" w:ascii="宋体" w:hAnsi="宋体"/>
                <w:highlight w:val="none"/>
              </w:rPr>
              <w:t xml:space="preserve">每周7天×24小时热线电话技术支持； </w:t>
            </w:r>
          </w:p>
          <w:p w14:paraId="4CE70D7E">
            <w:pPr>
              <w:widowControl/>
              <w:spacing w:line="240" w:lineRule="auto"/>
              <w:ind w:firstLine="0" w:firstLineChars="0"/>
              <w:jc w:val="left"/>
              <w:rPr>
                <w:rFonts w:ascii="宋体" w:hAnsi="宋体"/>
                <w:highlight w:val="none"/>
              </w:rPr>
            </w:pPr>
            <w:r>
              <w:rPr>
                <w:rFonts w:hint="eastAsia" w:ascii="宋体" w:hAnsi="宋体"/>
                <w:highlight w:val="none"/>
              </w:rPr>
              <w:t>每周7天×24小时电子邮件技术支持；</w:t>
            </w:r>
          </w:p>
        </w:tc>
      </w:tr>
      <w:tr w14:paraId="09BD83CC">
        <w:tblPrEx>
          <w:tblCellMar>
            <w:top w:w="0" w:type="dxa"/>
            <w:left w:w="108" w:type="dxa"/>
            <w:bottom w:w="0" w:type="dxa"/>
            <w:right w:w="108" w:type="dxa"/>
          </w:tblCellMar>
        </w:tblPrEx>
        <w:trPr>
          <w:trHeight w:val="1167"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70C41117">
            <w:pPr>
              <w:widowControl/>
              <w:spacing w:line="240" w:lineRule="auto"/>
              <w:ind w:firstLine="170" w:firstLineChars="71"/>
              <w:rPr>
                <w:rFonts w:ascii="宋体" w:hAnsi="宋体"/>
                <w:highlight w:val="none"/>
              </w:rPr>
            </w:pPr>
            <w:r>
              <w:rPr>
                <w:rFonts w:hint="eastAsia" w:ascii="宋体" w:hAnsi="宋体"/>
                <w:highlight w:val="none"/>
              </w:rPr>
              <w:t>2</w:t>
            </w:r>
          </w:p>
        </w:tc>
        <w:tc>
          <w:tcPr>
            <w:tcW w:w="1399" w:type="dxa"/>
            <w:tcBorders>
              <w:top w:val="single" w:color="000000" w:sz="4" w:space="0"/>
              <w:left w:val="nil"/>
              <w:bottom w:val="single" w:color="000000" w:sz="4" w:space="0"/>
              <w:right w:val="single" w:color="000000" w:sz="4" w:space="0"/>
            </w:tcBorders>
            <w:noWrap w:val="0"/>
            <w:vAlign w:val="center"/>
          </w:tcPr>
          <w:p w14:paraId="794D540C">
            <w:pPr>
              <w:widowControl/>
              <w:spacing w:line="240" w:lineRule="auto"/>
              <w:ind w:firstLine="0" w:firstLineChars="0"/>
              <w:jc w:val="left"/>
              <w:rPr>
                <w:rFonts w:ascii="宋体" w:hAnsi="宋体"/>
                <w:highlight w:val="none"/>
              </w:rPr>
            </w:pPr>
            <w:r>
              <w:rPr>
                <w:rFonts w:hint="eastAsia" w:ascii="宋体" w:hAnsi="宋体"/>
                <w:highlight w:val="none"/>
              </w:rPr>
              <w:t>技术支持</w:t>
            </w:r>
          </w:p>
        </w:tc>
        <w:tc>
          <w:tcPr>
            <w:tcW w:w="5907" w:type="dxa"/>
            <w:tcBorders>
              <w:top w:val="single" w:color="000000" w:sz="4" w:space="0"/>
              <w:left w:val="nil"/>
              <w:bottom w:val="single" w:color="000000" w:sz="4" w:space="0"/>
              <w:right w:val="single" w:color="000000" w:sz="4" w:space="0"/>
            </w:tcBorders>
            <w:noWrap w:val="0"/>
            <w:vAlign w:val="center"/>
          </w:tcPr>
          <w:p w14:paraId="2EC87DFC">
            <w:pPr>
              <w:widowControl/>
              <w:spacing w:line="240" w:lineRule="auto"/>
              <w:ind w:firstLine="0" w:firstLineChars="0"/>
              <w:jc w:val="left"/>
              <w:rPr>
                <w:rFonts w:ascii="宋体" w:hAnsi="宋体"/>
                <w:highlight w:val="none"/>
              </w:rPr>
            </w:pPr>
            <w:r>
              <w:rPr>
                <w:rFonts w:hint="eastAsia" w:ascii="宋体" w:hAnsi="宋体"/>
                <w:highlight w:val="none"/>
              </w:rPr>
              <w:t>每周5天×10小时内部网络远程技术支持；</w:t>
            </w:r>
          </w:p>
          <w:p w14:paraId="662806E0">
            <w:pPr>
              <w:widowControl/>
              <w:spacing w:line="240" w:lineRule="auto"/>
              <w:ind w:firstLine="0" w:firstLineChars="0"/>
              <w:jc w:val="left"/>
              <w:rPr>
                <w:rFonts w:ascii="宋体" w:hAnsi="宋体"/>
                <w:highlight w:val="none"/>
              </w:rPr>
            </w:pPr>
            <w:r>
              <w:rPr>
                <w:rFonts w:hint="eastAsia" w:ascii="宋体" w:hAnsi="宋体"/>
                <w:highlight w:val="none"/>
              </w:rPr>
              <w:t>每周7天×24小时远程技术支持服务；</w:t>
            </w:r>
          </w:p>
        </w:tc>
      </w:tr>
      <w:tr w14:paraId="2C5B55D9">
        <w:tblPrEx>
          <w:tblCellMar>
            <w:top w:w="0" w:type="dxa"/>
            <w:left w:w="108" w:type="dxa"/>
            <w:bottom w:w="0" w:type="dxa"/>
            <w:right w:w="108" w:type="dxa"/>
          </w:tblCellMar>
        </w:tblPrEx>
        <w:trPr>
          <w:trHeight w:val="513"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035051C">
            <w:pPr>
              <w:widowControl/>
              <w:spacing w:line="240" w:lineRule="auto"/>
              <w:ind w:firstLine="170" w:firstLineChars="71"/>
              <w:rPr>
                <w:rFonts w:ascii="宋体" w:hAnsi="宋体"/>
                <w:highlight w:val="none"/>
              </w:rPr>
            </w:pPr>
            <w:r>
              <w:rPr>
                <w:rFonts w:hint="eastAsia" w:ascii="宋体" w:hAnsi="宋体"/>
                <w:highlight w:val="none"/>
              </w:rPr>
              <w:t>3</w:t>
            </w:r>
          </w:p>
        </w:tc>
        <w:tc>
          <w:tcPr>
            <w:tcW w:w="1399" w:type="dxa"/>
            <w:tcBorders>
              <w:top w:val="single" w:color="000000" w:sz="4" w:space="0"/>
              <w:left w:val="nil"/>
              <w:bottom w:val="single" w:color="000000" w:sz="4" w:space="0"/>
              <w:right w:val="single" w:color="000000" w:sz="4" w:space="0"/>
            </w:tcBorders>
            <w:noWrap w:val="0"/>
            <w:vAlign w:val="center"/>
          </w:tcPr>
          <w:p w14:paraId="65085EFD">
            <w:pPr>
              <w:widowControl/>
              <w:spacing w:line="240" w:lineRule="auto"/>
              <w:ind w:firstLine="0" w:firstLineChars="0"/>
              <w:jc w:val="left"/>
              <w:rPr>
                <w:rFonts w:ascii="宋体" w:hAnsi="宋体"/>
                <w:highlight w:val="none"/>
              </w:rPr>
            </w:pPr>
            <w:r>
              <w:rPr>
                <w:rFonts w:hint="eastAsia" w:ascii="宋体" w:hAnsi="宋体"/>
                <w:highlight w:val="none"/>
              </w:rPr>
              <w:t>现场</w:t>
            </w:r>
            <w:r>
              <w:rPr>
                <w:rFonts w:hint="eastAsia" w:ascii="宋体" w:hAnsi="宋体"/>
                <w:highlight w:val="none"/>
                <w:lang w:val="en-US" w:eastAsia="zh-CN"/>
              </w:rPr>
              <w:t>技术支持</w:t>
            </w:r>
            <w:r>
              <w:rPr>
                <w:rFonts w:hint="eastAsia" w:ascii="宋体" w:hAnsi="宋体"/>
                <w:highlight w:val="none"/>
              </w:rPr>
              <w:t>服务</w:t>
            </w:r>
          </w:p>
        </w:tc>
        <w:tc>
          <w:tcPr>
            <w:tcW w:w="5907" w:type="dxa"/>
            <w:tcBorders>
              <w:top w:val="single" w:color="000000" w:sz="4" w:space="0"/>
              <w:left w:val="nil"/>
              <w:bottom w:val="single" w:color="000000" w:sz="4" w:space="0"/>
              <w:right w:val="single" w:color="000000" w:sz="4" w:space="0"/>
            </w:tcBorders>
            <w:noWrap w:val="0"/>
            <w:vAlign w:val="center"/>
          </w:tcPr>
          <w:p w14:paraId="4A401568">
            <w:pPr>
              <w:widowControl/>
              <w:spacing w:line="240" w:lineRule="auto"/>
              <w:ind w:firstLine="0" w:firstLineChars="0"/>
              <w:jc w:val="left"/>
              <w:rPr>
                <w:rFonts w:ascii="宋体" w:hAnsi="宋体"/>
                <w:highlight w:val="none"/>
              </w:rPr>
            </w:pPr>
            <w:r>
              <w:rPr>
                <w:rFonts w:hint="eastAsia" w:ascii="宋体" w:hAnsi="宋体"/>
                <w:highlight w:val="none"/>
              </w:rPr>
              <w:t>按招标方实际要求可开展现场技术支持服务，工作日提供5×8小时现场技术支持，周六、日及法定节假日、特殊时期情况的根据招标方要求开展现场值班服务。</w:t>
            </w:r>
          </w:p>
        </w:tc>
      </w:tr>
    </w:tbl>
    <w:p w14:paraId="0D778CCC">
      <w:pPr>
        <w:widowControl/>
        <w:spacing w:line="480" w:lineRule="atLeast"/>
        <w:ind w:firstLine="520"/>
        <w:rPr>
          <w:rFonts w:hint="eastAsia"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注：现场支持考勤方式包括但不限于招标方提供的考勤记录模板或中标方提供的内部正式考勤记录。</w:t>
      </w:r>
    </w:p>
    <w:p w14:paraId="13D49875">
      <w:pPr>
        <w:pStyle w:val="58"/>
        <w:rPr>
          <w:rFonts w:hint="eastAsia"/>
          <w:sz w:val="28"/>
          <w:szCs w:val="28"/>
          <w:highlight w:val="none"/>
        </w:rPr>
      </w:pPr>
      <w:r>
        <w:rPr>
          <w:rFonts w:hint="eastAsia"/>
          <w:szCs w:val="28"/>
          <w:highlight w:val="none"/>
        </w:rPr>
        <w:t>工作量明细</w:t>
      </w:r>
      <w:r>
        <w:rPr>
          <w:rFonts w:hint="eastAsia"/>
          <w:szCs w:val="28"/>
          <w:highlight w:val="none"/>
          <w:lang w:val="en-US" w:eastAsia="zh-CN"/>
        </w:rPr>
        <w:t xml:space="preserve"> </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1136"/>
        <w:gridCol w:w="4532"/>
        <w:gridCol w:w="757"/>
        <w:gridCol w:w="1640"/>
      </w:tblGrid>
      <w:tr w14:paraId="59395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57" w:type="dxa"/>
            <w:shd w:val="clear" w:color="auto" w:fill="CCCCFF"/>
            <w:noWrap w:val="0"/>
            <w:vAlign w:val="center"/>
          </w:tcPr>
          <w:p w14:paraId="1BE037BF">
            <w:pPr>
              <w:widowControl/>
              <w:spacing w:line="240" w:lineRule="auto"/>
              <w:ind w:firstLine="0" w:firstLineChars="0"/>
              <w:jc w:val="center"/>
              <w:rPr>
                <w:rFonts w:ascii="宋体" w:hAnsi="宋体"/>
                <w:b/>
                <w:bCs/>
                <w:color w:val="000000"/>
                <w:kern w:val="0"/>
                <w:highlight w:val="none"/>
              </w:rPr>
            </w:pPr>
            <w:r>
              <w:rPr>
                <w:rFonts w:hint="eastAsia" w:ascii="宋体" w:hAnsi="宋体"/>
                <w:b/>
                <w:bCs/>
                <w:color w:val="000000"/>
                <w:kern w:val="0"/>
                <w:highlight w:val="none"/>
              </w:rPr>
              <w:t>编号</w:t>
            </w:r>
          </w:p>
        </w:tc>
        <w:tc>
          <w:tcPr>
            <w:tcW w:w="1136" w:type="dxa"/>
            <w:shd w:val="clear" w:color="auto" w:fill="CCCCFF"/>
            <w:noWrap w:val="0"/>
            <w:vAlign w:val="center"/>
          </w:tcPr>
          <w:p w14:paraId="24A987DC">
            <w:pPr>
              <w:widowControl/>
              <w:spacing w:line="240" w:lineRule="auto"/>
              <w:ind w:firstLine="0" w:firstLineChars="0"/>
              <w:jc w:val="center"/>
              <w:rPr>
                <w:rFonts w:ascii="宋体" w:hAnsi="宋体"/>
                <w:b/>
                <w:bCs/>
                <w:color w:val="000000"/>
                <w:kern w:val="0"/>
                <w:highlight w:val="none"/>
              </w:rPr>
            </w:pPr>
            <w:r>
              <w:rPr>
                <w:rFonts w:hint="eastAsia" w:ascii="宋体" w:hAnsi="宋体"/>
                <w:b/>
                <w:bCs/>
                <w:color w:val="000000"/>
                <w:kern w:val="0"/>
                <w:highlight w:val="none"/>
              </w:rPr>
              <w:t>服务名称</w:t>
            </w:r>
          </w:p>
        </w:tc>
        <w:tc>
          <w:tcPr>
            <w:tcW w:w="4533" w:type="dxa"/>
            <w:shd w:val="clear" w:color="auto" w:fill="CCCCFF"/>
            <w:noWrap w:val="0"/>
            <w:vAlign w:val="center"/>
          </w:tcPr>
          <w:p w14:paraId="1E7ECD44">
            <w:pPr>
              <w:widowControl/>
              <w:spacing w:line="240" w:lineRule="auto"/>
              <w:ind w:firstLine="0" w:firstLineChars="0"/>
              <w:jc w:val="center"/>
              <w:rPr>
                <w:rFonts w:hint="default" w:ascii="宋体" w:hAnsi="宋体" w:eastAsia="宋体"/>
                <w:b/>
                <w:bCs/>
                <w:color w:val="000000"/>
                <w:kern w:val="0"/>
                <w:highlight w:val="none"/>
                <w:lang w:val="en-US" w:eastAsia="zh-CN"/>
              </w:rPr>
            </w:pPr>
            <w:r>
              <w:rPr>
                <w:rFonts w:hint="eastAsia" w:ascii="宋体" w:hAnsi="宋体"/>
                <w:b/>
                <w:bCs/>
                <w:color w:val="000000"/>
                <w:kern w:val="0"/>
                <w:highlight w:val="none"/>
                <w:lang w:val="en-US" w:eastAsia="zh-CN"/>
              </w:rPr>
              <w:t>服务内容明细</w:t>
            </w:r>
          </w:p>
        </w:tc>
        <w:tc>
          <w:tcPr>
            <w:tcW w:w="757" w:type="dxa"/>
            <w:shd w:val="clear" w:color="auto" w:fill="CCCCFF"/>
            <w:noWrap w:val="0"/>
            <w:vAlign w:val="center"/>
          </w:tcPr>
          <w:p w14:paraId="57BB3322">
            <w:pPr>
              <w:widowControl/>
              <w:spacing w:line="240" w:lineRule="auto"/>
              <w:ind w:firstLine="0" w:firstLineChars="0"/>
              <w:jc w:val="center"/>
              <w:rPr>
                <w:rFonts w:hint="default" w:ascii="宋体" w:hAnsi="宋体"/>
                <w:b/>
                <w:bCs/>
                <w:color w:val="000000"/>
                <w:kern w:val="0"/>
                <w:highlight w:val="none"/>
                <w:lang w:val="en-US" w:eastAsia="zh-CN"/>
              </w:rPr>
            </w:pPr>
            <w:r>
              <w:rPr>
                <w:rFonts w:hint="eastAsia" w:ascii="宋体" w:hAnsi="宋体"/>
                <w:b/>
                <w:bCs/>
                <w:color w:val="000000"/>
                <w:kern w:val="0"/>
                <w:highlight w:val="none"/>
                <w:lang w:val="en-US" w:eastAsia="zh-CN"/>
              </w:rPr>
              <w:t>单位</w:t>
            </w:r>
          </w:p>
        </w:tc>
        <w:tc>
          <w:tcPr>
            <w:tcW w:w="1640" w:type="dxa"/>
            <w:shd w:val="clear" w:color="auto" w:fill="CCCCFF"/>
            <w:noWrap w:val="0"/>
            <w:vAlign w:val="center"/>
          </w:tcPr>
          <w:p w14:paraId="5078A1D1">
            <w:pPr>
              <w:widowControl/>
              <w:spacing w:line="240" w:lineRule="auto"/>
              <w:ind w:firstLine="0" w:firstLineChars="0"/>
              <w:jc w:val="center"/>
              <w:rPr>
                <w:rFonts w:hint="default" w:ascii="宋体" w:hAnsi="宋体" w:eastAsia="宋体"/>
                <w:b/>
                <w:bCs/>
                <w:color w:val="000000"/>
                <w:kern w:val="0"/>
                <w:highlight w:val="none"/>
                <w:lang w:val="en-US" w:eastAsia="zh-CN"/>
              </w:rPr>
            </w:pPr>
            <w:r>
              <w:rPr>
                <w:rFonts w:hint="eastAsia" w:ascii="宋体" w:hAnsi="宋体"/>
                <w:b/>
                <w:bCs/>
                <w:color w:val="000000"/>
                <w:kern w:val="0"/>
                <w:highlight w:val="none"/>
              </w:rPr>
              <w:t>每次服务</w:t>
            </w:r>
            <w:r>
              <w:rPr>
                <w:rFonts w:hint="eastAsia" w:ascii="宋体" w:hAnsi="宋体"/>
                <w:b/>
                <w:bCs/>
                <w:color w:val="000000"/>
                <w:kern w:val="0"/>
                <w:highlight w:val="none"/>
                <w:lang w:val="en-US" w:eastAsia="zh-CN"/>
              </w:rPr>
              <w:t>基准</w:t>
            </w:r>
            <w:r>
              <w:rPr>
                <w:rFonts w:hint="eastAsia" w:ascii="宋体" w:hAnsi="宋体"/>
                <w:b/>
                <w:bCs/>
                <w:color w:val="000000"/>
                <w:kern w:val="0"/>
                <w:highlight w:val="none"/>
              </w:rPr>
              <w:t>工作量</w:t>
            </w:r>
          </w:p>
        </w:tc>
      </w:tr>
      <w:tr w14:paraId="7AD46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57" w:type="dxa"/>
            <w:noWrap w:val="0"/>
            <w:vAlign w:val="center"/>
          </w:tcPr>
          <w:p w14:paraId="57231855">
            <w:pPr>
              <w:widowControl/>
              <w:spacing w:line="240" w:lineRule="auto"/>
              <w:ind w:firstLine="0" w:firstLineChars="0"/>
              <w:jc w:val="center"/>
              <w:rPr>
                <w:rFonts w:ascii="宋体" w:hAnsi="宋体"/>
                <w:color w:val="000000"/>
                <w:kern w:val="0"/>
                <w:highlight w:val="none"/>
              </w:rPr>
            </w:pPr>
            <w:r>
              <w:rPr>
                <w:rFonts w:hint="eastAsia" w:ascii="宋体" w:hAnsi="宋体"/>
                <w:color w:val="000000"/>
                <w:kern w:val="0"/>
                <w:highlight w:val="none"/>
              </w:rPr>
              <w:t>1</w:t>
            </w:r>
          </w:p>
        </w:tc>
        <w:tc>
          <w:tcPr>
            <w:tcW w:w="1136" w:type="dxa"/>
            <w:noWrap w:val="0"/>
            <w:vAlign w:val="center"/>
          </w:tcPr>
          <w:p w14:paraId="3064B516">
            <w:pPr>
              <w:widowControl/>
              <w:spacing w:line="240" w:lineRule="auto"/>
              <w:ind w:firstLine="0" w:firstLineChars="0"/>
              <w:jc w:val="center"/>
              <w:rPr>
                <w:rFonts w:hint="default" w:ascii="宋体" w:hAnsi="宋体" w:eastAsia="宋体"/>
                <w:color w:val="000000"/>
                <w:kern w:val="0"/>
                <w:highlight w:val="none"/>
                <w:lang w:val="en-US" w:eastAsia="zh-CN"/>
              </w:rPr>
            </w:pPr>
            <w:r>
              <w:rPr>
                <w:rFonts w:hint="eastAsia" w:ascii="宋体" w:hAnsi="宋体"/>
                <w:color w:val="000000"/>
                <w:kern w:val="0"/>
                <w:highlight w:val="none"/>
              </w:rPr>
              <w:t>网络安全检查技术服务</w:t>
            </w:r>
          </w:p>
        </w:tc>
        <w:tc>
          <w:tcPr>
            <w:tcW w:w="4533" w:type="dxa"/>
            <w:noWrap w:val="0"/>
            <w:vAlign w:val="center"/>
          </w:tcPr>
          <w:p w14:paraId="70772A77">
            <w:pPr>
              <w:widowControl/>
              <w:spacing w:line="240" w:lineRule="auto"/>
              <w:ind w:firstLine="0" w:firstLineChars="0"/>
              <w:jc w:val="left"/>
              <w:rPr>
                <w:rFonts w:ascii="宋体" w:hAnsi="宋体"/>
                <w:color w:val="000000"/>
                <w:kern w:val="0"/>
                <w:highlight w:val="none"/>
              </w:rPr>
            </w:pPr>
            <w:r>
              <w:rPr>
                <w:rFonts w:hint="eastAsia" w:ascii="宋体" w:hAnsi="宋体"/>
                <w:color w:val="000000"/>
                <w:kern w:val="0"/>
                <w:highlight w:val="none"/>
                <w:lang w:val="en-US" w:eastAsia="zh-CN"/>
              </w:rPr>
              <w:t>每次</w:t>
            </w:r>
            <w:r>
              <w:rPr>
                <w:rFonts w:hint="eastAsia" w:ascii="宋体" w:hAnsi="宋体"/>
                <w:color w:val="000000"/>
                <w:kern w:val="0"/>
                <w:highlight w:val="none"/>
              </w:rPr>
              <w:t>开展网络安全检查技术服务，如检查三同步管控情况、信息系统的等级保护情况、数据安全责任落实情况、数据安全管理落实情况；密码评估落实情况、物联网安全管控情况、IT资产账实一致性核查、公共区域显示屏网络安全要求落实情况、互联网出口流量监测情况、网络安全监测系统情况等内容；风险隐患排查情况、应急响应情况、漏洞修复情况、安全日志留存情况、各类办公终端的补丁策略更新情况等内容；办公终端的敏感信息保存情况、应急预案的演练和闭环情况、人走是否锁屏、资产设备主人的落实情况，网络安全运行监测闭环处置情况、作业计划和工作票管控情况、机房环境及巡检情况等内容</w:t>
            </w:r>
            <w:r>
              <w:rPr>
                <w:rFonts w:hint="eastAsia" w:ascii="宋体" w:hAnsi="宋体"/>
                <w:color w:val="000000"/>
                <w:kern w:val="0"/>
                <w:highlight w:val="none"/>
                <w:lang w:eastAsia="zh-CN"/>
              </w:rPr>
              <w:t>，</w:t>
            </w:r>
            <w:r>
              <w:rPr>
                <w:rFonts w:hint="eastAsia" w:ascii="宋体" w:hAnsi="宋体"/>
                <w:color w:val="000000"/>
                <w:kern w:val="0"/>
                <w:highlight w:val="none"/>
                <w:lang w:val="en-US" w:eastAsia="zh-CN"/>
              </w:rPr>
              <w:t>每次预估4人天</w:t>
            </w:r>
            <w:r>
              <w:rPr>
                <w:rFonts w:hint="eastAsia" w:ascii="宋体" w:hAnsi="宋体"/>
                <w:color w:val="000000"/>
                <w:kern w:val="0"/>
                <w:highlight w:val="none"/>
                <w:lang w:eastAsia="zh-CN"/>
              </w:rPr>
              <w:t>。</w:t>
            </w:r>
          </w:p>
        </w:tc>
        <w:tc>
          <w:tcPr>
            <w:tcW w:w="757" w:type="dxa"/>
            <w:noWrap w:val="0"/>
            <w:vAlign w:val="center"/>
          </w:tcPr>
          <w:p w14:paraId="3156AF83">
            <w:pPr>
              <w:widowControl/>
              <w:spacing w:line="240" w:lineRule="auto"/>
              <w:ind w:firstLine="0" w:firstLineChars="0"/>
              <w:jc w:val="center"/>
              <w:rPr>
                <w:rFonts w:hint="eastAsia" w:ascii="宋体" w:hAnsi="宋体"/>
                <w:color w:val="000000"/>
                <w:kern w:val="0"/>
                <w:highlight w:val="none"/>
                <w:lang w:val="en-US" w:eastAsia="zh-CN"/>
              </w:rPr>
            </w:pPr>
            <w:r>
              <w:rPr>
                <w:rFonts w:hint="eastAsia" w:ascii="宋体" w:hAnsi="宋体"/>
                <w:color w:val="000000"/>
                <w:kern w:val="0"/>
                <w:highlight w:val="none"/>
                <w:lang w:val="en-US" w:eastAsia="zh-CN"/>
              </w:rPr>
              <w:t>次</w:t>
            </w:r>
          </w:p>
        </w:tc>
        <w:tc>
          <w:tcPr>
            <w:tcW w:w="1640" w:type="dxa"/>
            <w:noWrap w:val="0"/>
            <w:vAlign w:val="center"/>
          </w:tcPr>
          <w:p w14:paraId="11AD1B15">
            <w:pPr>
              <w:widowControl/>
              <w:spacing w:line="240" w:lineRule="auto"/>
              <w:ind w:firstLine="0" w:firstLineChars="0"/>
              <w:jc w:val="center"/>
              <w:rPr>
                <w:rFonts w:hint="default" w:ascii="宋体" w:hAnsi="宋体"/>
                <w:color w:val="000000"/>
                <w:kern w:val="0"/>
                <w:highlight w:val="none"/>
                <w:lang w:val="en-US"/>
              </w:rPr>
            </w:pPr>
            <w:r>
              <w:rPr>
                <w:rFonts w:hint="eastAsia" w:ascii="宋体" w:hAnsi="宋体"/>
                <w:color w:val="000000"/>
                <w:kern w:val="0"/>
                <w:highlight w:val="none"/>
                <w:lang w:val="en-US" w:eastAsia="zh-CN"/>
              </w:rPr>
              <w:t>4人天</w:t>
            </w:r>
          </w:p>
        </w:tc>
      </w:tr>
      <w:tr w14:paraId="420BA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57" w:type="dxa"/>
            <w:noWrap w:val="0"/>
            <w:vAlign w:val="center"/>
          </w:tcPr>
          <w:p w14:paraId="263D6383">
            <w:pPr>
              <w:widowControl/>
              <w:spacing w:line="240" w:lineRule="auto"/>
              <w:ind w:firstLine="0" w:firstLineChars="0"/>
              <w:jc w:val="center"/>
              <w:rPr>
                <w:rFonts w:hint="eastAsia" w:ascii="宋体" w:hAnsi="宋体" w:eastAsia="宋体"/>
                <w:color w:val="000000"/>
                <w:kern w:val="0"/>
                <w:highlight w:val="none"/>
                <w:lang w:val="en-US" w:eastAsia="zh-CN"/>
              </w:rPr>
            </w:pPr>
            <w:r>
              <w:rPr>
                <w:rFonts w:hint="eastAsia" w:ascii="宋体" w:hAnsi="宋体"/>
                <w:color w:val="000000"/>
                <w:kern w:val="0"/>
                <w:highlight w:val="none"/>
                <w:lang w:val="en-US" w:eastAsia="zh-CN"/>
              </w:rPr>
              <w:t>2</w:t>
            </w:r>
          </w:p>
        </w:tc>
        <w:tc>
          <w:tcPr>
            <w:tcW w:w="1136" w:type="dxa"/>
            <w:noWrap w:val="0"/>
            <w:vAlign w:val="center"/>
          </w:tcPr>
          <w:p w14:paraId="7E3E3C8E">
            <w:pPr>
              <w:widowControl/>
              <w:spacing w:line="240" w:lineRule="auto"/>
              <w:ind w:firstLine="0" w:firstLineChars="0"/>
              <w:jc w:val="center"/>
              <w:rPr>
                <w:rFonts w:hint="eastAsia" w:ascii="宋体" w:hAnsi="宋体"/>
                <w:color w:val="000000"/>
                <w:kern w:val="0"/>
                <w:highlight w:val="none"/>
              </w:rPr>
            </w:pPr>
            <w:r>
              <w:rPr>
                <w:rFonts w:hint="eastAsia"/>
                <w:highlight w:val="none"/>
              </w:rPr>
              <w:t>网络安全检查咨询服务</w:t>
            </w:r>
          </w:p>
        </w:tc>
        <w:tc>
          <w:tcPr>
            <w:tcW w:w="4533" w:type="dxa"/>
            <w:noWrap w:val="0"/>
            <w:vAlign w:val="center"/>
          </w:tcPr>
          <w:p w14:paraId="2F9F59BE">
            <w:pPr>
              <w:widowControl/>
              <w:spacing w:line="240" w:lineRule="auto"/>
              <w:ind w:firstLine="0" w:firstLineChars="0"/>
              <w:jc w:val="left"/>
              <w:rPr>
                <w:rFonts w:hint="eastAsia" w:ascii="宋体" w:hAnsi="宋体"/>
                <w:color w:val="000000"/>
                <w:kern w:val="0"/>
                <w:highlight w:val="none"/>
              </w:rPr>
            </w:pPr>
            <w:r>
              <w:rPr>
                <w:rFonts w:hint="eastAsia"/>
                <w:highlight w:val="none"/>
                <w:lang w:val="en-US" w:eastAsia="zh-CN"/>
              </w:rPr>
              <w:t>每次协助提供安全检查的技术咨询和答疑，结合网省网络安全规章制度和工作要求，协助修订和完善网络安全检查大纲、检查操作流程，协助梳理自查计划，基于检查发现的风险隐患、缺陷和漏洞，提供规则优化、配置指导和修复建议，协助更新优化安全策略，汇总所有检查结果，形成清晰、详实、可操作的综合报告，能明确指出风险点、合规差距、技术缺陷和管理不足的地方，提出切实可行的整改建议和解决方案，并持续跟踪问题的整改情况，确保问题能够得到及时整改和闭环，</w:t>
            </w:r>
            <w:r>
              <w:rPr>
                <w:rFonts w:hint="eastAsia" w:ascii="宋体" w:hAnsi="宋体"/>
                <w:color w:val="000000"/>
                <w:kern w:val="0"/>
                <w:highlight w:val="none"/>
                <w:lang w:val="en-US" w:eastAsia="zh-CN"/>
              </w:rPr>
              <w:t>每次预估5人天</w:t>
            </w:r>
            <w:r>
              <w:rPr>
                <w:rFonts w:hint="eastAsia" w:ascii="宋体" w:hAnsi="宋体"/>
                <w:color w:val="000000"/>
                <w:kern w:val="0"/>
                <w:highlight w:val="none"/>
                <w:lang w:eastAsia="zh-CN"/>
              </w:rPr>
              <w:t>。</w:t>
            </w:r>
          </w:p>
        </w:tc>
        <w:tc>
          <w:tcPr>
            <w:tcW w:w="757" w:type="dxa"/>
            <w:noWrap w:val="0"/>
            <w:vAlign w:val="center"/>
          </w:tcPr>
          <w:p w14:paraId="72F79BD2">
            <w:pPr>
              <w:widowControl/>
              <w:spacing w:line="240" w:lineRule="auto"/>
              <w:ind w:firstLine="0" w:firstLineChars="0"/>
              <w:jc w:val="center"/>
              <w:rPr>
                <w:rFonts w:hint="default" w:ascii="宋体" w:hAnsi="宋体"/>
                <w:color w:val="000000"/>
                <w:kern w:val="0"/>
                <w:highlight w:val="none"/>
                <w:lang w:val="en-US" w:eastAsia="zh-CN"/>
              </w:rPr>
            </w:pPr>
            <w:r>
              <w:rPr>
                <w:rFonts w:hint="eastAsia" w:ascii="宋体" w:hAnsi="宋体"/>
                <w:color w:val="000000"/>
                <w:kern w:val="0"/>
                <w:highlight w:val="none"/>
                <w:lang w:val="en-US" w:eastAsia="zh-CN"/>
              </w:rPr>
              <w:t>次</w:t>
            </w:r>
          </w:p>
        </w:tc>
        <w:tc>
          <w:tcPr>
            <w:tcW w:w="1640" w:type="dxa"/>
            <w:noWrap w:val="0"/>
            <w:vAlign w:val="center"/>
          </w:tcPr>
          <w:p w14:paraId="305AE5EB">
            <w:pPr>
              <w:widowControl/>
              <w:spacing w:line="240" w:lineRule="auto"/>
              <w:ind w:firstLine="0" w:firstLineChars="0"/>
              <w:jc w:val="center"/>
              <w:rPr>
                <w:rFonts w:hint="default" w:ascii="宋体" w:hAnsi="宋体"/>
                <w:color w:val="000000"/>
                <w:kern w:val="0"/>
                <w:highlight w:val="none"/>
                <w:lang w:val="en-US" w:eastAsia="zh-CN"/>
              </w:rPr>
            </w:pPr>
            <w:r>
              <w:rPr>
                <w:rFonts w:hint="eastAsia" w:ascii="宋体" w:hAnsi="宋体"/>
                <w:color w:val="000000"/>
                <w:kern w:val="0"/>
                <w:highlight w:val="none"/>
                <w:lang w:val="en-US" w:eastAsia="zh-CN"/>
              </w:rPr>
              <w:t>5人天</w:t>
            </w:r>
          </w:p>
        </w:tc>
      </w:tr>
    </w:tbl>
    <w:p w14:paraId="258A808F">
      <w:pPr>
        <w:widowControl/>
        <w:spacing w:line="480" w:lineRule="atLeast"/>
        <w:ind w:firstLine="520"/>
        <w:rPr>
          <w:rFonts w:hint="default" w:ascii="宋体" w:hAnsi="宋体" w:eastAsia="宋体" w:cs="Times New Roman"/>
          <w:sz w:val="24"/>
          <w:highlight w:val="none"/>
          <w:lang w:val="en-US" w:eastAsia="zh-CN"/>
        </w:rPr>
      </w:pPr>
      <w:r>
        <w:rPr>
          <w:rFonts w:hint="eastAsia" w:ascii="宋体" w:hAnsi="宋体" w:cs="Times New Roman"/>
          <w:sz w:val="24"/>
          <w:highlight w:val="none"/>
          <w:lang w:val="en-US" w:eastAsia="zh-CN"/>
        </w:rPr>
        <w:t>注：1人工作8小时计为1人天。每项服务工作量的完成情况，依据实际完成工作量与基准工作量的比值计算。</w:t>
      </w:r>
    </w:p>
    <w:p w14:paraId="23A36620">
      <w:pPr>
        <w:pStyle w:val="58"/>
        <w:rPr>
          <w:rFonts w:hint="eastAsia"/>
          <w:sz w:val="28"/>
          <w:szCs w:val="28"/>
          <w:highlight w:val="none"/>
        </w:rPr>
      </w:pPr>
      <w:r>
        <w:rPr>
          <w:rFonts w:hint="eastAsia"/>
          <w:sz w:val="28"/>
          <w:szCs w:val="28"/>
          <w:highlight w:val="none"/>
        </w:rPr>
        <w:t>交付物要求</w:t>
      </w:r>
    </w:p>
    <w:p w14:paraId="05DBB197">
      <w:pPr>
        <w:widowControl/>
        <w:spacing w:line="480" w:lineRule="atLeast"/>
        <w:ind w:firstLine="520"/>
        <w:rPr>
          <w:rFonts w:ascii="宋体" w:hAnsi="宋体"/>
          <w:highlight w:val="none"/>
        </w:rPr>
      </w:pPr>
      <w:r>
        <w:rPr>
          <w:rFonts w:hint="eastAsia" w:ascii="宋体" w:hAnsi="宋体"/>
          <w:highlight w:val="none"/>
        </w:rPr>
        <w:t>投标方应在合同规定时间内，按招标方需求提供相应交付物，包括：</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1"/>
        <w:gridCol w:w="2036"/>
        <w:gridCol w:w="2833"/>
        <w:gridCol w:w="2358"/>
      </w:tblGrid>
      <w:tr w14:paraId="19652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991" w:type="dxa"/>
            <w:shd w:val="clear" w:color="auto" w:fill="CCCCFF"/>
            <w:noWrap w:val="0"/>
            <w:vAlign w:val="center"/>
          </w:tcPr>
          <w:p w14:paraId="6F1DB0D5">
            <w:pPr>
              <w:widowControl/>
              <w:spacing w:line="360" w:lineRule="auto"/>
              <w:ind w:firstLine="0" w:firstLineChars="0"/>
              <w:jc w:val="center"/>
              <w:rPr>
                <w:rFonts w:ascii="宋体" w:hAnsi="宋体"/>
                <w:b/>
                <w:bCs/>
                <w:color w:val="000000"/>
                <w:kern w:val="0"/>
                <w:highlight w:val="none"/>
              </w:rPr>
            </w:pPr>
            <w:bookmarkStart w:id="20" w:name="_Hlk135845704"/>
            <w:r>
              <w:rPr>
                <w:rFonts w:hint="eastAsia" w:ascii="宋体" w:hAnsi="宋体"/>
                <w:b/>
                <w:bCs/>
                <w:color w:val="000000"/>
                <w:kern w:val="0"/>
                <w:highlight w:val="none"/>
              </w:rPr>
              <w:t>编号</w:t>
            </w:r>
          </w:p>
        </w:tc>
        <w:tc>
          <w:tcPr>
            <w:tcW w:w="2036" w:type="dxa"/>
            <w:shd w:val="clear" w:color="auto" w:fill="CCCCFF"/>
            <w:noWrap w:val="0"/>
            <w:vAlign w:val="center"/>
          </w:tcPr>
          <w:p w14:paraId="12F4C26D">
            <w:pPr>
              <w:widowControl/>
              <w:spacing w:line="360" w:lineRule="auto"/>
              <w:ind w:firstLine="0" w:firstLineChars="0"/>
              <w:jc w:val="center"/>
              <w:rPr>
                <w:rFonts w:ascii="宋体" w:hAnsi="宋体"/>
                <w:b/>
                <w:bCs/>
                <w:color w:val="000000"/>
                <w:kern w:val="0"/>
                <w:highlight w:val="none"/>
              </w:rPr>
            </w:pPr>
            <w:r>
              <w:rPr>
                <w:rFonts w:hint="eastAsia" w:ascii="宋体" w:hAnsi="宋体"/>
                <w:b/>
                <w:bCs/>
                <w:color w:val="000000"/>
                <w:kern w:val="0"/>
                <w:highlight w:val="none"/>
              </w:rPr>
              <w:t>服务名称</w:t>
            </w:r>
          </w:p>
        </w:tc>
        <w:tc>
          <w:tcPr>
            <w:tcW w:w="2833" w:type="dxa"/>
            <w:shd w:val="clear" w:color="auto" w:fill="CCCCFF"/>
            <w:noWrap w:val="0"/>
            <w:vAlign w:val="center"/>
          </w:tcPr>
          <w:p w14:paraId="412F09F2">
            <w:pPr>
              <w:widowControl/>
              <w:spacing w:line="360" w:lineRule="auto"/>
              <w:ind w:firstLine="0" w:firstLineChars="0"/>
              <w:jc w:val="center"/>
              <w:rPr>
                <w:rFonts w:hint="eastAsia" w:ascii="宋体" w:hAnsi="宋体"/>
                <w:b/>
                <w:bCs/>
                <w:color w:val="000000"/>
                <w:kern w:val="0"/>
                <w:highlight w:val="none"/>
              </w:rPr>
            </w:pPr>
            <w:r>
              <w:rPr>
                <w:rFonts w:hint="eastAsia" w:ascii="宋体" w:hAnsi="宋体"/>
                <w:b/>
                <w:bCs/>
                <w:color w:val="000000"/>
                <w:kern w:val="0"/>
                <w:highlight w:val="none"/>
              </w:rPr>
              <w:t>交付物</w:t>
            </w:r>
          </w:p>
        </w:tc>
        <w:tc>
          <w:tcPr>
            <w:tcW w:w="2358" w:type="dxa"/>
            <w:shd w:val="clear" w:color="auto" w:fill="CCCCFF"/>
            <w:noWrap w:val="0"/>
            <w:vAlign w:val="center"/>
          </w:tcPr>
          <w:p w14:paraId="56EC0857">
            <w:pPr>
              <w:widowControl/>
              <w:spacing w:line="360" w:lineRule="auto"/>
              <w:ind w:firstLine="0" w:firstLineChars="0"/>
              <w:jc w:val="center"/>
              <w:rPr>
                <w:rFonts w:hint="eastAsia" w:ascii="宋体" w:hAnsi="宋体"/>
                <w:b/>
                <w:bCs/>
                <w:color w:val="000000"/>
                <w:kern w:val="0"/>
                <w:highlight w:val="none"/>
              </w:rPr>
            </w:pPr>
            <w:r>
              <w:rPr>
                <w:rFonts w:hint="eastAsia" w:ascii="宋体" w:hAnsi="宋体"/>
                <w:b/>
                <w:bCs/>
                <w:color w:val="000000"/>
                <w:kern w:val="0"/>
                <w:highlight w:val="none"/>
              </w:rPr>
              <w:t>频率</w:t>
            </w:r>
          </w:p>
        </w:tc>
      </w:tr>
      <w:tr w14:paraId="42321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 w:hRule="exact"/>
          <w:jc w:val="center"/>
        </w:trPr>
        <w:tc>
          <w:tcPr>
            <w:tcW w:w="991" w:type="dxa"/>
            <w:vMerge w:val="restart"/>
            <w:noWrap w:val="0"/>
            <w:vAlign w:val="center"/>
          </w:tcPr>
          <w:p w14:paraId="324AA81F">
            <w:pPr>
              <w:widowControl/>
              <w:spacing w:line="240" w:lineRule="auto"/>
              <w:ind w:firstLine="0" w:firstLineChars="0"/>
              <w:jc w:val="center"/>
              <w:rPr>
                <w:rFonts w:hint="default" w:ascii="宋体" w:hAnsi="宋体"/>
                <w:color w:val="000000"/>
                <w:kern w:val="0"/>
                <w:highlight w:val="none"/>
                <w:lang w:val="en-US" w:eastAsia="zh-CN"/>
              </w:rPr>
            </w:pPr>
            <w:r>
              <w:rPr>
                <w:rFonts w:hint="eastAsia" w:ascii="宋体" w:hAnsi="宋体"/>
                <w:color w:val="000000"/>
                <w:kern w:val="0"/>
                <w:highlight w:val="none"/>
                <w:lang w:val="en-US" w:eastAsia="zh-CN"/>
              </w:rPr>
              <w:t>1</w:t>
            </w:r>
          </w:p>
        </w:tc>
        <w:tc>
          <w:tcPr>
            <w:tcW w:w="2036" w:type="dxa"/>
            <w:vMerge w:val="restart"/>
            <w:noWrap w:val="0"/>
            <w:vAlign w:val="center"/>
          </w:tcPr>
          <w:p w14:paraId="0B17208E">
            <w:pPr>
              <w:widowControl/>
              <w:spacing w:line="240" w:lineRule="auto"/>
              <w:ind w:firstLine="0" w:firstLineChars="0"/>
              <w:jc w:val="center"/>
              <w:rPr>
                <w:rFonts w:hint="eastAsia" w:ascii="宋体" w:hAnsi="宋体"/>
                <w:color w:val="000000"/>
                <w:kern w:val="0"/>
                <w:highlight w:val="none"/>
                <w:lang w:val="en-US" w:eastAsia="zh-CN"/>
              </w:rPr>
            </w:pPr>
            <w:r>
              <w:rPr>
                <w:rFonts w:hint="eastAsia" w:ascii="宋体" w:hAnsi="宋体"/>
                <w:color w:val="000000"/>
                <w:kern w:val="0"/>
                <w:highlight w:val="none"/>
                <w:lang w:val="en-US" w:eastAsia="zh-CN"/>
              </w:rPr>
              <w:t>网络安全检查技术服务</w:t>
            </w:r>
          </w:p>
        </w:tc>
        <w:tc>
          <w:tcPr>
            <w:tcW w:w="2833" w:type="dxa"/>
            <w:noWrap w:val="0"/>
            <w:vAlign w:val="center"/>
          </w:tcPr>
          <w:p w14:paraId="3CB5801A">
            <w:pPr>
              <w:widowControl/>
              <w:spacing w:line="240" w:lineRule="auto"/>
              <w:ind w:firstLine="0" w:firstLineChars="0"/>
              <w:jc w:val="center"/>
              <w:rPr>
                <w:rFonts w:hint="eastAsia" w:ascii="宋体" w:hAnsi="宋体" w:eastAsia="宋体" w:cs="Times New Roman"/>
                <w:color w:val="000000"/>
                <w:kern w:val="0"/>
                <w:sz w:val="24"/>
                <w:szCs w:val="24"/>
                <w:highlight w:val="none"/>
                <w:lang w:val="en-US" w:eastAsia="zh-CN" w:bidi="ar-SA"/>
              </w:rPr>
            </w:pPr>
            <w:r>
              <w:rPr>
                <w:rFonts w:hint="eastAsia" w:ascii="宋体" w:hAnsi="宋体"/>
                <w:color w:val="000000"/>
                <w:kern w:val="0"/>
                <w:highlight w:val="none"/>
                <w:lang w:val="en-US" w:eastAsia="zh-CN"/>
              </w:rPr>
              <w:t>问题清单</w:t>
            </w:r>
          </w:p>
        </w:tc>
        <w:tc>
          <w:tcPr>
            <w:tcW w:w="2358" w:type="dxa"/>
            <w:noWrap w:val="0"/>
            <w:vAlign w:val="center"/>
          </w:tcPr>
          <w:p w14:paraId="47D58ECE">
            <w:pPr>
              <w:widowControl/>
              <w:spacing w:line="240" w:lineRule="auto"/>
              <w:ind w:firstLine="0" w:firstLineChars="0"/>
              <w:jc w:val="center"/>
              <w:rPr>
                <w:rFonts w:hint="eastAsia" w:ascii="宋体" w:hAnsi="宋体" w:eastAsia="宋体" w:cs="Times New Roman"/>
                <w:color w:val="000000"/>
                <w:kern w:val="0"/>
                <w:sz w:val="24"/>
                <w:szCs w:val="24"/>
                <w:highlight w:val="none"/>
                <w:lang w:val="en-US" w:eastAsia="zh-CN" w:bidi="ar-SA"/>
              </w:rPr>
            </w:pPr>
            <w:r>
              <w:rPr>
                <w:rFonts w:hint="eastAsia" w:ascii="宋体" w:hAnsi="宋体"/>
                <w:color w:val="000000"/>
                <w:kern w:val="0"/>
                <w:highlight w:val="none"/>
              </w:rPr>
              <w:t>按需</w:t>
            </w:r>
          </w:p>
        </w:tc>
      </w:tr>
      <w:tr w14:paraId="72821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exact"/>
          <w:jc w:val="center"/>
        </w:trPr>
        <w:tc>
          <w:tcPr>
            <w:tcW w:w="991" w:type="dxa"/>
            <w:noWrap w:val="0"/>
            <w:vAlign w:val="center"/>
          </w:tcPr>
          <w:p w14:paraId="2808A3F2">
            <w:pPr>
              <w:widowControl/>
              <w:spacing w:line="240" w:lineRule="auto"/>
              <w:ind w:firstLine="0" w:firstLineChars="0"/>
              <w:jc w:val="center"/>
              <w:rPr>
                <w:rFonts w:hint="default" w:ascii="宋体" w:hAnsi="宋体"/>
                <w:color w:val="000000"/>
                <w:kern w:val="0"/>
                <w:highlight w:val="none"/>
                <w:lang w:val="en-US" w:eastAsia="zh-CN"/>
              </w:rPr>
            </w:pPr>
            <w:r>
              <w:rPr>
                <w:rFonts w:hint="eastAsia" w:ascii="宋体" w:hAnsi="宋体"/>
                <w:color w:val="000000"/>
                <w:kern w:val="0"/>
                <w:highlight w:val="none"/>
                <w:lang w:val="en-US" w:eastAsia="zh-CN"/>
              </w:rPr>
              <w:t>2</w:t>
            </w:r>
          </w:p>
        </w:tc>
        <w:tc>
          <w:tcPr>
            <w:tcW w:w="2036" w:type="dxa"/>
            <w:noWrap w:val="0"/>
            <w:vAlign w:val="center"/>
          </w:tcPr>
          <w:p w14:paraId="274908BC">
            <w:pPr>
              <w:widowControl/>
              <w:spacing w:line="240" w:lineRule="auto"/>
              <w:ind w:firstLine="0" w:firstLineChars="0"/>
              <w:jc w:val="center"/>
              <w:rPr>
                <w:rFonts w:hint="eastAsia" w:ascii="宋体" w:hAnsi="宋体"/>
                <w:color w:val="000000"/>
                <w:kern w:val="0"/>
                <w:highlight w:val="none"/>
                <w:lang w:val="en-US" w:eastAsia="zh-CN"/>
              </w:rPr>
            </w:pPr>
            <w:r>
              <w:rPr>
                <w:rFonts w:hint="eastAsia" w:ascii="宋体" w:hAnsi="宋体"/>
                <w:color w:val="000000"/>
                <w:kern w:val="0"/>
                <w:highlight w:val="none"/>
                <w:lang w:val="en-US" w:eastAsia="zh-CN"/>
              </w:rPr>
              <w:t>网络安全检查咨询服务</w:t>
            </w:r>
          </w:p>
        </w:tc>
        <w:tc>
          <w:tcPr>
            <w:tcW w:w="2833" w:type="dxa"/>
            <w:shd w:val="clear" w:color="auto" w:fill="auto"/>
            <w:noWrap w:val="0"/>
            <w:vAlign w:val="center"/>
          </w:tcPr>
          <w:p w14:paraId="466A1C73">
            <w:pPr>
              <w:widowControl/>
              <w:spacing w:line="240" w:lineRule="auto"/>
              <w:ind w:firstLine="0" w:firstLineChars="0"/>
              <w:jc w:val="center"/>
              <w:rPr>
                <w:rFonts w:hint="eastAsia" w:ascii="宋体" w:hAnsi="宋体" w:eastAsia="宋体" w:cs="Times New Roman"/>
                <w:color w:val="000000"/>
                <w:kern w:val="0"/>
                <w:sz w:val="24"/>
                <w:szCs w:val="24"/>
                <w:highlight w:val="none"/>
                <w:lang w:val="en-US" w:eastAsia="zh-CN" w:bidi="ar-SA"/>
              </w:rPr>
            </w:pPr>
            <w:r>
              <w:rPr>
                <w:rFonts w:hint="eastAsia" w:ascii="宋体" w:hAnsi="宋体"/>
                <w:color w:val="000000"/>
                <w:kern w:val="0"/>
                <w:highlight w:val="none"/>
                <w:lang w:val="en-US" w:eastAsia="zh-CN"/>
              </w:rPr>
              <w:t>咨询服务</w:t>
            </w:r>
            <w:r>
              <w:rPr>
                <w:rFonts w:hint="eastAsia" w:ascii="宋体" w:hAnsi="宋体"/>
                <w:highlight w:val="none"/>
                <w:lang w:val="en-US" w:eastAsia="zh-CN"/>
              </w:rPr>
              <w:t>报告</w:t>
            </w:r>
          </w:p>
        </w:tc>
        <w:tc>
          <w:tcPr>
            <w:tcW w:w="2358" w:type="dxa"/>
            <w:shd w:val="clear" w:color="auto" w:fill="auto"/>
            <w:noWrap w:val="0"/>
            <w:vAlign w:val="center"/>
          </w:tcPr>
          <w:p w14:paraId="53A2B4F9">
            <w:pPr>
              <w:widowControl/>
              <w:spacing w:line="240" w:lineRule="auto"/>
              <w:ind w:firstLine="0" w:firstLineChars="0"/>
              <w:jc w:val="center"/>
              <w:rPr>
                <w:rFonts w:hint="eastAsia" w:ascii="宋体" w:hAnsi="宋体" w:eastAsia="宋体" w:cs="Times New Roman"/>
                <w:color w:val="000000"/>
                <w:kern w:val="0"/>
                <w:sz w:val="24"/>
                <w:szCs w:val="24"/>
                <w:highlight w:val="none"/>
                <w:lang w:val="en-US" w:eastAsia="zh-CN" w:bidi="ar-SA"/>
              </w:rPr>
            </w:pPr>
            <w:r>
              <w:rPr>
                <w:rFonts w:hint="eastAsia" w:ascii="宋体" w:hAnsi="宋体"/>
                <w:color w:val="000000"/>
                <w:kern w:val="0"/>
                <w:highlight w:val="none"/>
                <w:lang w:val="en-US" w:eastAsia="zh-CN"/>
              </w:rPr>
              <w:t>按需</w:t>
            </w:r>
          </w:p>
        </w:tc>
      </w:tr>
      <w:bookmarkEnd w:id="20"/>
    </w:tbl>
    <w:p w14:paraId="038D8A02">
      <w:pPr>
        <w:pStyle w:val="58"/>
        <w:rPr>
          <w:highlight w:val="none"/>
        </w:rPr>
      </w:pPr>
      <w:r>
        <w:rPr>
          <w:rFonts w:hint="eastAsia"/>
          <w:highlight w:val="none"/>
        </w:rPr>
        <w:t>保密要求</w:t>
      </w:r>
    </w:p>
    <w:p w14:paraId="1FB682A3">
      <w:pPr>
        <w:ind w:firstLine="520"/>
        <w:rPr>
          <w:rFonts w:hint="eastAsia"/>
          <w:snapToGrid w:val="0"/>
          <w:highlight w:val="none"/>
        </w:rPr>
      </w:pPr>
      <w:r>
        <w:rPr>
          <w:rFonts w:hint="eastAsia"/>
          <w:snapToGrid w:val="0"/>
          <w:highlight w:val="none"/>
        </w:rPr>
        <w:t>除非有招标</w:t>
      </w:r>
      <w:r>
        <w:rPr>
          <w:rFonts w:hint="eastAsia"/>
          <w:snapToGrid w:val="0"/>
          <w:highlight w:val="none"/>
          <w:lang w:val="en-US" w:eastAsia="zh-CN"/>
        </w:rPr>
        <w:t>方</w:t>
      </w:r>
      <w:r>
        <w:rPr>
          <w:rFonts w:hint="eastAsia"/>
          <w:snapToGrid w:val="0"/>
          <w:highlight w:val="none"/>
        </w:rPr>
        <w:t>的书面许可，或该信息已被招标</w:t>
      </w:r>
      <w:r>
        <w:rPr>
          <w:rFonts w:hint="eastAsia"/>
          <w:snapToGrid w:val="0"/>
          <w:highlight w:val="none"/>
          <w:lang w:val="en-US" w:eastAsia="zh-CN"/>
        </w:rPr>
        <w:t>方</w:t>
      </w:r>
      <w:r>
        <w:rPr>
          <w:rFonts w:hint="eastAsia"/>
          <w:snapToGrid w:val="0"/>
          <w:highlight w:val="none"/>
        </w:rPr>
        <w:t>认为不再是商业秘密，或已在社会上公开，中标</w:t>
      </w:r>
      <w:r>
        <w:rPr>
          <w:rFonts w:hint="eastAsia"/>
          <w:snapToGrid w:val="0"/>
          <w:highlight w:val="none"/>
          <w:lang w:val="en-US" w:eastAsia="zh-CN"/>
        </w:rPr>
        <w:t>方</w:t>
      </w:r>
      <w:r>
        <w:rPr>
          <w:rFonts w:hint="eastAsia"/>
          <w:snapToGrid w:val="0"/>
          <w:highlight w:val="none"/>
        </w:rPr>
        <w:t>不得将招标</w:t>
      </w:r>
      <w:r>
        <w:rPr>
          <w:rFonts w:hint="eastAsia"/>
          <w:snapToGrid w:val="0"/>
          <w:highlight w:val="none"/>
          <w:lang w:val="en-US" w:eastAsia="zh-CN"/>
        </w:rPr>
        <w:t>方</w:t>
      </w:r>
      <w:r>
        <w:rPr>
          <w:rFonts w:hint="eastAsia"/>
          <w:snapToGrid w:val="0"/>
          <w:highlight w:val="none"/>
        </w:rPr>
        <w:t>经营信息及商业秘密（包括生产管理的方式方法与资料、系统建设结构图及产品技术资料、系统源代码、客户名单、销售渠道企业战略及其他被认为是商业秘密的信息）对外透露。违反保密约定，需向对方支付合同总额10%的违约金，不足以弥补对方损失的，当另行赔偿。</w:t>
      </w:r>
    </w:p>
    <w:p w14:paraId="0203995A">
      <w:pPr>
        <w:pStyle w:val="58"/>
        <w:rPr>
          <w:highlight w:val="none"/>
        </w:rPr>
      </w:pPr>
      <w:r>
        <w:rPr>
          <w:rFonts w:hint="eastAsia"/>
          <w:highlight w:val="none"/>
          <w:lang w:val="en-US" w:eastAsia="zh-CN"/>
        </w:rPr>
        <w:t>信息安全要求</w:t>
      </w:r>
    </w:p>
    <w:p w14:paraId="4E899056">
      <w:pPr>
        <w:ind w:firstLine="520"/>
        <w:rPr>
          <w:rFonts w:hint="eastAsia" w:eastAsia="宋体" w:cs="Times New Roman"/>
          <w:snapToGrid w:val="0"/>
          <w:highlight w:val="none"/>
        </w:rPr>
      </w:pPr>
      <w:r>
        <w:rPr>
          <w:rFonts w:hint="eastAsia"/>
          <w:highlight w:val="none"/>
          <w:lang w:val="sv-SE"/>
        </w:rPr>
        <w:t>1）</w:t>
      </w:r>
      <w:r>
        <w:rPr>
          <w:rFonts w:hint="eastAsia" w:eastAsia="宋体" w:cs="Times New Roman"/>
          <w:snapToGrid w:val="0"/>
          <w:highlight w:val="none"/>
        </w:rPr>
        <w:t>中标方承诺遵守国家信息安全法律、法规和规章制度，履行维护信息安全的义务。</w:t>
      </w:r>
    </w:p>
    <w:p w14:paraId="5692F0D6">
      <w:pPr>
        <w:ind w:firstLine="520"/>
        <w:rPr>
          <w:rFonts w:hint="eastAsia" w:eastAsia="宋体" w:cs="Times New Roman"/>
          <w:snapToGrid w:val="0"/>
          <w:highlight w:val="none"/>
        </w:rPr>
      </w:pPr>
      <w:r>
        <w:rPr>
          <w:rFonts w:hint="eastAsia"/>
          <w:highlight w:val="none"/>
          <w:lang w:val="en-US" w:eastAsia="zh-CN"/>
        </w:rPr>
        <w:t>2</w:t>
      </w:r>
      <w:r>
        <w:rPr>
          <w:rFonts w:hint="eastAsia"/>
          <w:highlight w:val="none"/>
          <w:lang w:val="sv-SE"/>
        </w:rPr>
        <w:t>）</w:t>
      </w:r>
      <w:r>
        <w:rPr>
          <w:rFonts w:hint="eastAsia" w:eastAsia="宋体" w:cs="Times New Roman"/>
          <w:snapToGrid w:val="0"/>
          <w:highlight w:val="none"/>
        </w:rPr>
        <w:t>中标方承诺遵守南方电网数字电网集团有限公司及其下属各级单位（以下简称“公司”）信息安全相关的规章制度及文件规定，及时传达贯彻招标方对信息安全管理的工作要求和部署。</w:t>
      </w:r>
    </w:p>
    <w:p w14:paraId="6502B6D8">
      <w:pPr>
        <w:ind w:firstLine="520"/>
        <w:rPr>
          <w:rFonts w:hint="eastAsia" w:eastAsia="宋体" w:cs="Times New Roman"/>
          <w:snapToGrid w:val="0"/>
          <w:highlight w:val="none"/>
        </w:rPr>
      </w:pPr>
      <w:r>
        <w:rPr>
          <w:rFonts w:hint="eastAsia"/>
          <w:highlight w:val="none"/>
          <w:lang w:val="en-US" w:eastAsia="zh-CN"/>
        </w:rPr>
        <w:t>3</w:t>
      </w:r>
      <w:r>
        <w:rPr>
          <w:rFonts w:hint="eastAsia"/>
          <w:highlight w:val="none"/>
          <w:lang w:val="sv-SE"/>
        </w:rPr>
        <w:t>）</w:t>
      </w:r>
      <w:r>
        <w:rPr>
          <w:rFonts w:hint="eastAsia" w:eastAsia="宋体" w:cs="Times New Roman"/>
          <w:snapToGrid w:val="0"/>
          <w:highlight w:val="none"/>
        </w:rPr>
        <w:t>中标方项目负责人为中标方信息安全第一责任人，对项目全过程的信息安全负责。中标方承诺按照招标方的要求，积极配合招标方认真抓好日常信息安全管理监督检查工作。</w:t>
      </w:r>
    </w:p>
    <w:p w14:paraId="5825192A">
      <w:pPr>
        <w:ind w:firstLine="520"/>
        <w:rPr>
          <w:rFonts w:hint="eastAsia" w:eastAsia="宋体" w:cs="Times New Roman"/>
          <w:snapToGrid w:val="0"/>
          <w:highlight w:val="none"/>
        </w:rPr>
      </w:pPr>
      <w:r>
        <w:rPr>
          <w:rFonts w:hint="eastAsia"/>
          <w:highlight w:val="none"/>
          <w:lang w:val="en-US" w:eastAsia="zh-CN"/>
        </w:rPr>
        <w:t>4</w:t>
      </w:r>
      <w:r>
        <w:rPr>
          <w:rFonts w:hint="eastAsia"/>
          <w:highlight w:val="none"/>
          <w:lang w:val="sv-SE"/>
        </w:rPr>
        <w:t>）</w:t>
      </w:r>
      <w:r>
        <w:rPr>
          <w:rFonts w:hint="eastAsia" w:eastAsia="宋体" w:cs="Times New Roman"/>
          <w:snapToGrid w:val="0"/>
          <w:highlight w:val="none"/>
        </w:rPr>
        <w:t>一旦判断可能发生或发生信息安全事件时，中标方必须立即向招标方相关人员报告，并按要求采取应急处置措施，保留有关原始记录，接受整改要求，落实整改措施。</w:t>
      </w:r>
    </w:p>
    <w:p w14:paraId="5AA3409F">
      <w:pPr>
        <w:ind w:firstLine="520"/>
        <w:rPr>
          <w:rFonts w:hint="eastAsia" w:eastAsia="宋体" w:cs="Times New Roman"/>
          <w:snapToGrid w:val="0"/>
          <w:highlight w:val="none"/>
        </w:rPr>
      </w:pPr>
      <w:r>
        <w:rPr>
          <w:rFonts w:hint="eastAsia"/>
          <w:highlight w:val="none"/>
          <w:lang w:val="en-US" w:eastAsia="zh-CN"/>
        </w:rPr>
        <w:t>5</w:t>
      </w:r>
      <w:r>
        <w:rPr>
          <w:rFonts w:hint="eastAsia"/>
          <w:highlight w:val="none"/>
          <w:lang w:val="sv-SE"/>
        </w:rPr>
        <w:t>）</w:t>
      </w:r>
      <w:r>
        <w:rPr>
          <w:rFonts w:hint="eastAsia" w:eastAsia="宋体" w:cs="Times New Roman"/>
          <w:snapToGrid w:val="0"/>
          <w:highlight w:val="none"/>
        </w:rPr>
        <w:t>发生信息安全事件后，招标方组织中标方开展事件调查处理工作，招标方有权要求中标方提供相关材料及配合工作，监督中标方按“四不放过”的原则，处理好信息安全事件。</w:t>
      </w:r>
    </w:p>
    <w:p w14:paraId="4AADB590">
      <w:pPr>
        <w:ind w:firstLine="520"/>
        <w:rPr>
          <w:rFonts w:hint="eastAsia"/>
          <w:snapToGrid w:val="0"/>
          <w:highlight w:val="none"/>
        </w:rPr>
      </w:pPr>
      <w:r>
        <w:rPr>
          <w:rFonts w:hint="eastAsia"/>
          <w:highlight w:val="none"/>
          <w:lang w:val="en-US" w:eastAsia="zh-CN"/>
        </w:rPr>
        <w:t>6</w:t>
      </w:r>
      <w:r>
        <w:rPr>
          <w:rFonts w:hint="eastAsia"/>
          <w:highlight w:val="none"/>
          <w:lang w:val="sv-SE"/>
        </w:rPr>
        <w:t>）</w:t>
      </w:r>
      <w:r>
        <w:rPr>
          <w:rFonts w:hint="eastAsia" w:eastAsia="宋体" w:cs="Times New Roman"/>
          <w:snapToGrid w:val="0"/>
          <w:highlight w:val="none"/>
        </w:rPr>
        <w:t>中标方需签订《网络安全协议书》。</w:t>
      </w:r>
    </w:p>
    <w:p w14:paraId="616B2919">
      <w:pPr>
        <w:pStyle w:val="58"/>
        <w:rPr>
          <w:highlight w:val="none"/>
        </w:rPr>
      </w:pPr>
      <w:r>
        <w:rPr>
          <w:rFonts w:hint="eastAsia"/>
          <w:highlight w:val="none"/>
        </w:rPr>
        <w:t>知识产权要求</w:t>
      </w:r>
    </w:p>
    <w:p w14:paraId="6C67ECBE">
      <w:pPr>
        <w:ind w:firstLine="520"/>
        <w:rPr>
          <w:highlight w:val="none"/>
        </w:rPr>
      </w:pPr>
      <w:r>
        <w:rPr>
          <w:rFonts w:hint="eastAsia"/>
          <w:highlight w:val="none"/>
        </w:rPr>
        <w:t>中标</w:t>
      </w:r>
      <w:r>
        <w:rPr>
          <w:rFonts w:hint="eastAsia"/>
          <w:highlight w:val="none"/>
          <w:lang w:val="en-US" w:eastAsia="zh-CN"/>
        </w:rPr>
        <w:t>方</w:t>
      </w:r>
      <w:r>
        <w:rPr>
          <w:rFonts w:hint="eastAsia"/>
          <w:highlight w:val="none"/>
        </w:rPr>
        <w:t>应保证其提供的产品、工具、模型、方法论、源代码、文档、知识资产及服务没有任何权利瑕疵，没有侵犯任何第三方权利。招标</w:t>
      </w:r>
      <w:r>
        <w:rPr>
          <w:rFonts w:hint="eastAsia"/>
          <w:highlight w:val="none"/>
          <w:lang w:val="en-US" w:eastAsia="zh-CN"/>
        </w:rPr>
        <w:t>方</w:t>
      </w:r>
      <w:r>
        <w:rPr>
          <w:rFonts w:hint="eastAsia"/>
          <w:highlight w:val="none"/>
        </w:rPr>
        <w:t>在使用该产品或服务的任何一部分时，免受第三方提出的任何侵犯其知识产权的权利主张。如果任何人对招标</w:t>
      </w:r>
      <w:r>
        <w:rPr>
          <w:rFonts w:hint="eastAsia"/>
          <w:highlight w:val="none"/>
          <w:lang w:val="en-US" w:eastAsia="zh-CN"/>
        </w:rPr>
        <w:t>方</w:t>
      </w:r>
      <w:r>
        <w:rPr>
          <w:rFonts w:hint="eastAsia"/>
          <w:highlight w:val="none"/>
        </w:rPr>
        <w:t>使用该产品及服务主张权利，由中标</w:t>
      </w:r>
      <w:r>
        <w:rPr>
          <w:rFonts w:hint="eastAsia"/>
          <w:highlight w:val="none"/>
          <w:lang w:val="en-US" w:eastAsia="zh-CN"/>
        </w:rPr>
        <w:t>方</w:t>
      </w:r>
      <w:r>
        <w:rPr>
          <w:rFonts w:hint="eastAsia"/>
          <w:highlight w:val="none"/>
        </w:rPr>
        <w:t>负责处理一切纠纷及相关事宜，由此给招标</w:t>
      </w:r>
      <w:r>
        <w:rPr>
          <w:rFonts w:hint="eastAsia"/>
          <w:highlight w:val="none"/>
          <w:lang w:val="en-US" w:eastAsia="zh-CN"/>
        </w:rPr>
        <w:t>方</w:t>
      </w:r>
      <w:r>
        <w:rPr>
          <w:rFonts w:hint="eastAsia"/>
          <w:highlight w:val="none"/>
        </w:rPr>
        <w:t>造成的损失，由中标</w:t>
      </w:r>
      <w:r>
        <w:rPr>
          <w:rFonts w:hint="eastAsia"/>
          <w:highlight w:val="none"/>
          <w:lang w:val="en-US" w:eastAsia="zh-CN"/>
        </w:rPr>
        <w:t>方</w:t>
      </w:r>
      <w:r>
        <w:rPr>
          <w:rFonts w:hint="eastAsia"/>
          <w:highlight w:val="none"/>
        </w:rPr>
        <w:t>承担。</w:t>
      </w:r>
    </w:p>
    <w:p w14:paraId="07836EA5">
      <w:pPr>
        <w:ind w:firstLine="520"/>
        <w:rPr>
          <w:highlight w:val="none"/>
        </w:rPr>
      </w:pPr>
      <w:r>
        <w:rPr>
          <w:rFonts w:hint="eastAsia"/>
          <w:highlight w:val="none"/>
        </w:rPr>
        <w:t>中标</w:t>
      </w:r>
      <w:r>
        <w:rPr>
          <w:rFonts w:hint="eastAsia"/>
          <w:highlight w:val="none"/>
          <w:lang w:val="en-US" w:eastAsia="zh-CN"/>
        </w:rPr>
        <w:t>方</w:t>
      </w:r>
      <w:r>
        <w:rPr>
          <w:rFonts w:hint="eastAsia"/>
          <w:highlight w:val="none"/>
        </w:rPr>
        <w:t>向招标</w:t>
      </w:r>
      <w:r>
        <w:rPr>
          <w:rFonts w:hint="eastAsia"/>
          <w:highlight w:val="none"/>
          <w:lang w:val="en-US" w:eastAsia="zh-CN"/>
        </w:rPr>
        <w:t>方</w:t>
      </w:r>
      <w:r>
        <w:rPr>
          <w:rFonts w:hint="eastAsia"/>
          <w:highlight w:val="none"/>
        </w:rPr>
        <w:t>提交的本项目所有工作成果的知识产权归招标</w:t>
      </w:r>
      <w:r>
        <w:rPr>
          <w:rFonts w:hint="eastAsia"/>
          <w:highlight w:val="none"/>
          <w:lang w:val="en-US" w:eastAsia="zh-CN"/>
        </w:rPr>
        <w:t>方</w:t>
      </w:r>
      <w:r>
        <w:rPr>
          <w:rFonts w:hint="eastAsia"/>
          <w:highlight w:val="none"/>
        </w:rPr>
        <w:t>所有，包括但不限于中标</w:t>
      </w:r>
      <w:r>
        <w:rPr>
          <w:rFonts w:hint="eastAsia"/>
          <w:highlight w:val="none"/>
          <w:lang w:val="en-US" w:eastAsia="zh-CN"/>
        </w:rPr>
        <w:t>方</w:t>
      </w:r>
      <w:r>
        <w:rPr>
          <w:rFonts w:hint="eastAsia"/>
          <w:highlight w:val="none"/>
        </w:rPr>
        <w:t>在本项目中开发的软件及相关文件和文档的版权等。由本项目开发而形成商业秘密信息、技术资料、技术诀窍等智力成果归招标</w:t>
      </w:r>
      <w:r>
        <w:rPr>
          <w:rFonts w:hint="eastAsia"/>
          <w:highlight w:val="none"/>
          <w:lang w:val="en-US" w:eastAsia="zh-CN"/>
        </w:rPr>
        <w:t>方</w:t>
      </w:r>
      <w:r>
        <w:rPr>
          <w:rFonts w:hint="eastAsia"/>
          <w:highlight w:val="none"/>
        </w:rPr>
        <w:t>所有。</w:t>
      </w:r>
    </w:p>
    <w:p w14:paraId="6DC9CD69">
      <w:pPr>
        <w:ind w:firstLine="520"/>
        <w:rPr>
          <w:rFonts w:hint="eastAsia"/>
          <w:highlight w:val="none"/>
        </w:rPr>
      </w:pPr>
      <w:r>
        <w:rPr>
          <w:rFonts w:hint="eastAsia"/>
          <w:highlight w:val="none"/>
        </w:rPr>
        <w:t>未经招标</w:t>
      </w:r>
      <w:r>
        <w:rPr>
          <w:rFonts w:hint="eastAsia"/>
          <w:highlight w:val="none"/>
          <w:lang w:val="en-US" w:eastAsia="zh-CN"/>
        </w:rPr>
        <w:t>方</w:t>
      </w:r>
      <w:r>
        <w:rPr>
          <w:rFonts w:hint="eastAsia"/>
          <w:highlight w:val="none"/>
        </w:rPr>
        <w:t>书面许可，中标</w:t>
      </w:r>
      <w:r>
        <w:rPr>
          <w:rFonts w:hint="eastAsia"/>
          <w:highlight w:val="none"/>
          <w:lang w:val="en-US" w:eastAsia="zh-CN"/>
        </w:rPr>
        <w:t>方</w:t>
      </w:r>
      <w:r>
        <w:rPr>
          <w:rFonts w:hint="eastAsia"/>
          <w:highlight w:val="none"/>
        </w:rPr>
        <w:t>及其任何人员均不得行使本项目工作成果的任何知识产权。</w:t>
      </w:r>
    </w:p>
    <w:p w14:paraId="1F690681">
      <w:pPr>
        <w:ind w:firstLine="520"/>
        <w:rPr>
          <w:rFonts w:hint="eastAsia"/>
          <w:highlight w:val="none"/>
        </w:rPr>
      </w:pPr>
    </w:p>
    <w:p w14:paraId="3F1279BC">
      <w:pPr>
        <w:pStyle w:val="2"/>
        <w:rPr>
          <w:rFonts w:hint="eastAsia"/>
          <w:highlight w:val="none"/>
        </w:rPr>
      </w:pPr>
      <w:r>
        <w:rPr>
          <w:rFonts w:hint="eastAsia"/>
          <w:highlight w:val="none"/>
          <w:lang w:val="en-US" w:eastAsia="zh-CN"/>
        </w:rPr>
        <w:t>服务评价</w:t>
      </w:r>
    </w:p>
    <w:p w14:paraId="7534BC3F">
      <w:pPr>
        <w:ind w:firstLine="520"/>
        <w:rPr>
          <w:rFonts w:hint="eastAsia" w:ascii="Calibri" w:hAnsi="Calibri" w:cs="Times New Roman"/>
          <w:sz w:val="24"/>
          <w:szCs w:val="24"/>
          <w:highlight w:val="none"/>
          <w:lang w:eastAsia="zh-CN"/>
        </w:rPr>
      </w:pPr>
      <w:r>
        <w:rPr>
          <w:rFonts w:hint="eastAsia" w:ascii="Calibri" w:hAnsi="Calibri" w:cs="Times New Roman"/>
          <w:sz w:val="24"/>
          <w:szCs w:val="24"/>
          <w:highlight w:val="none"/>
          <w:lang w:eastAsia="zh-CN"/>
        </w:rPr>
        <w:t>招标人</w:t>
      </w:r>
      <w:r>
        <w:rPr>
          <w:rFonts w:hint="eastAsia" w:cs="Times New Roman"/>
          <w:sz w:val="24"/>
          <w:szCs w:val="24"/>
          <w:highlight w:val="none"/>
          <w:lang w:val="en-US" w:eastAsia="zh-CN"/>
        </w:rPr>
        <w:t>可根据项目实际情况，</w:t>
      </w:r>
      <w:r>
        <w:rPr>
          <w:rFonts w:hint="eastAsia" w:ascii="Calibri" w:hAnsi="Calibri" w:cs="Times New Roman"/>
          <w:sz w:val="24"/>
          <w:szCs w:val="24"/>
          <w:highlight w:val="none"/>
          <w:lang w:eastAsia="zh-CN"/>
        </w:rPr>
        <w:t>按照以下方式，对投标人提供的服务进行考核评价，起始总分为100分。</w:t>
      </w:r>
    </w:p>
    <w:tbl>
      <w:tblPr>
        <w:tblStyle w:val="30"/>
        <w:tblW w:w="50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90"/>
        <w:gridCol w:w="864"/>
        <w:gridCol w:w="1946"/>
        <w:gridCol w:w="3027"/>
        <w:gridCol w:w="661"/>
        <w:gridCol w:w="1388"/>
      </w:tblGrid>
      <w:tr w14:paraId="125A8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7" w:hRule="atLeast"/>
          <w:tblHeader/>
          <w:jc w:val="center"/>
        </w:trPr>
        <w:tc>
          <w:tcPr>
            <w:tcW w:w="589" w:type="dxa"/>
            <w:shd w:val="clear" w:color="auto" w:fill="F1F1F1" w:themeFill="background1" w:themeFillShade="F2"/>
            <w:vAlign w:val="center"/>
          </w:tcPr>
          <w:p w14:paraId="176A314E">
            <w:pPr>
              <w:pStyle w:val="68"/>
              <w:bidi w:val="0"/>
              <w:ind w:left="0" w:leftChars="0" w:firstLine="0" w:firstLineChars="0"/>
              <w:jc w:val="center"/>
              <w:rPr>
                <w:color w:val="auto"/>
                <w:highlight w:val="none"/>
              </w:rPr>
            </w:pPr>
            <w:r>
              <w:rPr>
                <w:rFonts w:ascii="宋体" w:hAnsi="宋体" w:eastAsia="宋体" w:cs="宋体"/>
                <w:color w:val="auto"/>
                <w:highlight w:val="none"/>
              </w:rPr>
              <w:t>序号</w:t>
            </w:r>
          </w:p>
        </w:tc>
        <w:tc>
          <w:tcPr>
            <w:tcW w:w="863" w:type="dxa"/>
            <w:shd w:val="clear" w:color="auto" w:fill="F1F1F1" w:themeFill="background1" w:themeFillShade="F2"/>
            <w:vAlign w:val="center"/>
          </w:tcPr>
          <w:p w14:paraId="1F4E276C">
            <w:pPr>
              <w:pStyle w:val="68"/>
              <w:bidi w:val="0"/>
              <w:ind w:left="0" w:leftChars="0" w:firstLine="0" w:firstLineChars="0"/>
              <w:jc w:val="center"/>
              <w:rPr>
                <w:color w:val="auto"/>
                <w:highlight w:val="none"/>
              </w:rPr>
            </w:pPr>
            <w:r>
              <w:rPr>
                <w:color w:val="auto"/>
                <w:highlight w:val="none"/>
              </w:rPr>
              <w:t>评价分类</w:t>
            </w:r>
          </w:p>
        </w:tc>
        <w:tc>
          <w:tcPr>
            <w:tcW w:w="1944" w:type="dxa"/>
            <w:shd w:val="clear" w:color="auto" w:fill="F1F1F1" w:themeFill="background1" w:themeFillShade="F2"/>
            <w:vAlign w:val="center"/>
          </w:tcPr>
          <w:p w14:paraId="753609A3">
            <w:pPr>
              <w:pStyle w:val="68"/>
              <w:bidi w:val="0"/>
              <w:ind w:left="0" w:leftChars="0" w:firstLine="0" w:firstLineChars="0"/>
              <w:jc w:val="center"/>
              <w:rPr>
                <w:rFonts w:hint="default"/>
                <w:color w:val="auto"/>
                <w:highlight w:val="none"/>
                <w:lang w:val="en-US"/>
              </w:rPr>
            </w:pPr>
            <w:r>
              <w:rPr>
                <w:rFonts w:hint="eastAsia"/>
                <w:color w:val="auto"/>
                <w:highlight w:val="none"/>
                <w:lang w:val="en-US" w:eastAsia="zh-CN"/>
              </w:rPr>
              <w:t>考核项</w:t>
            </w:r>
          </w:p>
        </w:tc>
        <w:tc>
          <w:tcPr>
            <w:tcW w:w="3024" w:type="dxa"/>
            <w:shd w:val="clear" w:color="auto" w:fill="F1F1F1" w:themeFill="background1" w:themeFillShade="F2"/>
            <w:vAlign w:val="center"/>
          </w:tcPr>
          <w:p w14:paraId="189F88EE">
            <w:pPr>
              <w:pStyle w:val="68"/>
              <w:bidi w:val="0"/>
              <w:ind w:firstLine="0" w:firstLineChars="0"/>
              <w:jc w:val="center"/>
              <w:rPr>
                <w:color w:val="auto"/>
                <w:highlight w:val="none"/>
              </w:rPr>
            </w:pPr>
            <w:r>
              <w:rPr>
                <w:color w:val="auto"/>
                <w:highlight w:val="none"/>
              </w:rPr>
              <w:t>计算办法或说明</w:t>
            </w:r>
          </w:p>
        </w:tc>
        <w:tc>
          <w:tcPr>
            <w:tcW w:w="660" w:type="dxa"/>
            <w:shd w:val="clear" w:color="auto" w:fill="F1F1F1" w:themeFill="background1" w:themeFillShade="F2"/>
            <w:vAlign w:val="center"/>
          </w:tcPr>
          <w:p w14:paraId="0DB096D7">
            <w:pPr>
              <w:pStyle w:val="68"/>
              <w:bidi w:val="0"/>
              <w:ind w:left="0" w:leftChars="0" w:firstLine="0" w:firstLineChars="0"/>
              <w:jc w:val="center"/>
              <w:rPr>
                <w:rFonts w:hint="default" w:eastAsia="宋体"/>
                <w:color w:val="auto"/>
                <w:highlight w:val="none"/>
                <w:lang w:val="en-US" w:eastAsia="zh-CN"/>
              </w:rPr>
            </w:pPr>
            <w:r>
              <w:rPr>
                <w:rFonts w:hint="eastAsia" w:eastAsia="宋体"/>
                <w:color w:val="auto"/>
                <w:highlight w:val="none"/>
                <w:lang w:val="en-US" w:eastAsia="zh-CN"/>
              </w:rPr>
              <w:t>扣分标准</w:t>
            </w:r>
          </w:p>
        </w:tc>
        <w:tc>
          <w:tcPr>
            <w:tcW w:w="1387" w:type="dxa"/>
            <w:shd w:val="clear" w:color="auto" w:fill="F1F1F1" w:themeFill="background1" w:themeFillShade="F2"/>
            <w:vAlign w:val="center"/>
          </w:tcPr>
          <w:p w14:paraId="3DF191E8">
            <w:pPr>
              <w:pStyle w:val="68"/>
              <w:bidi w:val="0"/>
              <w:ind w:left="0" w:leftChars="0" w:firstLine="0" w:firstLineChars="0"/>
              <w:jc w:val="center"/>
              <w:rPr>
                <w:color w:val="auto"/>
                <w:highlight w:val="none"/>
              </w:rPr>
            </w:pPr>
            <w:r>
              <w:rPr>
                <w:rFonts w:hint="eastAsia"/>
                <w:color w:val="auto"/>
                <w:highlight w:val="none"/>
                <w:lang w:val="en-US" w:eastAsia="zh-CN"/>
              </w:rPr>
              <w:t>扣分</w:t>
            </w:r>
            <w:r>
              <w:rPr>
                <w:color w:val="auto"/>
                <w:highlight w:val="none"/>
              </w:rPr>
              <w:t>来源</w:t>
            </w:r>
          </w:p>
        </w:tc>
      </w:tr>
      <w:tr w14:paraId="35EE1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76" w:hRule="atLeast"/>
          <w:jc w:val="center"/>
        </w:trPr>
        <w:tc>
          <w:tcPr>
            <w:tcW w:w="589" w:type="dxa"/>
            <w:vAlign w:val="center"/>
          </w:tcPr>
          <w:p w14:paraId="391B4C51">
            <w:pPr>
              <w:pStyle w:val="68"/>
              <w:bidi w:val="0"/>
              <w:ind w:left="0" w:leftChars="0" w:firstLine="0" w:firstLineChars="0"/>
              <w:jc w:val="center"/>
              <w:rPr>
                <w:rFonts w:hint="default"/>
                <w:highlight w:val="none"/>
                <w:lang w:val="en-US" w:eastAsia="zh-CN"/>
              </w:rPr>
            </w:pPr>
            <w:r>
              <w:rPr>
                <w:rFonts w:hint="eastAsia"/>
                <w:highlight w:val="none"/>
                <w:lang w:val="en-US" w:eastAsia="zh-CN"/>
              </w:rPr>
              <w:t>1</w:t>
            </w:r>
          </w:p>
        </w:tc>
        <w:tc>
          <w:tcPr>
            <w:tcW w:w="863" w:type="dxa"/>
            <w:vMerge w:val="restart"/>
            <w:vAlign w:val="center"/>
          </w:tcPr>
          <w:p w14:paraId="5848E08F">
            <w:pPr>
              <w:pStyle w:val="68"/>
              <w:bidi w:val="0"/>
              <w:ind w:left="0" w:leftChars="0" w:firstLine="0" w:firstLineChars="0"/>
              <w:jc w:val="center"/>
              <w:rPr>
                <w:highlight w:val="none"/>
              </w:rPr>
            </w:pPr>
            <w:r>
              <w:rPr>
                <w:highlight w:val="none"/>
              </w:rPr>
              <w:t>网络安全事件</w:t>
            </w:r>
          </w:p>
          <w:p w14:paraId="66AC9F14">
            <w:pPr>
              <w:pStyle w:val="68"/>
              <w:bidi w:val="0"/>
              <w:ind w:left="0" w:leftChars="0" w:firstLine="0" w:firstLineChars="0"/>
              <w:jc w:val="center"/>
              <w:rPr>
                <w:highlight w:val="none"/>
              </w:rPr>
            </w:pPr>
          </w:p>
        </w:tc>
        <w:tc>
          <w:tcPr>
            <w:tcW w:w="1944" w:type="dxa"/>
            <w:vMerge w:val="restart"/>
            <w:vAlign w:val="center"/>
          </w:tcPr>
          <w:p w14:paraId="61273AAD">
            <w:pPr>
              <w:pStyle w:val="68"/>
              <w:bidi w:val="0"/>
              <w:ind w:left="0" w:leftChars="0" w:firstLine="0" w:firstLineChars="0"/>
              <w:jc w:val="center"/>
              <w:rPr>
                <w:highlight w:val="none"/>
              </w:rPr>
            </w:pPr>
            <w:r>
              <w:rPr>
                <w:highlight w:val="none"/>
              </w:rPr>
              <w:t>网络安全事件通报</w:t>
            </w:r>
          </w:p>
          <w:p w14:paraId="0796A24E">
            <w:pPr>
              <w:pStyle w:val="68"/>
              <w:bidi w:val="0"/>
              <w:ind w:left="0" w:leftChars="0" w:firstLine="0" w:firstLineChars="0"/>
              <w:jc w:val="center"/>
              <w:rPr>
                <w:highlight w:val="none"/>
              </w:rPr>
            </w:pPr>
          </w:p>
        </w:tc>
        <w:tc>
          <w:tcPr>
            <w:tcW w:w="3024" w:type="dxa"/>
            <w:vAlign w:val="center"/>
          </w:tcPr>
          <w:p w14:paraId="5D7DF897">
            <w:pPr>
              <w:pStyle w:val="68"/>
              <w:bidi w:val="0"/>
              <w:ind w:left="0" w:leftChars="0" w:firstLine="0" w:firstLineChars="0"/>
              <w:jc w:val="left"/>
              <w:rPr>
                <w:highlight w:val="none"/>
              </w:rPr>
            </w:pPr>
            <w:r>
              <w:rPr>
                <w:highlight w:val="none"/>
              </w:rPr>
              <w:t>每发生一次</w:t>
            </w:r>
            <w:r>
              <w:rPr>
                <w:rFonts w:hint="eastAsia"/>
                <w:highlight w:val="none"/>
              </w:rPr>
              <w:t>Ⅲ级及以上</w:t>
            </w:r>
            <w:r>
              <w:rPr>
                <w:highlight w:val="none"/>
              </w:rPr>
              <w:t>网络安全事件</w:t>
            </w:r>
          </w:p>
        </w:tc>
        <w:tc>
          <w:tcPr>
            <w:tcW w:w="660" w:type="dxa"/>
            <w:vAlign w:val="center"/>
          </w:tcPr>
          <w:p w14:paraId="47D4397F">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20</w:t>
            </w:r>
          </w:p>
        </w:tc>
        <w:tc>
          <w:tcPr>
            <w:tcW w:w="1387" w:type="dxa"/>
            <w:vAlign w:val="center"/>
          </w:tcPr>
          <w:p w14:paraId="7B1FDD6F">
            <w:pPr>
              <w:pStyle w:val="68"/>
              <w:bidi w:val="0"/>
              <w:ind w:left="0" w:leftChars="0" w:firstLine="0" w:firstLineChars="0"/>
              <w:jc w:val="center"/>
              <w:rPr>
                <w:highlight w:val="none"/>
              </w:rPr>
            </w:pPr>
            <w:r>
              <w:rPr>
                <w:highlight w:val="none"/>
              </w:rPr>
              <w:t>上级单位通报</w:t>
            </w:r>
          </w:p>
        </w:tc>
      </w:tr>
      <w:tr w14:paraId="0BE1E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89" w:type="dxa"/>
            <w:vMerge w:val="restart"/>
            <w:vAlign w:val="center"/>
          </w:tcPr>
          <w:p w14:paraId="542D9D89">
            <w:pPr>
              <w:pStyle w:val="68"/>
              <w:bidi w:val="0"/>
              <w:ind w:left="0" w:leftChars="0" w:firstLine="0" w:firstLineChars="0"/>
              <w:jc w:val="center"/>
              <w:rPr>
                <w:rFonts w:hint="default"/>
                <w:highlight w:val="none"/>
                <w:lang w:val="en-US" w:eastAsia="zh-CN"/>
              </w:rPr>
            </w:pPr>
            <w:r>
              <w:rPr>
                <w:rFonts w:hint="eastAsia"/>
                <w:highlight w:val="none"/>
                <w:lang w:val="en-US" w:eastAsia="zh-CN"/>
              </w:rPr>
              <w:t>2</w:t>
            </w:r>
          </w:p>
        </w:tc>
        <w:tc>
          <w:tcPr>
            <w:tcW w:w="863" w:type="dxa"/>
            <w:vMerge w:val="continue"/>
            <w:vAlign w:val="center"/>
          </w:tcPr>
          <w:p w14:paraId="32D3B004">
            <w:pPr>
              <w:pStyle w:val="68"/>
              <w:bidi w:val="0"/>
              <w:ind w:left="0" w:leftChars="0" w:firstLine="0" w:firstLineChars="0"/>
              <w:jc w:val="center"/>
              <w:rPr>
                <w:highlight w:val="none"/>
              </w:rPr>
            </w:pPr>
          </w:p>
        </w:tc>
        <w:tc>
          <w:tcPr>
            <w:tcW w:w="1944" w:type="dxa"/>
            <w:vMerge w:val="continue"/>
            <w:vAlign w:val="center"/>
          </w:tcPr>
          <w:p w14:paraId="7CC05C1C">
            <w:pPr>
              <w:pStyle w:val="68"/>
              <w:bidi w:val="0"/>
              <w:ind w:left="0" w:leftChars="0" w:firstLine="0" w:firstLineChars="0"/>
              <w:jc w:val="center"/>
              <w:rPr>
                <w:highlight w:val="none"/>
              </w:rPr>
            </w:pPr>
          </w:p>
        </w:tc>
        <w:tc>
          <w:tcPr>
            <w:tcW w:w="3024" w:type="dxa"/>
            <w:vAlign w:val="center"/>
          </w:tcPr>
          <w:p w14:paraId="0B07D378">
            <w:pPr>
              <w:pStyle w:val="68"/>
              <w:bidi w:val="0"/>
              <w:ind w:left="0" w:leftChars="0" w:firstLine="0" w:firstLineChars="0"/>
              <w:jc w:val="left"/>
              <w:rPr>
                <w:highlight w:val="none"/>
              </w:rPr>
            </w:pPr>
            <w:r>
              <w:rPr>
                <w:highlight w:val="none"/>
              </w:rPr>
              <w:t>每发生一次IV级网络安全事件</w:t>
            </w:r>
          </w:p>
        </w:tc>
        <w:tc>
          <w:tcPr>
            <w:tcW w:w="660" w:type="dxa"/>
            <w:vAlign w:val="center"/>
          </w:tcPr>
          <w:p w14:paraId="34929267">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15</w:t>
            </w:r>
          </w:p>
        </w:tc>
        <w:tc>
          <w:tcPr>
            <w:tcW w:w="1387" w:type="dxa"/>
            <w:vAlign w:val="center"/>
          </w:tcPr>
          <w:p w14:paraId="02484B20">
            <w:pPr>
              <w:pStyle w:val="68"/>
              <w:bidi w:val="0"/>
              <w:ind w:left="0" w:leftChars="0" w:firstLine="0" w:firstLineChars="0"/>
              <w:jc w:val="center"/>
              <w:rPr>
                <w:highlight w:val="none"/>
              </w:rPr>
            </w:pPr>
            <w:r>
              <w:rPr>
                <w:highlight w:val="none"/>
              </w:rPr>
              <w:t>上级单位通报</w:t>
            </w:r>
          </w:p>
        </w:tc>
      </w:tr>
      <w:tr w14:paraId="15C2D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7" w:hRule="atLeast"/>
          <w:jc w:val="center"/>
        </w:trPr>
        <w:tc>
          <w:tcPr>
            <w:tcW w:w="589" w:type="dxa"/>
            <w:vMerge w:val="continue"/>
            <w:vAlign w:val="center"/>
          </w:tcPr>
          <w:p w14:paraId="0F6F37DA">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4864C0CF">
            <w:pPr>
              <w:pStyle w:val="68"/>
              <w:bidi w:val="0"/>
              <w:ind w:left="0" w:leftChars="0" w:firstLine="0" w:firstLineChars="0"/>
              <w:jc w:val="center"/>
              <w:rPr>
                <w:highlight w:val="none"/>
              </w:rPr>
            </w:pPr>
          </w:p>
        </w:tc>
        <w:tc>
          <w:tcPr>
            <w:tcW w:w="1944" w:type="dxa"/>
            <w:vMerge w:val="continue"/>
            <w:vAlign w:val="center"/>
          </w:tcPr>
          <w:p w14:paraId="7CA89220">
            <w:pPr>
              <w:pStyle w:val="68"/>
              <w:bidi w:val="0"/>
              <w:ind w:left="0" w:leftChars="0" w:firstLine="0" w:firstLineChars="0"/>
              <w:jc w:val="center"/>
              <w:rPr>
                <w:highlight w:val="none"/>
              </w:rPr>
            </w:pPr>
          </w:p>
        </w:tc>
        <w:tc>
          <w:tcPr>
            <w:tcW w:w="3024" w:type="dxa"/>
            <w:vAlign w:val="center"/>
          </w:tcPr>
          <w:p w14:paraId="3DB18F27">
            <w:pPr>
              <w:pStyle w:val="68"/>
              <w:bidi w:val="0"/>
              <w:ind w:left="0" w:leftChars="0" w:firstLine="0" w:firstLineChars="0"/>
              <w:jc w:val="left"/>
              <w:rPr>
                <w:highlight w:val="none"/>
              </w:rPr>
            </w:pPr>
            <w:r>
              <w:rPr>
                <w:highlight w:val="none"/>
              </w:rPr>
              <w:t>每发生一次V级网络安全事件</w:t>
            </w:r>
          </w:p>
        </w:tc>
        <w:tc>
          <w:tcPr>
            <w:tcW w:w="660" w:type="dxa"/>
            <w:vAlign w:val="center"/>
          </w:tcPr>
          <w:p w14:paraId="45D59481">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10</w:t>
            </w:r>
          </w:p>
        </w:tc>
        <w:tc>
          <w:tcPr>
            <w:tcW w:w="1387" w:type="dxa"/>
            <w:vAlign w:val="center"/>
          </w:tcPr>
          <w:p w14:paraId="514B1598">
            <w:pPr>
              <w:pStyle w:val="68"/>
              <w:bidi w:val="0"/>
              <w:ind w:left="0" w:leftChars="0" w:firstLine="0" w:firstLineChars="0"/>
              <w:jc w:val="center"/>
              <w:rPr>
                <w:highlight w:val="none"/>
              </w:rPr>
            </w:pPr>
            <w:r>
              <w:rPr>
                <w:highlight w:val="none"/>
              </w:rPr>
              <w:t>上级单位通报</w:t>
            </w:r>
          </w:p>
        </w:tc>
      </w:tr>
      <w:tr w14:paraId="6D9A2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40" w:hRule="atLeast"/>
          <w:jc w:val="center"/>
        </w:trPr>
        <w:tc>
          <w:tcPr>
            <w:tcW w:w="589" w:type="dxa"/>
            <w:vMerge w:val="continue"/>
            <w:vAlign w:val="center"/>
          </w:tcPr>
          <w:p w14:paraId="0F668154">
            <w:pPr>
              <w:pStyle w:val="68"/>
              <w:bidi w:val="0"/>
              <w:ind w:left="0" w:leftChars="0" w:firstLine="0" w:firstLineChars="0"/>
              <w:jc w:val="center"/>
              <w:rPr>
                <w:rFonts w:hint="default"/>
                <w:highlight w:val="none"/>
                <w:lang w:val="en-US" w:eastAsia="zh-CN"/>
              </w:rPr>
            </w:pPr>
          </w:p>
        </w:tc>
        <w:tc>
          <w:tcPr>
            <w:tcW w:w="863" w:type="dxa"/>
            <w:vMerge w:val="continue"/>
            <w:vAlign w:val="center"/>
          </w:tcPr>
          <w:p w14:paraId="2A3184BE">
            <w:pPr>
              <w:pStyle w:val="68"/>
              <w:bidi w:val="0"/>
              <w:ind w:left="0" w:leftChars="0" w:firstLine="0" w:firstLineChars="0"/>
              <w:jc w:val="center"/>
              <w:rPr>
                <w:highlight w:val="none"/>
              </w:rPr>
            </w:pPr>
          </w:p>
        </w:tc>
        <w:tc>
          <w:tcPr>
            <w:tcW w:w="1944" w:type="dxa"/>
            <w:vMerge w:val="continue"/>
            <w:vAlign w:val="center"/>
          </w:tcPr>
          <w:p w14:paraId="3B525E5E">
            <w:pPr>
              <w:pStyle w:val="68"/>
              <w:bidi w:val="0"/>
              <w:ind w:left="0" w:leftChars="0" w:firstLine="0" w:firstLineChars="0"/>
              <w:jc w:val="center"/>
              <w:rPr>
                <w:highlight w:val="none"/>
              </w:rPr>
            </w:pPr>
          </w:p>
        </w:tc>
        <w:tc>
          <w:tcPr>
            <w:tcW w:w="3024" w:type="dxa"/>
            <w:vAlign w:val="center"/>
          </w:tcPr>
          <w:p w14:paraId="62353C04">
            <w:pPr>
              <w:pStyle w:val="68"/>
              <w:bidi w:val="0"/>
              <w:ind w:left="0" w:leftChars="0" w:firstLine="0" w:firstLineChars="0"/>
              <w:jc w:val="left"/>
              <w:rPr>
                <w:rFonts w:hint="eastAsia" w:eastAsia="宋体"/>
                <w:highlight w:val="none"/>
                <w:lang w:val="en-US" w:eastAsia="zh-CN"/>
              </w:rPr>
            </w:pPr>
            <w:r>
              <w:rPr>
                <w:highlight w:val="none"/>
              </w:rPr>
              <w:t>未达到V级网络安全事件级别，但属于严重违反网络安全法律法规及公司网络安全规章制度行为的情况，每发生一</w:t>
            </w:r>
            <w:r>
              <w:rPr>
                <w:rFonts w:hint="eastAsia"/>
                <w:highlight w:val="none"/>
                <w:lang w:val="en-US" w:eastAsia="zh-CN"/>
              </w:rPr>
              <w:t>次</w:t>
            </w:r>
          </w:p>
        </w:tc>
        <w:tc>
          <w:tcPr>
            <w:tcW w:w="660" w:type="dxa"/>
            <w:vAlign w:val="center"/>
          </w:tcPr>
          <w:p w14:paraId="6D5D8AE0">
            <w:pPr>
              <w:pStyle w:val="68"/>
              <w:bidi w:val="0"/>
              <w:ind w:left="0" w:leftChars="0" w:firstLine="0" w:firstLineChars="0"/>
              <w:jc w:val="center"/>
              <w:rPr>
                <w:rFonts w:hint="eastAsia" w:eastAsia="宋体"/>
                <w:highlight w:val="none"/>
                <w:lang w:val="en-US" w:eastAsia="zh-CN"/>
              </w:rPr>
            </w:pPr>
            <w:r>
              <w:rPr>
                <w:rFonts w:hint="eastAsia"/>
                <w:highlight w:val="none"/>
                <w:lang w:val="en-US" w:eastAsia="zh-CN"/>
              </w:rPr>
              <w:t>5</w:t>
            </w:r>
          </w:p>
        </w:tc>
        <w:tc>
          <w:tcPr>
            <w:tcW w:w="1387" w:type="dxa"/>
            <w:vAlign w:val="center"/>
          </w:tcPr>
          <w:p w14:paraId="51F021D7">
            <w:pPr>
              <w:pStyle w:val="68"/>
              <w:bidi w:val="0"/>
              <w:ind w:left="0" w:leftChars="0" w:firstLine="0" w:firstLineChars="0"/>
              <w:jc w:val="center"/>
              <w:rPr>
                <w:highlight w:val="none"/>
              </w:rPr>
            </w:pPr>
            <w:r>
              <w:rPr>
                <w:highlight w:val="none"/>
              </w:rPr>
              <w:t>上级单位通报</w:t>
            </w:r>
          </w:p>
        </w:tc>
      </w:tr>
      <w:tr w14:paraId="2C092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3" w:hRule="atLeast"/>
          <w:jc w:val="center"/>
        </w:trPr>
        <w:tc>
          <w:tcPr>
            <w:tcW w:w="589" w:type="dxa"/>
            <w:vMerge w:val="restart"/>
            <w:vAlign w:val="center"/>
          </w:tcPr>
          <w:p w14:paraId="391EC789">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3</w:t>
            </w:r>
          </w:p>
        </w:tc>
        <w:tc>
          <w:tcPr>
            <w:tcW w:w="863" w:type="dxa"/>
            <w:vMerge w:val="restart"/>
            <w:vAlign w:val="center"/>
          </w:tcPr>
          <w:p w14:paraId="3D785B68">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服务投诉</w:t>
            </w:r>
          </w:p>
        </w:tc>
        <w:tc>
          <w:tcPr>
            <w:tcW w:w="1944" w:type="dxa"/>
            <w:vMerge w:val="restart"/>
            <w:vAlign w:val="center"/>
          </w:tcPr>
          <w:p w14:paraId="71972CBC">
            <w:pPr>
              <w:pStyle w:val="68"/>
              <w:bidi w:val="0"/>
              <w:ind w:left="0" w:leftChars="0" w:firstLine="0" w:firstLineChars="0"/>
              <w:jc w:val="center"/>
              <w:rPr>
                <w:highlight w:val="none"/>
              </w:rPr>
            </w:pPr>
            <w:r>
              <w:rPr>
                <w:highlight w:val="none"/>
              </w:rPr>
              <w:t>业务部门服务投诉，造成较大舆论或严重影响</w:t>
            </w:r>
          </w:p>
        </w:tc>
        <w:tc>
          <w:tcPr>
            <w:tcW w:w="3024" w:type="dxa"/>
            <w:vAlign w:val="center"/>
          </w:tcPr>
          <w:p w14:paraId="2EEDA1F0">
            <w:pPr>
              <w:pStyle w:val="68"/>
              <w:bidi w:val="0"/>
              <w:ind w:left="0" w:leftChars="0" w:firstLine="0" w:firstLineChars="0"/>
              <w:jc w:val="left"/>
              <w:rPr>
                <w:highlight w:val="none"/>
              </w:rPr>
            </w:pPr>
            <w:r>
              <w:rPr>
                <w:highlight w:val="none"/>
              </w:rPr>
              <w:t>每发生一次</w:t>
            </w:r>
            <w:r>
              <w:rPr>
                <w:rFonts w:hint="eastAsia"/>
                <w:highlight w:val="none"/>
                <w:lang w:eastAsia="zh-CN"/>
              </w:rPr>
              <w:t>因服务质量</w:t>
            </w:r>
            <w:r>
              <w:rPr>
                <w:highlight w:val="none"/>
              </w:rPr>
              <w:t>，业务部门投诉到网公司级事件</w:t>
            </w:r>
          </w:p>
        </w:tc>
        <w:tc>
          <w:tcPr>
            <w:tcW w:w="660" w:type="dxa"/>
            <w:vAlign w:val="center"/>
          </w:tcPr>
          <w:p w14:paraId="33F994A1">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20</w:t>
            </w:r>
          </w:p>
        </w:tc>
        <w:tc>
          <w:tcPr>
            <w:tcW w:w="1387" w:type="dxa"/>
            <w:vAlign w:val="center"/>
          </w:tcPr>
          <w:p w14:paraId="0667E09C">
            <w:pPr>
              <w:pStyle w:val="68"/>
              <w:bidi w:val="0"/>
              <w:ind w:firstLine="0" w:firstLineChars="0"/>
              <w:jc w:val="center"/>
              <w:rPr>
                <w:highlight w:val="none"/>
              </w:rPr>
            </w:pPr>
            <w:r>
              <w:rPr>
                <w:highlight w:val="none"/>
              </w:rPr>
              <w:t>业务部门投诉</w:t>
            </w:r>
          </w:p>
        </w:tc>
      </w:tr>
      <w:tr w14:paraId="18726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6" w:hRule="atLeast"/>
          <w:jc w:val="center"/>
        </w:trPr>
        <w:tc>
          <w:tcPr>
            <w:tcW w:w="589" w:type="dxa"/>
            <w:vMerge w:val="continue"/>
            <w:vAlign w:val="center"/>
          </w:tcPr>
          <w:p w14:paraId="255F4B27">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4E3A9D2A">
            <w:pPr>
              <w:pStyle w:val="68"/>
              <w:bidi w:val="0"/>
              <w:ind w:left="0" w:leftChars="0" w:firstLine="0" w:firstLineChars="0"/>
              <w:jc w:val="center"/>
              <w:rPr>
                <w:highlight w:val="none"/>
              </w:rPr>
            </w:pPr>
          </w:p>
        </w:tc>
        <w:tc>
          <w:tcPr>
            <w:tcW w:w="1944" w:type="dxa"/>
            <w:vMerge w:val="continue"/>
            <w:vAlign w:val="center"/>
          </w:tcPr>
          <w:p w14:paraId="6E895FA5">
            <w:pPr>
              <w:pStyle w:val="68"/>
              <w:bidi w:val="0"/>
              <w:ind w:left="0" w:leftChars="0" w:firstLine="0" w:firstLineChars="0"/>
              <w:jc w:val="center"/>
              <w:rPr>
                <w:highlight w:val="none"/>
              </w:rPr>
            </w:pPr>
          </w:p>
        </w:tc>
        <w:tc>
          <w:tcPr>
            <w:tcW w:w="3024" w:type="dxa"/>
            <w:vAlign w:val="center"/>
          </w:tcPr>
          <w:p w14:paraId="6C897526">
            <w:pPr>
              <w:pStyle w:val="68"/>
              <w:bidi w:val="0"/>
              <w:ind w:left="0" w:leftChars="0" w:firstLine="0" w:firstLineChars="0"/>
              <w:jc w:val="left"/>
              <w:rPr>
                <w:highlight w:val="none"/>
              </w:rPr>
            </w:pPr>
            <w:r>
              <w:rPr>
                <w:highlight w:val="none"/>
              </w:rPr>
              <w:t>每发生一次</w:t>
            </w:r>
            <w:r>
              <w:rPr>
                <w:rFonts w:hint="eastAsia"/>
                <w:highlight w:val="none"/>
                <w:lang w:eastAsia="zh-CN"/>
              </w:rPr>
              <w:t>因服务质量</w:t>
            </w:r>
            <w:r>
              <w:rPr>
                <w:highlight w:val="none"/>
              </w:rPr>
              <w:t>，业务部门投诉到省公司级事件</w:t>
            </w:r>
          </w:p>
        </w:tc>
        <w:tc>
          <w:tcPr>
            <w:tcW w:w="660" w:type="dxa"/>
            <w:vAlign w:val="center"/>
          </w:tcPr>
          <w:p w14:paraId="6762908D">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15</w:t>
            </w:r>
          </w:p>
        </w:tc>
        <w:tc>
          <w:tcPr>
            <w:tcW w:w="1387" w:type="dxa"/>
            <w:vAlign w:val="center"/>
          </w:tcPr>
          <w:p w14:paraId="3B790B4C">
            <w:pPr>
              <w:pStyle w:val="68"/>
              <w:bidi w:val="0"/>
              <w:ind w:firstLine="0" w:firstLineChars="0"/>
              <w:jc w:val="center"/>
              <w:rPr>
                <w:highlight w:val="none"/>
              </w:rPr>
            </w:pPr>
            <w:r>
              <w:rPr>
                <w:highlight w:val="none"/>
              </w:rPr>
              <w:t>业务部门投诉</w:t>
            </w:r>
          </w:p>
        </w:tc>
      </w:tr>
      <w:tr w14:paraId="48F42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6" w:hRule="atLeast"/>
          <w:jc w:val="center"/>
        </w:trPr>
        <w:tc>
          <w:tcPr>
            <w:tcW w:w="589" w:type="dxa"/>
            <w:vMerge w:val="continue"/>
            <w:vAlign w:val="center"/>
          </w:tcPr>
          <w:p w14:paraId="2E5B3CEE">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51589160">
            <w:pPr>
              <w:pStyle w:val="68"/>
              <w:bidi w:val="0"/>
              <w:ind w:left="0" w:leftChars="0" w:firstLine="0" w:firstLineChars="0"/>
              <w:jc w:val="center"/>
              <w:rPr>
                <w:highlight w:val="none"/>
              </w:rPr>
            </w:pPr>
          </w:p>
        </w:tc>
        <w:tc>
          <w:tcPr>
            <w:tcW w:w="1944" w:type="dxa"/>
            <w:vMerge w:val="continue"/>
            <w:vAlign w:val="center"/>
          </w:tcPr>
          <w:p w14:paraId="015E4740">
            <w:pPr>
              <w:pStyle w:val="68"/>
              <w:bidi w:val="0"/>
              <w:ind w:left="0" w:leftChars="0" w:firstLine="0" w:firstLineChars="0"/>
              <w:jc w:val="center"/>
              <w:rPr>
                <w:highlight w:val="none"/>
              </w:rPr>
            </w:pPr>
          </w:p>
        </w:tc>
        <w:tc>
          <w:tcPr>
            <w:tcW w:w="3024" w:type="dxa"/>
            <w:vAlign w:val="center"/>
          </w:tcPr>
          <w:p w14:paraId="3D6C3ECF">
            <w:pPr>
              <w:pStyle w:val="68"/>
              <w:bidi w:val="0"/>
              <w:ind w:left="0" w:leftChars="0" w:firstLine="0" w:firstLineChars="0"/>
              <w:jc w:val="left"/>
              <w:rPr>
                <w:highlight w:val="none"/>
              </w:rPr>
            </w:pPr>
            <w:r>
              <w:rPr>
                <w:highlight w:val="none"/>
              </w:rPr>
              <w:t>每发生一次</w:t>
            </w:r>
            <w:r>
              <w:rPr>
                <w:rFonts w:hint="eastAsia"/>
                <w:highlight w:val="none"/>
                <w:lang w:eastAsia="zh-CN"/>
              </w:rPr>
              <w:t>因服务质量</w:t>
            </w:r>
            <w:r>
              <w:rPr>
                <w:highlight w:val="none"/>
              </w:rPr>
              <w:t>，投诉到省公司职能部门级事件</w:t>
            </w:r>
          </w:p>
        </w:tc>
        <w:tc>
          <w:tcPr>
            <w:tcW w:w="660" w:type="dxa"/>
            <w:shd w:val="clear" w:color="auto" w:fill="auto"/>
            <w:vAlign w:val="center"/>
          </w:tcPr>
          <w:p w14:paraId="6CB9E0B0">
            <w:pPr>
              <w:pStyle w:val="68"/>
              <w:bidi w:val="0"/>
              <w:ind w:left="0" w:leftChars="0" w:firstLine="0" w:firstLineChars="0"/>
              <w:jc w:val="center"/>
              <w:rPr>
                <w:rFonts w:hint="default" w:ascii="宋体" w:hAnsi="宋体" w:eastAsia="宋体" w:cs="宋体"/>
                <w:bCs/>
                <w:spacing w:val="6"/>
                <w:kern w:val="2"/>
                <w:sz w:val="20"/>
                <w:szCs w:val="24"/>
                <w:highlight w:val="none"/>
                <w:lang w:val="en-US" w:eastAsia="zh-CN" w:bidi="ar-SA"/>
              </w:rPr>
            </w:pPr>
            <w:r>
              <w:rPr>
                <w:rFonts w:hint="eastAsia"/>
                <w:highlight w:val="none"/>
                <w:lang w:val="en-US" w:eastAsia="zh-CN"/>
              </w:rPr>
              <w:t>10</w:t>
            </w:r>
          </w:p>
        </w:tc>
        <w:tc>
          <w:tcPr>
            <w:tcW w:w="1387" w:type="dxa"/>
            <w:shd w:val="clear" w:color="auto" w:fill="auto"/>
            <w:vAlign w:val="center"/>
          </w:tcPr>
          <w:p w14:paraId="5FA9AA8C">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highlight w:val="none"/>
              </w:rPr>
              <w:t>业务部门投诉</w:t>
            </w:r>
          </w:p>
        </w:tc>
      </w:tr>
      <w:tr w14:paraId="2131A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6" w:hRule="atLeast"/>
          <w:jc w:val="center"/>
        </w:trPr>
        <w:tc>
          <w:tcPr>
            <w:tcW w:w="589" w:type="dxa"/>
            <w:vMerge w:val="continue"/>
            <w:vAlign w:val="center"/>
          </w:tcPr>
          <w:p w14:paraId="5F3C5BE1">
            <w:pPr>
              <w:pStyle w:val="68"/>
              <w:bidi w:val="0"/>
              <w:ind w:left="0" w:leftChars="0" w:firstLine="0" w:firstLineChars="0"/>
              <w:jc w:val="center"/>
              <w:rPr>
                <w:rFonts w:hint="default" w:eastAsia="宋体"/>
                <w:highlight w:val="none"/>
                <w:lang w:val="en-US" w:eastAsia="zh-CN"/>
              </w:rPr>
            </w:pPr>
          </w:p>
        </w:tc>
        <w:tc>
          <w:tcPr>
            <w:tcW w:w="863" w:type="dxa"/>
            <w:vMerge w:val="continue"/>
            <w:vAlign w:val="center"/>
          </w:tcPr>
          <w:p w14:paraId="02012315">
            <w:pPr>
              <w:pStyle w:val="68"/>
              <w:bidi w:val="0"/>
              <w:ind w:left="0" w:leftChars="0" w:firstLine="0" w:firstLineChars="0"/>
              <w:jc w:val="center"/>
              <w:rPr>
                <w:highlight w:val="none"/>
              </w:rPr>
            </w:pPr>
          </w:p>
        </w:tc>
        <w:tc>
          <w:tcPr>
            <w:tcW w:w="1944" w:type="dxa"/>
            <w:vMerge w:val="continue"/>
            <w:vAlign w:val="center"/>
          </w:tcPr>
          <w:p w14:paraId="1B28E224">
            <w:pPr>
              <w:pStyle w:val="68"/>
              <w:bidi w:val="0"/>
              <w:ind w:left="0" w:leftChars="0" w:firstLine="0" w:firstLineChars="0"/>
              <w:jc w:val="center"/>
              <w:rPr>
                <w:highlight w:val="none"/>
              </w:rPr>
            </w:pPr>
          </w:p>
        </w:tc>
        <w:tc>
          <w:tcPr>
            <w:tcW w:w="3024" w:type="dxa"/>
            <w:vAlign w:val="center"/>
          </w:tcPr>
          <w:p w14:paraId="48F9BC7B">
            <w:pPr>
              <w:pStyle w:val="68"/>
              <w:bidi w:val="0"/>
              <w:ind w:left="0" w:leftChars="0" w:firstLine="0" w:firstLineChars="0"/>
              <w:jc w:val="left"/>
              <w:rPr>
                <w:rFonts w:hint="eastAsia" w:eastAsia="宋体"/>
                <w:highlight w:val="none"/>
                <w:lang w:val="en-US" w:eastAsia="zh-CN"/>
              </w:rPr>
            </w:pPr>
            <w:r>
              <w:rPr>
                <w:highlight w:val="none"/>
              </w:rPr>
              <w:t>每发生一次</w:t>
            </w:r>
            <w:r>
              <w:rPr>
                <w:rFonts w:hint="eastAsia"/>
                <w:highlight w:val="none"/>
                <w:lang w:eastAsia="zh-CN"/>
              </w:rPr>
              <w:t>因服务质量</w:t>
            </w:r>
            <w:r>
              <w:rPr>
                <w:highlight w:val="none"/>
              </w:rPr>
              <w:t>，投诉到</w:t>
            </w:r>
            <w:r>
              <w:rPr>
                <w:rFonts w:hint="eastAsia"/>
                <w:highlight w:val="none"/>
                <w:lang w:val="en-US" w:eastAsia="zh-CN"/>
              </w:rPr>
              <w:t>招标方</w:t>
            </w:r>
            <w:r>
              <w:rPr>
                <w:highlight w:val="none"/>
              </w:rPr>
              <w:t>部门级事件</w:t>
            </w:r>
          </w:p>
        </w:tc>
        <w:tc>
          <w:tcPr>
            <w:tcW w:w="660" w:type="dxa"/>
            <w:vAlign w:val="center"/>
          </w:tcPr>
          <w:p w14:paraId="05F16B19">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5</w:t>
            </w:r>
          </w:p>
        </w:tc>
        <w:tc>
          <w:tcPr>
            <w:tcW w:w="1387" w:type="dxa"/>
            <w:vAlign w:val="center"/>
          </w:tcPr>
          <w:p w14:paraId="31BAACF0">
            <w:pPr>
              <w:pStyle w:val="68"/>
              <w:bidi w:val="0"/>
              <w:ind w:firstLine="0" w:firstLineChars="0"/>
              <w:jc w:val="center"/>
              <w:rPr>
                <w:highlight w:val="none"/>
              </w:rPr>
            </w:pPr>
            <w:r>
              <w:rPr>
                <w:highlight w:val="none"/>
              </w:rPr>
              <w:t>业务部门投诉</w:t>
            </w:r>
          </w:p>
        </w:tc>
      </w:tr>
      <w:tr w14:paraId="3FA4D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47" w:hRule="atLeast"/>
          <w:jc w:val="center"/>
        </w:trPr>
        <w:tc>
          <w:tcPr>
            <w:tcW w:w="589" w:type="dxa"/>
            <w:vMerge w:val="restart"/>
            <w:vAlign w:val="center"/>
          </w:tcPr>
          <w:p w14:paraId="6E93C30B">
            <w:pPr>
              <w:pStyle w:val="68"/>
              <w:bidi w:val="0"/>
              <w:ind w:left="0" w:leftChars="0" w:firstLine="0" w:firstLineChars="0"/>
              <w:jc w:val="center"/>
              <w:rPr>
                <w:rFonts w:hint="eastAsia" w:eastAsia="宋体"/>
                <w:highlight w:val="none"/>
                <w:lang w:val="en-US" w:eastAsia="zh-CN"/>
              </w:rPr>
            </w:pPr>
            <w:r>
              <w:rPr>
                <w:rFonts w:hint="eastAsia"/>
                <w:highlight w:val="none"/>
                <w:lang w:val="en-US" w:eastAsia="zh-CN"/>
              </w:rPr>
              <w:t>4</w:t>
            </w:r>
          </w:p>
        </w:tc>
        <w:tc>
          <w:tcPr>
            <w:tcW w:w="863" w:type="dxa"/>
            <w:vMerge w:val="restart"/>
            <w:vAlign w:val="center"/>
          </w:tcPr>
          <w:p w14:paraId="741BB88D">
            <w:pPr>
              <w:pStyle w:val="68"/>
              <w:bidi w:val="0"/>
              <w:ind w:left="0" w:leftChars="0" w:firstLine="0" w:firstLineChars="0"/>
              <w:jc w:val="center"/>
              <w:rPr>
                <w:highlight w:val="none"/>
              </w:rPr>
            </w:pPr>
            <w:r>
              <w:rPr>
                <w:highlight w:val="none"/>
              </w:rPr>
              <w:t>服务支持度</w:t>
            </w:r>
          </w:p>
        </w:tc>
        <w:tc>
          <w:tcPr>
            <w:tcW w:w="1944" w:type="dxa"/>
            <w:vMerge w:val="restart"/>
            <w:vAlign w:val="center"/>
          </w:tcPr>
          <w:p w14:paraId="5AF52F19">
            <w:pPr>
              <w:pStyle w:val="68"/>
              <w:bidi w:val="0"/>
              <w:ind w:left="0" w:leftChars="0" w:firstLine="0" w:firstLineChars="0"/>
              <w:jc w:val="center"/>
              <w:rPr>
                <w:rFonts w:hint="eastAsia" w:eastAsia="宋体"/>
                <w:highlight w:val="none"/>
                <w:lang w:val="en-US" w:eastAsia="zh-CN"/>
              </w:rPr>
            </w:pPr>
            <w:r>
              <w:rPr>
                <w:highlight w:val="none"/>
              </w:rPr>
              <w:t>服务</w:t>
            </w:r>
            <w:r>
              <w:rPr>
                <w:rFonts w:hint="eastAsia"/>
                <w:highlight w:val="none"/>
                <w:lang w:val="en-US" w:eastAsia="zh-CN"/>
              </w:rPr>
              <w:t>支持</w:t>
            </w:r>
          </w:p>
        </w:tc>
        <w:tc>
          <w:tcPr>
            <w:tcW w:w="3024" w:type="dxa"/>
            <w:vAlign w:val="center"/>
          </w:tcPr>
          <w:p w14:paraId="69009FED">
            <w:pPr>
              <w:pStyle w:val="68"/>
              <w:bidi w:val="0"/>
              <w:ind w:left="0" w:leftChars="0" w:firstLine="0" w:firstLineChars="0"/>
              <w:jc w:val="left"/>
              <w:rPr>
                <w:rFonts w:hint="default"/>
                <w:highlight w:val="none"/>
                <w:lang w:val="en-US" w:eastAsia="zh-CN"/>
              </w:rPr>
            </w:pPr>
            <w:r>
              <w:rPr>
                <w:rFonts w:hint="eastAsia"/>
                <w:highlight w:val="none"/>
                <w:lang w:val="en-US" w:eastAsia="zh-CN"/>
              </w:rPr>
              <w:t>未及时响应招标人服务需求，经提醒后仍未及时响应，每发生一次</w:t>
            </w:r>
          </w:p>
        </w:tc>
        <w:tc>
          <w:tcPr>
            <w:tcW w:w="660" w:type="dxa"/>
            <w:shd w:val="clear" w:color="auto" w:fill="auto"/>
            <w:vAlign w:val="center"/>
          </w:tcPr>
          <w:p w14:paraId="07D2D798">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2</w:t>
            </w:r>
          </w:p>
        </w:tc>
        <w:tc>
          <w:tcPr>
            <w:tcW w:w="1387" w:type="dxa"/>
            <w:shd w:val="clear" w:color="auto" w:fill="auto"/>
            <w:vAlign w:val="center"/>
          </w:tcPr>
          <w:p w14:paraId="48E2DFB2">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rFonts w:hint="eastAsia"/>
                <w:highlight w:val="none"/>
                <w:lang w:val="en-US" w:eastAsia="zh-CN"/>
              </w:rPr>
              <w:t>招标人</w:t>
            </w:r>
            <w:r>
              <w:rPr>
                <w:highlight w:val="none"/>
              </w:rPr>
              <w:t>投诉</w:t>
            </w:r>
          </w:p>
        </w:tc>
      </w:tr>
      <w:tr w14:paraId="0431D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2" w:hRule="atLeast"/>
          <w:jc w:val="center"/>
        </w:trPr>
        <w:tc>
          <w:tcPr>
            <w:tcW w:w="589" w:type="dxa"/>
            <w:vMerge w:val="continue"/>
            <w:vAlign w:val="center"/>
          </w:tcPr>
          <w:p w14:paraId="65366AFF">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631BEFAA">
            <w:pPr>
              <w:pStyle w:val="68"/>
              <w:bidi w:val="0"/>
              <w:ind w:left="0" w:leftChars="0" w:firstLine="0" w:firstLineChars="0"/>
              <w:jc w:val="center"/>
              <w:rPr>
                <w:highlight w:val="none"/>
              </w:rPr>
            </w:pPr>
          </w:p>
        </w:tc>
        <w:tc>
          <w:tcPr>
            <w:tcW w:w="1944" w:type="dxa"/>
            <w:vMerge w:val="continue"/>
            <w:vAlign w:val="center"/>
          </w:tcPr>
          <w:p w14:paraId="137707E6">
            <w:pPr>
              <w:pStyle w:val="68"/>
              <w:bidi w:val="0"/>
              <w:ind w:left="0" w:leftChars="0" w:firstLine="0" w:firstLineChars="0"/>
              <w:jc w:val="center"/>
              <w:rPr>
                <w:highlight w:val="none"/>
              </w:rPr>
            </w:pPr>
          </w:p>
        </w:tc>
        <w:tc>
          <w:tcPr>
            <w:tcW w:w="3024" w:type="dxa"/>
            <w:vAlign w:val="center"/>
          </w:tcPr>
          <w:p w14:paraId="0ABE0568">
            <w:pPr>
              <w:pStyle w:val="68"/>
              <w:bidi w:val="0"/>
              <w:ind w:left="0" w:leftChars="0" w:firstLine="0" w:firstLineChars="0"/>
              <w:jc w:val="left"/>
              <w:rPr>
                <w:rFonts w:hint="default"/>
                <w:highlight w:val="none"/>
                <w:lang w:val="en-US" w:eastAsia="zh-CN"/>
              </w:rPr>
            </w:pPr>
            <w:r>
              <w:rPr>
                <w:rFonts w:hint="eastAsia"/>
                <w:highlight w:val="none"/>
                <w:lang w:val="en-US" w:eastAsia="zh-CN"/>
              </w:rPr>
              <w:t>未按照招标人需求安排服务人员到位，每发生一次</w:t>
            </w:r>
          </w:p>
        </w:tc>
        <w:tc>
          <w:tcPr>
            <w:tcW w:w="660" w:type="dxa"/>
            <w:shd w:val="clear" w:color="auto" w:fill="auto"/>
            <w:vAlign w:val="center"/>
          </w:tcPr>
          <w:p w14:paraId="595DF8DD">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2</w:t>
            </w:r>
          </w:p>
        </w:tc>
        <w:tc>
          <w:tcPr>
            <w:tcW w:w="1387" w:type="dxa"/>
            <w:shd w:val="clear" w:color="auto" w:fill="auto"/>
            <w:vAlign w:val="center"/>
          </w:tcPr>
          <w:p w14:paraId="7ADE8A32">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rFonts w:hint="eastAsia"/>
                <w:highlight w:val="none"/>
                <w:lang w:val="en-US" w:eastAsia="zh-CN"/>
              </w:rPr>
              <w:t>招标人</w:t>
            </w:r>
            <w:r>
              <w:rPr>
                <w:highlight w:val="none"/>
              </w:rPr>
              <w:t>投诉</w:t>
            </w:r>
          </w:p>
        </w:tc>
      </w:tr>
      <w:tr w14:paraId="6FA1B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0" w:hRule="atLeast"/>
          <w:jc w:val="center"/>
        </w:trPr>
        <w:tc>
          <w:tcPr>
            <w:tcW w:w="589" w:type="dxa"/>
            <w:vMerge w:val="continue"/>
            <w:vAlign w:val="center"/>
          </w:tcPr>
          <w:p w14:paraId="46F2C7D6">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7D19AC4B">
            <w:pPr>
              <w:pStyle w:val="68"/>
              <w:bidi w:val="0"/>
              <w:ind w:left="0" w:leftChars="0" w:firstLine="0" w:firstLineChars="0"/>
              <w:jc w:val="center"/>
              <w:rPr>
                <w:highlight w:val="none"/>
              </w:rPr>
            </w:pPr>
          </w:p>
        </w:tc>
        <w:tc>
          <w:tcPr>
            <w:tcW w:w="1944" w:type="dxa"/>
            <w:vMerge w:val="continue"/>
            <w:vAlign w:val="center"/>
          </w:tcPr>
          <w:p w14:paraId="63531718">
            <w:pPr>
              <w:pStyle w:val="68"/>
              <w:bidi w:val="0"/>
              <w:ind w:left="0" w:leftChars="0" w:firstLine="0" w:firstLineChars="0"/>
              <w:jc w:val="center"/>
              <w:rPr>
                <w:highlight w:val="none"/>
              </w:rPr>
            </w:pPr>
          </w:p>
        </w:tc>
        <w:tc>
          <w:tcPr>
            <w:tcW w:w="3024" w:type="dxa"/>
            <w:shd w:val="clear" w:color="auto" w:fill="auto"/>
            <w:vAlign w:val="center"/>
          </w:tcPr>
          <w:p w14:paraId="6930C124">
            <w:pPr>
              <w:pStyle w:val="68"/>
              <w:bidi w:val="0"/>
              <w:ind w:left="0" w:leftChars="0" w:firstLine="0" w:firstLineChars="0"/>
              <w:jc w:val="left"/>
              <w:rPr>
                <w:rFonts w:hint="default" w:ascii="宋体" w:hAnsi="宋体" w:eastAsia="宋体" w:cs="宋体"/>
                <w:bCs/>
                <w:spacing w:val="6"/>
                <w:kern w:val="2"/>
                <w:sz w:val="20"/>
                <w:szCs w:val="24"/>
                <w:highlight w:val="none"/>
                <w:lang w:val="en-US" w:eastAsia="zh-CN" w:bidi="ar-SA"/>
              </w:rPr>
            </w:pPr>
            <w:r>
              <w:rPr>
                <w:rFonts w:hint="eastAsia"/>
                <w:highlight w:val="none"/>
                <w:lang w:val="en-US" w:eastAsia="zh-CN"/>
              </w:rPr>
              <w:t>服务人员被用户质疑工作水平或能力，要求换人，每发生一次</w:t>
            </w:r>
          </w:p>
        </w:tc>
        <w:tc>
          <w:tcPr>
            <w:tcW w:w="660" w:type="dxa"/>
            <w:shd w:val="clear" w:color="auto" w:fill="auto"/>
            <w:vAlign w:val="center"/>
          </w:tcPr>
          <w:p w14:paraId="6BA9765C">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3</w:t>
            </w:r>
          </w:p>
        </w:tc>
        <w:tc>
          <w:tcPr>
            <w:tcW w:w="1387" w:type="dxa"/>
            <w:shd w:val="clear" w:color="auto" w:fill="auto"/>
            <w:vAlign w:val="center"/>
          </w:tcPr>
          <w:p w14:paraId="1DEB0984">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highlight w:val="none"/>
              </w:rPr>
              <w:t>业务部门投诉</w:t>
            </w:r>
          </w:p>
        </w:tc>
      </w:tr>
      <w:tr w14:paraId="63D8A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7" w:hRule="atLeast"/>
          <w:jc w:val="center"/>
        </w:trPr>
        <w:tc>
          <w:tcPr>
            <w:tcW w:w="589" w:type="dxa"/>
            <w:vMerge w:val="continue"/>
            <w:vAlign w:val="center"/>
          </w:tcPr>
          <w:p w14:paraId="570AF4F2">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2D6FDDB7">
            <w:pPr>
              <w:pStyle w:val="68"/>
              <w:bidi w:val="0"/>
              <w:ind w:left="0" w:leftChars="0" w:firstLine="0" w:firstLineChars="0"/>
              <w:jc w:val="center"/>
              <w:rPr>
                <w:highlight w:val="none"/>
              </w:rPr>
            </w:pPr>
          </w:p>
        </w:tc>
        <w:tc>
          <w:tcPr>
            <w:tcW w:w="1944" w:type="dxa"/>
            <w:vMerge w:val="continue"/>
            <w:vAlign w:val="center"/>
          </w:tcPr>
          <w:p w14:paraId="6289F811">
            <w:pPr>
              <w:pStyle w:val="68"/>
              <w:bidi w:val="0"/>
              <w:ind w:left="0" w:leftChars="0" w:firstLine="0" w:firstLineChars="0"/>
              <w:jc w:val="center"/>
              <w:rPr>
                <w:highlight w:val="none"/>
              </w:rPr>
            </w:pPr>
          </w:p>
        </w:tc>
        <w:tc>
          <w:tcPr>
            <w:tcW w:w="3024" w:type="dxa"/>
            <w:shd w:val="clear" w:color="auto" w:fill="auto"/>
            <w:vAlign w:val="center"/>
          </w:tcPr>
          <w:p w14:paraId="4C4C8389">
            <w:pPr>
              <w:pStyle w:val="68"/>
              <w:bidi w:val="0"/>
              <w:ind w:left="0" w:leftChars="0" w:firstLine="0" w:firstLineChars="0"/>
              <w:jc w:val="left"/>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服务人员推诿工作，每发生一次</w:t>
            </w:r>
          </w:p>
        </w:tc>
        <w:tc>
          <w:tcPr>
            <w:tcW w:w="660" w:type="dxa"/>
            <w:shd w:val="clear" w:color="auto" w:fill="auto"/>
            <w:vAlign w:val="center"/>
          </w:tcPr>
          <w:p w14:paraId="2BCFD4D8">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1</w:t>
            </w:r>
          </w:p>
        </w:tc>
        <w:tc>
          <w:tcPr>
            <w:tcW w:w="1387" w:type="dxa"/>
            <w:shd w:val="clear" w:color="auto" w:fill="auto"/>
            <w:vAlign w:val="center"/>
          </w:tcPr>
          <w:p w14:paraId="73937DCF">
            <w:pPr>
              <w:pStyle w:val="68"/>
              <w:bidi w:val="0"/>
              <w:ind w:firstLine="0" w:firstLineChars="0"/>
              <w:jc w:val="center"/>
              <w:rPr>
                <w:rFonts w:hint="eastAsia"/>
                <w:highlight w:val="none"/>
                <w:lang w:val="en-US" w:eastAsia="zh-CN"/>
              </w:rPr>
            </w:pPr>
            <w:r>
              <w:rPr>
                <w:highlight w:val="none"/>
              </w:rPr>
              <w:t>业务部门投诉</w:t>
            </w:r>
            <w:r>
              <w:rPr>
                <w:rFonts w:hint="eastAsia"/>
                <w:highlight w:val="none"/>
                <w:lang w:val="en-US" w:eastAsia="zh-CN"/>
              </w:rPr>
              <w:t>或招标人</w:t>
            </w:r>
            <w:r>
              <w:rPr>
                <w:highlight w:val="none"/>
              </w:rPr>
              <w:t>投诉</w:t>
            </w:r>
          </w:p>
        </w:tc>
      </w:tr>
      <w:tr w14:paraId="55F3D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5" w:hRule="atLeast"/>
          <w:jc w:val="center"/>
        </w:trPr>
        <w:tc>
          <w:tcPr>
            <w:tcW w:w="589" w:type="dxa"/>
            <w:vMerge w:val="continue"/>
            <w:vAlign w:val="center"/>
          </w:tcPr>
          <w:p w14:paraId="7610D1DB">
            <w:pPr>
              <w:pStyle w:val="68"/>
              <w:bidi w:val="0"/>
              <w:ind w:left="0" w:leftChars="0" w:firstLine="0" w:firstLineChars="0"/>
              <w:jc w:val="center"/>
              <w:rPr>
                <w:rFonts w:hint="eastAsia" w:eastAsia="宋体"/>
                <w:highlight w:val="none"/>
                <w:lang w:val="en-US" w:eastAsia="zh-CN"/>
              </w:rPr>
            </w:pPr>
          </w:p>
        </w:tc>
        <w:tc>
          <w:tcPr>
            <w:tcW w:w="863" w:type="dxa"/>
            <w:vMerge w:val="continue"/>
            <w:vAlign w:val="center"/>
          </w:tcPr>
          <w:p w14:paraId="5C34FA10">
            <w:pPr>
              <w:pStyle w:val="68"/>
              <w:bidi w:val="0"/>
              <w:ind w:left="0" w:leftChars="0" w:firstLine="0" w:firstLineChars="0"/>
              <w:jc w:val="center"/>
              <w:rPr>
                <w:highlight w:val="none"/>
              </w:rPr>
            </w:pPr>
          </w:p>
        </w:tc>
        <w:tc>
          <w:tcPr>
            <w:tcW w:w="1944" w:type="dxa"/>
            <w:vMerge w:val="continue"/>
            <w:vAlign w:val="center"/>
          </w:tcPr>
          <w:p w14:paraId="6B8DFF05">
            <w:pPr>
              <w:pStyle w:val="68"/>
              <w:bidi w:val="0"/>
              <w:ind w:left="0" w:leftChars="0" w:firstLine="0" w:firstLineChars="0"/>
              <w:jc w:val="center"/>
              <w:rPr>
                <w:highlight w:val="none"/>
              </w:rPr>
            </w:pPr>
          </w:p>
        </w:tc>
        <w:tc>
          <w:tcPr>
            <w:tcW w:w="3024" w:type="dxa"/>
            <w:shd w:val="clear" w:color="auto" w:fill="auto"/>
            <w:vAlign w:val="center"/>
          </w:tcPr>
          <w:p w14:paraId="3C52ACFC">
            <w:pPr>
              <w:pStyle w:val="68"/>
              <w:bidi w:val="0"/>
              <w:ind w:left="0" w:leftChars="0" w:firstLine="0" w:firstLineChars="0"/>
              <w:jc w:val="left"/>
              <w:rPr>
                <w:rFonts w:hint="default" w:ascii="宋体" w:hAnsi="宋体" w:eastAsia="宋体" w:cs="宋体"/>
                <w:bCs/>
                <w:spacing w:val="6"/>
                <w:kern w:val="2"/>
                <w:sz w:val="20"/>
                <w:szCs w:val="24"/>
                <w:highlight w:val="none"/>
                <w:lang w:val="en-US" w:eastAsia="zh-CN" w:bidi="ar-SA"/>
              </w:rPr>
            </w:pPr>
            <w:r>
              <w:rPr>
                <w:rFonts w:hint="eastAsia" w:cs="宋体"/>
                <w:bCs/>
                <w:spacing w:val="6"/>
                <w:kern w:val="2"/>
                <w:sz w:val="20"/>
                <w:szCs w:val="24"/>
                <w:highlight w:val="none"/>
                <w:lang w:val="en-US" w:eastAsia="zh-CN" w:bidi="ar-SA"/>
              </w:rPr>
              <w:t>常规工作出现低级错误或宣贯后仍同样出现问题</w:t>
            </w:r>
            <w:r>
              <w:rPr>
                <w:rFonts w:hint="eastAsia"/>
                <w:highlight w:val="none"/>
                <w:lang w:val="en-US" w:eastAsia="zh-CN"/>
              </w:rPr>
              <w:t>，每发生一次</w:t>
            </w:r>
          </w:p>
        </w:tc>
        <w:tc>
          <w:tcPr>
            <w:tcW w:w="660" w:type="dxa"/>
            <w:shd w:val="clear" w:color="auto" w:fill="auto"/>
            <w:vAlign w:val="center"/>
          </w:tcPr>
          <w:p w14:paraId="08A690DE">
            <w:pPr>
              <w:pStyle w:val="68"/>
              <w:bidi w:val="0"/>
              <w:ind w:left="0" w:leftChars="0" w:firstLine="0" w:firstLineChars="0"/>
              <w:jc w:val="center"/>
              <w:rPr>
                <w:rFonts w:hint="default" w:ascii="宋体" w:hAnsi="宋体" w:eastAsia="宋体" w:cs="宋体"/>
                <w:bCs/>
                <w:spacing w:val="6"/>
                <w:kern w:val="2"/>
                <w:sz w:val="20"/>
                <w:szCs w:val="24"/>
                <w:highlight w:val="none"/>
                <w:lang w:val="en-US" w:eastAsia="zh-CN" w:bidi="ar-SA"/>
              </w:rPr>
            </w:pPr>
            <w:r>
              <w:rPr>
                <w:rFonts w:hint="eastAsia" w:eastAsia="宋体" w:cs="宋体"/>
                <w:bCs/>
                <w:spacing w:val="6"/>
                <w:kern w:val="2"/>
                <w:sz w:val="20"/>
                <w:szCs w:val="24"/>
                <w:highlight w:val="none"/>
                <w:lang w:val="en-US" w:eastAsia="zh-CN" w:bidi="ar-SA"/>
              </w:rPr>
              <w:t>1</w:t>
            </w:r>
          </w:p>
        </w:tc>
        <w:tc>
          <w:tcPr>
            <w:tcW w:w="1387" w:type="dxa"/>
            <w:vAlign w:val="center"/>
          </w:tcPr>
          <w:p w14:paraId="405658CE">
            <w:pPr>
              <w:pStyle w:val="68"/>
              <w:bidi w:val="0"/>
              <w:ind w:left="0" w:leftChars="0" w:firstLine="0" w:firstLineChars="0"/>
              <w:jc w:val="center"/>
              <w:rPr>
                <w:highlight w:val="none"/>
              </w:rPr>
            </w:pPr>
            <w:r>
              <w:rPr>
                <w:highlight w:val="none"/>
              </w:rPr>
              <w:t>根据实际</w:t>
            </w:r>
            <w:r>
              <w:rPr>
                <w:rFonts w:hint="eastAsia"/>
                <w:highlight w:val="none"/>
                <w:lang w:val="en-US" w:eastAsia="zh-CN"/>
              </w:rPr>
              <w:t>服务</w:t>
            </w:r>
            <w:r>
              <w:rPr>
                <w:highlight w:val="none"/>
              </w:rPr>
              <w:t>情况取得</w:t>
            </w:r>
          </w:p>
        </w:tc>
      </w:tr>
      <w:tr w14:paraId="252A9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9" w:hRule="atLeast"/>
          <w:jc w:val="center"/>
        </w:trPr>
        <w:tc>
          <w:tcPr>
            <w:tcW w:w="589" w:type="dxa"/>
            <w:vMerge w:val="continue"/>
            <w:vAlign w:val="center"/>
          </w:tcPr>
          <w:p w14:paraId="6C2561B8">
            <w:pPr>
              <w:pStyle w:val="68"/>
              <w:bidi w:val="0"/>
              <w:jc w:val="center"/>
              <w:rPr>
                <w:highlight w:val="none"/>
              </w:rPr>
            </w:pPr>
          </w:p>
        </w:tc>
        <w:tc>
          <w:tcPr>
            <w:tcW w:w="863" w:type="dxa"/>
            <w:vMerge w:val="continue"/>
            <w:vAlign w:val="center"/>
          </w:tcPr>
          <w:p w14:paraId="1A2FD5D4">
            <w:pPr>
              <w:pStyle w:val="68"/>
              <w:bidi w:val="0"/>
              <w:jc w:val="center"/>
              <w:rPr>
                <w:highlight w:val="none"/>
              </w:rPr>
            </w:pPr>
          </w:p>
        </w:tc>
        <w:tc>
          <w:tcPr>
            <w:tcW w:w="1944" w:type="dxa"/>
            <w:vMerge w:val="restart"/>
            <w:vAlign w:val="center"/>
          </w:tcPr>
          <w:p w14:paraId="7F3AF4FC">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交付成果支持</w:t>
            </w:r>
          </w:p>
        </w:tc>
        <w:tc>
          <w:tcPr>
            <w:tcW w:w="3024" w:type="dxa"/>
            <w:vAlign w:val="center"/>
          </w:tcPr>
          <w:p w14:paraId="1A75031B">
            <w:pPr>
              <w:pStyle w:val="68"/>
              <w:bidi w:val="0"/>
              <w:ind w:left="0" w:leftChars="0" w:firstLine="0" w:firstLineChars="0"/>
              <w:jc w:val="left"/>
              <w:rPr>
                <w:highlight w:val="none"/>
              </w:rPr>
            </w:pPr>
            <w:r>
              <w:rPr>
                <w:highlight w:val="none"/>
              </w:rPr>
              <w:t>无故未在约定时间提交</w:t>
            </w:r>
            <w:r>
              <w:rPr>
                <w:rFonts w:hint="eastAsia"/>
                <w:highlight w:val="none"/>
                <w:lang w:val="en-US" w:eastAsia="zh-CN"/>
              </w:rPr>
              <w:t>服务交付</w:t>
            </w:r>
            <w:r>
              <w:rPr>
                <w:highlight w:val="none"/>
              </w:rPr>
              <w:t>材料，每发生一次</w:t>
            </w:r>
          </w:p>
        </w:tc>
        <w:tc>
          <w:tcPr>
            <w:tcW w:w="660" w:type="dxa"/>
            <w:shd w:val="clear" w:color="auto" w:fill="auto"/>
            <w:vAlign w:val="center"/>
          </w:tcPr>
          <w:p w14:paraId="2690CBF6">
            <w:pPr>
              <w:pStyle w:val="68"/>
              <w:bidi w:val="0"/>
              <w:ind w:left="0" w:leftChars="0" w:firstLine="0" w:firstLineChars="0"/>
              <w:jc w:val="center"/>
              <w:rPr>
                <w:rFonts w:ascii="宋体" w:hAnsi="宋体" w:eastAsia="宋体" w:cs="宋体"/>
                <w:bCs/>
                <w:spacing w:val="6"/>
                <w:kern w:val="2"/>
                <w:sz w:val="20"/>
                <w:szCs w:val="24"/>
                <w:highlight w:val="none"/>
                <w:lang w:val="en-US" w:eastAsia="en-US" w:bidi="ar-SA"/>
              </w:rPr>
            </w:pPr>
            <w:r>
              <w:rPr>
                <w:rFonts w:hint="eastAsia"/>
                <w:highlight w:val="none"/>
                <w:lang w:val="en-US" w:eastAsia="zh-CN"/>
              </w:rPr>
              <w:t>3</w:t>
            </w:r>
          </w:p>
        </w:tc>
        <w:tc>
          <w:tcPr>
            <w:tcW w:w="1387" w:type="dxa"/>
            <w:shd w:val="clear" w:color="auto" w:fill="auto"/>
            <w:vAlign w:val="center"/>
          </w:tcPr>
          <w:p w14:paraId="3F479725">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rFonts w:hint="eastAsia"/>
                <w:highlight w:val="none"/>
                <w:lang w:val="en-US" w:eastAsia="zh-CN"/>
              </w:rPr>
              <w:t>招标人</w:t>
            </w:r>
            <w:r>
              <w:rPr>
                <w:highlight w:val="none"/>
              </w:rPr>
              <w:t>投诉</w:t>
            </w:r>
          </w:p>
        </w:tc>
      </w:tr>
      <w:tr w14:paraId="47232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9" w:hRule="atLeast"/>
          <w:jc w:val="center"/>
        </w:trPr>
        <w:tc>
          <w:tcPr>
            <w:tcW w:w="589" w:type="dxa"/>
            <w:vMerge w:val="continue"/>
            <w:vAlign w:val="center"/>
          </w:tcPr>
          <w:p w14:paraId="449A57A8">
            <w:pPr>
              <w:pStyle w:val="68"/>
              <w:bidi w:val="0"/>
              <w:jc w:val="center"/>
              <w:rPr>
                <w:highlight w:val="none"/>
              </w:rPr>
            </w:pPr>
          </w:p>
        </w:tc>
        <w:tc>
          <w:tcPr>
            <w:tcW w:w="863" w:type="dxa"/>
            <w:vMerge w:val="continue"/>
            <w:vAlign w:val="center"/>
          </w:tcPr>
          <w:p w14:paraId="61DABB6C">
            <w:pPr>
              <w:pStyle w:val="68"/>
              <w:bidi w:val="0"/>
              <w:jc w:val="center"/>
              <w:rPr>
                <w:highlight w:val="none"/>
              </w:rPr>
            </w:pPr>
          </w:p>
        </w:tc>
        <w:tc>
          <w:tcPr>
            <w:tcW w:w="1944" w:type="dxa"/>
            <w:vMerge w:val="continue"/>
            <w:vAlign w:val="center"/>
          </w:tcPr>
          <w:p w14:paraId="00652CD1">
            <w:pPr>
              <w:pStyle w:val="68"/>
              <w:bidi w:val="0"/>
              <w:ind w:left="0" w:leftChars="0" w:firstLine="0" w:firstLineChars="0"/>
              <w:jc w:val="center"/>
              <w:rPr>
                <w:rFonts w:hint="eastAsia"/>
                <w:highlight w:val="none"/>
                <w:lang w:val="en-US" w:eastAsia="zh-CN"/>
              </w:rPr>
            </w:pPr>
          </w:p>
        </w:tc>
        <w:tc>
          <w:tcPr>
            <w:tcW w:w="3024" w:type="dxa"/>
            <w:shd w:val="clear" w:color="auto" w:fill="auto"/>
            <w:vAlign w:val="center"/>
          </w:tcPr>
          <w:p w14:paraId="2D25FF44">
            <w:pPr>
              <w:pStyle w:val="68"/>
              <w:bidi w:val="0"/>
              <w:ind w:left="0" w:leftChars="0" w:firstLine="0" w:firstLineChars="0"/>
              <w:jc w:val="left"/>
              <w:rPr>
                <w:rFonts w:ascii="宋体" w:hAnsi="宋体" w:eastAsia="宋体" w:cs="宋体"/>
                <w:bCs/>
                <w:spacing w:val="6"/>
                <w:kern w:val="2"/>
                <w:sz w:val="20"/>
                <w:szCs w:val="24"/>
                <w:highlight w:val="none"/>
                <w:lang w:val="en-US" w:eastAsia="en-US" w:bidi="ar-SA"/>
              </w:rPr>
            </w:pPr>
            <w:r>
              <w:rPr>
                <w:highlight w:val="none"/>
              </w:rPr>
              <w:t>提交</w:t>
            </w:r>
            <w:r>
              <w:rPr>
                <w:rFonts w:hint="eastAsia"/>
                <w:highlight w:val="none"/>
                <w:lang w:val="en-US" w:eastAsia="zh-CN"/>
              </w:rPr>
              <w:t>交付</w:t>
            </w:r>
            <w:r>
              <w:rPr>
                <w:highlight w:val="none"/>
              </w:rPr>
              <w:t>材料由于质量原因被回退，每发生一次</w:t>
            </w:r>
          </w:p>
        </w:tc>
        <w:tc>
          <w:tcPr>
            <w:tcW w:w="660" w:type="dxa"/>
            <w:shd w:val="clear" w:color="auto" w:fill="auto"/>
            <w:vAlign w:val="center"/>
          </w:tcPr>
          <w:p w14:paraId="0796D33A">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2</w:t>
            </w:r>
          </w:p>
        </w:tc>
        <w:tc>
          <w:tcPr>
            <w:tcW w:w="1387" w:type="dxa"/>
            <w:shd w:val="clear" w:color="auto" w:fill="auto"/>
            <w:vAlign w:val="center"/>
          </w:tcPr>
          <w:p w14:paraId="3D5E6A7D">
            <w:pPr>
              <w:pStyle w:val="68"/>
              <w:bidi w:val="0"/>
              <w:ind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招标人</w:t>
            </w:r>
            <w:r>
              <w:rPr>
                <w:highlight w:val="none"/>
              </w:rPr>
              <w:t>投诉</w:t>
            </w:r>
          </w:p>
        </w:tc>
      </w:tr>
      <w:tr w14:paraId="2A9D6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4" w:hRule="atLeast"/>
          <w:jc w:val="center"/>
        </w:trPr>
        <w:tc>
          <w:tcPr>
            <w:tcW w:w="589" w:type="dxa"/>
            <w:vMerge w:val="continue"/>
            <w:vAlign w:val="center"/>
          </w:tcPr>
          <w:p w14:paraId="4D3F10AC">
            <w:pPr>
              <w:pStyle w:val="68"/>
              <w:bidi w:val="0"/>
              <w:rPr>
                <w:highlight w:val="none"/>
              </w:rPr>
            </w:pPr>
          </w:p>
        </w:tc>
        <w:tc>
          <w:tcPr>
            <w:tcW w:w="863" w:type="dxa"/>
            <w:vMerge w:val="continue"/>
            <w:vAlign w:val="center"/>
          </w:tcPr>
          <w:p w14:paraId="25611308">
            <w:pPr>
              <w:pStyle w:val="68"/>
              <w:bidi w:val="0"/>
              <w:rPr>
                <w:highlight w:val="none"/>
              </w:rPr>
            </w:pPr>
          </w:p>
        </w:tc>
        <w:tc>
          <w:tcPr>
            <w:tcW w:w="1944" w:type="dxa"/>
            <w:vMerge w:val="continue"/>
            <w:vAlign w:val="center"/>
          </w:tcPr>
          <w:p w14:paraId="7D291B31">
            <w:pPr>
              <w:pStyle w:val="68"/>
              <w:bidi w:val="0"/>
              <w:jc w:val="center"/>
              <w:rPr>
                <w:highlight w:val="none"/>
              </w:rPr>
            </w:pPr>
          </w:p>
        </w:tc>
        <w:tc>
          <w:tcPr>
            <w:tcW w:w="3024" w:type="dxa"/>
            <w:vAlign w:val="center"/>
          </w:tcPr>
          <w:p w14:paraId="26C9314B">
            <w:pPr>
              <w:pStyle w:val="68"/>
              <w:bidi w:val="0"/>
              <w:ind w:left="0" w:leftChars="0" w:firstLine="0" w:firstLineChars="0"/>
              <w:jc w:val="left"/>
              <w:rPr>
                <w:rFonts w:hint="default" w:eastAsia="宋体"/>
                <w:highlight w:val="none"/>
                <w:lang w:val="en-US" w:eastAsia="zh-CN"/>
              </w:rPr>
            </w:pPr>
            <w:r>
              <w:rPr>
                <w:rFonts w:hint="eastAsia"/>
                <w:highlight w:val="none"/>
                <w:lang w:val="en-US" w:eastAsia="zh-CN"/>
              </w:rPr>
              <w:t>交付成果质量过差或无成果</w:t>
            </w:r>
            <w:r>
              <w:rPr>
                <w:highlight w:val="none"/>
              </w:rPr>
              <w:t>，每发生一次</w:t>
            </w:r>
          </w:p>
        </w:tc>
        <w:tc>
          <w:tcPr>
            <w:tcW w:w="660" w:type="dxa"/>
            <w:shd w:val="clear" w:color="auto" w:fill="auto"/>
            <w:vAlign w:val="center"/>
          </w:tcPr>
          <w:p w14:paraId="61006206">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eastAsia="宋体" w:cs="宋体"/>
                <w:bCs/>
                <w:spacing w:val="6"/>
                <w:kern w:val="2"/>
                <w:sz w:val="20"/>
                <w:szCs w:val="24"/>
                <w:highlight w:val="none"/>
                <w:lang w:val="en-US" w:eastAsia="zh-CN" w:bidi="ar-SA"/>
              </w:rPr>
              <w:t>3</w:t>
            </w:r>
          </w:p>
        </w:tc>
        <w:tc>
          <w:tcPr>
            <w:tcW w:w="1387" w:type="dxa"/>
            <w:shd w:val="clear" w:color="auto" w:fill="auto"/>
            <w:vAlign w:val="center"/>
          </w:tcPr>
          <w:p w14:paraId="52E07F35">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highlight w:val="none"/>
              </w:rPr>
              <w:t>根据实际</w:t>
            </w:r>
            <w:r>
              <w:rPr>
                <w:rFonts w:hint="eastAsia"/>
                <w:highlight w:val="none"/>
                <w:lang w:val="en-US" w:eastAsia="zh-CN"/>
              </w:rPr>
              <w:t>服务</w:t>
            </w:r>
            <w:r>
              <w:rPr>
                <w:highlight w:val="none"/>
              </w:rPr>
              <w:t>情况取得</w:t>
            </w:r>
          </w:p>
        </w:tc>
      </w:tr>
    </w:tbl>
    <w:p w14:paraId="610C4621">
      <w:pPr>
        <w:pStyle w:val="15"/>
        <w:ind w:firstLine="0" w:firstLineChars="0"/>
        <w:rPr>
          <w:rFonts w:hint="eastAsia"/>
          <w:highlight w:val="none"/>
        </w:rPr>
      </w:pPr>
    </w:p>
    <w:p w14:paraId="7EB08A32">
      <w:pPr>
        <w:pStyle w:val="2"/>
        <w:rPr>
          <w:rFonts w:hint="eastAsia"/>
          <w:highlight w:val="none"/>
        </w:rPr>
      </w:pPr>
      <w:r>
        <w:rPr>
          <w:rFonts w:hint="eastAsia"/>
          <w:highlight w:val="none"/>
          <w:lang w:val="en-US" w:eastAsia="zh-CN"/>
        </w:rPr>
        <w:t>违约责任</w:t>
      </w:r>
    </w:p>
    <w:p w14:paraId="3E40A9FD">
      <w:pPr>
        <w:pStyle w:val="58"/>
        <w:rPr>
          <w:rFonts w:hint="eastAsia"/>
          <w:highlight w:val="none"/>
        </w:rPr>
      </w:pPr>
      <w:r>
        <w:rPr>
          <w:rFonts w:hint="eastAsia"/>
          <w:highlight w:val="none"/>
          <w:lang w:val="en-US" w:eastAsia="zh-CN"/>
        </w:rPr>
        <w:t>委托函</w:t>
      </w:r>
      <w:r>
        <w:rPr>
          <w:rFonts w:hint="eastAsia"/>
          <w:highlight w:val="none"/>
        </w:rPr>
        <w:t>终止条款</w:t>
      </w:r>
    </w:p>
    <w:p w14:paraId="13B13F21">
      <w:pPr>
        <w:ind w:firstLine="520"/>
        <w:rPr>
          <w:rFonts w:hint="eastAsia"/>
          <w:highlight w:val="none"/>
        </w:rPr>
      </w:pPr>
      <w:r>
        <w:rPr>
          <w:rFonts w:hint="eastAsia"/>
          <w:highlight w:val="none"/>
        </w:rPr>
        <w:t>若出现以下情况之一的，招标人有权终止委托函并追究相关法律责任。</w:t>
      </w:r>
    </w:p>
    <w:p w14:paraId="78C3677C">
      <w:pPr>
        <w:ind w:firstLine="520"/>
        <w:rPr>
          <w:rFonts w:hint="eastAsia"/>
          <w:highlight w:val="none"/>
        </w:rPr>
      </w:pPr>
      <w:r>
        <w:rPr>
          <w:rFonts w:hint="eastAsia"/>
          <w:highlight w:val="none"/>
        </w:rPr>
        <w:t>1</w:t>
      </w:r>
      <w:r>
        <w:rPr>
          <w:rFonts w:hint="eastAsia"/>
          <w:highlight w:val="none"/>
          <w:lang w:eastAsia="zh-CN"/>
        </w:rPr>
        <w:t>）</w:t>
      </w:r>
      <w:r>
        <w:rPr>
          <w:rFonts w:hint="eastAsia"/>
          <w:highlight w:val="none"/>
        </w:rPr>
        <w:t>委托函履约期间内，累计出现一次一级安全事件。</w:t>
      </w:r>
    </w:p>
    <w:p w14:paraId="499E660F">
      <w:pPr>
        <w:ind w:firstLine="520"/>
        <w:rPr>
          <w:rFonts w:hint="eastAsia"/>
          <w:highlight w:val="none"/>
        </w:rPr>
      </w:pPr>
      <w:r>
        <w:rPr>
          <w:rFonts w:hint="eastAsia"/>
          <w:highlight w:val="none"/>
        </w:rPr>
        <w:t>2</w:t>
      </w:r>
      <w:r>
        <w:rPr>
          <w:rFonts w:hint="eastAsia"/>
          <w:highlight w:val="none"/>
          <w:lang w:eastAsia="zh-CN"/>
        </w:rPr>
        <w:t>）</w:t>
      </w:r>
      <w:r>
        <w:rPr>
          <w:rFonts w:hint="eastAsia"/>
          <w:highlight w:val="none"/>
        </w:rPr>
        <w:t>委托函履约期间内，累计出现两次二级安全事件。</w:t>
      </w:r>
    </w:p>
    <w:p w14:paraId="39573FE8">
      <w:pPr>
        <w:ind w:firstLine="520"/>
        <w:rPr>
          <w:rFonts w:hint="eastAsia"/>
          <w:highlight w:val="none"/>
        </w:rPr>
      </w:pPr>
      <w:r>
        <w:rPr>
          <w:rFonts w:hint="eastAsia"/>
          <w:highlight w:val="none"/>
        </w:rPr>
        <w:t>3</w:t>
      </w:r>
      <w:r>
        <w:rPr>
          <w:rFonts w:hint="eastAsia"/>
          <w:highlight w:val="none"/>
          <w:lang w:eastAsia="zh-CN"/>
        </w:rPr>
        <w:t>）</w:t>
      </w:r>
      <w:r>
        <w:rPr>
          <w:rFonts w:hint="eastAsia"/>
          <w:highlight w:val="none"/>
        </w:rPr>
        <w:t>委托函履约期间内，累计出现三次三级安全事件。</w:t>
      </w:r>
    </w:p>
    <w:p w14:paraId="68D27A07">
      <w:pPr>
        <w:ind w:firstLine="520"/>
        <w:rPr>
          <w:rFonts w:hint="eastAsia"/>
          <w:highlight w:val="none"/>
        </w:rPr>
      </w:pPr>
      <w:r>
        <w:rPr>
          <w:rFonts w:hint="eastAsia"/>
          <w:highlight w:val="none"/>
        </w:rPr>
        <w:t>4</w:t>
      </w:r>
      <w:r>
        <w:rPr>
          <w:rFonts w:hint="eastAsia"/>
          <w:highlight w:val="none"/>
          <w:lang w:eastAsia="zh-CN"/>
        </w:rPr>
        <w:t>）</w:t>
      </w:r>
      <w:r>
        <w:rPr>
          <w:rFonts w:hint="eastAsia"/>
          <w:highlight w:val="none"/>
        </w:rPr>
        <w:t>招标人有权对中标人项目参与人员进行面试或者考试（面试或者考试范围为项目工作内容），发现驻场人员资质或工作经验造假情况。</w:t>
      </w:r>
    </w:p>
    <w:p w14:paraId="053C48DC">
      <w:pPr>
        <w:ind w:firstLine="520"/>
        <w:rPr>
          <w:rFonts w:hint="eastAsia"/>
          <w:highlight w:val="none"/>
        </w:rPr>
      </w:pPr>
      <w:r>
        <w:rPr>
          <w:rFonts w:hint="eastAsia"/>
          <w:highlight w:val="none"/>
        </w:rPr>
        <w:t>5</w:t>
      </w:r>
      <w:r>
        <w:rPr>
          <w:rFonts w:hint="eastAsia"/>
          <w:highlight w:val="none"/>
          <w:lang w:eastAsia="zh-CN"/>
        </w:rPr>
        <w:t>）</w:t>
      </w:r>
      <w:r>
        <w:rPr>
          <w:rFonts w:hint="eastAsia"/>
          <w:highlight w:val="none"/>
        </w:rPr>
        <w:t>中标人项目参与人员未经招标人书面同意而参加其他项目工作，或未经招标人书面同意更换项目参与人员数量超过总数比例20%。</w:t>
      </w:r>
    </w:p>
    <w:p w14:paraId="6AE2621E">
      <w:pPr>
        <w:rPr>
          <w:rFonts w:hint="eastAsia"/>
          <w:highlight w:val="none"/>
          <w:lang w:val="en-US" w:eastAsia="zh-CN"/>
        </w:rPr>
      </w:pPr>
      <w:r>
        <w:rPr>
          <w:rFonts w:hint="eastAsia"/>
          <w:highlight w:val="none"/>
        </w:rPr>
        <w:t>6</w:t>
      </w:r>
      <w:r>
        <w:rPr>
          <w:rFonts w:hint="eastAsia"/>
          <w:highlight w:val="none"/>
          <w:lang w:val="en-US" w:eastAsia="zh-CN"/>
        </w:rPr>
        <w:t>）任何一方均可提前至少1个工作日书面通知对方，经双方协商一致后终止该份委托函。</w:t>
      </w:r>
    </w:p>
    <w:p w14:paraId="068404F3">
      <w:pPr>
        <w:rPr>
          <w:rFonts w:hint="eastAsia"/>
          <w:highlight w:val="none"/>
        </w:rPr>
      </w:pPr>
      <w:r>
        <w:rPr>
          <w:rFonts w:hint="eastAsia"/>
          <w:highlight w:val="none"/>
          <w:lang w:val="en-US" w:eastAsia="zh-CN"/>
        </w:rPr>
        <w:t>7</w:t>
      </w:r>
      <w:r>
        <w:rPr>
          <w:rFonts w:hint="eastAsia"/>
          <w:highlight w:val="none"/>
          <w:lang w:eastAsia="zh-CN"/>
        </w:rPr>
        <w:t>）</w:t>
      </w:r>
      <w:r>
        <w:rPr>
          <w:rFonts w:hint="eastAsia"/>
          <w:highlight w:val="none"/>
        </w:rPr>
        <w:t>经招标人发出部门整改通知书3次或以上。</w:t>
      </w:r>
    </w:p>
    <w:p w14:paraId="4D08D980">
      <w:pPr>
        <w:pStyle w:val="58"/>
        <w:rPr>
          <w:rFonts w:hint="eastAsia"/>
          <w:highlight w:val="none"/>
        </w:rPr>
      </w:pPr>
      <w:r>
        <w:rPr>
          <w:rFonts w:hint="eastAsia"/>
          <w:highlight w:val="none"/>
          <w:lang w:val="en-US" w:eastAsia="zh-CN"/>
        </w:rPr>
        <w:t>委托函扣款</w:t>
      </w:r>
      <w:r>
        <w:rPr>
          <w:rFonts w:hint="eastAsia"/>
          <w:highlight w:val="none"/>
        </w:rPr>
        <w:t>条款</w:t>
      </w:r>
    </w:p>
    <w:p w14:paraId="37B997F0">
      <w:pPr>
        <w:ind w:firstLine="520"/>
        <w:rPr>
          <w:rFonts w:hint="eastAsia"/>
          <w:highlight w:val="none"/>
          <w:lang w:val="en-US" w:eastAsia="zh-CN"/>
        </w:rPr>
      </w:pPr>
      <w:r>
        <w:rPr>
          <w:rFonts w:hint="eastAsia"/>
          <w:highlight w:val="none"/>
          <w:lang w:val="en-US" w:eastAsia="zh-CN"/>
        </w:rPr>
        <w:t>委托函服务期内，</w:t>
      </w:r>
      <w:r>
        <w:rPr>
          <w:rFonts w:hint="eastAsia"/>
          <w:highlight w:val="none"/>
        </w:rPr>
        <w:t>招标人按委托函</w:t>
      </w:r>
      <w:r>
        <w:rPr>
          <w:rFonts w:hint="eastAsia"/>
          <w:highlight w:val="none"/>
          <w:lang w:val="en-US" w:eastAsia="zh-CN"/>
        </w:rPr>
        <w:t>确定的结算阶段作为一个考核周期，仅当中标人发生本协议第四章服务评价中明确界定的违约行为，并经招标人通知确认后，招标人方启动该考核周期的服务评价程序。招标方</w:t>
      </w:r>
      <w:r>
        <w:rPr>
          <w:rFonts w:hint="default"/>
          <w:highlight w:val="none"/>
          <w:lang w:val="en-US" w:eastAsia="zh-CN"/>
        </w:rPr>
        <w:t>依据</w:t>
      </w:r>
      <w:r>
        <w:rPr>
          <w:rFonts w:hint="eastAsia"/>
          <w:highlight w:val="none"/>
          <w:lang w:val="en-US" w:eastAsia="zh-CN"/>
        </w:rPr>
        <w:t>本协议第四章服务评价</w:t>
      </w:r>
      <w:r>
        <w:rPr>
          <w:rFonts w:hint="default"/>
          <w:highlight w:val="none"/>
          <w:lang w:val="en-US" w:eastAsia="zh-CN"/>
        </w:rPr>
        <w:t>所列各项考核</w:t>
      </w:r>
      <w:r>
        <w:rPr>
          <w:rFonts w:hint="eastAsia"/>
          <w:highlight w:val="none"/>
          <w:lang w:val="en-US" w:eastAsia="zh-CN"/>
        </w:rPr>
        <w:t>项</w:t>
      </w:r>
      <w:r>
        <w:rPr>
          <w:rFonts w:hint="default"/>
          <w:highlight w:val="none"/>
          <w:lang w:val="en-US" w:eastAsia="zh-CN"/>
        </w:rPr>
        <w:t>要求在</w:t>
      </w:r>
      <w:r>
        <w:rPr>
          <w:rFonts w:hint="eastAsia"/>
          <w:highlight w:val="none"/>
          <w:lang w:val="en-US" w:eastAsia="zh-CN"/>
        </w:rPr>
        <w:t>考核周期结束</w:t>
      </w:r>
      <w:r>
        <w:rPr>
          <w:rFonts w:hint="default"/>
          <w:highlight w:val="none"/>
          <w:lang w:val="en-US" w:eastAsia="zh-CN"/>
        </w:rPr>
        <w:t>5个工作日内完成对</w:t>
      </w:r>
      <w:r>
        <w:rPr>
          <w:rFonts w:hint="eastAsia"/>
          <w:highlight w:val="none"/>
          <w:lang w:val="en-US" w:eastAsia="zh-CN"/>
        </w:rPr>
        <w:t>中标方的服务</w:t>
      </w:r>
      <w:r>
        <w:rPr>
          <w:rFonts w:hint="default"/>
          <w:highlight w:val="none"/>
          <w:lang w:val="en-US" w:eastAsia="zh-CN"/>
        </w:rPr>
        <w:t>评价，并在3个工作日内经双方对</w:t>
      </w:r>
      <w:r>
        <w:rPr>
          <w:rFonts w:hint="eastAsia"/>
          <w:highlight w:val="none"/>
          <w:lang w:val="en-US" w:eastAsia="zh-CN"/>
        </w:rPr>
        <w:t>评价</w:t>
      </w:r>
      <w:r>
        <w:rPr>
          <w:rFonts w:hint="default"/>
          <w:highlight w:val="none"/>
          <w:lang w:val="en-US" w:eastAsia="zh-CN"/>
        </w:rPr>
        <w:t>得分结果进行签字确认</w:t>
      </w:r>
      <w:r>
        <w:rPr>
          <w:rFonts w:hint="eastAsia"/>
          <w:highlight w:val="none"/>
          <w:lang w:val="en-US" w:eastAsia="zh-CN"/>
        </w:rPr>
        <w:t>，若中标人无正当理由拒签，招标人可单方确认生效</w:t>
      </w:r>
      <w:r>
        <w:rPr>
          <w:rFonts w:hint="default"/>
          <w:highlight w:val="none"/>
          <w:lang w:val="en-US" w:eastAsia="zh-CN"/>
        </w:rPr>
        <w:t>。</w:t>
      </w:r>
      <w:r>
        <w:rPr>
          <w:rFonts w:hint="eastAsia"/>
          <w:highlight w:val="none"/>
          <w:lang w:val="en-US" w:eastAsia="zh-CN"/>
        </w:rPr>
        <w:t>若无扣分事项，视为该周期服务评价满分（100分），无需另行编制评价文件。</w:t>
      </w:r>
    </w:p>
    <w:p w14:paraId="7CBA658A">
      <w:pPr>
        <w:ind w:firstLine="520"/>
        <w:rPr>
          <w:rFonts w:hint="default"/>
          <w:highlight w:val="none"/>
          <w:lang w:val="en-US" w:eastAsia="zh-CN"/>
        </w:rPr>
      </w:pPr>
      <w:r>
        <w:rPr>
          <w:rFonts w:hint="eastAsia"/>
          <w:highlight w:val="none"/>
          <w:lang w:val="en-US" w:eastAsia="zh-CN"/>
        </w:rPr>
        <w:t>每一考核周期独立计分，满分为100分。上一考核周期结束后，考核基准分重置为100分，进入下一考核周期。</w:t>
      </w:r>
    </w:p>
    <w:p w14:paraId="5E2A6961">
      <w:pPr>
        <w:ind w:firstLine="520"/>
        <w:rPr>
          <w:rFonts w:hint="eastAsia"/>
          <w:highlight w:val="none"/>
        </w:rPr>
      </w:pPr>
      <w:r>
        <w:rPr>
          <w:rFonts w:hint="eastAsia"/>
          <w:highlight w:val="none"/>
        </w:rPr>
        <w:t>如果</w:t>
      </w:r>
      <w:r>
        <w:rPr>
          <w:rFonts w:hint="eastAsia"/>
          <w:highlight w:val="none"/>
          <w:lang w:val="en-US" w:eastAsia="zh-CN"/>
        </w:rPr>
        <w:t>结算阶段的考核周期服务评价总分</w:t>
      </w:r>
      <w:r>
        <w:rPr>
          <w:rFonts w:hint="eastAsia"/>
          <w:highlight w:val="none"/>
        </w:rPr>
        <w:t>低于90分，将视为中标人违约。招标人有权按以下规则在向中标人支付的合同款项中进行扣减：</w:t>
      </w:r>
    </w:p>
    <w:p w14:paraId="18E649CD">
      <w:pPr>
        <w:ind w:firstLine="520"/>
        <w:rPr>
          <w:rFonts w:hint="eastAsia"/>
          <w:highlight w:val="none"/>
        </w:rPr>
      </w:pPr>
      <w:r>
        <w:rPr>
          <w:rFonts w:hint="eastAsia"/>
          <w:highlight w:val="none"/>
        </w:rPr>
        <w:t>评价分数低于9</w:t>
      </w:r>
      <w:r>
        <w:rPr>
          <w:rFonts w:hint="eastAsia"/>
          <w:highlight w:val="none"/>
          <w:lang w:val="en-US" w:eastAsia="zh-CN"/>
        </w:rPr>
        <w:t>5</w:t>
      </w:r>
      <w:r>
        <w:rPr>
          <w:rFonts w:hint="eastAsia"/>
          <w:highlight w:val="none"/>
        </w:rPr>
        <w:t>分且不低于</w:t>
      </w:r>
      <w:r>
        <w:rPr>
          <w:rFonts w:hint="eastAsia"/>
          <w:highlight w:val="none"/>
          <w:lang w:val="en-US" w:eastAsia="zh-CN"/>
        </w:rPr>
        <w:t>90</w:t>
      </w:r>
      <w:r>
        <w:rPr>
          <w:rFonts w:hint="eastAsia"/>
          <w:highlight w:val="none"/>
        </w:rPr>
        <w:t>分，则扣减</w:t>
      </w:r>
      <w:r>
        <w:rPr>
          <w:rFonts w:hint="eastAsia"/>
          <w:highlight w:val="none"/>
          <w:lang w:eastAsia="zh-CN"/>
        </w:rPr>
        <w:t>该委托函金额的</w:t>
      </w:r>
      <w:r>
        <w:rPr>
          <w:rFonts w:hint="eastAsia"/>
          <w:highlight w:val="none"/>
        </w:rPr>
        <w:t>5%。</w:t>
      </w:r>
    </w:p>
    <w:p w14:paraId="39B3C72C">
      <w:pPr>
        <w:ind w:firstLine="520"/>
        <w:rPr>
          <w:rFonts w:hint="eastAsia"/>
          <w:highlight w:val="none"/>
        </w:rPr>
      </w:pPr>
      <w:r>
        <w:rPr>
          <w:rFonts w:hint="eastAsia"/>
          <w:highlight w:val="none"/>
        </w:rPr>
        <w:t>评价分数低于</w:t>
      </w:r>
      <w:r>
        <w:rPr>
          <w:rFonts w:hint="eastAsia"/>
          <w:highlight w:val="none"/>
          <w:lang w:val="en-US" w:eastAsia="zh-CN"/>
        </w:rPr>
        <w:t>90</w:t>
      </w:r>
      <w:r>
        <w:rPr>
          <w:rFonts w:hint="eastAsia"/>
          <w:highlight w:val="none"/>
        </w:rPr>
        <w:t>分且不低于8</w:t>
      </w:r>
      <w:r>
        <w:rPr>
          <w:rFonts w:hint="eastAsia"/>
          <w:highlight w:val="none"/>
          <w:lang w:val="en-US" w:eastAsia="zh-CN"/>
        </w:rPr>
        <w:t>5</w:t>
      </w:r>
      <w:r>
        <w:rPr>
          <w:rFonts w:hint="eastAsia"/>
          <w:highlight w:val="none"/>
        </w:rPr>
        <w:t>分，则扣减</w:t>
      </w:r>
      <w:r>
        <w:rPr>
          <w:rFonts w:hint="eastAsia"/>
          <w:highlight w:val="none"/>
          <w:lang w:eastAsia="zh-CN"/>
        </w:rPr>
        <w:t>该委托函金额的</w:t>
      </w:r>
      <w:r>
        <w:rPr>
          <w:rFonts w:hint="eastAsia"/>
          <w:highlight w:val="none"/>
        </w:rPr>
        <w:t>10%。</w:t>
      </w:r>
    </w:p>
    <w:p w14:paraId="788718B7">
      <w:pPr>
        <w:ind w:firstLine="520"/>
        <w:rPr>
          <w:rFonts w:hint="eastAsia"/>
          <w:highlight w:val="none"/>
        </w:rPr>
      </w:pPr>
      <w:r>
        <w:rPr>
          <w:rFonts w:hint="eastAsia"/>
          <w:highlight w:val="none"/>
        </w:rPr>
        <w:t>评价分数低于8</w:t>
      </w:r>
      <w:r>
        <w:rPr>
          <w:rFonts w:hint="eastAsia"/>
          <w:highlight w:val="none"/>
          <w:lang w:val="en-US" w:eastAsia="zh-CN"/>
        </w:rPr>
        <w:t>5</w:t>
      </w:r>
      <w:r>
        <w:rPr>
          <w:rFonts w:hint="eastAsia"/>
          <w:highlight w:val="none"/>
        </w:rPr>
        <w:t>分且不低于</w:t>
      </w:r>
      <w:r>
        <w:rPr>
          <w:rFonts w:hint="eastAsia"/>
          <w:highlight w:val="none"/>
          <w:lang w:val="en-US" w:eastAsia="zh-CN"/>
        </w:rPr>
        <w:t>80</w:t>
      </w:r>
      <w:r>
        <w:rPr>
          <w:rFonts w:hint="eastAsia"/>
          <w:highlight w:val="none"/>
        </w:rPr>
        <w:t>分，则扣减</w:t>
      </w:r>
      <w:r>
        <w:rPr>
          <w:rFonts w:hint="eastAsia"/>
          <w:highlight w:val="none"/>
          <w:lang w:eastAsia="zh-CN"/>
        </w:rPr>
        <w:t>该委托函金额的</w:t>
      </w:r>
      <w:r>
        <w:rPr>
          <w:rFonts w:hint="eastAsia"/>
          <w:highlight w:val="none"/>
        </w:rPr>
        <w:t>15%。</w:t>
      </w:r>
    </w:p>
    <w:p w14:paraId="33F7D56F">
      <w:pPr>
        <w:ind w:firstLine="520"/>
        <w:rPr>
          <w:rFonts w:hint="eastAsia"/>
          <w:highlight w:val="none"/>
        </w:rPr>
      </w:pPr>
      <w:r>
        <w:rPr>
          <w:rFonts w:hint="eastAsia"/>
          <w:highlight w:val="none"/>
        </w:rPr>
        <w:t>评价分数低于</w:t>
      </w:r>
      <w:r>
        <w:rPr>
          <w:rFonts w:hint="eastAsia"/>
          <w:highlight w:val="none"/>
          <w:lang w:val="en-US" w:eastAsia="zh-CN"/>
        </w:rPr>
        <w:t>80</w:t>
      </w:r>
      <w:r>
        <w:rPr>
          <w:rFonts w:hint="eastAsia"/>
          <w:highlight w:val="none"/>
        </w:rPr>
        <w:t>分，则扣除</w:t>
      </w:r>
      <w:r>
        <w:rPr>
          <w:rFonts w:hint="eastAsia"/>
          <w:highlight w:val="none"/>
          <w:lang w:eastAsia="zh-CN"/>
        </w:rPr>
        <w:t>该委托函金额的</w:t>
      </w:r>
      <w:r>
        <w:rPr>
          <w:rFonts w:hint="eastAsia"/>
          <w:highlight w:val="none"/>
        </w:rPr>
        <w:t>20%。</w:t>
      </w:r>
    </w:p>
    <w:p w14:paraId="21CB9AE8">
      <w:pPr>
        <w:ind w:firstLine="520"/>
        <w:rPr>
          <w:rFonts w:hint="eastAsia"/>
          <w:highlight w:val="none"/>
        </w:rPr>
      </w:pPr>
      <w:r>
        <w:rPr>
          <w:rFonts w:hint="eastAsia"/>
          <w:highlight w:val="none"/>
        </w:rPr>
        <w:t>委托函履约</w:t>
      </w:r>
      <w:r>
        <w:rPr>
          <w:rFonts w:hint="eastAsia"/>
          <w:highlight w:val="none"/>
          <w:lang w:val="en-US" w:eastAsia="zh-CN"/>
        </w:rPr>
        <w:t>期间</w:t>
      </w:r>
      <w:r>
        <w:rPr>
          <w:rFonts w:hint="eastAsia"/>
          <w:highlight w:val="none"/>
        </w:rPr>
        <w:t>评价扣款不超过</w:t>
      </w:r>
      <w:r>
        <w:rPr>
          <w:rFonts w:hint="eastAsia"/>
          <w:highlight w:val="none"/>
          <w:lang w:eastAsia="zh-CN"/>
        </w:rPr>
        <w:t>该委托函金额的</w:t>
      </w:r>
      <w:r>
        <w:rPr>
          <w:rFonts w:hint="eastAsia"/>
          <w:highlight w:val="none"/>
          <w:lang w:val="en-US" w:eastAsia="zh-CN"/>
        </w:rPr>
        <w:t>3</w:t>
      </w:r>
      <w:r>
        <w:rPr>
          <w:rFonts w:hint="eastAsia"/>
          <w:highlight w:val="none"/>
        </w:rPr>
        <w:t>0%。</w:t>
      </w:r>
    </w:p>
    <w:p w14:paraId="30657927">
      <w:pPr>
        <w:pStyle w:val="15"/>
        <w:rPr>
          <w:rFonts w:hint="eastAsia"/>
          <w:highlight w:val="none"/>
        </w:rPr>
      </w:pPr>
    </w:p>
    <w:p w14:paraId="2DAF5CC5">
      <w:pPr>
        <w:pStyle w:val="2"/>
        <w:rPr>
          <w:rFonts w:hint="eastAsia"/>
          <w:highlight w:val="none"/>
        </w:rPr>
      </w:pPr>
      <w:r>
        <w:rPr>
          <w:rFonts w:hint="eastAsia"/>
          <w:highlight w:val="none"/>
        </w:rPr>
        <w:t>项目结算</w:t>
      </w:r>
    </w:p>
    <w:p w14:paraId="6F37B189">
      <w:pPr>
        <w:rPr>
          <w:rFonts w:hint="eastAsia"/>
          <w:highlight w:val="none"/>
        </w:rPr>
      </w:pPr>
      <w:r>
        <w:rPr>
          <w:rFonts w:hint="eastAsia"/>
          <w:highlight w:val="none"/>
        </w:rPr>
        <w:t>本项目结算方式为据实结算，结算标准：结算金额=∑阶段实际完成工作量*</w:t>
      </w:r>
      <w:r>
        <w:rPr>
          <w:rFonts w:hint="eastAsia"/>
          <w:highlight w:val="none"/>
          <w:lang w:eastAsia="zh-CN"/>
        </w:rPr>
        <w:t>单价最高限价*（1-成交下浮率）</w:t>
      </w:r>
      <w:r>
        <w:rPr>
          <w:rFonts w:hint="eastAsia"/>
          <w:highlight w:val="none"/>
        </w:rPr>
        <w:t>-扣款费用（若有）。单项工作结算金额求和后，若阶段服务期间出现本协议第四章服务评价中明确界定的违约行为，根据本协议第五章5.2委托函扣款条款扣减响应费用。</w:t>
      </w:r>
    </w:p>
    <w:p w14:paraId="22E96874">
      <w:pPr>
        <w:ind w:firstLine="520"/>
        <w:rPr>
          <w:rFonts w:hint="eastAsia" w:eastAsia="宋体"/>
          <w:highlight w:val="none"/>
          <w:lang w:eastAsia="zh-CN"/>
        </w:rPr>
      </w:pPr>
      <w:r>
        <w:rPr>
          <w:rFonts w:hint="eastAsia"/>
          <w:highlight w:val="none"/>
          <w:lang w:val="en-US" w:eastAsia="zh-CN"/>
        </w:rPr>
        <w:t>中</w:t>
      </w:r>
      <w:r>
        <w:rPr>
          <w:rFonts w:hint="eastAsia"/>
          <w:highlight w:val="none"/>
        </w:rPr>
        <w:t>标方按照招标方要求及服务完成情况，完成技术协议范围内规定的各项工作。</w:t>
      </w:r>
      <w:r>
        <w:rPr>
          <w:rFonts w:hint="eastAsia"/>
          <w:highlight w:val="none"/>
          <w:lang w:val="en-US" w:eastAsia="zh-CN"/>
        </w:rPr>
        <w:t>中</w:t>
      </w:r>
      <w:r>
        <w:rPr>
          <w:rFonts w:hint="eastAsia"/>
          <w:highlight w:val="none"/>
        </w:rPr>
        <w:t>标方完成协议所有内容后，提交相应的交付物给招标方审核通过后，作为此阶段的结算及付款依据</w:t>
      </w:r>
      <w:r>
        <w:rPr>
          <w:rFonts w:hint="eastAsia"/>
          <w:highlight w:val="none"/>
          <w:lang w:eastAsia="zh-CN"/>
        </w:rPr>
        <w:t>，</w:t>
      </w:r>
      <w:r>
        <w:rPr>
          <w:rFonts w:hint="eastAsia"/>
          <w:highlight w:val="none"/>
        </w:rPr>
        <w:t>最后一阶段结算，</w:t>
      </w:r>
      <w:r>
        <w:rPr>
          <w:rFonts w:hint="eastAsia"/>
          <w:highlight w:val="none"/>
          <w:lang w:val="en-US" w:eastAsia="zh-CN"/>
        </w:rPr>
        <w:t>中标</w:t>
      </w:r>
      <w:r>
        <w:rPr>
          <w:rFonts w:hint="eastAsia"/>
          <w:highlight w:val="none"/>
        </w:rPr>
        <w:t>方需提交合同结算书给招标方，</w:t>
      </w:r>
      <w:r>
        <w:rPr>
          <w:rFonts w:hint="eastAsia"/>
          <w:highlight w:val="none"/>
          <w:lang w:val="en-US" w:eastAsia="zh-CN"/>
        </w:rPr>
        <w:t>招标方</w:t>
      </w:r>
      <w:r>
        <w:rPr>
          <w:rFonts w:hint="eastAsia"/>
          <w:highlight w:val="none"/>
        </w:rPr>
        <w:t>委托的第三方造价咨询公司审核结果作为合同最终结算总价及最后一阶段结算付款的依据</w:t>
      </w:r>
      <w:r>
        <w:rPr>
          <w:rFonts w:hint="eastAsia"/>
          <w:highlight w:val="none"/>
          <w:lang w:eastAsia="zh-CN"/>
        </w:rPr>
        <w:t>。</w:t>
      </w:r>
    </w:p>
    <w:p w14:paraId="002B3A27">
      <w:pPr>
        <w:ind w:firstLine="520"/>
        <w:rPr>
          <w:rFonts w:hint="eastAsia"/>
          <w:highlight w:val="none"/>
        </w:rPr>
      </w:pPr>
      <w:r>
        <w:rPr>
          <w:rFonts w:hint="eastAsia"/>
          <w:highlight w:val="none"/>
        </w:rPr>
        <w:t>结算标准为：</w:t>
      </w:r>
    </w:p>
    <w:p w14:paraId="25F0026C">
      <w:pPr>
        <w:ind w:firstLine="520"/>
        <w:rPr>
          <w:rFonts w:hint="eastAsia"/>
          <w:highlight w:val="none"/>
          <w:lang w:eastAsia="zh-CN"/>
        </w:rPr>
      </w:pPr>
      <w:r>
        <w:rPr>
          <w:rFonts w:hint="eastAsia"/>
          <w:highlight w:val="none"/>
          <w:lang w:val="en-US" w:eastAsia="zh-CN"/>
        </w:rPr>
        <w:t>中</w:t>
      </w:r>
      <w:r>
        <w:rPr>
          <w:rFonts w:hint="eastAsia"/>
          <w:highlight w:val="none"/>
        </w:rPr>
        <w:t>标方提供的人员能力须符合协议要求</w:t>
      </w:r>
      <w:r>
        <w:rPr>
          <w:rFonts w:hint="eastAsia"/>
          <w:highlight w:val="none"/>
          <w:lang w:eastAsia="zh-CN"/>
        </w:rPr>
        <w:t>；</w:t>
      </w:r>
    </w:p>
    <w:p w14:paraId="50DDF3FA">
      <w:pPr>
        <w:ind w:firstLine="520"/>
        <w:rPr>
          <w:rFonts w:hint="eastAsia"/>
          <w:highlight w:val="none"/>
        </w:rPr>
      </w:pPr>
      <w:r>
        <w:rPr>
          <w:rFonts w:hint="eastAsia"/>
          <w:highlight w:val="none"/>
          <w:lang w:val="en-US" w:eastAsia="zh-CN"/>
        </w:rPr>
        <w:t>中标方</w:t>
      </w:r>
      <w:r>
        <w:rPr>
          <w:rFonts w:hint="eastAsia"/>
          <w:highlight w:val="none"/>
        </w:rPr>
        <w:t>提交完成的各项工作的工作成果及交付物，必须通过招标方的确认</w:t>
      </w:r>
      <w:r>
        <w:rPr>
          <w:rFonts w:hint="eastAsia"/>
          <w:highlight w:val="none"/>
          <w:lang w:val="en-US" w:eastAsia="zh-CN"/>
        </w:rPr>
        <w:t>后由</w:t>
      </w:r>
      <w:r>
        <w:rPr>
          <w:rFonts w:hint="eastAsia"/>
          <w:highlight w:val="none"/>
        </w:rPr>
        <w:t>招标方委托的第三方造价咨询公司</w:t>
      </w:r>
      <w:r>
        <w:rPr>
          <w:rFonts w:hint="eastAsia"/>
          <w:highlight w:val="none"/>
          <w:lang w:val="en-US" w:eastAsia="zh-CN"/>
        </w:rPr>
        <w:t>审核</w:t>
      </w:r>
      <w:r>
        <w:rPr>
          <w:rFonts w:hint="eastAsia"/>
          <w:highlight w:val="none"/>
        </w:rPr>
        <w:t>合同</w:t>
      </w:r>
      <w:r>
        <w:rPr>
          <w:rFonts w:hint="eastAsia"/>
          <w:highlight w:val="none"/>
          <w:lang w:val="en-US" w:eastAsia="zh-CN"/>
        </w:rPr>
        <w:t>的</w:t>
      </w:r>
      <w:r>
        <w:rPr>
          <w:rFonts w:hint="eastAsia"/>
          <w:highlight w:val="none"/>
        </w:rPr>
        <w:t>最终结算总价。</w:t>
      </w:r>
    </w:p>
    <w:p w14:paraId="0B5088BC">
      <w:pPr>
        <w:ind w:firstLine="520"/>
        <w:rPr>
          <w:rFonts w:hint="eastAsia"/>
          <w:highlight w:val="none"/>
        </w:rPr>
      </w:pPr>
    </w:p>
    <w:p w14:paraId="21BB4F6E">
      <w:pPr>
        <w:pStyle w:val="2"/>
        <w:rPr>
          <w:rFonts w:hint="eastAsia" w:eastAsia="宋体" w:cs="Times New Roman"/>
          <w:highlight w:val="none"/>
        </w:rPr>
      </w:pPr>
      <w:r>
        <w:rPr>
          <w:rFonts w:hint="eastAsia" w:cs="Times New Roman"/>
          <w:highlight w:val="none"/>
          <w:lang w:val="en-US" w:eastAsia="zh-CN"/>
        </w:rPr>
        <w:t>归档</w:t>
      </w:r>
      <w:r>
        <w:rPr>
          <w:rFonts w:hint="eastAsia" w:eastAsia="宋体" w:cs="Times New Roman"/>
          <w:highlight w:val="none"/>
        </w:rPr>
        <w:t>要求</w:t>
      </w:r>
    </w:p>
    <w:p w14:paraId="08348EC3">
      <w:pPr>
        <w:ind w:firstLine="0"/>
        <w:rPr>
          <w:rFonts w:hint="eastAsia"/>
          <w:highlight w:val="none"/>
          <w:lang w:eastAsia="zh-CN"/>
        </w:rPr>
      </w:pPr>
      <w:r>
        <w:rPr>
          <w:rFonts w:hint="eastAsia"/>
          <w:highlight w:val="none"/>
        </w:rPr>
        <w:t>由中标方按照招标方的项目归档工作要求，完成合同规定的项目文件的收集、整理、归档工作，提交招标方进行审核确认。中标方须对项目文件的完整性、准确性和系统性负责。</w:t>
      </w:r>
    </w:p>
    <w:p w14:paraId="5EF37BEC">
      <w:pPr>
        <w:ind w:firstLine="520"/>
        <w:rPr>
          <w:rFonts w:hint="eastAsia"/>
          <w:highlight w:val="none"/>
        </w:rPr>
      </w:pPr>
    </w:p>
    <w:p w14:paraId="0AF066C5">
      <w:pPr>
        <w:pStyle w:val="2"/>
        <w:rPr>
          <w:rFonts w:hint="eastAsia" w:eastAsia="宋体" w:cs="Times New Roman"/>
          <w:highlight w:val="none"/>
        </w:rPr>
      </w:pPr>
      <w:r>
        <w:rPr>
          <w:rFonts w:hint="eastAsia" w:eastAsia="宋体" w:cs="Times New Roman"/>
          <w:highlight w:val="none"/>
        </w:rPr>
        <w:t>其他要求</w:t>
      </w:r>
    </w:p>
    <w:p w14:paraId="1EC705EC">
      <w:pPr>
        <w:ind w:firstLine="0"/>
        <w:rPr>
          <w:rFonts w:hint="eastAsia"/>
          <w:highlight w:val="none"/>
        </w:rPr>
      </w:pPr>
      <w:r>
        <w:rPr>
          <w:rFonts w:hint="eastAsia"/>
          <w:highlight w:val="none"/>
        </w:rPr>
        <w:t>中标方如出现“南方电网公司违规经营投资责任追究管理细则”中明确禁止的以下违规行为，招标方将追究中标方责任，并将扣除</w:t>
      </w:r>
      <w:r>
        <w:rPr>
          <w:rFonts w:hint="eastAsia"/>
          <w:highlight w:val="none"/>
          <w:lang w:val="en-US" w:eastAsia="zh-CN"/>
        </w:rPr>
        <w:t>框架</w:t>
      </w:r>
      <w:r>
        <w:rPr>
          <w:rFonts w:hint="eastAsia"/>
          <w:highlight w:val="none"/>
        </w:rPr>
        <w:t>合同签订总额的5%作为违约金。</w:t>
      </w:r>
    </w:p>
    <w:p w14:paraId="2558ED26">
      <w:pPr>
        <w:numPr>
          <w:ilvl w:val="-1"/>
          <w:numId w:val="0"/>
        </w:numPr>
        <w:ind w:firstLine="420" w:firstLineChars="0"/>
        <w:rPr>
          <w:rFonts w:hint="eastAsia"/>
          <w:highlight w:val="none"/>
        </w:rPr>
      </w:pPr>
      <w:r>
        <w:rPr>
          <w:rFonts w:hint="eastAsia"/>
          <w:highlight w:val="none"/>
        </w:rPr>
        <w:t>1）项目管理混乱致使建设严重拖期、成本明显高于同类项目。</w:t>
      </w:r>
    </w:p>
    <w:p w14:paraId="1F612148">
      <w:pPr>
        <w:numPr>
          <w:ilvl w:val="-1"/>
          <w:numId w:val="0"/>
        </w:numPr>
        <w:ind w:firstLine="420" w:firstLineChars="0"/>
        <w:rPr>
          <w:rFonts w:hint="eastAsia"/>
          <w:highlight w:val="none"/>
        </w:rPr>
      </w:pPr>
      <w:r>
        <w:rPr>
          <w:rFonts w:hint="eastAsia"/>
          <w:highlight w:val="none"/>
          <w:lang w:val="en-US" w:eastAsia="zh-CN"/>
        </w:rPr>
        <w:t>2</w:t>
      </w:r>
      <w:r>
        <w:rPr>
          <w:rFonts w:hint="eastAsia"/>
          <w:highlight w:val="none"/>
        </w:rPr>
        <w:t>）虚增工程量，重复计取费用，增大项目成本，造成资金流失。</w:t>
      </w:r>
    </w:p>
    <w:p w14:paraId="2F640E29">
      <w:pPr>
        <w:pStyle w:val="15"/>
        <w:rPr>
          <w:rFonts w:hint="eastAsia"/>
          <w:highlight w:val="none"/>
          <w:lang w:eastAsia="zh-CN"/>
        </w:rPr>
      </w:pPr>
    </w:p>
    <w:p w14:paraId="2870A00E">
      <w:pPr>
        <w:rPr>
          <w:rFonts w:hint="eastAsia"/>
          <w:highlight w:val="none"/>
        </w:rPr>
      </w:pPr>
      <w:r>
        <w:rPr>
          <w:rFonts w:hint="eastAsia"/>
          <w:highlight w:val="none"/>
        </w:rPr>
        <w:br w:type="page"/>
      </w:r>
    </w:p>
    <w:p w14:paraId="4F8C2A77">
      <w:pPr>
        <w:pStyle w:val="2"/>
        <w:numPr>
          <w:ilvl w:val="0"/>
          <w:numId w:val="0"/>
        </w:numPr>
        <w:ind w:left="0" w:firstLine="0"/>
        <w:jc w:val="both"/>
        <w:rPr>
          <w:highlight w:val="none"/>
          <w:lang w:val="sv-SE"/>
        </w:rPr>
      </w:pPr>
      <w:r>
        <w:rPr>
          <w:rFonts w:hint="eastAsia"/>
          <w:highlight w:val="none"/>
        </w:rPr>
        <w:t>附件1</w:t>
      </w:r>
      <w:r>
        <w:rPr>
          <w:highlight w:val="none"/>
        </w:rPr>
        <w:t xml:space="preserve"> </w:t>
      </w:r>
      <w:r>
        <w:rPr>
          <w:rFonts w:hint="eastAsia"/>
          <w:highlight w:val="none"/>
          <w:lang w:val="en-US" w:eastAsia="zh-CN"/>
        </w:rPr>
        <w:t>2025年网络安全检查支持采购子项标包1</w:t>
      </w:r>
      <w:r>
        <w:rPr>
          <w:rFonts w:hint="eastAsia"/>
          <w:highlight w:val="none"/>
          <w:lang w:val="sv-SE"/>
        </w:rPr>
        <w:t>服务</w:t>
      </w:r>
      <w:r>
        <w:rPr>
          <w:rFonts w:hint="eastAsia"/>
          <w:highlight w:val="none"/>
          <w:lang w:val="en-US" w:eastAsia="zh-CN"/>
        </w:rPr>
        <w:t>通知书</w:t>
      </w:r>
    </w:p>
    <w:p w14:paraId="7E218470">
      <w:pPr>
        <w:ind w:firstLine="640"/>
        <w:jc w:val="center"/>
        <w:rPr>
          <w:rFonts w:hint="eastAsia"/>
          <w:sz w:val="32"/>
          <w:szCs w:val="32"/>
          <w:highlight w:val="none"/>
          <w:lang w:val="sv-SE"/>
        </w:rPr>
      </w:pPr>
    </w:p>
    <w:p w14:paraId="61333C68">
      <w:pPr>
        <w:pStyle w:val="15"/>
        <w:spacing w:line="240" w:lineRule="auto"/>
        <w:ind w:firstLine="0" w:firstLineChars="0"/>
        <w:jc w:val="center"/>
        <w:rPr>
          <w:rFonts w:ascii="宋体" w:hAnsi="宋体" w:eastAsia="宋体" w:cs="宋体"/>
          <w:b/>
          <w:bCs/>
          <w:sz w:val="32"/>
          <w:szCs w:val="32"/>
          <w:highlight w:val="none"/>
        </w:rPr>
      </w:pPr>
      <w:r>
        <w:rPr>
          <w:rFonts w:hint="eastAsia" w:ascii="宋体" w:hAnsi="宋体" w:eastAsia="宋体" w:cs="宋体"/>
          <w:b/>
          <w:bCs/>
          <w:sz w:val="32"/>
          <w:szCs w:val="32"/>
          <w:highlight w:val="none"/>
        </w:rPr>
        <w:t>服务通知书</w:t>
      </w:r>
    </w:p>
    <w:p w14:paraId="0905873F">
      <w:pPr>
        <w:pStyle w:val="15"/>
        <w:spacing w:line="360" w:lineRule="auto"/>
        <w:ind w:left="1200" w:hanging="1200" w:hangingChars="500"/>
        <w:jc w:val="left"/>
        <w:rPr>
          <w:rFonts w:hint="default" w:eastAsia="宋体"/>
          <w:highlight w:val="none"/>
          <w:lang w:val="en-US" w:eastAsia="zh-CN"/>
        </w:rPr>
      </w:pPr>
      <w:r>
        <w:rPr>
          <w:rFonts w:hint="eastAsia"/>
          <w:highlight w:val="none"/>
          <w:lang w:val="sv-SE"/>
        </w:rPr>
        <w:t>合同名称：</w:t>
      </w:r>
      <w:r>
        <w:rPr>
          <w:rFonts w:hint="eastAsia"/>
          <w:highlight w:val="none"/>
          <w:u w:val="single"/>
          <w:lang w:val="en-US" w:eastAsia="zh-CN"/>
        </w:rPr>
        <w:t xml:space="preserve">                       </w:t>
      </w:r>
    </w:p>
    <w:p w14:paraId="7348DAD9">
      <w:pPr>
        <w:pStyle w:val="15"/>
        <w:spacing w:line="360" w:lineRule="auto"/>
        <w:ind w:firstLine="0" w:firstLineChars="0"/>
        <w:jc w:val="left"/>
        <w:rPr>
          <w:highlight w:val="none"/>
          <w:u w:val="single"/>
          <w:lang w:val="sv-SE"/>
        </w:rPr>
      </w:pPr>
      <w:r>
        <w:rPr>
          <w:rFonts w:hint="eastAsia"/>
          <w:highlight w:val="none"/>
          <w:lang w:val="sv-SE"/>
        </w:rPr>
        <w:t>合同编号：</w:t>
      </w:r>
      <w:r>
        <w:rPr>
          <w:rFonts w:hint="eastAsia"/>
          <w:highlight w:val="none"/>
          <w:u w:val="single"/>
          <w:lang w:val="en-US" w:eastAsia="zh-CN"/>
        </w:rPr>
        <w:t xml:space="preserve">                       </w:t>
      </w:r>
    </w:p>
    <w:p w14:paraId="03DCED80">
      <w:pPr>
        <w:pStyle w:val="15"/>
        <w:spacing w:line="360" w:lineRule="auto"/>
        <w:ind w:firstLine="0" w:firstLineChars="0"/>
        <w:jc w:val="left"/>
        <w:rPr>
          <w:highlight w:val="none"/>
        </w:rPr>
      </w:pPr>
      <w:r>
        <w:rPr>
          <w:rFonts w:hint="eastAsia"/>
          <w:spacing w:val="240"/>
          <w:kern w:val="0"/>
          <w:highlight w:val="none"/>
          <w:fitText w:val="960" w:id="2056537627"/>
        </w:rPr>
        <w:t>甲</w:t>
      </w:r>
      <w:r>
        <w:rPr>
          <w:rFonts w:hint="eastAsia"/>
          <w:spacing w:val="0"/>
          <w:kern w:val="0"/>
          <w:highlight w:val="none"/>
          <w:fitText w:val="960" w:id="2056537627"/>
        </w:rPr>
        <w:t>方</w:t>
      </w:r>
      <w:r>
        <w:rPr>
          <w:rFonts w:hint="eastAsia"/>
          <w:highlight w:val="none"/>
        </w:rPr>
        <w:t>：</w:t>
      </w:r>
      <w:r>
        <w:rPr>
          <w:rFonts w:hint="eastAsia"/>
          <w:highlight w:val="none"/>
          <w:u w:val="single"/>
          <w:lang w:val="en-US" w:eastAsia="zh-CN"/>
        </w:rPr>
        <w:t xml:space="preserve">                       </w:t>
      </w:r>
    </w:p>
    <w:p w14:paraId="2466D98B">
      <w:pPr>
        <w:pStyle w:val="15"/>
        <w:spacing w:line="360" w:lineRule="auto"/>
        <w:ind w:firstLine="0" w:firstLineChars="0"/>
        <w:jc w:val="left"/>
        <w:rPr>
          <w:highlight w:val="none"/>
          <w:lang w:val="sv-SE"/>
        </w:rPr>
      </w:pPr>
      <w:r>
        <w:rPr>
          <w:rFonts w:hint="eastAsia"/>
          <w:spacing w:val="240"/>
          <w:kern w:val="0"/>
          <w:highlight w:val="none"/>
          <w:fitText w:val="960" w:id="1280118545"/>
        </w:rPr>
        <w:t>乙</w:t>
      </w:r>
      <w:r>
        <w:rPr>
          <w:rFonts w:hint="eastAsia"/>
          <w:spacing w:val="0"/>
          <w:kern w:val="0"/>
          <w:highlight w:val="none"/>
          <w:fitText w:val="960" w:id="1280118545"/>
        </w:rPr>
        <w:t>方</w:t>
      </w:r>
      <w:r>
        <w:rPr>
          <w:rFonts w:hint="eastAsia"/>
          <w:highlight w:val="none"/>
          <w:lang w:val="sv-SE"/>
        </w:rPr>
        <w:t>：</w:t>
      </w:r>
      <w:r>
        <w:rPr>
          <w:rFonts w:hint="eastAsia"/>
          <w:highlight w:val="none"/>
          <w:u w:val="single"/>
          <w:lang w:val="en-US" w:eastAsia="zh-CN"/>
        </w:rPr>
        <w:t xml:space="preserve">                       </w:t>
      </w:r>
    </w:p>
    <w:tbl>
      <w:tblPr>
        <w:tblStyle w:val="3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1551"/>
        <w:gridCol w:w="782"/>
        <w:gridCol w:w="435"/>
        <w:gridCol w:w="1194"/>
        <w:gridCol w:w="1186"/>
        <w:gridCol w:w="1132"/>
        <w:gridCol w:w="768"/>
        <w:gridCol w:w="762"/>
      </w:tblGrid>
      <w:tr w14:paraId="72775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712" w:type="dxa"/>
            <w:noWrap w:val="0"/>
            <w:vAlign w:val="center"/>
          </w:tcPr>
          <w:p w14:paraId="2BD30873">
            <w:pPr>
              <w:spacing w:line="240" w:lineRule="auto"/>
              <w:ind w:firstLine="0" w:firstLineChars="0"/>
              <w:jc w:val="center"/>
              <w:rPr>
                <w:b/>
                <w:bCs/>
                <w:sz w:val="22"/>
                <w:szCs w:val="22"/>
                <w:highlight w:val="none"/>
                <w:lang w:val="sv-SE"/>
              </w:rPr>
            </w:pPr>
            <w:r>
              <w:rPr>
                <w:rFonts w:hint="eastAsia"/>
                <w:b/>
                <w:bCs/>
                <w:sz w:val="22"/>
                <w:szCs w:val="22"/>
                <w:highlight w:val="none"/>
                <w:lang w:val="sv-SE"/>
              </w:rPr>
              <w:t>序号</w:t>
            </w:r>
          </w:p>
        </w:tc>
        <w:tc>
          <w:tcPr>
            <w:tcW w:w="1551" w:type="dxa"/>
            <w:noWrap w:val="0"/>
            <w:vAlign w:val="center"/>
          </w:tcPr>
          <w:p w14:paraId="3498C243">
            <w:pPr>
              <w:spacing w:line="240" w:lineRule="auto"/>
              <w:ind w:firstLine="0" w:firstLineChars="0"/>
              <w:jc w:val="center"/>
              <w:rPr>
                <w:b/>
                <w:bCs/>
                <w:sz w:val="22"/>
                <w:szCs w:val="22"/>
                <w:highlight w:val="none"/>
                <w:lang w:val="sv-SE"/>
              </w:rPr>
            </w:pPr>
            <w:r>
              <w:rPr>
                <w:rFonts w:hint="eastAsia"/>
                <w:b/>
                <w:bCs/>
                <w:sz w:val="22"/>
                <w:szCs w:val="22"/>
                <w:highlight w:val="none"/>
                <w:lang w:val="sv-SE"/>
              </w:rPr>
              <w:t>服务内容</w:t>
            </w:r>
          </w:p>
        </w:tc>
        <w:tc>
          <w:tcPr>
            <w:tcW w:w="782" w:type="dxa"/>
            <w:noWrap w:val="0"/>
            <w:vAlign w:val="center"/>
          </w:tcPr>
          <w:p w14:paraId="4B3C6F8E">
            <w:pPr>
              <w:spacing w:line="240" w:lineRule="auto"/>
              <w:ind w:firstLine="0" w:firstLineChars="0"/>
              <w:jc w:val="center"/>
              <w:rPr>
                <w:b/>
                <w:bCs/>
                <w:sz w:val="22"/>
                <w:szCs w:val="22"/>
                <w:highlight w:val="none"/>
                <w:lang w:val="sv-SE"/>
              </w:rPr>
            </w:pPr>
            <w:r>
              <w:rPr>
                <w:rFonts w:hint="eastAsia"/>
                <w:b/>
                <w:bCs/>
                <w:sz w:val="22"/>
                <w:szCs w:val="22"/>
                <w:highlight w:val="none"/>
                <w:lang w:val="sv-SE"/>
              </w:rPr>
              <w:t>服务形式</w:t>
            </w:r>
          </w:p>
        </w:tc>
        <w:tc>
          <w:tcPr>
            <w:tcW w:w="435" w:type="dxa"/>
            <w:noWrap w:val="0"/>
            <w:vAlign w:val="center"/>
          </w:tcPr>
          <w:p w14:paraId="42C1C36B">
            <w:pPr>
              <w:spacing w:line="240" w:lineRule="auto"/>
              <w:ind w:firstLine="0" w:firstLineChars="0"/>
              <w:jc w:val="center"/>
              <w:rPr>
                <w:b/>
                <w:bCs/>
                <w:sz w:val="22"/>
                <w:szCs w:val="22"/>
                <w:highlight w:val="none"/>
                <w:lang w:val="sv-SE"/>
              </w:rPr>
            </w:pPr>
            <w:r>
              <w:rPr>
                <w:rFonts w:hint="eastAsia"/>
                <w:b/>
                <w:bCs/>
                <w:sz w:val="22"/>
                <w:szCs w:val="22"/>
                <w:highlight w:val="none"/>
                <w:lang w:val="sv-SE"/>
              </w:rPr>
              <w:t>数量</w:t>
            </w:r>
          </w:p>
        </w:tc>
        <w:tc>
          <w:tcPr>
            <w:tcW w:w="1194" w:type="dxa"/>
            <w:noWrap w:val="0"/>
            <w:vAlign w:val="center"/>
          </w:tcPr>
          <w:p w14:paraId="700442E9">
            <w:pPr>
              <w:spacing w:line="240" w:lineRule="auto"/>
              <w:ind w:firstLine="0" w:firstLineChars="0"/>
              <w:jc w:val="center"/>
              <w:rPr>
                <w:b/>
                <w:bCs/>
                <w:sz w:val="22"/>
                <w:szCs w:val="22"/>
                <w:highlight w:val="none"/>
                <w:lang w:val="sv-SE"/>
              </w:rPr>
            </w:pPr>
            <w:r>
              <w:rPr>
                <w:rFonts w:hint="eastAsia"/>
                <w:b/>
                <w:bCs/>
                <w:sz w:val="22"/>
                <w:szCs w:val="22"/>
                <w:highlight w:val="none"/>
                <w:lang w:val="sv-SE"/>
              </w:rPr>
              <w:t>计量单位</w:t>
            </w:r>
          </w:p>
        </w:tc>
        <w:tc>
          <w:tcPr>
            <w:tcW w:w="1186" w:type="dxa"/>
            <w:noWrap w:val="0"/>
            <w:vAlign w:val="center"/>
          </w:tcPr>
          <w:p w14:paraId="4FB92EFB">
            <w:pPr>
              <w:spacing w:line="240" w:lineRule="auto"/>
              <w:ind w:firstLine="0" w:firstLineChars="0"/>
              <w:jc w:val="center"/>
              <w:rPr>
                <w:b/>
                <w:bCs/>
                <w:sz w:val="22"/>
                <w:szCs w:val="22"/>
                <w:highlight w:val="none"/>
                <w:lang w:val="sv-SE"/>
              </w:rPr>
            </w:pPr>
            <w:r>
              <w:rPr>
                <w:rFonts w:hint="eastAsia"/>
                <w:b/>
                <w:bCs/>
                <w:sz w:val="22"/>
                <w:szCs w:val="22"/>
                <w:highlight w:val="none"/>
                <w:lang w:val="sv-SE"/>
              </w:rPr>
              <w:t>服务地点</w:t>
            </w:r>
          </w:p>
        </w:tc>
        <w:tc>
          <w:tcPr>
            <w:tcW w:w="1132" w:type="dxa"/>
            <w:noWrap w:val="0"/>
            <w:vAlign w:val="center"/>
          </w:tcPr>
          <w:p w14:paraId="3D0D6F6F">
            <w:pPr>
              <w:spacing w:line="240" w:lineRule="auto"/>
              <w:ind w:firstLine="0" w:firstLineChars="0"/>
              <w:jc w:val="center"/>
              <w:rPr>
                <w:b/>
                <w:bCs/>
                <w:sz w:val="22"/>
                <w:szCs w:val="22"/>
                <w:highlight w:val="none"/>
                <w:lang w:val="sv-SE"/>
              </w:rPr>
            </w:pPr>
            <w:r>
              <w:rPr>
                <w:rFonts w:hint="eastAsia"/>
                <w:b/>
                <w:bCs/>
                <w:sz w:val="22"/>
                <w:szCs w:val="22"/>
                <w:highlight w:val="none"/>
                <w:lang w:val="sv-SE"/>
              </w:rPr>
              <w:t>服务时间</w:t>
            </w:r>
          </w:p>
        </w:tc>
        <w:tc>
          <w:tcPr>
            <w:tcW w:w="768" w:type="dxa"/>
            <w:noWrap w:val="0"/>
            <w:vAlign w:val="center"/>
          </w:tcPr>
          <w:p w14:paraId="7CEEE881">
            <w:pPr>
              <w:spacing w:line="240" w:lineRule="auto"/>
              <w:ind w:firstLine="0" w:firstLineChars="0"/>
              <w:jc w:val="center"/>
              <w:rPr>
                <w:b/>
                <w:bCs/>
                <w:sz w:val="22"/>
                <w:szCs w:val="22"/>
                <w:highlight w:val="none"/>
                <w:lang w:val="sv-SE"/>
              </w:rPr>
            </w:pPr>
            <w:r>
              <w:rPr>
                <w:rFonts w:hint="eastAsia"/>
                <w:b/>
                <w:bCs/>
                <w:sz w:val="22"/>
                <w:szCs w:val="22"/>
                <w:highlight w:val="none"/>
                <w:lang w:val="sv-SE"/>
              </w:rPr>
              <w:t>服务人数</w:t>
            </w:r>
          </w:p>
        </w:tc>
        <w:tc>
          <w:tcPr>
            <w:tcW w:w="762" w:type="dxa"/>
            <w:noWrap w:val="0"/>
            <w:vAlign w:val="center"/>
          </w:tcPr>
          <w:p w14:paraId="235CA386">
            <w:pPr>
              <w:spacing w:line="240" w:lineRule="auto"/>
              <w:ind w:firstLine="0" w:firstLineChars="0"/>
              <w:jc w:val="center"/>
              <w:rPr>
                <w:b/>
                <w:bCs/>
                <w:sz w:val="22"/>
                <w:szCs w:val="22"/>
                <w:highlight w:val="none"/>
                <w:lang w:val="sv-SE"/>
              </w:rPr>
            </w:pPr>
            <w:r>
              <w:rPr>
                <w:rFonts w:hint="eastAsia"/>
                <w:b/>
                <w:bCs/>
                <w:sz w:val="22"/>
                <w:szCs w:val="22"/>
                <w:highlight w:val="none"/>
                <w:lang w:val="sv-SE"/>
              </w:rPr>
              <w:t>人员资质</w:t>
            </w:r>
          </w:p>
        </w:tc>
      </w:tr>
      <w:tr w14:paraId="7BC96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7" w:hRule="atLeast"/>
          <w:jc w:val="center"/>
        </w:trPr>
        <w:tc>
          <w:tcPr>
            <w:tcW w:w="712" w:type="dxa"/>
            <w:noWrap w:val="0"/>
            <w:vAlign w:val="center"/>
          </w:tcPr>
          <w:p w14:paraId="73BA4612">
            <w:pPr>
              <w:spacing w:line="240" w:lineRule="auto"/>
              <w:ind w:firstLine="0" w:firstLineChars="0"/>
              <w:jc w:val="center"/>
              <w:rPr>
                <w:rFonts w:hint="eastAsia" w:ascii="Times New Roman" w:hAnsi="Times New Roman" w:eastAsia="宋体" w:cs="Times New Roman"/>
                <w:kern w:val="2"/>
                <w:sz w:val="22"/>
                <w:szCs w:val="22"/>
                <w:highlight w:val="none"/>
                <w:lang w:val="sv-SE" w:eastAsia="zh-CN" w:bidi="ar-SA"/>
              </w:rPr>
            </w:pPr>
          </w:p>
        </w:tc>
        <w:tc>
          <w:tcPr>
            <w:tcW w:w="1551" w:type="dxa"/>
            <w:noWrap w:val="0"/>
            <w:vAlign w:val="center"/>
          </w:tcPr>
          <w:p w14:paraId="6C695623">
            <w:pPr>
              <w:widowControl/>
              <w:spacing w:line="240" w:lineRule="auto"/>
              <w:ind w:firstLine="0" w:firstLineChars="0"/>
              <w:rPr>
                <w:rFonts w:ascii="Times New Roman" w:hAnsi="Times New Roman" w:eastAsia="宋体" w:cs="Times New Roman"/>
                <w:kern w:val="2"/>
                <w:sz w:val="22"/>
                <w:szCs w:val="22"/>
                <w:highlight w:val="none"/>
                <w:lang w:val="en-US" w:eastAsia="zh-CN" w:bidi="ar-SA"/>
              </w:rPr>
            </w:pPr>
          </w:p>
        </w:tc>
        <w:tc>
          <w:tcPr>
            <w:tcW w:w="782" w:type="dxa"/>
            <w:noWrap w:val="0"/>
            <w:vAlign w:val="center"/>
          </w:tcPr>
          <w:p w14:paraId="7078CF60">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435" w:type="dxa"/>
            <w:noWrap w:val="0"/>
            <w:vAlign w:val="center"/>
          </w:tcPr>
          <w:p w14:paraId="239B9A18">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94" w:type="dxa"/>
            <w:noWrap w:val="0"/>
            <w:vAlign w:val="center"/>
          </w:tcPr>
          <w:p w14:paraId="30DB4C37">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86" w:type="dxa"/>
            <w:noWrap w:val="0"/>
            <w:vAlign w:val="center"/>
          </w:tcPr>
          <w:p w14:paraId="3EAEA308">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32" w:type="dxa"/>
            <w:noWrap w:val="0"/>
            <w:vAlign w:val="center"/>
          </w:tcPr>
          <w:p w14:paraId="6708DFFA">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768" w:type="dxa"/>
            <w:noWrap w:val="0"/>
            <w:vAlign w:val="center"/>
          </w:tcPr>
          <w:p w14:paraId="2CFD0A38">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762" w:type="dxa"/>
            <w:noWrap w:val="0"/>
            <w:vAlign w:val="center"/>
          </w:tcPr>
          <w:p w14:paraId="7EE18E6C">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r>
      <w:tr w14:paraId="6B7F8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7" w:hRule="atLeast"/>
          <w:jc w:val="center"/>
        </w:trPr>
        <w:tc>
          <w:tcPr>
            <w:tcW w:w="712" w:type="dxa"/>
            <w:noWrap w:val="0"/>
            <w:vAlign w:val="center"/>
          </w:tcPr>
          <w:p w14:paraId="31049BD1">
            <w:pPr>
              <w:spacing w:line="240" w:lineRule="auto"/>
              <w:ind w:firstLine="0" w:firstLineChars="0"/>
              <w:jc w:val="center"/>
              <w:rPr>
                <w:rFonts w:hint="eastAsia"/>
                <w:sz w:val="22"/>
                <w:szCs w:val="22"/>
                <w:highlight w:val="none"/>
                <w:lang w:val="sv-SE"/>
              </w:rPr>
            </w:pPr>
          </w:p>
        </w:tc>
        <w:tc>
          <w:tcPr>
            <w:tcW w:w="1551" w:type="dxa"/>
            <w:noWrap w:val="0"/>
            <w:vAlign w:val="center"/>
          </w:tcPr>
          <w:p w14:paraId="18B0A711">
            <w:pPr>
              <w:widowControl/>
              <w:spacing w:line="240" w:lineRule="auto"/>
              <w:ind w:firstLine="0" w:firstLineChars="0"/>
              <w:rPr>
                <w:rFonts w:ascii="Times New Roman" w:hAnsi="Times New Roman" w:eastAsia="宋体" w:cs="Times New Roman"/>
                <w:kern w:val="2"/>
                <w:sz w:val="22"/>
                <w:szCs w:val="22"/>
                <w:highlight w:val="none"/>
                <w:lang w:val="en-US" w:eastAsia="zh-CN" w:bidi="ar-SA"/>
              </w:rPr>
            </w:pPr>
          </w:p>
        </w:tc>
        <w:tc>
          <w:tcPr>
            <w:tcW w:w="782" w:type="dxa"/>
            <w:noWrap w:val="0"/>
            <w:vAlign w:val="center"/>
          </w:tcPr>
          <w:p w14:paraId="21ECC0C9">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435" w:type="dxa"/>
            <w:noWrap w:val="0"/>
            <w:vAlign w:val="center"/>
          </w:tcPr>
          <w:p w14:paraId="0CC510A6">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94" w:type="dxa"/>
            <w:noWrap w:val="0"/>
            <w:vAlign w:val="center"/>
          </w:tcPr>
          <w:p w14:paraId="1CC25DD3">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86" w:type="dxa"/>
            <w:noWrap w:val="0"/>
            <w:vAlign w:val="center"/>
          </w:tcPr>
          <w:p w14:paraId="37A0936D">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32" w:type="dxa"/>
            <w:noWrap w:val="0"/>
            <w:vAlign w:val="center"/>
          </w:tcPr>
          <w:p w14:paraId="3799DE6A">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768" w:type="dxa"/>
            <w:noWrap w:val="0"/>
            <w:vAlign w:val="center"/>
          </w:tcPr>
          <w:p w14:paraId="2C61964D">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762" w:type="dxa"/>
            <w:noWrap w:val="0"/>
            <w:vAlign w:val="center"/>
          </w:tcPr>
          <w:p w14:paraId="44FC728E">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r>
    </w:tbl>
    <w:p w14:paraId="2CD8A142">
      <w:pPr>
        <w:pStyle w:val="15"/>
        <w:spacing w:line="480" w:lineRule="auto"/>
        <w:ind w:firstLine="480"/>
        <w:rPr>
          <w:highlight w:val="none"/>
          <w:u w:val="single"/>
          <w:lang w:val="sv-SE"/>
        </w:rPr>
      </w:pPr>
    </w:p>
    <w:p w14:paraId="32E89011">
      <w:pPr>
        <w:spacing w:after="120" w:line="360" w:lineRule="auto"/>
        <w:ind w:firstLine="0" w:firstLineChars="0"/>
        <w:rPr>
          <w:highlight w:val="none"/>
          <w:u w:val="single"/>
        </w:rPr>
      </w:pPr>
      <w:r>
        <w:rPr>
          <w:rFonts w:hint="eastAsia"/>
          <w:highlight w:val="none"/>
          <w:lang w:val="sv-SE"/>
        </w:rPr>
        <w:t>甲方项目联系人（签字）：</w:t>
      </w:r>
      <w:r>
        <w:rPr>
          <w:rFonts w:hint="eastAsia"/>
          <w:highlight w:val="none"/>
          <w:u w:val="single"/>
        </w:rPr>
        <w:t xml:space="preserve">                </w:t>
      </w:r>
    </w:p>
    <w:p w14:paraId="11769382">
      <w:pPr>
        <w:spacing w:after="120" w:line="360" w:lineRule="auto"/>
        <w:ind w:firstLine="0" w:firstLineChars="0"/>
        <w:rPr>
          <w:highlight w:val="none"/>
          <w:lang w:val="sv-SE"/>
        </w:rPr>
      </w:pPr>
      <w:r>
        <w:rPr>
          <w:rFonts w:hint="eastAsia"/>
          <w:spacing w:val="180"/>
          <w:kern w:val="0"/>
          <w:highlight w:val="none"/>
          <w:fitText w:val="2640" w:id="918434606"/>
          <w:lang w:val="sv-SE"/>
        </w:rPr>
        <w:t>联系人电</w:t>
      </w:r>
      <w:r>
        <w:rPr>
          <w:rFonts w:hint="eastAsia"/>
          <w:spacing w:val="0"/>
          <w:kern w:val="0"/>
          <w:highlight w:val="none"/>
          <w:fitText w:val="2640" w:id="918434606"/>
          <w:lang w:val="sv-SE"/>
        </w:rPr>
        <w:t>话</w:t>
      </w:r>
      <w:r>
        <w:rPr>
          <w:rFonts w:hint="eastAsia"/>
          <w:highlight w:val="none"/>
          <w:lang w:val="sv-SE"/>
        </w:rPr>
        <w:t>：</w:t>
      </w:r>
      <w:r>
        <w:rPr>
          <w:rFonts w:hint="eastAsia"/>
          <w:highlight w:val="none"/>
          <w:u w:val="single"/>
          <w:lang w:val="en-US" w:eastAsia="zh-CN"/>
        </w:rPr>
        <w:t xml:space="preserve">  </w:t>
      </w:r>
      <w:r>
        <w:rPr>
          <w:rFonts w:hint="eastAsia"/>
          <w:highlight w:val="none"/>
          <w:u w:val="single"/>
        </w:rPr>
        <w:t xml:space="preserve">           </w:t>
      </w:r>
      <w:r>
        <w:rPr>
          <w:rFonts w:hint="eastAsia"/>
          <w:highlight w:val="none"/>
          <w:u w:val="single"/>
          <w:lang w:val="en-US" w:eastAsia="zh-CN"/>
        </w:rPr>
        <w:t xml:space="preserve">   </w:t>
      </w:r>
    </w:p>
    <w:p w14:paraId="04D87BDE">
      <w:pPr>
        <w:spacing w:after="120" w:line="360" w:lineRule="auto"/>
        <w:ind w:firstLine="0" w:firstLineChars="0"/>
        <w:rPr>
          <w:highlight w:val="none"/>
          <w:lang w:val="sv-SE"/>
        </w:rPr>
      </w:pPr>
      <w:r>
        <w:rPr>
          <w:rFonts w:hint="eastAsia"/>
          <w:spacing w:val="80"/>
          <w:kern w:val="0"/>
          <w:highlight w:val="none"/>
          <w:fitText w:val="2640" w:id="899811235"/>
        </w:rPr>
        <w:t>通知书</w:t>
      </w:r>
      <w:r>
        <w:rPr>
          <w:rFonts w:hint="eastAsia"/>
          <w:spacing w:val="80"/>
          <w:kern w:val="0"/>
          <w:highlight w:val="none"/>
          <w:fitText w:val="2640" w:id="899811235"/>
          <w:lang w:val="sv-SE"/>
        </w:rPr>
        <w:t>发出日</w:t>
      </w:r>
      <w:r>
        <w:rPr>
          <w:rFonts w:hint="eastAsia"/>
          <w:spacing w:val="0"/>
          <w:kern w:val="0"/>
          <w:highlight w:val="none"/>
          <w:fitText w:val="2640" w:id="899811235"/>
          <w:lang w:val="sv-SE"/>
        </w:rPr>
        <w:t>期</w:t>
      </w:r>
      <w:r>
        <w:rPr>
          <w:rFonts w:hint="eastAsia"/>
          <w:highlight w:val="none"/>
          <w:lang w:val="sv-SE"/>
        </w:rPr>
        <w:t>：</w:t>
      </w:r>
      <w:r>
        <w:rPr>
          <w:rFonts w:hint="eastAsia"/>
          <w:highlight w:val="none"/>
          <w:u w:val="single"/>
        </w:rPr>
        <w:t xml:space="preserve">                </w:t>
      </w:r>
    </w:p>
    <w:p w14:paraId="30BAC2D7">
      <w:pPr>
        <w:ind w:firstLine="480"/>
        <w:rPr>
          <w:rFonts w:hint="eastAsia"/>
          <w:highlight w:val="none"/>
          <w:lang w:val="sv-SE"/>
        </w:rPr>
      </w:pPr>
    </w:p>
    <w:sectPr>
      <w:footerReference r:id="rId11" w:type="default"/>
      <w:pgSz w:w="11906" w:h="16838"/>
      <w:pgMar w:top="1440" w:right="1800" w:bottom="1440" w:left="1800" w:header="851" w:footer="992" w:gutter="0"/>
      <w:pgNumType w:start="1"/>
      <w:cols w:space="720"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92218">
    <w:pPr>
      <w:pStyle w:val="22"/>
      <w:tabs>
        <w:tab w:val="clear" w:pos="4153"/>
      </w:tabs>
      <w:ind w:firstLine="0" w:firstLineChars="0"/>
    </w:pPr>
    <w:r>
      <w:rPr>
        <w:rFonts w:hint="eastAsia" w:ascii="Arial" w:hAnsi="Arial"/>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5248275" cy="635"/>
              <wp:effectExtent l="0" t="0" r="0" b="0"/>
              <wp:wrapNone/>
              <wp:docPr id="2" name="直线 34"/>
              <wp:cNvGraphicFramePr/>
              <a:graphic xmlns:a="http://schemas.openxmlformats.org/drawingml/2006/main">
                <a:graphicData uri="http://schemas.microsoft.com/office/word/2010/wordprocessingShape">
                  <wps:wsp>
                    <wps:cNvCnPr/>
                    <wps:spPr>
                      <a:xfrm flipV="1">
                        <a:off x="0" y="0"/>
                        <a:ext cx="52482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4" o:spid="_x0000_s1026" o:spt="20" style="position:absolute;left:0pt;flip:y;margin-left:0pt;margin-top:0pt;height:0.05pt;width:413.25pt;z-index:251660288;mso-width-relative:page;mso-height-relative:page;" filled="f" stroked="t" coordsize="21600,21600" o:gfxdata="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n&#10;IXR+0gAAAAIBAAAPAAAAAAAAAAEAIAAAACIAAABkcnMvZG93bnJldi54bWxQSwECFAAUAAAACACH&#10;TuJARy2fWPEBAADoAwAADgAAAAAAAAABACAAAAAhAQAAZHJzL2Uyb0RvYy54bWxQSwUGAAAAAAYA&#10;BgBZAQAAhAUAAAAA&#10;">
              <v:fill on="f" focussize="0,0"/>
              <v:stroke color="#000000" joinstyle="round"/>
              <v:imagedata o:title=""/>
              <o:lock v:ext="edit" aspectratio="f"/>
            </v:line>
          </w:pict>
        </mc:Fallback>
      </mc:AlternateContent>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992B7">
    <w:pPr>
      <w:pStyle w:val="22"/>
      <w:framePr w:wrap="around" w:vAnchor="text" w:hAnchor="margin" w:xAlign="center" w:y="1"/>
      <w:ind w:firstLine="360"/>
      <w:rPr>
        <w:rStyle w:val="33"/>
      </w:rPr>
    </w:pPr>
    <w:r>
      <w:fldChar w:fldCharType="begin"/>
    </w:r>
    <w:r>
      <w:rPr>
        <w:rStyle w:val="33"/>
      </w:rPr>
      <w:instrText xml:space="preserve">PAGE  </w:instrText>
    </w:r>
    <w:r>
      <w:fldChar w:fldCharType="end"/>
    </w:r>
  </w:p>
  <w:p w14:paraId="0840269D">
    <w:pPr>
      <w:pStyle w:val="2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17CE9">
    <w:pPr>
      <w:pStyle w:val="2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44EE9">
    <w:pPr>
      <w:pStyle w:val="22"/>
      <w:ind w:firstLine="0" w:firstLineChars="0"/>
      <w:rPr>
        <w:rFonts w:hint="eastAsia"/>
      </w:rPr>
    </w:pPr>
    <w:r>
      <w:rPr>
        <w:rFonts w:hint="eastAsia" w:ascii="Arial" w:hAnsi="Arial"/>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635</wp:posOffset>
              </wp:positionV>
              <wp:extent cx="5248275" cy="635"/>
              <wp:effectExtent l="0" t="0" r="0" b="0"/>
              <wp:wrapNone/>
              <wp:docPr id="1" name="直线 33"/>
              <wp:cNvGraphicFramePr/>
              <a:graphic xmlns:a="http://schemas.openxmlformats.org/drawingml/2006/main">
                <a:graphicData uri="http://schemas.microsoft.com/office/word/2010/wordprocessingShape">
                  <wps:wsp>
                    <wps:cNvCnPr/>
                    <wps:spPr>
                      <a:xfrm flipV="1">
                        <a:off x="0" y="0"/>
                        <a:ext cx="52482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3" o:spid="_x0000_s1026" o:spt="20" style="position:absolute;left:0pt;flip:y;margin-left:0.75pt;margin-top:0.05pt;height:0.05pt;width:413.25pt;z-index:251659264;mso-width-relative:page;mso-height-relative:page;" filled="f" stroked="t" coordsize="21600,21600" o:gfxdata="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xbQD&#10;DNEAAAADAQAADwAAAAAAAAABACAAAAAiAAAAZHJzL2Rvd25yZXYueG1sUEsBAhQAFAAAAAgAh07i&#10;QPp/ITnwAQAA6AMAAA4AAAAAAAAAAQAgAAAAIAEAAGRycy9lMm9Eb2MueG1sUEsFBgAAAAAGAAYA&#10;WQEAAIIFAAAAAA==&#10;">
              <v:fill on="f" focussize="0,0"/>
              <v:stroke color="#000000" joinstyle="round"/>
              <v:imagedata o:title=""/>
              <o:lock v:ext="edit" aspectratio="f"/>
            </v:line>
          </w:pict>
        </mc:Fallback>
      </mc:AlternateContent>
    </w:r>
    <w:r>
      <w:rPr>
        <w:rFonts w:hint="eastAsia"/>
      </w:rPr>
      <w:t xml:space="preserve">                                                                </w:t>
    </w:r>
    <w:r>
      <w:fldChar w:fldCharType="begin"/>
    </w:r>
    <w:r>
      <w:instrText xml:space="preserve">PAGE   \* MERGEFORMAT</w:instrText>
    </w:r>
    <w:r>
      <w:fldChar w:fldCharType="separate"/>
    </w:r>
    <w:r>
      <w:rPr>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0F1DE">
    <w:pPr>
      <w:pStyle w:val="23"/>
      <w:ind w:right="360" w:firstLine="0" w:firstLineChars="0"/>
      <w:jc w:val="right"/>
    </w:pPr>
    <w:r>
      <w:rPr>
        <w:rFonts w:hint="eastAsia"/>
      </w:rPr>
      <w:t>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D3E15">
    <w:pPr>
      <w:pStyle w:val="2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63F45">
    <w:pPr>
      <w:pStyle w:val="2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546B3E"/>
    <w:multiLevelType w:val="multilevel"/>
    <w:tmpl w:val="3E546B3E"/>
    <w:lvl w:ilvl="0" w:tentative="0">
      <w:start w:val="1"/>
      <w:numFmt w:val="decimal"/>
      <w:pStyle w:val="2"/>
      <w:lvlText w:val="%1"/>
      <w:lvlJc w:val="left"/>
      <w:pPr>
        <w:tabs>
          <w:tab w:val="left" w:pos="432"/>
        </w:tabs>
        <w:ind w:left="432" w:hanging="432"/>
      </w:pPr>
      <w:rPr>
        <w:rFonts w:hint="eastAsia"/>
      </w:rPr>
    </w:lvl>
    <w:lvl w:ilvl="1" w:tentative="0">
      <w:start w:val="1"/>
      <w:numFmt w:val="decimal"/>
      <w:pStyle w:val="58"/>
      <w:lvlText w:val="%1.%2"/>
      <w:lvlJc w:val="left"/>
      <w:pPr>
        <w:tabs>
          <w:tab w:val="left" w:pos="576"/>
        </w:tabs>
        <w:ind w:left="576" w:hanging="576"/>
      </w:pPr>
      <w:rPr>
        <w:rFonts w:hint="eastAsia"/>
        <w:lang w:val="sv-SE"/>
      </w:rPr>
    </w:lvl>
    <w:lvl w:ilvl="2" w:tentative="0">
      <w:start w:val="1"/>
      <w:numFmt w:val="decimal"/>
      <w:pStyle w:val="4"/>
      <w:lvlText w:val="%1.%2.%3"/>
      <w:lvlJc w:val="left"/>
      <w:pPr>
        <w:tabs>
          <w:tab w:val="left" w:pos="720"/>
        </w:tabs>
        <w:ind w:left="720" w:hanging="720"/>
      </w:pPr>
      <w:rPr>
        <w:rFonts w:hint="eastAsia"/>
        <w:lang w:val="en-US"/>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ascii="Times New Roman" w:hAnsi="Times New Roman"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1">
    <w:nsid w:val="5CF85D73"/>
    <w:multiLevelType w:val="multilevel"/>
    <w:tmpl w:val="5CF85D73"/>
    <w:lvl w:ilvl="0" w:tentative="0">
      <w:start w:val="1"/>
      <w:numFmt w:val="bullet"/>
      <w:pStyle w:val="63"/>
      <w:lvlText w:val=""/>
      <w:lvlJc w:val="left"/>
      <w:pPr>
        <w:ind w:left="840" w:hanging="420"/>
      </w:pPr>
      <w:rPr>
        <w:rFonts w:hint="default" w:ascii="Wingdings" w:hAnsi="Wingdings"/>
        <w:color w:val="000000"/>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5OWFmMzRmYmQwY2QzODU5NTRkZDNiNDZlNmMwN2IifQ=="/>
  </w:docVars>
  <w:rsids>
    <w:rsidRoot w:val="001D17B9"/>
    <w:rsid w:val="00005533"/>
    <w:rsid w:val="00006CDA"/>
    <w:rsid w:val="00007F53"/>
    <w:rsid w:val="000108AC"/>
    <w:rsid w:val="00011C7A"/>
    <w:rsid w:val="00016F03"/>
    <w:rsid w:val="00020E53"/>
    <w:rsid w:val="00022C27"/>
    <w:rsid w:val="00022CB8"/>
    <w:rsid w:val="000264A4"/>
    <w:rsid w:val="00026794"/>
    <w:rsid w:val="00027EC8"/>
    <w:rsid w:val="00027EE9"/>
    <w:rsid w:val="0003138A"/>
    <w:rsid w:val="0003359D"/>
    <w:rsid w:val="000338B4"/>
    <w:rsid w:val="00035D59"/>
    <w:rsid w:val="000410BA"/>
    <w:rsid w:val="0004219B"/>
    <w:rsid w:val="0004335B"/>
    <w:rsid w:val="00044073"/>
    <w:rsid w:val="000504D3"/>
    <w:rsid w:val="00053504"/>
    <w:rsid w:val="00055287"/>
    <w:rsid w:val="0005662A"/>
    <w:rsid w:val="00057A80"/>
    <w:rsid w:val="00060391"/>
    <w:rsid w:val="00061BAC"/>
    <w:rsid w:val="00061F9E"/>
    <w:rsid w:val="000626A5"/>
    <w:rsid w:val="0006506A"/>
    <w:rsid w:val="0007093B"/>
    <w:rsid w:val="00071DCE"/>
    <w:rsid w:val="00076266"/>
    <w:rsid w:val="00080A5B"/>
    <w:rsid w:val="000818D8"/>
    <w:rsid w:val="000825DC"/>
    <w:rsid w:val="00083D1B"/>
    <w:rsid w:val="000859DC"/>
    <w:rsid w:val="00091759"/>
    <w:rsid w:val="0009247B"/>
    <w:rsid w:val="000924E4"/>
    <w:rsid w:val="00092668"/>
    <w:rsid w:val="0009366C"/>
    <w:rsid w:val="00093B3A"/>
    <w:rsid w:val="00093F10"/>
    <w:rsid w:val="000960CD"/>
    <w:rsid w:val="00096B77"/>
    <w:rsid w:val="000A3676"/>
    <w:rsid w:val="000A7A2E"/>
    <w:rsid w:val="000A7E6B"/>
    <w:rsid w:val="000B460A"/>
    <w:rsid w:val="000B6540"/>
    <w:rsid w:val="000B6AC3"/>
    <w:rsid w:val="000C03CE"/>
    <w:rsid w:val="000C2E58"/>
    <w:rsid w:val="000C6F50"/>
    <w:rsid w:val="000D0E63"/>
    <w:rsid w:val="000D2702"/>
    <w:rsid w:val="000D363B"/>
    <w:rsid w:val="000D4DFD"/>
    <w:rsid w:val="000D57C9"/>
    <w:rsid w:val="000D7109"/>
    <w:rsid w:val="000E1722"/>
    <w:rsid w:val="000E21EF"/>
    <w:rsid w:val="000E4672"/>
    <w:rsid w:val="000E7570"/>
    <w:rsid w:val="000E7C49"/>
    <w:rsid w:val="000F1982"/>
    <w:rsid w:val="000F370B"/>
    <w:rsid w:val="000F6907"/>
    <w:rsid w:val="000F74B4"/>
    <w:rsid w:val="0010252B"/>
    <w:rsid w:val="00102C7B"/>
    <w:rsid w:val="001052AE"/>
    <w:rsid w:val="001076B1"/>
    <w:rsid w:val="00111CBB"/>
    <w:rsid w:val="00114927"/>
    <w:rsid w:val="001156B4"/>
    <w:rsid w:val="00120124"/>
    <w:rsid w:val="00122DBE"/>
    <w:rsid w:val="0012352A"/>
    <w:rsid w:val="00124874"/>
    <w:rsid w:val="00125DD7"/>
    <w:rsid w:val="001274FB"/>
    <w:rsid w:val="00130512"/>
    <w:rsid w:val="00131360"/>
    <w:rsid w:val="00131CA0"/>
    <w:rsid w:val="00132B5A"/>
    <w:rsid w:val="001370D4"/>
    <w:rsid w:val="00137E5E"/>
    <w:rsid w:val="001401D6"/>
    <w:rsid w:val="00140479"/>
    <w:rsid w:val="00141BF2"/>
    <w:rsid w:val="00150BD6"/>
    <w:rsid w:val="001512EE"/>
    <w:rsid w:val="00151F43"/>
    <w:rsid w:val="0015226E"/>
    <w:rsid w:val="001528CA"/>
    <w:rsid w:val="00154AD1"/>
    <w:rsid w:val="001553B3"/>
    <w:rsid w:val="00155505"/>
    <w:rsid w:val="00155FBF"/>
    <w:rsid w:val="00157DED"/>
    <w:rsid w:val="00160891"/>
    <w:rsid w:val="00161EB9"/>
    <w:rsid w:val="001626FF"/>
    <w:rsid w:val="00165490"/>
    <w:rsid w:val="00167458"/>
    <w:rsid w:val="00167A46"/>
    <w:rsid w:val="00175110"/>
    <w:rsid w:val="00176176"/>
    <w:rsid w:val="00177FD7"/>
    <w:rsid w:val="001808B8"/>
    <w:rsid w:val="00181201"/>
    <w:rsid w:val="00183CE1"/>
    <w:rsid w:val="00183E96"/>
    <w:rsid w:val="00183F18"/>
    <w:rsid w:val="00184DB1"/>
    <w:rsid w:val="00185DC2"/>
    <w:rsid w:val="00186A4F"/>
    <w:rsid w:val="0019099D"/>
    <w:rsid w:val="00190BEF"/>
    <w:rsid w:val="001923FD"/>
    <w:rsid w:val="0019401C"/>
    <w:rsid w:val="00195A9B"/>
    <w:rsid w:val="001975A1"/>
    <w:rsid w:val="001A10CF"/>
    <w:rsid w:val="001A13F4"/>
    <w:rsid w:val="001A3522"/>
    <w:rsid w:val="001A5513"/>
    <w:rsid w:val="001B1E36"/>
    <w:rsid w:val="001B287A"/>
    <w:rsid w:val="001B3D52"/>
    <w:rsid w:val="001B4861"/>
    <w:rsid w:val="001B7601"/>
    <w:rsid w:val="001B77F7"/>
    <w:rsid w:val="001B7FEF"/>
    <w:rsid w:val="001C370A"/>
    <w:rsid w:val="001C3AAF"/>
    <w:rsid w:val="001C4599"/>
    <w:rsid w:val="001C48F5"/>
    <w:rsid w:val="001C5CA5"/>
    <w:rsid w:val="001C70A9"/>
    <w:rsid w:val="001D17B9"/>
    <w:rsid w:val="001D4A2F"/>
    <w:rsid w:val="001D4EF7"/>
    <w:rsid w:val="001D538C"/>
    <w:rsid w:val="001D6D7E"/>
    <w:rsid w:val="001E3ABC"/>
    <w:rsid w:val="001E53F0"/>
    <w:rsid w:val="001E573C"/>
    <w:rsid w:val="001E7587"/>
    <w:rsid w:val="001E7BB4"/>
    <w:rsid w:val="001F45A9"/>
    <w:rsid w:val="002004D9"/>
    <w:rsid w:val="00203B36"/>
    <w:rsid w:val="00214BCA"/>
    <w:rsid w:val="00215110"/>
    <w:rsid w:val="002168F7"/>
    <w:rsid w:val="002175C5"/>
    <w:rsid w:val="002175D1"/>
    <w:rsid w:val="002218F9"/>
    <w:rsid w:val="00227314"/>
    <w:rsid w:val="002313F0"/>
    <w:rsid w:val="00232612"/>
    <w:rsid w:val="00232A6F"/>
    <w:rsid w:val="00234120"/>
    <w:rsid w:val="00234E50"/>
    <w:rsid w:val="00243482"/>
    <w:rsid w:val="00244685"/>
    <w:rsid w:val="00246235"/>
    <w:rsid w:val="002512F4"/>
    <w:rsid w:val="0025237D"/>
    <w:rsid w:val="00254802"/>
    <w:rsid w:val="002552A6"/>
    <w:rsid w:val="00260400"/>
    <w:rsid w:val="00261BEC"/>
    <w:rsid w:val="00263E21"/>
    <w:rsid w:val="002657E7"/>
    <w:rsid w:val="00266121"/>
    <w:rsid w:val="0026681E"/>
    <w:rsid w:val="00267587"/>
    <w:rsid w:val="00267818"/>
    <w:rsid w:val="00271D9D"/>
    <w:rsid w:val="00272BC2"/>
    <w:rsid w:val="002809E8"/>
    <w:rsid w:val="0028147A"/>
    <w:rsid w:val="0028291C"/>
    <w:rsid w:val="00282F0D"/>
    <w:rsid w:val="002842EE"/>
    <w:rsid w:val="00290659"/>
    <w:rsid w:val="00291389"/>
    <w:rsid w:val="00291CBD"/>
    <w:rsid w:val="002928D0"/>
    <w:rsid w:val="00295711"/>
    <w:rsid w:val="00297E16"/>
    <w:rsid w:val="002A20AB"/>
    <w:rsid w:val="002A566F"/>
    <w:rsid w:val="002A5E9D"/>
    <w:rsid w:val="002B049E"/>
    <w:rsid w:val="002B1128"/>
    <w:rsid w:val="002B19D6"/>
    <w:rsid w:val="002B1F3C"/>
    <w:rsid w:val="002B2F50"/>
    <w:rsid w:val="002B4C75"/>
    <w:rsid w:val="002C1449"/>
    <w:rsid w:val="002C4613"/>
    <w:rsid w:val="002C4BDB"/>
    <w:rsid w:val="002C5664"/>
    <w:rsid w:val="002C6FCB"/>
    <w:rsid w:val="002C76C1"/>
    <w:rsid w:val="002C76CB"/>
    <w:rsid w:val="002D132C"/>
    <w:rsid w:val="002D1D9F"/>
    <w:rsid w:val="002D2341"/>
    <w:rsid w:val="002D6D6F"/>
    <w:rsid w:val="002E2166"/>
    <w:rsid w:val="002E2C67"/>
    <w:rsid w:val="002E47DF"/>
    <w:rsid w:val="002E6C18"/>
    <w:rsid w:val="002E7E0B"/>
    <w:rsid w:val="002F055D"/>
    <w:rsid w:val="002F299D"/>
    <w:rsid w:val="00301734"/>
    <w:rsid w:val="003019BD"/>
    <w:rsid w:val="00302BD5"/>
    <w:rsid w:val="00302C3E"/>
    <w:rsid w:val="003034F2"/>
    <w:rsid w:val="00303F2C"/>
    <w:rsid w:val="00304941"/>
    <w:rsid w:val="00304CD8"/>
    <w:rsid w:val="00310571"/>
    <w:rsid w:val="00311D25"/>
    <w:rsid w:val="003129E1"/>
    <w:rsid w:val="003147E0"/>
    <w:rsid w:val="0031552F"/>
    <w:rsid w:val="003162E5"/>
    <w:rsid w:val="003229FA"/>
    <w:rsid w:val="003234C2"/>
    <w:rsid w:val="0032507B"/>
    <w:rsid w:val="00327E13"/>
    <w:rsid w:val="003300C9"/>
    <w:rsid w:val="00330286"/>
    <w:rsid w:val="00330496"/>
    <w:rsid w:val="00330D63"/>
    <w:rsid w:val="00332E13"/>
    <w:rsid w:val="00332F2C"/>
    <w:rsid w:val="003335FA"/>
    <w:rsid w:val="003364B8"/>
    <w:rsid w:val="00340E08"/>
    <w:rsid w:val="0034388A"/>
    <w:rsid w:val="00344D24"/>
    <w:rsid w:val="00345F2A"/>
    <w:rsid w:val="0035008B"/>
    <w:rsid w:val="00350D87"/>
    <w:rsid w:val="00353544"/>
    <w:rsid w:val="00354903"/>
    <w:rsid w:val="00355A90"/>
    <w:rsid w:val="0036080D"/>
    <w:rsid w:val="003612CD"/>
    <w:rsid w:val="00364B68"/>
    <w:rsid w:val="0037007E"/>
    <w:rsid w:val="003747B1"/>
    <w:rsid w:val="003758AB"/>
    <w:rsid w:val="003766F3"/>
    <w:rsid w:val="003805C0"/>
    <w:rsid w:val="003809C8"/>
    <w:rsid w:val="0038481D"/>
    <w:rsid w:val="00385EBF"/>
    <w:rsid w:val="0038641B"/>
    <w:rsid w:val="00387CB6"/>
    <w:rsid w:val="003930F5"/>
    <w:rsid w:val="003960FC"/>
    <w:rsid w:val="00396D68"/>
    <w:rsid w:val="003978F7"/>
    <w:rsid w:val="003A1F19"/>
    <w:rsid w:val="003A4893"/>
    <w:rsid w:val="003B07B3"/>
    <w:rsid w:val="003B1D3D"/>
    <w:rsid w:val="003B3754"/>
    <w:rsid w:val="003B3AEE"/>
    <w:rsid w:val="003B4EAB"/>
    <w:rsid w:val="003B63E6"/>
    <w:rsid w:val="003B770E"/>
    <w:rsid w:val="003C0AE1"/>
    <w:rsid w:val="003C3D3D"/>
    <w:rsid w:val="003C7D4A"/>
    <w:rsid w:val="003D18BD"/>
    <w:rsid w:val="003D29BC"/>
    <w:rsid w:val="003D4BB8"/>
    <w:rsid w:val="003D6E50"/>
    <w:rsid w:val="003E2285"/>
    <w:rsid w:val="003E3FB6"/>
    <w:rsid w:val="003E58A1"/>
    <w:rsid w:val="003E6D75"/>
    <w:rsid w:val="003F04B6"/>
    <w:rsid w:val="003F4681"/>
    <w:rsid w:val="003F7145"/>
    <w:rsid w:val="0040044F"/>
    <w:rsid w:val="00404EC5"/>
    <w:rsid w:val="004059F0"/>
    <w:rsid w:val="0040775B"/>
    <w:rsid w:val="00412DEA"/>
    <w:rsid w:val="004142CC"/>
    <w:rsid w:val="00415338"/>
    <w:rsid w:val="00416B5F"/>
    <w:rsid w:val="00421BFB"/>
    <w:rsid w:val="00422174"/>
    <w:rsid w:val="00423730"/>
    <w:rsid w:val="00426FE6"/>
    <w:rsid w:val="00431A3A"/>
    <w:rsid w:val="00433517"/>
    <w:rsid w:val="00433C89"/>
    <w:rsid w:val="0043496F"/>
    <w:rsid w:val="00445EA8"/>
    <w:rsid w:val="00453B66"/>
    <w:rsid w:val="00454E79"/>
    <w:rsid w:val="00456FAE"/>
    <w:rsid w:val="00461A8A"/>
    <w:rsid w:val="004640FE"/>
    <w:rsid w:val="00467574"/>
    <w:rsid w:val="004748D5"/>
    <w:rsid w:val="00474CB8"/>
    <w:rsid w:val="004803BB"/>
    <w:rsid w:val="00481D03"/>
    <w:rsid w:val="00485537"/>
    <w:rsid w:val="00486033"/>
    <w:rsid w:val="00486F27"/>
    <w:rsid w:val="004925E7"/>
    <w:rsid w:val="00495D9F"/>
    <w:rsid w:val="00495E0B"/>
    <w:rsid w:val="00497F3F"/>
    <w:rsid w:val="004A5749"/>
    <w:rsid w:val="004B0579"/>
    <w:rsid w:val="004B0F1C"/>
    <w:rsid w:val="004B2FFC"/>
    <w:rsid w:val="004B3590"/>
    <w:rsid w:val="004B5DF0"/>
    <w:rsid w:val="004B7EB7"/>
    <w:rsid w:val="004C0936"/>
    <w:rsid w:val="004C2B7B"/>
    <w:rsid w:val="004C3ED6"/>
    <w:rsid w:val="004C50CC"/>
    <w:rsid w:val="004D1A86"/>
    <w:rsid w:val="004D33F0"/>
    <w:rsid w:val="004D4B0F"/>
    <w:rsid w:val="004D4F7B"/>
    <w:rsid w:val="004D53D9"/>
    <w:rsid w:val="004D7DEE"/>
    <w:rsid w:val="004E256D"/>
    <w:rsid w:val="004E3290"/>
    <w:rsid w:val="004E3476"/>
    <w:rsid w:val="004E798D"/>
    <w:rsid w:val="004F1226"/>
    <w:rsid w:val="004F3CF2"/>
    <w:rsid w:val="004F52AD"/>
    <w:rsid w:val="004F67DF"/>
    <w:rsid w:val="004F7C24"/>
    <w:rsid w:val="005009D1"/>
    <w:rsid w:val="0050227D"/>
    <w:rsid w:val="0050414D"/>
    <w:rsid w:val="005071C6"/>
    <w:rsid w:val="00510C9F"/>
    <w:rsid w:val="00511F23"/>
    <w:rsid w:val="00516EDC"/>
    <w:rsid w:val="005216EB"/>
    <w:rsid w:val="00521844"/>
    <w:rsid w:val="0052365F"/>
    <w:rsid w:val="00523C53"/>
    <w:rsid w:val="005265A8"/>
    <w:rsid w:val="0052698D"/>
    <w:rsid w:val="00530374"/>
    <w:rsid w:val="005322B8"/>
    <w:rsid w:val="00533F61"/>
    <w:rsid w:val="00537F70"/>
    <w:rsid w:val="005409ED"/>
    <w:rsid w:val="00541057"/>
    <w:rsid w:val="00541833"/>
    <w:rsid w:val="00542804"/>
    <w:rsid w:val="00543088"/>
    <w:rsid w:val="00543901"/>
    <w:rsid w:val="00544B6C"/>
    <w:rsid w:val="00545A9C"/>
    <w:rsid w:val="00547418"/>
    <w:rsid w:val="00551F10"/>
    <w:rsid w:val="0055350E"/>
    <w:rsid w:val="00554901"/>
    <w:rsid w:val="005557B8"/>
    <w:rsid w:val="0055750B"/>
    <w:rsid w:val="00562B32"/>
    <w:rsid w:val="00565CF4"/>
    <w:rsid w:val="00567B3E"/>
    <w:rsid w:val="0057042A"/>
    <w:rsid w:val="00572C1E"/>
    <w:rsid w:val="0057569D"/>
    <w:rsid w:val="0058036D"/>
    <w:rsid w:val="00582591"/>
    <w:rsid w:val="00585B75"/>
    <w:rsid w:val="0058614E"/>
    <w:rsid w:val="00587566"/>
    <w:rsid w:val="00592B82"/>
    <w:rsid w:val="00595773"/>
    <w:rsid w:val="00596404"/>
    <w:rsid w:val="005971BB"/>
    <w:rsid w:val="005A29CD"/>
    <w:rsid w:val="005A3AE9"/>
    <w:rsid w:val="005A6781"/>
    <w:rsid w:val="005B02BE"/>
    <w:rsid w:val="005B1948"/>
    <w:rsid w:val="005B43F2"/>
    <w:rsid w:val="005B4715"/>
    <w:rsid w:val="005B6171"/>
    <w:rsid w:val="005B68AB"/>
    <w:rsid w:val="005C1BBD"/>
    <w:rsid w:val="005C4428"/>
    <w:rsid w:val="005C4D26"/>
    <w:rsid w:val="005C52E8"/>
    <w:rsid w:val="005C533B"/>
    <w:rsid w:val="005C7F1B"/>
    <w:rsid w:val="005D00B9"/>
    <w:rsid w:val="005D47E9"/>
    <w:rsid w:val="005D5C18"/>
    <w:rsid w:val="005E0466"/>
    <w:rsid w:val="005E0F3A"/>
    <w:rsid w:val="005E1ECA"/>
    <w:rsid w:val="005E4142"/>
    <w:rsid w:val="005E489E"/>
    <w:rsid w:val="005E547F"/>
    <w:rsid w:val="005E5A6D"/>
    <w:rsid w:val="005E68E1"/>
    <w:rsid w:val="005F5C73"/>
    <w:rsid w:val="005F7CC6"/>
    <w:rsid w:val="005F7E45"/>
    <w:rsid w:val="00601BDD"/>
    <w:rsid w:val="006059B1"/>
    <w:rsid w:val="0060646D"/>
    <w:rsid w:val="00610F62"/>
    <w:rsid w:val="00612600"/>
    <w:rsid w:val="00612947"/>
    <w:rsid w:val="00613436"/>
    <w:rsid w:val="00620E29"/>
    <w:rsid w:val="00623338"/>
    <w:rsid w:val="00623F91"/>
    <w:rsid w:val="0062444A"/>
    <w:rsid w:val="0062523D"/>
    <w:rsid w:val="006267FB"/>
    <w:rsid w:val="00631DC8"/>
    <w:rsid w:val="00633332"/>
    <w:rsid w:val="0063776F"/>
    <w:rsid w:val="00642226"/>
    <w:rsid w:val="00643562"/>
    <w:rsid w:val="0064454A"/>
    <w:rsid w:val="00646B79"/>
    <w:rsid w:val="00647183"/>
    <w:rsid w:val="006512D4"/>
    <w:rsid w:val="006530E0"/>
    <w:rsid w:val="00654E9A"/>
    <w:rsid w:val="00657C5C"/>
    <w:rsid w:val="0066612A"/>
    <w:rsid w:val="0066671E"/>
    <w:rsid w:val="0067436B"/>
    <w:rsid w:val="00675B6B"/>
    <w:rsid w:val="00675F90"/>
    <w:rsid w:val="006764E4"/>
    <w:rsid w:val="0068047F"/>
    <w:rsid w:val="0068242F"/>
    <w:rsid w:val="00684CF6"/>
    <w:rsid w:val="00685BD8"/>
    <w:rsid w:val="00685CF4"/>
    <w:rsid w:val="00690C8A"/>
    <w:rsid w:val="00690FA6"/>
    <w:rsid w:val="00691E5D"/>
    <w:rsid w:val="0069274C"/>
    <w:rsid w:val="006958DC"/>
    <w:rsid w:val="006A0DB7"/>
    <w:rsid w:val="006A188C"/>
    <w:rsid w:val="006A37CD"/>
    <w:rsid w:val="006A3ED8"/>
    <w:rsid w:val="006A7CB1"/>
    <w:rsid w:val="006B348D"/>
    <w:rsid w:val="006B5AA2"/>
    <w:rsid w:val="006B5E78"/>
    <w:rsid w:val="006B6398"/>
    <w:rsid w:val="006B7051"/>
    <w:rsid w:val="006B7CC2"/>
    <w:rsid w:val="006C0817"/>
    <w:rsid w:val="006D04FC"/>
    <w:rsid w:val="006D46F6"/>
    <w:rsid w:val="006D6098"/>
    <w:rsid w:val="006E6FAE"/>
    <w:rsid w:val="006F0C5B"/>
    <w:rsid w:val="006F1276"/>
    <w:rsid w:val="006F4349"/>
    <w:rsid w:val="006F49F3"/>
    <w:rsid w:val="006F53E3"/>
    <w:rsid w:val="006F6D9E"/>
    <w:rsid w:val="006F7231"/>
    <w:rsid w:val="00700EC1"/>
    <w:rsid w:val="007014D4"/>
    <w:rsid w:val="0070162A"/>
    <w:rsid w:val="007040C5"/>
    <w:rsid w:val="007043AF"/>
    <w:rsid w:val="007063A7"/>
    <w:rsid w:val="00710F5F"/>
    <w:rsid w:val="0071524E"/>
    <w:rsid w:val="0071546C"/>
    <w:rsid w:val="00723F63"/>
    <w:rsid w:val="0072464C"/>
    <w:rsid w:val="00725026"/>
    <w:rsid w:val="0073240A"/>
    <w:rsid w:val="00735E63"/>
    <w:rsid w:val="007403F5"/>
    <w:rsid w:val="0074607E"/>
    <w:rsid w:val="00747321"/>
    <w:rsid w:val="00750867"/>
    <w:rsid w:val="007509B9"/>
    <w:rsid w:val="00752399"/>
    <w:rsid w:val="007563CF"/>
    <w:rsid w:val="007610AE"/>
    <w:rsid w:val="00762ED9"/>
    <w:rsid w:val="007631B2"/>
    <w:rsid w:val="00767D47"/>
    <w:rsid w:val="0077091C"/>
    <w:rsid w:val="007732A2"/>
    <w:rsid w:val="00773539"/>
    <w:rsid w:val="007744D4"/>
    <w:rsid w:val="00775BFA"/>
    <w:rsid w:val="00777244"/>
    <w:rsid w:val="007836F1"/>
    <w:rsid w:val="007851D4"/>
    <w:rsid w:val="00785C22"/>
    <w:rsid w:val="00790136"/>
    <w:rsid w:val="0079056F"/>
    <w:rsid w:val="00793A37"/>
    <w:rsid w:val="007972AF"/>
    <w:rsid w:val="007A27F7"/>
    <w:rsid w:val="007A37E5"/>
    <w:rsid w:val="007B1901"/>
    <w:rsid w:val="007B2674"/>
    <w:rsid w:val="007B50CA"/>
    <w:rsid w:val="007B6EE9"/>
    <w:rsid w:val="007B71DA"/>
    <w:rsid w:val="007C0D7D"/>
    <w:rsid w:val="007C2490"/>
    <w:rsid w:val="007C41F9"/>
    <w:rsid w:val="007C4A79"/>
    <w:rsid w:val="007C4E5E"/>
    <w:rsid w:val="007C52BD"/>
    <w:rsid w:val="007C5705"/>
    <w:rsid w:val="007C6921"/>
    <w:rsid w:val="007D108B"/>
    <w:rsid w:val="007D2D2F"/>
    <w:rsid w:val="007D59FF"/>
    <w:rsid w:val="007D6A83"/>
    <w:rsid w:val="007E07D6"/>
    <w:rsid w:val="007E2C61"/>
    <w:rsid w:val="007E7859"/>
    <w:rsid w:val="007F0D6B"/>
    <w:rsid w:val="007F14BF"/>
    <w:rsid w:val="007F1F87"/>
    <w:rsid w:val="007F5DA8"/>
    <w:rsid w:val="00800EE2"/>
    <w:rsid w:val="008014CD"/>
    <w:rsid w:val="008043E1"/>
    <w:rsid w:val="008046AB"/>
    <w:rsid w:val="00804966"/>
    <w:rsid w:val="00806618"/>
    <w:rsid w:val="0080662F"/>
    <w:rsid w:val="0080727D"/>
    <w:rsid w:val="008115E6"/>
    <w:rsid w:val="0081756A"/>
    <w:rsid w:val="008247BA"/>
    <w:rsid w:val="0082612B"/>
    <w:rsid w:val="0082662F"/>
    <w:rsid w:val="00832848"/>
    <w:rsid w:val="00833F16"/>
    <w:rsid w:val="00840434"/>
    <w:rsid w:val="00840A2E"/>
    <w:rsid w:val="008446E8"/>
    <w:rsid w:val="008464C3"/>
    <w:rsid w:val="00847E52"/>
    <w:rsid w:val="0085140B"/>
    <w:rsid w:val="00853C60"/>
    <w:rsid w:val="00854901"/>
    <w:rsid w:val="008712A2"/>
    <w:rsid w:val="008712F0"/>
    <w:rsid w:val="00871AF2"/>
    <w:rsid w:val="00875A53"/>
    <w:rsid w:val="00876DC7"/>
    <w:rsid w:val="00877D49"/>
    <w:rsid w:val="0088022F"/>
    <w:rsid w:val="00881792"/>
    <w:rsid w:val="008832AC"/>
    <w:rsid w:val="00886404"/>
    <w:rsid w:val="00894B8A"/>
    <w:rsid w:val="00895361"/>
    <w:rsid w:val="00896FBA"/>
    <w:rsid w:val="008972CF"/>
    <w:rsid w:val="00897C40"/>
    <w:rsid w:val="008A004D"/>
    <w:rsid w:val="008A276A"/>
    <w:rsid w:val="008A45CC"/>
    <w:rsid w:val="008A5F1B"/>
    <w:rsid w:val="008A72E1"/>
    <w:rsid w:val="008B15DB"/>
    <w:rsid w:val="008B3AA2"/>
    <w:rsid w:val="008B40FB"/>
    <w:rsid w:val="008B7CF1"/>
    <w:rsid w:val="008C0750"/>
    <w:rsid w:val="008C284C"/>
    <w:rsid w:val="008C2D5C"/>
    <w:rsid w:val="008C3727"/>
    <w:rsid w:val="008E2635"/>
    <w:rsid w:val="008E2D2E"/>
    <w:rsid w:val="008E3F21"/>
    <w:rsid w:val="008E4C9C"/>
    <w:rsid w:val="008F0924"/>
    <w:rsid w:val="008F385A"/>
    <w:rsid w:val="008F41C8"/>
    <w:rsid w:val="008F60B3"/>
    <w:rsid w:val="0090259E"/>
    <w:rsid w:val="009058D2"/>
    <w:rsid w:val="00906671"/>
    <w:rsid w:val="00907A45"/>
    <w:rsid w:val="00907A86"/>
    <w:rsid w:val="009103B6"/>
    <w:rsid w:val="00911BA1"/>
    <w:rsid w:val="00913569"/>
    <w:rsid w:val="0091572F"/>
    <w:rsid w:val="0091608C"/>
    <w:rsid w:val="009176C4"/>
    <w:rsid w:val="00926517"/>
    <w:rsid w:val="00931A1B"/>
    <w:rsid w:val="0093481C"/>
    <w:rsid w:val="0093618A"/>
    <w:rsid w:val="0093649C"/>
    <w:rsid w:val="00936B08"/>
    <w:rsid w:val="0094125D"/>
    <w:rsid w:val="00943FC6"/>
    <w:rsid w:val="00944EDF"/>
    <w:rsid w:val="00945000"/>
    <w:rsid w:val="00945056"/>
    <w:rsid w:val="009456C8"/>
    <w:rsid w:val="00951949"/>
    <w:rsid w:val="00954154"/>
    <w:rsid w:val="009571BC"/>
    <w:rsid w:val="00960F2A"/>
    <w:rsid w:val="00961088"/>
    <w:rsid w:val="0096338D"/>
    <w:rsid w:val="0097171B"/>
    <w:rsid w:val="00973549"/>
    <w:rsid w:val="00974264"/>
    <w:rsid w:val="00977EFA"/>
    <w:rsid w:val="0098061A"/>
    <w:rsid w:val="00981613"/>
    <w:rsid w:val="00981AB9"/>
    <w:rsid w:val="00983C5E"/>
    <w:rsid w:val="00983D0E"/>
    <w:rsid w:val="0099123C"/>
    <w:rsid w:val="0099202A"/>
    <w:rsid w:val="009A0574"/>
    <w:rsid w:val="009A16FF"/>
    <w:rsid w:val="009A1BCC"/>
    <w:rsid w:val="009A3154"/>
    <w:rsid w:val="009A3567"/>
    <w:rsid w:val="009A3571"/>
    <w:rsid w:val="009A4E6D"/>
    <w:rsid w:val="009A7388"/>
    <w:rsid w:val="009A7619"/>
    <w:rsid w:val="009B03D2"/>
    <w:rsid w:val="009B17AC"/>
    <w:rsid w:val="009C0337"/>
    <w:rsid w:val="009C0EBA"/>
    <w:rsid w:val="009C1574"/>
    <w:rsid w:val="009C340A"/>
    <w:rsid w:val="009C3731"/>
    <w:rsid w:val="009C3C0D"/>
    <w:rsid w:val="009C3E00"/>
    <w:rsid w:val="009C471B"/>
    <w:rsid w:val="009C500C"/>
    <w:rsid w:val="009C5802"/>
    <w:rsid w:val="009C62CD"/>
    <w:rsid w:val="009C7E3B"/>
    <w:rsid w:val="009D0626"/>
    <w:rsid w:val="009D114E"/>
    <w:rsid w:val="009D14C8"/>
    <w:rsid w:val="009D2E5C"/>
    <w:rsid w:val="009D69E8"/>
    <w:rsid w:val="009D6F52"/>
    <w:rsid w:val="009D75F0"/>
    <w:rsid w:val="009D788B"/>
    <w:rsid w:val="009E7CCD"/>
    <w:rsid w:val="009F545B"/>
    <w:rsid w:val="009F6609"/>
    <w:rsid w:val="009F74AF"/>
    <w:rsid w:val="009F7765"/>
    <w:rsid w:val="009F7D04"/>
    <w:rsid w:val="009F7E48"/>
    <w:rsid w:val="009F7F0B"/>
    <w:rsid w:val="00A03D4C"/>
    <w:rsid w:val="00A11116"/>
    <w:rsid w:val="00A12480"/>
    <w:rsid w:val="00A1499C"/>
    <w:rsid w:val="00A15768"/>
    <w:rsid w:val="00A158F1"/>
    <w:rsid w:val="00A164E6"/>
    <w:rsid w:val="00A207A4"/>
    <w:rsid w:val="00A243EF"/>
    <w:rsid w:val="00A248A9"/>
    <w:rsid w:val="00A27B95"/>
    <w:rsid w:val="00A30571"/>
    <w:rsid w:val="00A35560"/>
    <w:rsid w:val="00A40F7C"/>
    <w:rsid w:val="00A4239B"/>
    <w:rsid w:val="00A43656"/>
    <w:rsid w:val="00A506E4"/>
    <w:rsid w:val="00A50C30"/>
    <w:rsid w:val="00A55174"/>
    <w:rsid w:val="00A55807"/>
    <w:rsid w:val="00A5581B"/>
    <w:rsid w:val="00A55A6B"/>
    <w:rsid w:val="00A55C89"/>
    <w:rsid w:val="00A610C2"/>
    <w:rsid w:val="00A62CDE"/>
    <w:rsid w:val="00A63EA4"/>
    <w:rsid w:val="00A6765D"/>
    <w:rsid w:val="00A71608"/>
    <w:rsid w:val="00A7227A"/>
    <w:rsid w:val="00A72A28"/>
    <w:rsid w:val="00A76DF8"/>
    <w:rsid w:val="00A76FDA"/>
    <w:rsid w:val="00A81D22"/>
    <w:rsid w:val="00A82153"/>
    <w:rsid w:val="00A903A1"/>
    <w:rsid w:val="00A91C2C"/>
    <w:rsid w:val="00A92034"/>
    <w:rsid w:val="00A92A68"/>
    <w:rsid w:val="00A96591"/>
    <w:rsid w:val="00A9759B"/>
    <w:rsid w:val="00AA0613"/>
    <w:rsid w:val="00AA1665"/>
    <w:rsid w:val="00AB098E"/>
    <w:rsid w:val="00AB0FF3"/>
    <w:rsid w:val="00AB1B52"/>
    <w:rsid w:val="00AB3624"/>
    <w:rsid w:val="00AB682D"/>
    <w:rsid w:val="00AC1A3B"/>
    <w:rsid w:val="00AC1FA2"/>
    <w:rsid w:val="00AC42F3"/>
    <w:rsid w:val="00AC5F4D"/>
    <w:rsid w:val="00AD053F"/>
    <w:rsid w:val="00AD0827"/>
    <w:rsid w:val="00AD5EEF"/>
    <w:rsid w:val="00AE06FD"/>
    <w:rsid w:val="00AE3FA4"/>
    <w:rsid w:val="00AE46A4"/>
    <w:rsid w:val="00AE4AA1"/>
    <w:rsid w:val="00AE61E5"/>
    <w:rsid w:val="00AE6763"/>
    <w:rsid w:val="00AF23ED"/>
    <w:rsid w:val="00AF2BAE"/>
    <w:rsid w:val="00B0258E"/>
    <w:rsid w:val="00B0304E"/>
    <w:rsid w:val="00B04DEC"/>
    <w:rsid w:val="00B052B2"/>
    <w:rsid w:val="00B066D8"/>
    <w:rsid w:val="00B06A59"/>
    <w:rsid w:val="00B12067"/>
    <w:rsid w:val="00B13BF4"/>
    <w:rsid w:val="00B15542"/>
    <w:rsid w:val="00B16B85"/>
    <w:rsid w:val="00B173A6"/>
    <w:rsid w:val="00B1764F"/>
    <w:rsid w:val="00B24709"/>
    <w:rsid w:val="00B26F93"/>
    <w:rsid w:val="00B27490"/>
    <w:rsid w:val="00B27F4E"/>
    <w:rsid w:val="00B31C8C"/>
    <w:rsid w:val="00B3497C"/>
    <w:rsid w:val="00B35755"/>
    <w:rsid w:val="00B35E77"/>
    <w:rsid w:val="00B440C4"/>
    <w:rsid w:val="00B544EB"/>
    <w:rsid w:val="00B5558A"/>
    <w:rsid w:val="00B62FE0"/>
    <w:rsid w:val="00B7024F"/>
    <w:rsid w:val="00B81FCD"/>
    <w:rsid w:val="00B833DB"/>
    <w:rsid w:val="00B8595C"/>
    <w:rsid w:val="00B8772D"/>
    <w:rsid w:val="00B91114"/>
    <w:rsid w:val="00B93864"/>
    <w:rsid w:val="00B9526C"/>
    <w:rsid w:val="00B96AF9"/>
    <w:rsid w:val="00B97D96"/>
    <w:rsid w:val="00BA04EA"/>
    <w:rsid w:val="00BA14FC"/>
    <w:rsid w:val="00BA343B"/>
    <w:rsid w:val="00BA4B2E"/>
    <w:rsid w:val="00BA6DE8"/>
    <w:rsid w:val="00BB5A8F"/>
    <w:rsid w:val="00BC030B"/>
    <w:rsid w:val="00BC0C3F"/>
    <w:rsid w:val="00BC0D2C"/>
    <w:rsid w:val="00BC0FE0"/>
    <w:rsid w:val="00BC210F"/>
    <w:rsid w:val="00BC32FA"/>
    <w:rsid w:val="00BC5E67"/>
    <w:rsid w:val="00BD088C"/>
    <w:rsid w:val="00BD1236"/>
    <w:rsid w:val="00BE05B2"/>
    <w:rsid w:val="00BE1D28"/>
    <w:rsid w:val="00BE5517"/>
    <w:rsid w:val="00BE5B92"/>
    <w:rsid w:val="00BE5DB4"/>
    <w:rsid w:val="00BF05BC"/>
    <w:rsid w:val="00BF07F3"/>
    <w:rsid w:val="00BF2394"/>
    <w:rsid w:val="00BF63F9"/>
    <w:rsid w:val="00C00543"/>
    <w:rsid w:val="00C024C9"/>
    <w:rsid w:val="00C02CB5"/>
    <w:rsid w:val="00C05333"/>
    <w:rsid w:val="00C05B4A"/>
    <w:rsid w:val="00C06688"/>
    <w:rsid w:val="00C06EB3"/>
    <w:rsid w:val="00C1084A"/>
    <w:rsid w:val="00C14AB5"/>
    <w:rsid w:val="00C14EA2"/>
    <w:rsid w:val="00C15C70"/>
    <w:rsid w:val="00C166F9"/>
    <w:rsid w:val="00C224A8"/>
    <w:rsid w:val="00C22DB1"/>
    <w:rsid w:val="00C2489E"/>
    <w:rsid w:val="00C24DBA"/>
    <w:rsid w:val="00C26BC5"/>
    <w:rsid w:val="00C273A4"/>
    <w:rsid w:val="00C3315D"/>
    <w:rsid w:val="00C355B7"/>
    <w:rsid w:val="00C42443"/>
    <w:rsid w:val="00C42842"/>
    <w:rsid w:val="00C47A77"/>
    <w:rsid w:val="00C522BF"/>
    <w:rsid w:val="00C54802"/>
    <w:rsid w:val="00C61861"/>
    <w:rsid w:val="00C64025"/>
    <w:rsid w:val="00C70215"/>
    <w:rsid w:val="00C704F7"/>
    <w:rsid w:val="00C73039"/>
    <w:rsid w:val="00C7345B"/>
    <w:rsid w:val="00C73CB6"/>
    <w:rsid w:val="00C763B7"/>
    <w:rsid w:val="00C770B4"/>
    <w:rsid w:val="00C8008C"/>
    <w:rsid w:val="00C826C6"/>
    <w:rsid w:val="00C84840"/>
    <w:rsid w:val="00C86DFA"/>
    <w:rsid w:val="00C92B58"/>
    <w:rsid w:val="00C94AEB"/>
    <w:rsid w:val="00C95833"/>
    <w:rsid w:val="00CA5FD6"/>
    <w:rsid w:val="00CA6A61"/>
    <w:rsid w:val="00CA7F54"/>
    <w:rsid w:val="00CB061F"/>
    <w:rsid w:val="00CB07D9"/>
    <w:rsid w:val="00CB409D"/>
    <w:rsid w:val="00CB7969"/>
    <w:rsid w:val="00CC0CE8"/>
    <w:rsid w:val="00CC185D"/>
    <w:rsid w:val="00CC3BE5"/>
    <w:rsid w:val="00CC7177"/>
    <w:rsid w:val="00CD11F6"/>
    <w:rsid w:val="00CD47CD"/>
    <w:rsid w:val="00CE014B"/>
    <w:rsid w:val="00CE111D"/>
    <w:rsid w:val="00CE1538"/>
    <w:rsid w:val="00CF12BE"/>
    <w:rsid w:val="00CF5EBB"/>
    <w:rsid w:val="00CF7173"/>
    <w:rsid w:val="00CF74C8"/>
    <w:rsid w:val="00CF7955"/>
    <w:rsid w:val="00D06F07"/>
    <w:rsid w:val="00D078F6"/>
    <w:rsid w:val="00D142EF"/>
    <w:rsid w:val="00D17D8A"/>
    <w:rsid w:val="00D233B8"/>
    <w:rsid w:val="00D332B0"/>
    <w:rsid w:val="00D33767"/>
    <w:rsid w:val="00D33BDD"/>
    <w:rsid w:val="00D33FFB"/>
    <w:rsid w:val="00D34ADE"/>
    <w:rsid w:val="00D41932"/>
    <w:rsid w:val="00D465BA"/>
    <w:rsid w:val="00D5009E"/>
    <w:rsid w:val="00D51BC6"/>
    <w:rsid w:val="00D552E8"/>
    <w:rsid w:val="00D55693"/>
    <w:rsid w:val="00D5588B"/>
    <w:rsid w:val="00D61DCC"/>
    <w:rsid w:val="00D621EE"/>
    <w:rsid w:val="00D65455"/>
    <w:rsid w:val="00D66D01"/>
    <w:rsid w:val="00D70C58"/>
    <w:rsid w:val="00D710F6"/>
    <w:rsid w:val="00D72AC4"/>
    <w:rsid w:val="00D75AB2"/>
    <w:rsid w:val="00D7639B"/>
    <w:rsid w:val="00D765C6"/>
    <w:rsid w:val="00D771AD"/>
    <w:rsid w:val="00D819D8"/>
    <w:rsid w:val="00D82237"/>
    <w:rsid w:val="00D84435"/>
    <w:rsid w:val="00D87BED"/>
    <w:rsid w:val="00D9182A"/>
    <w:rsid w:val="00D9238F"/>
    <w:rsid w:val="00D9458A"/>
    <w:rsid w:val="00D959E2"/>
    <w:rsid w:val="00D964FD"/>
    <w:rsid w:val="00D96AC2"/>
    <w:rsid w:val="00DA0CD3"/>
    <w:rsid w:val="00DA5C24"/>
    <w:rsid w:val="00DB0F80"/>
    <w:rsid w:val="00DB445B"/>
    <w:rsid w:val="00DB7F81"/>
    <w:rsid w:val="00DC172F"/>
    <w:rsid w:val="00DD61FC"/>
    <w:rsid w:val="00DD6E51"/>
    <w:rsid w:val="00DD739D"/>
    <w:rsid w:val="00DD7905"/>
    <w:rsid w:val="00DE0591"/>
    <w:rsid w:val="00DE1C96"/>
    <w:rsid w:val="00DE23C0"/>
    <w:rsid w:val="00DE7B21"/>
    <w:rsid w:val="00DF02F4"/>
    <w:rsid w:val="00DF0DDB"/>
    <w:rsid w:val="00DF20A1"/>
    <w:rsid w:val="00DF55A5"/>
    <w:rsid w:val="00DF6FE4"/>
    <w:rsid w:val="00DF7B6E"/>
    <w:rsid w:val="00E10206"/>
    <w:rsid w:val="00E11B32"/>
    <w:rsid w:val="00E16982"/>
    <w:rsid w:val="00E20501"/>
    <w:rsid w:val="00E21CA3"/>
    <w:rsid w:val="00E23070"/>
    <w:rsid w:val="00E234E0"/>
    <w:rsid w:val="00E24217"/>
    <w:rsid w:val="00E25F55"/>
    <w:rsid w:val="00E300BF"/>
    <w:rsid w:val="00E30B2F"/>
    <w:rsid w:val="00E320F7"/>
    <w:rsid w:val="00E32B62"/>
    <w:rsid w:val="00E36790"/>
    <w:rsid w:val="00E435DC"/>
    <w:rsid w:val="00E47200"/>
    <w:rsid w:val="00E506F3"/>
    <w:rsid w:val="00E52458"/>
    <w:rsid w:val="00E528E9"/>
    <w:rsid w:val="00E54AFD"/>
    <w:rsid w:val="00E56F25"/>
    <w:rsid w:val="00E57DA8"/>
    <w:rsid w:val="00E67B55"/>
    <w:rsid w:val="00E67E65"/>
    <w:rsid w:val="00E740DC"/>
    <w:rsid w:val="00E745AC"/>
    <w:rsid w:val="00E747F8"/>
    <w:rsid w:val="00E763E9"/>
    <w:rsid w:val="00E76CDE"/>
    <w:rsid w:val="00E84830"/>
    <w:rsid w:val="00E86658"/>
    <w:rsid w:val="00E96F4B"/>
    <w:rsid w:val="00EA0D96"/>
    <w:rsid w:val="00EA4160"/>
    <w:rsid w:val="00EA4761"/>
    <w:rsid w:val="00EA528D"/>
    <w:rsid w:val="00EA5B89"/>
    <w:rsid w:val="00EA5BC9"/>
    <w:rsid w:val="00EA5CE1"/>
    <w:rsid w:val="00EA6170"/>
    <w:rsid w:val="00EA69B0"/>
    <w:rsid w:val="00EB0015"/>
    <w:rsid w:val="00EB1796"/>
    <w:rsid w:val="00EB3EDB"/>
    <w:rsid w:val="00EB4A66"/>
    <w:rsid w:val="00EB55AD"/>
    <w:rsid w:val="00EB6E06"/>
    <w:rsid w:val="00EC1150"/>
    <w:rsid w:val="00EC5413"/>
    <w:rsid w:val="00EC5D5A"/>
    <w:rsid w:val="00EC5E5E"/>
    <w:rsid w:val="00EC7995"/>
    <w:rsid w:val="00EC79C1"/>
    <w:rsid w:val="00EC7A26"/>
    <w:rsid w:val="00ED0CC0"/>
    <w:rsid w:val="00ED15AF"/>
    <w:rsid w:val="00ED1F26"/>
    <w:rsid w:val="00ED3BDC"/>
    <w:rsid w:val="00ED40D9"/>
    <w:rsid w:val="00ED44C8"/>
    <w:rsid w:val="00ED4F49"/>
    <w:rsid w:val="00ED51A8"/>
    <w:rsid w:val="00EE16AE"/>
    <w:rsid w:val="00EE38E6"/>
    <w:rsid w:val="00EE424D"/>
    <w:rsid w:val="00EF0753"/>
    <w:rsid w:val="00EF10C7"/>
    <w:rsid w:val="00EF141A"/>
    <w:rsid w:val="00EF42ED"/>
    <w:rsid w:val="00EF4C78"/>
    <w:rsid w:val="00F03636"/>
    <w:rsid w:val="00F04D64"/>
    <w:rsid w:val="00F0721E"/>
    <w:rsid w:val="00F1029D"/>
    <w:rsid w:val="00F13DF6"/>
    <w:rsid w:val="00F1565B"/>
    <w:rsid w:val="00F21926"/>
    <w:rsid w:val="00F2353D"/>
    <w:rsid w:val="00F24625"/>
    <w:rsid w:val="00F25D40"/>
    <w:rsid w:val="00F26B43"/>
    <w:rsid w:val="00F27719"/>
    <w:rsid w:val="00F300FC"/>
    <w:rsid w:val="00F3429C"/>
    <w:rsid w:val="00F342CB"/>
    <w:rsid w:val="00F34353"/>
    <w:rsid w:val="00F35C3F"/>
    <w:rsid w:val="00F35DF4"/>
    <w:rsid w:val="00F362B6"/>
    <w:rsid w:val="00F36DE2"/>
    <w:rsid w:val="00F40969"/>
    <w:rsid w:val="00F42694"/>
    <w:rsid w:val="00F47E8C"/>
    <w:rsid w:val="00F51E29"/>
    <w:rsid w:val="00F55623"/>
    <w:rsid w:val="00F5580E"/>
    <w:rsid w:val="00F5621D"/>
    <w:rsid w:val="00F56FC0"/>
    <w:rsid w:val="00F57829"/>
    <w:rsid w:val="00F61BDF"/>
    <w:rsid w:val="00F646B1"/>
    <w:rsid w:val="00F64D93"/>
    <w:rsid w:val="00F65EE5"/>
    <w:rsid w:val="00F66063"/>
    <w:rsid w:val="00F661D7"/>
    <w:rsid w:val="00F7427A"/>
    <w:rsid w:val="00F77154"/>
    <w:rsid w:val="00F77564"/>
    <w:rsid w:val="00F8081B"/>
    <w:rsid w:val="00F82893"/>
    <w:rsid w:val="00F840CB"/>
    <w:rsid w:val="00F852EA"/>
    <w:rsid w:val="00F8562B"/>
    <w:rsid w:val="00F87216"/>
    <w:rsid w:val="00F94878"/>
    <w:rsid w:val="00F94A8B"/>
    <w:rsid w:val="00FB0ED0"/>
    <w:rsid w:val="00FB4F43"/>
    <w:rsid w:val="00FB630F"/>
    <w:rsid w:val="00FB6A80"/>
    <w:rsid w:val="00FB7D83"/>
    <w:rsid w:val="00FC16A6"/>
    <w:rsid w:val="00FC4257"/>
    <w:rsid w:val="00FC43DE"/>
    <w:rsid w:val="00FC58D5"/>
    <w:rsid w:val="00FC7FB9"/>
    <w:rsid w:val="00FD14BE"/>
    <w:rsid w:val="00FD2223"/>
    <w:rsid w:val="00FD54D1"/>
    <w:rsid w:val="00FE196C"/>
    <w:rsid w:val="00FE270D"/>
    <w:rsid w:val="00FE2D49"/>
    <w:rsid w:val="00FE4611"/>
    <w:rsid w:val="00FE5BDA"/>
    <w:rsid w:val="00FF0324"/>
    <w:rsid w:val="00FF1B27"/>
    <w:rsid w:val="00FF1DA9"/>
    <w:rsid w:val="029A2040"/>
    <w:rsid w:val="03A13F4F"/>
    <w:rsid w:val="05150942"/>
    <w:rsid w:val="05EC2979"/>
    <w:rsid w:val="06B27FFC"/>
    <w:rsid w:val="06E92E82"/>
    <w:rsid w:val="07F301D9"/>
    <w:rsid w:val="096E5610"/>
    <w:rsid w:val="09FC009A"/>
    <w:rsid w:val="0CED4A67"/>
    <w:rsid w:val="0DEA4B54"/>
    <w:rsid w:val="0E342853"/>
    <w:rsid w:val="0EEC540D"/>
    <w:rsid w:val="11AB57BF"/>
    <w:rsid w:val="11AF0294"/>
    <w:rsid w:val="128B7B47"/>
    <w:rsid w:val="12AF6706"/>
    <w:rsid w:val="13501954"/>
    <w:rsid w:val="150B58A6"/>
    <w:rsid w:val="157E4AEB"/>
    <w:rsid w:val="15E04A05"/>
    <w:rsid w:val="174D7814"/>
    <w:rsid w:val="197D5CC6"/>
    <w:rsid w:val="1A793A61"/>
    <w:rsid w:val="1B0F0873"/>
    <w:rsid w:val="1CC71CF1"/>
    <w:rsid w:val="1E2A3E1A"/>
    <w:rsid w:val="1E7137E9"/>
    <w:rsid w:val="1F5E021B"/>
    <w:rsid w:val="1F6F1F2B"/>
    <w:rsid w:val="1F910D4A"/>
    <w:rsid w:val="200345D7"/>
    <w:rsid w:val="21EE091E"/>
    <w:rsid w:val="226E5579"/>
    <w:rsid w:val="23CF27A7"/>
    <w:rsid w:val="25F227CB"/>
    <w:rsid w:val="25F62E2D"/>
    <w:rsid w:val="26210BBE"/>
    <w:rsid w:val="26AA44F4"/>
    <w:rsid w:val="26B37A7F"/>
    <w:rsid w:val="27F0021F"/>
    <w:rsid w:val="2808303D"/>
    <w:rsid w:val="28457AE6"/>
    <w:rsid w:val="29AA2D18"/>
    <w:rsid w:val="29B82068"/>
    <w:rsid w:val="2AE52B3C"/>
    <w:rsid w:val="2BE83BB7"/>
    <w:rsid w:val="2F21303A"/>
    <w:rsid w:val="2FAA0038"/>
    <w:rsid w:val="2FD85EB1"/>
    <w:rsid w:val="30E2215D"/>
    <w:rsid w:val="3332520E"/>
    <w:rsid w:val="33F7720E"/>
    <w:rsid w:val="34231F5A"/>
    <w:rsid w:val="34C96E23"/>
    <w:rsid w:val="352D3E1E"/>
    <w:rsid w:val="353E78FC"/>
    <w:rsid w:val="360124C3"/>
    <w:rsid w:val="3621007C"/>
    <w:rsid w:val="36545901"/>
    <w:rsid w:val="36D2486A"/>
    <w:rsid w:val="37126C86"/>
    <w:rsid w:val="373552B4"/>
    <w:rsid w:val="38380C12"/>
    <w:rsid w:val="38806A2E"/>
    <w:rsid w:val="3A3A4D57"/>
    <w:rsid w:val="3B244A5E"/>
    <w:rsid w:val="3C0C1FB2"/>
    <w:rsid w:val="3E893095"/>
    <w:rsid w:val="40064CA7"/>
    <w:rsid w:val="40AC425B"/>
    <w:rsid w:val="40FA0C6A"/>
    <w:rsid w:val="42035676"/>
    <w:rsid w:val="45377E13"/>
    <w:rsid w:val="458E1117"/>
    <w:rsid w:val="469118C4"/>
    <w:rsid w:val="48A97644"/>
    <w:rsid w:val="491A2588"/>
    <w:rsid w:val="4C067384"/>
    <w:rsid w:val="4C6A7DA0"/>
    <w:rsid w:val="4EDF237F"/>
    <w:rsid w:val="50563308"/>
    <w:rsid w:val="50762803"/>
    <w:rsid w:val="515A1D68"/>
    <w:rsid w:val="522B1438"/>
    <w:rsid w:val="546F5918"/>
    <w:rsid w:val="54FC5FEF"/>
    <w:rsid w:val="54FF54CD"/>
    <w:rsid w:val="562D21EF"/>
    <w:rsid w:val="583354EA"/>
    <w:rsid w:val="58E9083A"/>
    <w:rsid w:val="59D019A8"/>
    <w:rsid w:val="5A4C11E1"/>
    <w:rsid w:val="5CC62C3A"/>
    <w:rsid w:val="5D253AC7"/>
    <w:rsid w:val="5E5672EA"/>
    <w:rsid w:val="5F1C5A5B"/>
    <w:rsid w:val="5F1E55AE"/>
    <w:rsid w:val="5FC8370C"/>
    <w:rsid w:val="601247C8"/>
    <w:rsid w:val="61A97F30"/>
    <w:rsid w:val="61AE57C0"/>
    <w:rsid w:val="62070DEC"/>
    <w:rsid w:val="63D800FB"/>
    <w:rsid w:val="63F77B96"/>
    <w:rsid w:val="6552780A"/>
    <w:rsid w:val="67B35311"/>
    <w:rsid w:val="68091DC3"/>
    <w:rsid w:val="68251AA9"/>
    <w:rsid w:val="685C1FAA"/>
    <w:rsid w:val="68B867C2"/>
    <w:rsid w:val="68CC58FB"/>
    <w:rsid w:val="693337A2"/>
    <w:rsid w:val="6BCC7786"/>
    <w:rsid w:val="6BD133EA"/>
    <w:rsid w:val="6C6B0C6F"/>
    <w:rsid w:val="6D804045"/>
    <w:rsid w:val="6E3B50E8"/>
    <w:rsid w:val="6EC151A6"/>
    <w:rsid w:val="70B8672F"/>
    <w:rsid w:val="728D3D7E"/>
    <w:rsid w:val="72B3396F"/>
    <w:rsid w:val="73DC4C67"/>
    <w:rsid w:val="73E91B8F"/>
    <w:rsid w:val="74D85438"/>
    <w:rsid w:val="74E53BD4"/>
    <w:rsid w:val="75AC57BF"/>
    <w:rsid w:val="7650475C"/>
    <w:rsid w:val="765E152C"/>
    <w:rsid w:val="77337677"/>
    <w:rsid w:val="773F0EA9"/>
    <w:rsid w:val="79486177"/>
    <w:rsid w:val="79733502"/>
    <w:rsid w:val="7A3B485D"/>
    <w:rsid w:val="7BA41D67"/>
    <w:rsid w:val="7CC320E5"/>
    <w:rsid w:val="7E3F712D"/>
    <w:rsid w:val="7E767B0A"/>
    <w:rsid w:val="7EEF71C5"/>
    <w:rsid w:val="7F5A7DA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80" w:lineRule="exact"/>
      <w:ind w:firstLine="200" w:firstLineChars="200"/>
      <w:jc w:val="both"/>
    </w:pPr>
    <w:rPr>
      <w:rFonts w:ascii="Calibri" w:hAnsi="Calibri" w:eastAsia="宋体" w:cs="Times New Roman"/>
      <w:kern w:val="2"/>
      <w:sz w:val="24"/>
      <w:szCs w:val="24"/>
      <w:lang w:val="en-US" w:eastAsia="zh-CN" w:bidi="ar-SA"/>
    </w:rPr>
  </w:style>
  <w:style w:type="paragraph" w:styleId="2">
    <w:name w:val="heading 1"/>
    <w:basedOn w:val="1"/>
    <w:next w:val="1"/>
    <w:link w:val="39"/>
    <w:qFormat/>
    <w:uiPriority w:val="0"/>
    <w:pPr>
      <w:keepNext/>
      <w:keepLines/>
      <w:numPr>
        <w:ilvl w:val="0"/>
        <w:numId w:val="1"/>
      </w:numPr>
      <w:topLinePunct/>
      <w:adjustRightInd w:val="0"/>
      <w:snapToGrid w:val="0"/>
      <w:spacing w:line="480" w:lineRule="atLeast"/>
      <w:ind w:firstLine="0" w:firstLineChars="0"/>
      <w:jc w:val="left"/>
      <w:textAlignment w:val="center"/>
      <w:outlineLvl w:val="0"/>
    </w:pPr>
    <w:rPr>
      <w:b/>
      <w:bCs/>
      <w:snapToGrid w:val="0"/>
      <w:kern w:val="0"/>
      <w:sz w:val="28"/>
      <w:szCs w:val="28"/>
    </w:rPr>
  </w:style>
  <w:style w:type="paragraph" w:styleId="3">
    <w:name w:val="heading 2"/>
    <w:basedOn w:val="1"/>
    <w:next w:val="1"/>
    <w:qFormat/>
    <w:uiPriority w:val="0"/>
    <w:pPr>
      <w:keepNext/>
      <w:keepLines/>
      <w:spacing w:before="260" w:after="260" w:line="416" w:lineRule="atLeast"/>
      <w:outlineLvl w:val="1"/>
    </w:pPr>
    <w:rPr>
      <w:rFonts w:ascii="Arial" w:hAnsi="Arial" w:eastAsia="黑体"/>
      <w:b/>
      <w:bCs/>
      <w:sz w:val="32"/>
      <w:szCs w:val="32"/>
    </w:rPr>
  </w:style>
  <w:style w:type="paragraph" w:styleId="4">
    <w:name w:val="heading 3"/>
    <w:basedOn w:val="1"/>
    <w:next w:val="1"/>
    <w:link w:val="36"/>
    <w:qFormat/>
    <w:uiPriority w:val="0"/>
    <w:pPr>
      <w:keepNext/>
      <w:keepLines/>
      <w:numPr>
        <w:ilvl w:val="2"/>
        <w:numId w:val="1"/>
      </w:numPr>
      <w:topLinePunct/>
      <w:adjustRightInd w:val="0"/>
      <w:snapToGrid w:val="0"/>
      <w:spacing w:line="480" w:lineRule="atLeast"/>
      <w:ind w:firstLineChars="0"/>
      <w:jc w:val="left"/>
      <w:textAlignment w:val="center"/>
      <w:outlineLvl w:val="2"/>
    </w:pPr>
    <w:rPr>
      <w:b/>
      <w:bCs/>
      <w:sz w:val="28"/>
      <w:szCs w:val="28"/>
      <w:lang w:val="sv-SE"/>
    </w:rPr>
  </w:style>
  <w:style w:type="paragraph" w:styleId="5">
    <w:name w:val="heading 4"/>
    <w:basedOn w:val="1"/>
    <w:next w:val="1"/>
    <w:qFormat/>
    <w:uiPriority w:val="0"/>
    <w:pPr>
      <w:keepNext/>
      <w:keepLines/>
      <w:numPr>
        <w:ilvl w:val="3"/>
        <w:numId w:val="1"/>
      </w:numPr>
      <w:topLinePunct/>
      <w:adjustRightInd w:val="0"/>
      <w:snapToGrid w:val="0"/>
      <w:spacing w:line="480" w:lineRule="atLeast"/>
      <w:ind w:firstLineChars="0"/>
      <w:textAlignment w:val="center"/>
      <w:outlineLvl w:val="3"/>
    </w:pPr>
    <w:rPr>
      <w:b/>
      <w:bCs/>
      <w:kern w:val="0"/>
      <w:lang w:val="sv-SE"/>
    </w:rPr>
  </w:style>
  <w:style w:type="paragraph" w:styleId="6">
    <w:name w:val="heading 5"/>
    <w:basedOn w:val="1"/>
    <w:next w:val="1"/>
    <w:link w:val="37"/>
    <w:qFormat/>
    <w:uiPriority w:val="0"/>
    <w:pPr>
      <w:keepNext/>
      <w:keepLines/>
      <w:numPr>
        <w:ilvl w:val="4"/>
        <w:numId w:val="1"/>
      </w:numPr>
      <w:topLinePunct/>
      <w:adjustRightInd w:val="0"/>
      <w:snapToGrid w:val="0"/>
      <w:spacing w:line="480" w:lineRule="atLeast"/>
      <w:ind w:firstLineChars="0"/>
      <w:textAlignment w:val="center"/>
      <w:outlineLvl w:val="4"/>
    </w:pPr>
    <w:rPr>
      <w:b/>
      <w:bCs/>
      <w:kern w:val="44"/>
      <w:szCs w:val="28"/>
    </w:rPr>
  </w:style>
  <w:style w:type="paragraph" w:styleId="7">
    <w:name w:val="heading 6"/>
    <w:basedOn w:val="1"/>
    <w:next w:val="1"/>
    <w:qFormat/>
    <w:uiPriority w:val="0"/>
    <w:pPr>
      <w:keepNext/>
      <w:keepLines/>
      <w:numPr>
        <w:ilvl w:val="5"/>
        <w:numId w:val="1"/>
      </w:numPr>
      <w:spacing w:before="240" w:after="64" w:line="320" w:lineRule="atLeast"/>
      <w:ind w:firstLineChars="0"/>
      <w:outlineLvl w:val="5"/>
    </w:pPr>
    <w:rPr>
      <w:rFonts w:ascii="Cambria" w:hAnsi="Cambria"/>
      <w:b/>
      <w:bCs/>
    </w:rPr>
  </w:style>
  <w:style w:type="paragraph" w:styleId="8">
    <w:name w:val="heading 7"/>
    <w:basedOn w:val="1"/>
    <w:next w:val="1"/>
    <w:link w:val="38"/>
    <w:qFormat/>
    <w:uiPriority w:val="0"/>
    <w:pPr>
      <w:keepNext/>
      <w:keepLines/>
      <w:numPr>
        <w:ilvl w:val="6"/>
        <w:numId w:val="1"/>
      </w:numPr>
      <w:spacing w:before="240" w:after="64" w:line="320" w:lineRule="atLeast"/>
      <w:ind w:firstLineChars="0"/>
      <w:outlineLvl w:val="6"/>
    </w:pPr>
    <w:rPr>
      <w:b/>
      <w:bCs/>
    </w:rPr>
  </w:style>
  <w:style w:type="paragraph" w:styleId="9">
    <w:name w:val="heading 8"/>
    <w:basedOn w:val="1"/>
    <w:next w:val="1"/>
    <w:qFormat/>
    <w:uiPriority w:val="0"/>
    <w:pPr>
      <w:keepNext/>
      <w:keepLines/>
      <w:numPr>
        <w:ilvl w:val="7"/>
        <w:numId w:val="1"/>
      </w:numPr>
      <w:spacing w:before="240" w:after="64" w:line="320" w:lineRule="atLeast"/>
      <w:ind w:firstLineChars="0"/>
      <w:outlineLvl w:val="7"/>
    </w:pPr>
    <w:rPr>
      <w:rFonts w:ascii="Cambria" w:hAnsi="Cambria"/>
    </w:rPr>
  </w:style>
  <w:style w:type="paragraph" w:styleId="10">
    <w:name w:val="heading 9"/>
    <w:basedOn w:val="1"/>
    <w:next w:val="1"/>
    <w:qFormat/>
    <w:uiPriority w:val="0"/>
    <w:pPr>
      <w:keepNext/>
      <w:keepLines/>
      <w:numPr>
        <w:ilvl w:val="8"/>
        <w:numId w:val="1"/>
      </w:numPr>
      <w:spacing w:before="240" w:after="64" w:line="320" w:lineRule="atLeast"/>
      <w:ind w:firstLineChars="0"/>
      <w:outlineLvl w:val="8"/>
    </w:pPr>
    <w:rPr>
      <w:rFonts w:ascii="Cambria" w:hAnsi="Cambria"/>
      <w:sz w:val="21"/>
      <w:szCs w:val="21"/>
    </w:rPr>
  </w:style>
  <w:style w:type="character" w:default="1" w:styleId="32">
    <w:name w:val="Default Paragraph Font"/>
    <w:semiHidden/>
    <w:qFormat/>
    <w:uiPriority w:val="0"/>
  </w:style>
  <w:style w:type="table" w:default="1" w:styleId="30">
    <w:name w:val="Normal Table"/>
    <w:semiHidden/>
    <w:qFormat/>
    <w:uiPriority w:val="0"/>
    <w:tblPr>
      <w:tblCellMar>
        <w:top w:w="0" w:type="dxa"/>
        <w:left w:w="108" w:type="dxa"/>
        <w:bottom w:w="0" w:type="dxa"/>
        <w:right w:w="108" w:type="dxa"/>
      </w:tblCellMar>
    </w:tblPr>
  </w:style>
  <w:style w:type="paragraph" w:styleId="11">
    <w:name w:val="toc 7"/>
    <w:basedOn w:val="1"/>
    <w:next w:val="1"/>
    <w:qFormat/>
    <w:uiPriority w:val="0"/>
    <w:pPr>
      <w:ind w:left="1440"/>
      <w:jc w:val="left"/>
    </w:pPr>
    <w:rPr>
      <w:rFonts w:ascii="Calibri" w:hAnsi="Calibri"/>
      <w:sz w:val="18"/>
      <w:szCs w:val="18"/>
    </w:rPr>
  </w:style>
  <w:style w:type="paragraph" w:styleId="12">
    <w:name w:val="Normal Indent"/>
    <w:basedOn w:val="1"/>
    <w:link w:val="40"/>
    <w:qFormat/>
    <w:uiPriority w:val="0"/>
    <w:pPr>
      <w:spacing w:line="240" w:lineRule="auto"/>
      <w:ind w:firstLine="420"/>
    </w:pPr>
    <w:rPr>
      <w:sz w:val="21"/>
    </w:rPr>
  </w:style>
  <w:style w:type="paragraph" w:styleId="13">
    <w:name w:val="Document Map"/>
    <w:basedOn w:val="1"/>
    <w:semiHidden/>
    <w:qFormat/>
    <w:uiPriority w:val="0"/>
    <w:pPr>
      <w:shd w:val="clear" w:color="auto" w:fill="000080"/>
    </w:pPr>
  </w:style>
  <w:style w:type="paragraph" w:styleId="14">
    <w:name w:val="annotation text"/>
    <w:basedOn w:val="1"/>
    <w:semiHidden/>
    <w:qFormat/>
    <w:uiPriority w:val="0"/>
    <w:pPr>
      <w:jc w:val="left"/>
    </w:pPr>
  </w:style>
  <w:style w:type="paragraph" w:styleId="15">
    <w:name w:val="Body Text"/>
    <w:basedOn w:val="1"/>
    <w:qFormat/>
    <w:uiPriority w:val="0"/>
    <w:pPr>
      <w:spacing w:after="120"/>
    </w:pPr>
  </w:style>
  <w:style w:type="paragraph" w:styleId="16">
    <w:name w:val="Body Text Indent"/>
    <w:basedOn w:val="1"/>
    <w:link w:val="41"/>
    <w:qFormat/>
    <w:uiPriority w:val="0"/>
    <w:pPr>
      <w:adjustRightInd w:val="0"/>
      <w:snapToGrid w:val="0"/>
      <w:spacing w:line="300" w:lineRule="auto"/>
      <w:ind w:firstLine="0" w:firstLineChars="0"/>
    </w:pPr>
    <w:rPr>
      <w:sz w:val="21"/>
      <w:szCs w:val="20"/>
      <w:lang w:eastAsia="zh-TW"/>
    </w:rPr>
  </w:style>
  <w:style w:type="paragraph" w:styleId="17">
    <w:name w:val="toc 5"/>
    <w:basedOn w:val="1"/>
    <w:next w:val="1"/>
    <w:qFormat/>
    <w:uiPriority w:val="0"/>
    <w:pPr>
      <w:ind w:left="960"/>
      <w:jc w:val="left"/>
    </w:pPr>
    <w:rPr>
      <w:rFonts w:ascii="Calibri" w:hAnsi="Calibri"/>
      <w:sz w:val="18"/>
      <w:szCs w:val="18"/>
    </w:rPr>
  </w:style>
  <w:style w:type="paragraph" w:styleId="18">
    <w:name w:val="toc 3"/>
    <w:basedOn w:val="1"/>
    <w:next w:val="1"/>
    <w:qFormat/>
    <w:uiPriority w:val="39"/>
    <w:pPr>
      <w:ind w:left="480"/>
      <w:jc w:val="left"/>
    </w:pPr>
    <w:rPr>
      <w:rFonts w:ascii="Calibri" w:hAnsi="Calibri"/>
      <w:i/>
      <w:iCs/>
      <w:sz w:val="20"/>
      <w:szCs w:val="20"/>
    </w:rPr>
  </w:style>
  <w:style w:type="paragraph" w:styleId="19">
    <w:name w:val="Plain Text"/>
    <w:basedOn w:val="1"/>
    <w:link w:val="42"/>
    <w:unhideWhenUsed/>
    <w:qFormat/>
    <w:uiPriority w:val="0"/>
    <w:pPr>
      <w:spacing w:line="240" w:lineRule="auto"/>
      <w:ind w:firstLine="0" w:firstLineChars="0"/>
    </w:pPr>
    <w:rPr>
      <w:rFonts w:ascii="宋体" w:hAnsi="Courier New"/>
      <w:sz w:val="21"/>
      <w:szCs w:val="20"/>
    </w:rPr>
  </w:style>
  <w:style w:type="paragraph" w:styleId="20">
    <w:name w:val="toc 8"/>
    <w:basedOn w:val="1"/>
    <w:next w:val="1"/>
    <w:qFormat/>
    <w:uiPriority w:val="0"/>
    <w:pPr>
      <w:ind w:left="1680"/>
      <w:jc w:val="left"/>
    </w:pPr>
    <w:rPr>
      <w:rFonts w:ascii="Calibri" w:hAnsi="Calibri"/>
      <w:sz w:val="18"/>
      <w:szCs w:val="18"/>
    </w:rPr>
  </w:style>
  <w:style w:type="paragraph" w:styleId="21">
    <w:name w:val="Balloon Text"/>
    <w:basedOn w:val="1"/>
    <w:link w:val="43"/>
    <w:qFormat/>
    <w:uiPriority w:val="0"/>
    <w:rPr>
      <w:sz w:val="18"/>
      <w:szCs w:val="18"/>
    </w:rPr>
  </w:style>
  <w:style w:type="paragraph" w:styleId="22">
    <w:name w:val="footer"/>
    <w:basedOn w:val="1"/>
    <w:link w:val="44"/>
    <w:qFormat/>
    <w:uiPriority w:val="99"/>
    <w:pPr>
      <w:tabs>
        <w:tab w:val="center" w:pos="4153"/>
        <w:tab w:val="right" w:pos="8306"/>
      </w:tabs>
      <w:snapToGrid w:val="0"/>
      <w:spacing w:line="240" w:lineRule="atLeast"/>
      <w:jc w:val="left"/>
    </w:pPr>
    <w:rPr>
      <w:sz w:val="18"/>
      <w:szCs w:val="18"/>
    </w:rPr>
  </w:style>
  <w:style w:type="paragraph" w:styleId="23">
    <w:name w:val="header"/>
    <w:basedOn w:val="1"/>
    <w:link w:val="45"/>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24">
    <w:name w:val="toc 1"/>
    <w:basedOn w:val="1"/>
    <w:next w:val="1"/>
    <w:qFormat/>
    <w:uiPriority w:val="39"/>
    <w:pPr>
      <w:spacing w:before="120" w:after="120"/>
      <w:jc w:val="left"/>
    </w:pPr>
    <w:rPr>
      <w:rFonts w:ascii="Calibri" w:hAnsi="Calibri"/>
      <w:b/>
      <w:bCs/>
      <w:caps/>
      <w:sz w:val="20"/>
      <w:szCs w:val="20"/>
    </w:rPr>
  </w:style>
  <w:style w:type="paragraph" w:styleId="25">
    <w:name w:val="toc 4"/>
    <w:basedOn w:val="1"/>
    <w:next w:val="1"/>
    <w:qFormat/>
    <w:uiPriority w:val="0"/>
    <w:pPr>
      <w:ind w:left="720"/>
      <w:jc w:val="left"/>
    </w:pPr>
    <w:rPr>
      <w:rFonts w:ascii="Calibri" w:hAnsi="Calibri"/>
      <w:sz w:val="18"/>
      <w:szCs w:val="18"/>
    </w:rPr>
  </w:style>
  <w:style w:type="paragraph" w:styleId="26">
    <w:name w:val="toc 6"/>
    <w:basedOn w:val="1"/>
    <w:next w:val="1"/>
    <w:qFormat/>
    <w:uiPriority w:val="0"/>
    <w:pPr>
      <w:ind w:left="1200"/>
      <w:jc w:val="left"/>
    </w:pPr>
    <w:rPr>
      <w:rFonts w:ascii="Calibri" w:hAnsi="Calibri"/>
      <w:sz w:val="18"/>
      <w:szCs w:val="18"/>
    </w:rPr>
  </w:style>
  <w:style w:type="paragraph" w:styleId="27">
    <w:name w:val="toc 2"/>
    <w:basedOn w:val="1"/>
    <w:next w:val="1"/>
    <w:qFormat/>
    <w:uiPriority w:val="39"/>
    <w:pPr>
      <w:ind w:left="240"/>
      <w:jc w:val="left"/>
    </w:pPr>
    <w:rPr>
      <w:rFonts w:ascii="Calibri" w:hAnsi="Calibri"/>
      <w:smallCaps/>
      <w:sz w:val="20"/>
      <w:szCs w:val="20"/>
    </w:rPr>
  </w:style>
  <w:style w:type="paragraph" w:styleId="28">
    <w:name w:val="toc 9"/>
    <w:basedOn w:val="1"/>
    <w:next w:val="1"/>
    <w:qFormat/>
    <w:uiPriority w:val="0"/>
    <w:pPr>
      <w:ind w:left="1920"/>
      <w:jc w:val="left"/>
    </w:pPr>
    <w:rPr>
      <w:rFonts w:ascii="Calibri" w:hAnsi="Calibri"/>
      <w:sz w:val="18"/>
      <w:szCs w:val="18"/>
    </w:rPr>
  </w:style>
  <w:style w:type="paragraph" w:styleId="29">
    <w:name w:val="annotation subject"/>
    <w:basedOn w:val="14"/>
    <w:next w:val="14"/>
    <w:semiHidden/>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qFormat/>
    <w:uiPriority w:val="99"/>
  </w:style>
  <w:style w:type="character" w:styleId="34">
    <w:name w:val="annotation reference"/>
    <w:semiHidden/>
    <w:qFormat/>
    <w:uiPriority w:val="0"/>
    <w:rPr>
      <w:sz w:val="21"/>
      <w:szCs w:val="21"/>
    </w:rPr>
  </w:style>
  <w:style w:type="paragraph" w:styleId="35">
    <w:name w:val="List Paragraph"/>
    <w:basedOn w:val="1"/>
    <w:qFormat/>
    <w:uiPriority w:val="34"/>
    <w:pPr>
      <w:ind w:firstLine="420"/>
    </w:pPr>
  </w:style>
  <w:style w:type="character" w:customStyle="1" w:styleId="36">
    <w:name w:val="标题 3 字符"/>
    <w:link w:val="4"/>
    <w:qFormat/>
    <w:uiPriority w:val="0"/>
    <w:rPr>
      <w:b/>
      <w:bCs/>
      <w:kern w:val="2"/>
      <w:sz w:val="28"/>
      <w:szCs w:val="28"/>
      <w:lang w:val="sv-SE"/>
    </w:rPr>
  </w:style>
  <w:style w:type="character" w:customStyle="1" w:styleId="37">
    <w:name w:val="标题 5 字符"/>
    <w:link w:val="6"/>
    <w:qFormat/>
    <w:uiPriority w:val="0"/>
    <w:rPr>
      <w:b/>
      <w:bCs/>
      <w:kern w:val="44"/>
      <w:sz w:val="24"/>
      <w:szCs w:val="28"/>
    </w:rPr>
  </w:style>
  <w:style w:type="character" w:customStyle="1" w:styleId="38">
    <w:name w:val="标题 7 字符"/>
    <w:link w:val="8"/>
    <w:qFormat/>
    <w:uiPriority w:val="0"/>
    <w:rPr>
      <w:b/>
      <w:bCs/>
      <w:kern w:val="2"/>
      <w:sz w:val="24"/>
      <w:szCs w:val="24"/>
    </w:rPr>
  </w:style>
  <w:style w:type="character" w:customStyle="1" w:styleId="39">
    <w:name w:val="标题 1 字符"/>
    <w:link w:val="2"/>
    <w:qFormat/>
    <w:uiPriority w:val="0"/>
    <w:rPr>
      <w:b/>
      <w:bCs/>
      <w:snapToGrid/>
      <w:sz w:val="28"/>
      <w:szCs w:val="28"/>
    </w:rPr>
  </w:style>
  <w:style w:type="character" w:customStyle="1" w:styleId="40">
    <w:name w:val="正文缩进 字符"/>
    <w:link w:val="12"/>
    <w:qFormat/>
    <w:uiPriority w:val="0"/>
    <w:rPr>
      <w:kern w:val="2"/>
      <w:sz w:val="21"/>
      <w:szCs w:val="24"/>
    </w:rPr>
  </w:style>
  <w:style w:type="character" w:customStyle="1" w:styleId="41">
    <w:name w:val="正文文本缩进 字符"/>
    <w:link w:val="16"/>
    <w:qFormat/>
    <w:uiPriority w:val="0"/>
    <w:rPr>
      <w:kern w:val="2"/>
      <w:sz w:val="21"/>
      <w:lang w:eastAsia="zh-TW"/>
    </w:rPr>
  </w:style>
  <w:style w:type="character" w:customStyle="1" w:styleId="42">
    <w:name w:val="纯文本 字符"/>
    <w:link w:val="19"/>
    <w:qFormat/>
    <w:uiPriority w:val="0"/>
    <w:rPr>
      <w:rFonts w:ascii="宋体" w:hAnsi="Courier New"/>
      <w:kern w:val="2"/>
      <w:sz w:val="21"/>
    </w:rPr>
  </w:style>
  <w:style w:type="character" w:customStyle="1" w:styleId="43">
    <w:name w:val="批注框文本 字符"/>
    <w:link w:val="21"/>
    <w:qFormat/>
    <w:uiPriority w:val="0"/>
    <w:rPr>
      <w:kern w:val="2"/>
      <w:sz w:val="18"/>
      <w:szCs w:val="18"/>
    </w:rPr>
  </w:style>
  <w:style w:type="character" w:customStyle="1" w:styleId="44">
    <w:name w:val="页脚 字符"/>
    <w:link w:val="22"/>
    <w:qFormat/>
    <w:uiPriority w:val="99"/>
    <w:rPr>
      <w:kern w:val="2"/>
      <w:sz w:val="18"/>
      <w:szCs w:val="18"/>
    </w:rPr>
  </w:style>
  <w:style w:type="character" w:customStyle="1" w:styleId="45">
    <w:name w:val="页眉 字符"/>
    <w:link w:val="23"/>
    <w:qFormat/>
    <w:uiPriority w:val="99"/>
    <w:rPr>
      <w:kern w:val="2"/>
      <w:sz w:val="18"/>
      <w:szCs w:val="18"/>
    </w:rPr>
  </w:style>
  <w:style w:type="character" w:customStyle="1" w:styleId="46">
    <w:name w:val="封面副标题 Char"/>
    <w:link w:val="47"/>
    <w:qFormat/>
    <w:uiPriority w:val="0"/>
    <w:rPr>
      <w:rFonts w:ascii="Arial" w:hAnsi="Arial" w:eastAsia="黑体"/>
      <w:sz w:val="32"/>
      <w:szCs w:val="24"/>
      <w:lang w:val="en-US" w:eastAsia="zh-CN" w:bidi="ar-SA"/>
    </w:rPr>
  </w:style>
  <w:style w:type="paragraph" w:customStyle="1" w:styleId="47">
    <w:name w:val="封面副标题"/>
    <w:link w:val="46"/>
    <w:qFormat/>
    <w:uiPriority w:val="0"/>
    <w:pPr>
      <w:spacing w:line="360" w:lineRule="auto"/>
      <w:jc w:val="center"/>
    </w:pPr>
    <w:rPr>
      <w:rFonts w:ascii="Arial" w:hAnsi="Arial" w:eastAsia="黑体" w:cs="Times New Roman"/>
      <w:sz w:val="32"/>
      <w:szCs w:val="24"/>
      <w:lang w:val="en-US" w:eastAsia="zh-CN" w:bidi="ar-SA"/>
    </w:rPr>
  </w:style>
  <w:style w:type="character" w:customStyle="1" w:styleId="48">
    <w:name w:val="GEDI正文样式 Char"/>
    <w:link w:val="49"/>
    <w:qFormat/>
    <w:uiPriority w:val="0"/>
    <w:rPr>
      <w:rFonts w:eastAsia="宋体"/>
      <w:kern w:val="2"/>
      <w:sz w:val="24"/>
      <w:szCs w:val="24"/>
      <w:lang w:val="en-US" w:eastAsia="zh-CN" w:bidi="ar-SA"/>
    </w:rPr>
  </w:style>
  <w:style w:type="paragraph" w:customStyle="1" w:styleId="49">
    <w:name w:val="GEDI正文样式"/>
    <w:basedOn w:val="1"/>
    <w:link w:val="48"/>
    <w:qFormat/>
    <w:uiPriority w:val="0"/>
    <w:pPr>
      <w:adjustRightInd w:val="0"/>
      <w:snapToGrid w:val="0"/>
      <w:spacing w:line="480" w:lineRule="atLeast"/>
      <w:ind w:firstLine="480"/>
    </w:pPr>
  </w:style>
  <w:style w:type="character" w:customStyle="1" w:styleId="50">
    <w:name w:val="无间隔 字符"/>
    <w:link w:val="51"/>
    <w:qFormat/>
    <w:uiPriority w:val="1"/>
    <w:rPr>
      <w:rFonts w:ascii="Calibri" w:hAnsi="Calibri"/>
      <w:sz w:val="22"/>
      <w:szCs w:val="22"/>
      <w:lang w:bidi="ar-SA"/>
    </w:rPr>
  </w:style>
  <w:style w:type="paragraph" w:styleId="51">
    <w:name w:val="No Spacing"/>
    <w:link w:val="50"/>
    <w:qFormat/>
    <w:uiPriority w:val="1"/>
    <w:rPr>
      <w:rFonts w:ascii="Calibri" w:hAnsi="Calibri" w:eastAsia="宋体" w:cs="Times New Roman"/>
      <w:sz w:val="22"/>
      <w:szCs w:val="22"/>
      <w:lang w:val="en-US" w:eastAsia="zh-CN" w:bidi="ar-SA"/>
    </w:rPr>
  </w:style>
  <w:style w:type="character" w:customStyle="1" w:styleId="52">
    <w:name w:val="GEDI正文(无编号) Char"/>
    <w:link w:val="53"/>
    <w:qFormat/>
    <w:uiPriority w:val="0"/>
    <w:rPr>
      <w:rFonts w:hAnsi="宋体"/>
      <w:kern w:val="2"/>
      <w:sz w:val="24"/>
    </w:rPr>
  </w:style>
  <w:style w:type="paragraph" w:customStyle="1" w:styleId="53">
    <w:name w:val="GEDI正文(无编号)"/>
    <w:basedOn w:val="1"/>
    <w:link w:val="52"/>
    <w:qFormat/>
    <w:uiPriority w:val="0"/>
    <w:pPr>
      <w:adjustRightInd w:val="0"/>
      <w:snapToGrid w:val="0"/>
      <w:ind w:left="420" w:firstLine="0" w:firstLineChars="0"/>
    </w:pPr>
    <w:rPr>
      <w:rFonts w:hAnsi="宋体"/>
      <w:szCs w:val="20"/>
    </w:rPr>
  </w:style>
  <w:style w:type="character" w:customStyle="1" w:styleId="54">
    <w:name w:val="GEDI一级项目编号 Char"/>
    <w:link w:val="55"/>
    <w:qFormat/>
    <w:uiPriority w:val="0"/>
    <w:rPr>
      <w:rFonts w:eastAsia="宋体"/>
      <w:kern w:val="2"/>
      <w:sz w:val="24"/>
      <w:szCs w:val="24"/>
      <w:lang w:val="en-US" w:eastAsia="zh-CN" w:bidi="ar-SA"/>
    </w:rPr>
  </w:style>
  <w:style w:type="paragraph" w:customStyle="1" w:styleId="55">
    <w:name w:val="GEDI一级项目编号"/>
    <w:basedOn w:val="1"/>
    <w:link w:val="54"/>
    <w:qFormat/>
    <w:uiPriority w:val="0"/>
    <w:pPr>
      <w:adjustRightInd w:val="0"/>
      <w:snapToGrid w:val="0"/>
      <w:spacing w:line="480" w:lineRule="atLeast"/>
      <w:ind w:firstLine="0" w:firstLineChars="0"/>
    </w:pPr>
  </w:style>
  <w:style w:type="paragraph" w:customStyle="1" w:styleId="56">
    <w:name w:val="正文加粗"/>
    <w:basedOn w:val="1"/>
    <w:qFormat/>
    <w:uiPriority w:val="0"/>
    <w:pPr>
      <w:spacing w:line="240" w:lineRule="auto"/>
      <w:ind w:firstLine="0" w:firstLineChars="0"/>
    </w:pPr>
    <w:rPr>
      <w:rFonts w:cs="宋体"/>
      <w:b/>
      <w:bCs/>
      <w:sz w:val="21"/>
      <w:szCs w:val="20"/>
    </w:rPr>
  </w:style>
  <w:style w:type="paragraph" w:customStyle="1" w:styleId="57">
    <w:name w:val="封面标题"/>
    <w:qFormat/>
    <w:uiPriority w:val="0"/>
    <w:pPr>
      <w:spacing w:line="360" w:lineRule="auto"/>
      <w:jc w:val="center"/>
    </w:pPr>
    <w:rPr>
      <w:rFonts w:ascii="Arial" w:hAnsi="Arial" w:eastAsia="黑体" w:cs="Times New Roman"/>
      <w:sz w:val="48"/>
      <w:szCs w:val="48"/>
      <w:lang w:val="en-US" w:eastAsia="zh-CN" w:bidi="ar-SA"/>
    </w:rPr>
  </w:style>
  <w:style w:type="paragraph" w:customStyle="1" w:styleId="58">
    <w:name w:val="样式 标题 2h2Heading 2 HiddenHeading 2 CCBSheading 2第一章 标题 2H2...1"/>
    <w:basedOn w:val="3"/>
    <w:qFormat/>
    <w:uiPriority w:val="0"/>
    <w:pPr>
      <w:numPr>
        <w:ilvl w:val="1"/>
        <w:numId w:val="1"/>
      </w:numPr>
      <w:topLinePunct/>
      <w:adjustRightInd w:val="0"/>
      <w:snapToGrid w:val="0"/>
      <w:spacing w:before="0" w:after="0" w:line="480" w:lineRule="atLeast"/>
      <w:ind w:firstLineChars="0"/>
      <w:jc w:val="left"/>
      <w:textAlignment w:val="center"/>
    </w:pPr>
    <w:rPr>
      <w:rFonts w:ascii="宋体" w:hAnsi="宋体" w:eastAsia="宋体" w:cs="宋体"/>
      <w:color w:val="000000"/>
      <w:kern w:val="0"/>
      <w:sz w:val="28"/>
    </w:rPr>
  </w:style>
  <w:style w:type="paragraph" w:customStyle="1" w:styleId="59">
    <w:name w:val="p0"/>
    <w:basedOn w:val="1"/>
    <w:qFormat/>
    <w:uiPriority w:val="0"/>
    <w:pPr>
      <w:widowControl/>
      <w:spacing w:line="360" w:lineRule="auto"/>
      <w:ind w:firstLine="0" w:firstLineChars="0"/>
    </w:pPr>
    <w:rPr>
      <w:kern w:val="0"/>
    </w:rPr>
  </w:style>
  <w:style w:type="paragraph" w:customStyle="1" w:styleId="60">
    <w:name w:val="_Style 1"/>
    <w:basedOn w:val="1"/>
    <w:qFormat/>
    <w:uiPriority w:val="34"/>
    <w:pPr>
      <w:ind w:firstLine="420"/>
    </w:pPr>
  </w:style>
  <w:style w:type="paragraph" w:customStyle="1" w:styleId="61">
    <w:name w:val=" Char Char Char1 Char Char Char Char Char Char Char Char Char Char Char Char Char Char Char Char Char Char1 Char Char Char Char Char Char Char Char Char Char Char Char Char Char Char Char Char"/>
    <w:basedOn w:val="1"/>
    <w:qFormat/>
    <w:uiPriority w:val="0"/>
    <w:pPr>
      <w:spacing w:line="360" w:lineRule="auto"/>
      <w:ind w:firstLine="0" w:firstLineChars="0"/>
    </w:pPr>
    <w:rPr>
      <w:sz w:val="21"/>
    </w:rPr>
  </w:style>
  <w:style w:type="paragraph" w:customStyle="1" w:styleId="62">
    <w:name w:val=" Char"/>
    <w:basedOn w:val="1"/>
    <w:qFormat/>
    <w:uiPriority w:val="0"/>
    <w:pPr>
      <w:spacing w:line="240" w:lineRule="auto"/>
      <w:ind w:firstLine="0" w:firstLineChars="0"/>
    </w:pPr>
    <w:rPr>
      <w:rFonts w:ascii="Tahoma" w:hAnsi="Tahoma"/>
      <w:szCs w:val="20"/>
    </w:rPr>
  </w:style>
  <w:style w:type="paragraph" w:customStyle="1" w:styleId="63">
    <w:name w:val="园点"/>
    <w:basedOn w:val="1"/>
    <w:qFormat/>
    <w:uiPriority w:val="0"/>
    <w:pPr>
      <w:numPr>
        <w:ilvl w:val="0"/>
        <w:numId w:val="2"/>
      </w:numPr>
      <w:spacing w:line="360" w:lineRule="auto"/>
      <w:ind w:firstLineChars="0"/>
    </w:pPr>
    <w:rPr>
      <w:rFonts w:ascii="宋体" w:hAnsi="宋体"/>
    </w:rPr>
  </w:style>
  <w:style w:type="paragraph" w:customStyle="1" w:styleId="64">
    <w:name w:val="Char"/>
    <w:basedOn w:val="1"/>
    <w:semiHidden/>
    <w:qFormat/>
    <w:uiPriority w:val="0"/>
    <w:pPr>
      <w:spacing w:line="240" w:lineRule="auto"/>
      <w:ind w:firstLine="0" w:firstLineChars="225"/>
    </w:pPr>
    <w:rPr>
      <w:rFonts w:ascii="仿宋_GB2312" w:eastAsia="仿宋_GB2312"/>
      <w:b/>
      <w:sz w:val="32"/>
      <w:szCs w:val="32"/>
    </w:rPr>
  </w:style>
  <w:style w:type="paragraph" w:customStyle="1" w:styleId="65">
    <w:name w:val="封面一级标题文字"/>
    <w:basedOn w:val="1"/>
    <w:qFormat/>
    <w:uiPriority w:val="0"/>
    <w:pPr>
      <w:spacing w:line="640" w:lineRule="exact"/>
      <w:ind w:firstLine="0" w:firstLineChars="0"/>
      <w:jc w:val="center"/>
    </w:pPr>
    <w:rPr>
      <w:rFonts w:ascii="黑体" w:hAnsi="黑体" w:eastAsia="黑体"/>
      <w:b/>
      <w:bCs/>
      <w:sz w:val="52"/>
    </w:rPr>
  </w:style>
  <w:style w:type="paragraph" w:customStyle="1" w:styleId="66">
    <w:name w:val="目录 21"/>
    <w:basedOn w:val="1"/>
    <w:next w:val="1"/>
    <w:qFormat/>
    <w:uiPriority w:val="0"/>
    <w:pPr>
      <w:adjustRightInd w:val="0"/>
      <w:spacing w:before="100" w:beforeAutospacing="1" w:after="100" w:afterAutospacing="1" w:line="560" w:lineRule="exact"/>
      <w:ind w:left="420" w:leftChars="200" w:firstLine="0" w:firstLineChars="0"/>
    </w:pPr>
    <w:rPr>
      <w:rFonts w:ascii="Times New Roman" w:hAnsi="Times New Roman" w:eastAsia="仿宋_GB2312"/>
      <w:kern w:val="0"/>
      <w:sz w:val="30"/>
      <w:szCs w:val="20"/>
    </w:rPr>
  </w:style>
  <w:style w:type="paragraph" w:customStyle="1" w:styleId="67">
    <w:name w:val="_Style 65"/>
    <w:hidden/>
    <w:unhideWhenUsed/>
    <w:qFormat/>
    <w:uiPriority w:val="99"/>
    <w:rPr>
      <w:rFonts w:ascii="Calibri" w:hAnsi="Calibri" w:eastAsia="宋体" w:cs="Times New Roman"/>
      <w:kern w:val="2"/>
      <w:sz w:val="24"/>
      <w:szCs w:val="24"/>
      <w:lang w:val="en-US" w:eastAsia="zh-CN" w:bidi="ar-SA"/>
    </w:rPr>
  </w:style>
  <w:style w:type="paragraph" w:customStyle="1" w:styleId="68">
    <w:name w:val="表格"/>
    <w:basedOn w:val="1"/>
    <w:qFormat/>
    <w:uiPriority w:val="0"/>
    <w:pPr>
      <w:spacing w:line="240" w:lineRule="auto"/>
      <w:jc w:val="center"/>
    </w:pPr>
    <w:rPr>
      <w:rFonts w:ascii="宋体" w:hAnsi="宋体" w:cs="宋体"/>
      <w:bCs/>
      <w:spacing w:val="6"/>
      <w:sz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14</Pages>
  <Words>7376</Words>
  <Characters>7515</Characters>
  <Lines>37</Lines>
  <Paragraphs>10</Paragraphs>
  <TotalTime>0</TotalTime>
  <ScaleCrop>false</ScaleCrop>
  <LinksUpToDate>false</LinksUpToDate>
  <CharactersWithSpaces>7663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2023-05-30T01:33:00Z</dcterms:created>
  <dc:creator>王海吉</dc:creator>
  <cp:lastModifiedBy>admin</cp:lastModifiedBy>
  <cp:lastPrinted>2014-05-06T02:19:00Z</cp:lastPrinted>
  <dcterms:modified xsi:type="dcterms:W3CDTF">2025-09-18T08:34:00Z</dcterms:modified>
  <dc:title>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3A61C9528BA64F40874092F9596E3659_13</vt:lpwstr>
  </property>
  <property fmtid="{D5CDD505-2E9C-101B-9397-08002B2CF9AE}" pid="4" name="KSOTemplateDocerSaveRecord">
    <vt:lpwstr>eyJoZGlkIjoiM2E5OWFmMzRmYmQwY2QzODU5NTRkZDNiNDZlNmMwN2IiLCJ1c2VySWQiOiIyODU0ODk0NiJ9</vt:lpwstr>
  </property>
</Properties>
</file>