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黑体" w:hAnsi="黑体" w:eastAsia="黑体"/>
          <w:b/>
          <w:sz w:val="44"/>
          <w:szCs w:val="44"/>
        </w:rPr>
      </w:pPr>
      <w:r>
        <w:drawing>
          <wp:anchor distT="0" distB="0" distL="114300" distR="114300" simplePos="0" relativeHeight="251660288" behindDoc="1" locked="0" layoutInCell="1" allowOverlap="1">
            <wp:simplePos x="0" y="0"/>
            <wp:positionH relativeFrom="column">
              <wp:posOffset>-1218565</wp:posOffset>
            </wp:positionH>
            <wp:positionV relativeFrom="paragraph">
              <wp:posOffset>-918845</wp:posOffset>
            </wp:positionV>
            <wp:extent cx="7886700" cy="10948035"/>
            <wp:effectExtent l="0" t="0" r="0" b="5715"/>
            <wp:wrapNone/>
            <wp:docPr id="3" name="图片 2" descr="会议封面-空白-A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会议封面-空白-A4"/>
                    <pic:cNvPicPr>
                      <a:picLocks noChangeAspect="1"/>
                    </pic:cNvPicPr>
                  </pic:nvPicPr>
                  <pic:blipFill>
                    <a:blip r:embed="rId7"/>
                    <a:stretch>
                      <a:fillRect/>
                    </a:stretch>
                  </pic:blipFill>
                  <pic:spPr>
                    <a:xfrm>
                      <a:off x="0" y="0"/>
                      <a:ext cx="7886700" cy="10948035"/>
                    </a:xfrm>
                    <a:prstGeom prst="rect">
                      <a:avLst/>
                    </a:prstGeom>
                    <a:noFill/>
                    <a:ln>
                      <a:noFill/>
                    </a:ln>
                  </pic:spPr>
                </pic:pic>
              </a:graphicData>
            </a:graphic>
          </wp:anchor>
        </w:drawing>
      </w:r>
      <w:r>
        <w:drawing>
          <wp:anchor distT="0" distB="0" distL="114300" distR="114300" simplePos="0" relativeHeight="251659264" behindDoc="1" locked="0" layoutInCell="1" allowOverlap="1">
            <wp:simplePos x="0" y="0"/>
            <wp:positionH relativeFrom="column">
              <wp:posOffset>-1370965</wp:posOffset>
            </wp:positionH>
            <wp:positionV relativeFrom="paragraph">
              <wp:posOffset>-1014095</wp:posOffset>
            </wp:positionV>
            <wp:extent cx="7886700" cy="10948035"/>
            <wp:effectExtent l="0" t="0" r="0" b="5715"/>
            <wp:wrapNone/>
            <wp:docPr id="1" name="图片 2" descr="会议封面-空白-A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会议封面-空白-A4"/>
                    <pic:cNvPicPr>
                      <a:picLocks noChangeAspect="1"/>
                    </pic:cNvPicPr>
                  </pic:nvPicPr>
                  <pic:blipFill>
                    <a:blip r:embed="rId7"/>
                    <a:stretch>
                      <a:fillRect/>
                    </a:stretch>
                  </pic:blipFill>
                  <pic:spPr>
                    <a:xfrm>
                      <a:off x="0" y="0"/>
                      <a:ext cx="7886700" cy="10948035"/>
                    </a:xfrm>
                    <a:prstGeom prst="rect">
                      <a:avLst/>
                    </a:prstGeom>
                    <a:noFill/>
                    <a:ln>
                      <a:noFill/>
                    </a:ln>
                  </pic:spPr>
                </pic:pic>
              </a:graphicData>
            </a:graphic>
          </wp:anchor>
        </w:drawing>
      </w:r>
    </w:p>
    <w:p>
      <w:pPr>
        <w:jc w:val="center"/>
        <w:rPr>
          <w:rFonts w:hint="eastAsia" w:ascii="黑体" w:hAnsi="黑体" w:eastAsia="黑体"/>
          <w:b/>
          <w:sz w:val="44"/>
          <w:szCs w:val="44"/>
        </w:rPr>
      </w:pPr>
    </w:p>
    <w:p>
      <w:pPr>
        <w:jc w:val="center"/>
        <w:rPr>
          <w:rFonts w:hint="eastAsia" w:ascii="黑体" w:hAnsi="黑体" w:eastAsia="黑体"/>
          <w:b/>
          <w:sz w:val="44"/>
          <w:szCs w:val="44"/>
        </w:rPr>
      </w:pPr>
    </w:p>
    <w:p>
      <w:pPr>
        <w:jc w:val="center"/>
        <w:rPr>
          <w:rFonts w:hint="eastAsia" w:ascii="黑体" w:hAnsi="黑体" w:eastAsia="黑体"/>
          <w:b/>
          <w:sz w:val="44"/>
          <w:szCs w:val="44"/>
        </w:rPr>
      </w:pPr>
    </w:p>
    <w:p>
      <w:pPr>
        <w:jc w:val="center"/>
        <w:rPr>
          <w:rFonts w:hint="eastAsia" w:ascii="黑体" w:hAnsi="黑体" w:eastAsia="黑体"/>
          <w:b/>
          <w:sz w:val="44"/>
          <w:szCs w:val="44"/>
        </w:rPr>
      </w:pPr>
    </w:p>
    <w:p>
      <w:pPr>
        <w:rPr>
          <w:rFonts w:hint="eastAsia" w:ascii="黑体" w:hAnsi="黑体" w:eastAsia="黑体"/>
          <w:b/>
          <w:sz w:val="44"/>
          <w:szCs w:val="44"/>
        </w:rPr>
      </w:pPr>
    </w:p>
    <w:p>
      <w:pPr>
        <w:jc w:val="center"/>
        <w:rPr>
          <w:rFonts w:hint="eastAsia" w:ascii="黑体" w:hAnsi="宋体" w:eastAsia="黑体"/>
          <w:b/>
          <w:sz w:val="52"/>
        </w:rPr>
      </w:pPr>
      <w:r>
        <w:rPr>
          <w:rFonts w:hint="eastAsia" w:ascii="黑体" w:hAnsi="黑体" w:eastAsia="黑体"/>
          <w:b/>
          <w:sz w:val="44"/>
          <w:szCs w:val="44"/>
        </w:rPr>
        <w:t>南方电网澜湄国际能源有限责任公司2025年消防维保及检测服务采购技术规范书</w:t>
      </w:r>
    </w:p>
    <w:p>
      <w:pPr>
        <w:jc w:val="center"/>
        <w:rPr>
          <w:rFonts w:hint="eastAsia" w:ascii="黑体" w:hAnsi="宋体" w:eastAsia="黑体"/>
          <w:b/>
          <w:sz w:val="52"/>
        </w:rPr>
      </w:pPr>
    </w:p>
    <w:p>
      <w:pPr>
        <w:rPr>
          <w:rFonts w:hint="eastAsia" w:ascii="黑体" w:hAnsi="宋体" w:eastAsia="黑体"/>
          <w:b/>
          <w:sz w:val="52"/>
        </w:rPr>
      </w:pPr>
    </w:p>
    <w:p>
      <w:pPr>
        <w:ind w:firstLine="2797" w:firstLineChars="995"/>
        <w:rPr>
          <w:rFonts w:hint="eastAsia" w:ascii="黑体" w:hAnsi="宋体" w:eastAsia="黑体"/>
          <w:b/>
          <w:sz w:val="28"/>
          <w:szCs w:val="28"/>
        </w:rPr>
      </w:pPr>
      <w:r>
        <w:rPr>
          <w:rFonts w:hint="eastAsia" w:ascii="黑体" w:hAnsi="宋体" w:eastAsia="黑体"/>
          <w:b/>
          <w:sz w:val="28"/>
          <w:szCs w:val="28"/>
        </w:rPr>
        <w:t xml:space="preserve">批准: </w:t>
      </w:r>
    </w:p>
    <w:p>
      <w:pPr>
        <w:ind w:firstLine="2797" w:firstLineChars="995"/>
        <w:rPr>
          <w:rFonts w:hint="eastAsia" w:ascii="黑体" w:hAnsi="宋体" w:eastAsia="黑体"/>
          <w:b/>
          <w:sz w:val="28"/>
          <w:szCs w:val="28"/>
        </w:rPr>
      </w:pPr>
      <w:r>
        <w:rPr>
          <w:rFonts w:hint="eastAsia" w:ascii="黑体" w:hAnsi="宋体" w:eastAsia="黑体"/>
          <w:b/>
          <w:sz w:val="28"/>
          <w:szCs w:val="28"/>
        </w:rPr>
        <w:t>审核:</w:t>
      </w:r>
    </w:p>
    <w:p>
      <w:pPr>
        <w:ind w:firstLine="2783" w:firstLineChars="990"/>
        <w:rPr>
          <w:rFonts w:hint="eastAsia" w:ascii="黑体" w:hAnsi="宋体" w:eastAsia="黑体"/>
          <w:b/>
          <w:sz w:val="28"/>
          <w:szCs w:val="28"/>
        </w:rPr>
      </w:pPr>
      <w:r>
        <w:rPr>
          <w:rFonts w:hint="eastAsia" w:ascii="黑体" w:hAnsi="宋体" w:eastAsia="黑体"/>
          <w:b/>
          <w:sz w:val="28"/>
          <w:szCs w:val="28"/>
        </w:rPr>
        <w:t>编写:</w:t>
      </w:r>
    </w:p>
    <w:p>
      <w:pPr>
        <w:ind w:firstLine="2783" w:firstLineChars="990"/>
        <w:rPr>
          <w:rFonts w:hint="eastAsia" w:ascii="黑体" w:hAnsi="宋体" w:eastAsia="黑体"/>
          <w:b/>
          <w:sz w:val="28"/>
          <w:szCs w:val="28"/>
        </w:rPr>
      </w:pPr>
    </w:p>
    <w:p>
      <w:pPr>
        <w:ind w:firstLine="2783" w:firstLineChars="990"/>
        <w:rPr>
          <w:rFonts w:hint="eastAsia" w:ascii="黑体" w:hAnsi="宋体" w:eastAsia="黑体"/>
          <w:b/>
          <w:sz w:val="28"/>
          <w:szCs w:val="28"/>
        </w:rPr>
      </w:pPr>
    </w:p>
    <w:p>
      <w:pPr>
        <w:ind w:firstLine="2783" w:firstLineChars="990"/>
        <w:rPr>
          <w:rFonts w:hint="eastAsia" w:ascii="黑体" w:hAnsi="宋体" w:eastAsia="黑体"/>
          <w:b/>
          <w:sz w:val="28"/>
          <w:szCs w:val="28"/>
        </w:rPr>
      </w:pPr>
    </w:p>
    <w:p>
      <w:pPr>
        <w:spacing w:line="360" w:lineRule="auto"/>
        <w:jc w:val="center"/>
        <w:rPr>
          <w:rFonts w:hint="eastAsia" w:ascii="宋体" w:hAnsi="宋体"/>
          <w:sz w:val="28"/>
          <w:szCs w:val="28"/>
        </w:rPr>
      </w:pPr>
      <w:r>
        <w:rPr>
          <w:rFonts w:hint="eastAsia" w:ascii="宋体" w:hAnsi="宋体"/>
          <w:sz w:val="28"/>
          <w:szCs w:val="28"/>
        </w:rPr>
        <w:t>南方电网澜湄国际能源有限责任公司</w:t>
      </w:r>
    </w:p>
    <w:p>
      <w:pPr>
        <w:jc w:val="center"/>
        <w:rPr>
          <w:rFonts w:hint="eastAsia" w:ascii="宋体" w:hAnsi="宋体"/>
          <w:sz w:val="28"/>
          <w:szCs w:val="28"/>
        </w:rPr>
      </w:pPr>
      <w:r>
        <w:rPr>
          <w:rFonts w:hint="eastAsia" w:ascii="宋体" w:hAnsi="宋体"/>
          <w:sz w:val="28"/>
          <w:szCs w:val="28"/>
        </w:rPr>
        <w:t>二○二五年九月</w:t>
      </w:r>
    </w:p>
    <w:p>
      <w:pPr>
        <w:sectPr>
          <w:headerReference r:id="rId3" w:type="default"/>
          <w:footerReference r:id="rId4" w:type="default"/>
          <w:pgSz w:w="11906" w:h="16838"/>
          <w:pgMar w:top="1440" w:right="1800" w:bottom="1440" w:left="1800" w:header="851" w:footer="992" w:gutter="0"/>
          <w:cols w:space="720" w:num="1"/>
          <w:docGrid w:type="lines" w:linePitch="312" w:charSpace="0"/>
        </w:sectPr>
      </w:pPr>
    </w:p>
    <w:p>
      <w:pPr>
        <w:pStyle w:val="15"/>
        <w:spacing w:line="348" w:lineRule="auto"/>
        <w:ind w:firstLine="0" w:firstLineChars="0"/>
        <w:jc w:val="center"/>
        <w:rPr>
          <w:rFonts w:hint="eastAsia" w:ascii="宋体" w:hAnsi="宋体"/>
          <w:szCs w:val="28"/>
        </w:rPr>
      </w:pPr>
    </w:p>
    <w:sdt>
      <w:sdtPr>
        <w:rPr>
          <w:rFonts w:ascii="宋体" w:hAnsi="宋体"/>
          <w:b/>
          <w:bCs/>
          <w:sz w:val="28"/>
          <w:szCs w:val="28"/>
        </w:rPr>
        <w:id w:val="147452549"/>
        <w15:color w:val="DBDBDB"/>
        <w:docPartObj>
          <w:docPartGallery w:val="Table of Contents"/>
          <w:docPartUnique/>
        </w:docPartObj>
      </w:sdtPr>
      <w:sdtEndPr>
        <w:rPr>
          <w:rFonts w:hint="eastAsia" w:asciiTheme="minorEastAsia" w:hAnsiTheme="minorEastAsia" w:eastAsiaTheme="minorEastAsia" w:cstheme="minorEastAsia"/>
          <w:b/>
          <w:bCs/>
          <w:sz w:val="21"/>
          <w:szCs w:val="28"/>
        </w:rPr>
      </w:sdtEndPr>
      <w:sdtContent>
        <w:p>
          <w:pPr>
            <w:jc w:val="center"/>
            <w:rPr>
              <w:rFonts w:hint="eastAsia" w:asciiTheme="minorEastAsia" w:hAnsiTheme="minorEastAsia" w:eastAsiaTheme="minorEastAsia" w:cstheme="minorEastAsia"/>
              <w:sz w:val="28"/>
              <w:szCs w:val="28"/>
            </w:rPr>
          </w:pPr>
          <w:r>
            <w:rPr>
              <w:rFonts w:hint="eastAsia" w:ascii="宋体" w:hAnsi="宋体"/>
              <w:b/>
              <w:bCs/>
              <w:sz w:val="28"/>
              <w:szCs w:val="28"/>
            </w:rPr>
            <w:t>目录</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TOC \o "1-1" \h \u </w:instrText>
          </w:r>
          <w:r>
            <w:rPr>
              <w:rFonts w:hint="eastAsia" w:asciiTheme="minorEastAsia" w:hAnsiTheme="minorEastAsia" w:eastAsiaTheme="minorEastAsia" w:cstheme="minorEastAsia"/>
              <w:sz w:val="28"/>
              <w:szCs w:val="28"/>
            </w:rPr>
            <w:fldChar w:fldCharType="separate"/>
          </w:r>
        </w:p>
        <w:p>
          <w:pPr>
            <w:pStyle w:val="8"/>
            <w:tabs>
              <w:tab w:val="right" w:leader="dot" w:pos="8306"/>
            </w:tabs>
          </w:pPr>
          <w:r>
            <w:fldChar w:fldCharType="begin"/>
          </w:r>
          <w:r>
            <w:instrText xml:space="preserve"> HYPERLINK \l "_Toc5362" </w:instrText>
          </w:r>
          <w:r>
            <w:fldChar w:fldCharType="separate"/>
          </w:r>
          <w:r>
            <w:rPr>
              <w:rFonts w:hint="eastAsia" w:ascii="黑体" w:hAnsi="黑体" w:eastAsia="黑体" w:cs="黑体"/>
              <w:bCs/>
              <w:szCs w:val="28"/>
            </w:rPr>
            <w:t>一、总则</w:t>
          </w:r>
          <w:r>
            <w:tab/>
          </w:r>
          <w:r>
            <w:fldChar w:fldCharType="begin"/>
          </w:r>
          <w:r>
            <w:instrText xml:space="preserve"> PAGEREF _Toc5362 \h </w:instrText>
          </w:r>
          <w:r>
            <w:fldChar w:fldCharType="separate"/>
          </w:r>
          <w:r>
            <w:t>1</w:t>
          </w:r>
          <w:r>
            <w:fldChar w:fldCharType="end"/>
          </w:r>
          <w:r>
            <w:fldChar w:fldCharType="end"/>
          </w:r>
        </w:p>
        <w:p>
          <w:pPr>
            <w:pStyle w:val="8"/>
            <w:tabs>
              <w:tab w:val="right" w:leader="dot" w:pos="8306"/>
            </w:tabs>
          </w:pPr>
          <w:r>
            <w:fldChar w:fldCharType="begin"/>
          </w:r>
          <w:r>
            <w:instrText xml:space="preserve"> HYPERLINK \l "_Toc3844" </w:instrText>
          </w:r>
          <w:r>
            <w:fldChar w:fldCharType="separate"/>
          </w:r>
          <w:r>
            <w:rPr>
              <w:rFonts w:hint="eastAsia" w:ascii="黑体" w:hAnsi="黑体" w:eastAsia="黑体" w:cs="黑体"/>
              <w:bCs/>
              <w:szCs w:val="28"/>
            </w:rPr>
            <w:t>二、项目概述</w:t>
          </w:r>
          <w:r>
            <w:tab/>
          </w:r>
          <w:r>
            <w:fldChar w:fldCharType="begin"/>
          </w:r>
          <w:r>
            <w:instrText xml:space="preserve"> PAGEREF _Toc3844 \h </w:instrText>
          </w:r>
          <w:r>
            <w:fldChar w:fldCharType="separate"/>
          </w:r>
          <w:r>
            <w:t>2</w:t>
          </w:r>
          <w:r>
            <w:fldChar w:fldCharType="end"/>
          </w:r>
          <w:r>
            <w:fldChar w:fldCharType="end"/>
          </w:r>
        </w:p>
        <w:p>
          <w:pPr>
            <w:pStyle w:val="8"/>
            <w:tabs>
              <w:tab w:val="right" w:leader="dot" w:pos="8306"/>
            </w:tabs>
          </w:pPr>
          <w:r>
            <w:fldChar w:fldCharType="begin"/>
          </w:r>
          <w:r>
            <w:instrText xml:space="preserve"> HYPERLINK \l "_Toc31331" </w:instrText>
          </w:r>
          <w:r>
            <w:fldChar w:fldCharType="separate"/>
          </w:r>
          <w:r>
            <w:rPr>
              <w:rFonts w:hint="eastAsia" w:ascii="黑体" w:hAnsi="黑体" w:eastAsia="黑体" w:cs="黑体"/>
              <w:bCs/>
              <w:szCs w:val="28"/>
            </w:rPr>
            <w:t>三、服务期限</w:t>
          </w:r>
          <w:r>
            <w:tab/>
          </w:r>
          <w:r>
            <w:fldChar w:fldCharType="begin"/>
          </w:r>
          <w:r>
            <w:instrText xml:space="preserve"> PAGEREF _Toc31331 \h </w:instrText>
          </w:r>
          <w:r>
            <w:fldChar w:fldCharType="separate"/>
          </w:r>
          <w:r>
            <w:t>3</w:t>
          </w:r>
          <w:r>
            <w:fldChar w:fldCharType="end"/>
          </w:r>
          <w:r>
            <w:fldChar w:fldCharType="end"/>
          </w:r>
        </w:p>
        <w:p>
          <w:pPr>
            <w:pStyle w:val="8"/>
            <w:tabs>
              <w:tab w:val="right" w:leader="dot" w:pos="8306"/>
            </w:tabs>
          </w:pPr>
          <w:r>
            <w:fldChar w:fldCharType="begin"/>
          </w:r>
          <w:r>
            <w:instrText xml:space="preserve"> HYPERLINK \l "_Toc3573" </w:instrText>
          </w:r>
          <w:r>
            <w:fldChar w:fldCharType="separate"/>
          </w:r>
          <w:r>
            <w:rPr>
              <w:rFonts w:hint="eastAsia" w:ascii="黑体" w:hAnsi="黑体" w:eastAsia="黑体" w:cs="黑体"/>
              <w:bCs/>
              <w:szCs w:val="28"/>
            </w:rPr>
            <w:t>四、服务内容</w:t>
          </w:r>
          <w:r>
            <w:tab/>
          </w:r>
          <w:r>
            <w:fldChar w:fldCharType="begin"/>
          </w:r>
          <w:r>
            <w:instrText xml:space="preserve"> PAGEREF _Toc3573 \h </w:instrText>
          </w:r>
          <w:r>
            <w:fldChar w:fldCharType="separate"/>
          </w:r>
          <w:r>
            <w:t>3</w:t>
          </w:r>
          <w:r>
            <w:fldChar w:fldCharType="end"/>
          </w:r>
          <w:r>
            <w:fldChar w:fldCharType="end"/>
          </w:r>
        </w:p>
        <w:p>
          <w:pPr>
            <w:pStyle w:val="8"/>
            <w:tabs>
              <w:tab w:val="right" w:leader="dot" w:pos="8306"/>
            </w:tabs>
          </w:pPr>
          <w:r>
            <w:fldChar w:fldCharType="begin"/>
          </w:r>
          <w:r>
            <w:instrText xml:space="preserve"> HYPERLINK \l "_Toc27364" </w:instrText>
          </w:r>
          <w:r>
            <w:fldChar w:fldCharType="separate"/>
          </w:r>
          <w:r>
            <w:rPr>
              <w:rFonts w:hint="eastAsia" w:ascii="黑体" w:hAnsi="黑体" w:eastAsia="黑体" w:cs="黑体"/>
              <w:bCs/>
              <w:szCs w:val="28"/>
            </w:rPr>
            <w:t>五、服务范围</w:t>
          </w:r>
          <w:r>
            <w:tab/>
          </w:r>
          <w:r>
            <w:fldChar w:fldCharType="begin"/>
          </w:r>
          <w:r>
            <w:instrText xml:space="preserve"> PAGEREF _Toc27364 \h </w:instrText>
          </w:r>
          <w:r>
            <w:fldChar w:fldCharType="separate"/>
          </w:r>
          <w:r>
            <w:t>3</w:t>
          </w:r>
          <w:r>
            <w:fldChar w:fldCharType="end"/>
          </w:r>
          <w:r>
            <w:fldChar w:fldCharType="end"/>
          </w:r>
        </w:p>
        <w:p>
          <w:pPr>
            <w:pStyle w:val="8"/>
            <w:tabs>
              <w:tab w:val="right" w:leader="dot" w:pos="8306"/>
            </w:tabs>
          </w:pPr>
          <w:r>
            <w:fldChar w:fldCharType="begin"/>
          </w:r>
          <w:r>
            <w:instrText xml:space="preserve"> HYPERLINK \l "_Toc792" </w:instrText>
          </w:r>
          <w:r>
            <w:fldChar w:fldCharType="separate"/>
          </w:r>
          <w:r>
            <w:rPr>
              <w:rFonts w:hint="eastAsia" w:ascii="黑体" w:hAnsi="黑体" w:eastAsia="黑体" w:cs="黑体"/>
              <w:bCs/>
              <w:szCs w:val="28"/>
            </w:rPr>
            <w:t>六、服务管理要求</w:t>
          </w:r>
          <w:r>
            <w:tab/>
          </w:r>
          <w:r>
            <w:fldChar w:fldCharType="begin"/>
          </w:r>
          <w:r>
            <w:instrText xml:space="preserve"> PAGEREF _Toc792 \h </w:instrText>
          </w:r>
          <w:r>
            <w:fldChar w:fldCharType="separate"/>
          </w:r>
          <w:r>
            <w:t>4</w:t>
          </w:r>
          <w:r>
            <w:fldChar w:fldCharType="end"/>
          </w:r>
          <w:r>
            <w:fldChar w:fldCharType="end"/>
          </w:r>
        </w:p>
        <w:p>
          <w:pPr>
            <w:pStyle w:val="8"/>
            <w:tabs>
              <w:tab w:val="right" w:leader="dot" w:pos="8306"/>
            </w:tabs>
          </w:pPr>
          <w:r>
            <w:fldChar w:fldCharType="begin"/>
          </w:r>
          <w:r>
            <w:instrText xml:space="preserve"> HYPERLINK \l "_Toc2983" </w:instrText>
          </w:r>
          <w:r>
            <w:fldChar w:fldCharType="separate"/>
          </w:r>
          <w:r>
            <w:rPr>
              <w:rFonts w:hint="eastAsia" w:ascii="黑体" w:hAnsi="黑体" w:eastAsia="黑体" w:cs="黑体"/>
              <w:bCs/>
              <w:szCs w:val="28"/>
            </w:rPr>
            <w:t>七、实施方法及质量标准要求</w:t>
          </w:r>
          <w:r>
            <w:tab/>
          </w:r>
          <w:r>
            <w:fldChar w:fldCharType="begin"/>
          </w:r>
          <w:r>
            <w:instrText xml:space="preserve"> PAGEREF _Toc2983 \h </w:instrText>
          </w:r>
          <w:r>
            <w:fldChar w:fldCharType="separate"/>
          </w:r>
          <w:r>
            <w:t>13</w:t>
          </w:r>
          <w:r>
            <w:fldChar w:fldCharType="end"/>
          </w:r>
          <w:r>
            <w:fldChar w:fldCharType="end"/>
          </w:r>
        </w:p>
        <w:p>
          <w:pPr>
            <w:pStyle w:val="8"/>
            <w:tabs>
              <w:tab w:val="right" w:leader="dot" w:pos="8306"/>
            </w:tabs>
          </w:pPr>
          <w:r>
            <w:fldChar w:fldCharType="begin"/>
          </w:r>
          <w:r>
            <w:instrText xml:space="preserve"> HYPERLINK \l "_Toc9193" </w:instrText>
          </w:r>
          <w:r>
            <w:fldChar w:fldCharType="separate"/>
          </w:r>
          <w:r>
            <w:rPr>
              <w:rFonts w:hint="eastAsia" w:ascii="黑体" w:hAnsi="黑体" w:eastAsia="黑体" w:cs="黑体"/>
              <w:szCs w:val="28"/>
            </w:rPr>
            <w:t>八、服务人员要求</w:t>
          </w:r>
          <w:r>
            <w:tab/>
          </w:r>
          <w:r>
            <w:fldChar w:fldCharType="begin"/>
          </w:r>
          <w:r>
            <w:instrText xml:space="preserve"> PAGEREF _Toc9193 \h </w:instrText>
          </w:r>
          <w:r>
            <w:fldChar w:fldCharType="separate"/>
          </w:r>
          <w:r>
            <w:t>23</w:t>
          </w:r>
          <w:r>
            <w:fldChar w:fldCharType="end"/>
          </w:r>
          <w:r>
            <w:fldChar w:fldCharType="end"/>
          </w:r>
        </w:p>
        <w:p>
          <w:pPr>
            <w:pStyle w:val="8"/>
            <w:tabs>
              <w:tab w:val="right" w:leader="dot" w:pos="8306"/>
            </w:tabs>
          </w:pPr>
          <w:r>
            <w:fldChar w:fldCharType="begin"/>
          </w:r>
          <w:r>
            <w:instrText xml:space="preserve"> HYPERLINK \l "_Toc5379" </w:instrText>
          </w:r>
          <w:r>
            <w:fldChar w:fldCharType="separate"/>
          </w:r>
          <w:r>
            <w:rPr>
              <w:rFonts w:hint="eastAsia" w:ascii="黑体" w:hAnsi="黑体" w:eastAsia="黑体" w:cs="黑体"/>
              <w:bCs/>
              <w:szCs w:val="28"/>
            </w:rPr>
            <w:t>九、服务衔接与要求</w:t>
          </w:r>
          <w:r>
            <w:tab/>
          </w:r>
          <w:r>
            <w:fldChar w:fldCharType="begin"/>
          </w:r>
          <w:r>
            <w:instrText xml:space="preserve"> PAGEREF _Toc5379 \h </w:instrText>
          </w:r>
          <w:r>
            <w:fldChar w:fldCharType="separate"/>
          </w:r>
          <w:r>
            <w:t>23</w:t>
          </w:r>
          <w:r>
            <w:fldChar w:fldCharType="end"/>
          </w:r>
          <w:r>
            <w:fldChar w:fldCharType="end"/>
          </w:r>
        </w:p>
        <w:p>
          <w:pPr>
            <w:pStyle w:val="8"/>
            <w:tabs>
              <w:tab w:val="right" w:leader="dot" w:pos="8306"/>
            </w:tabs>
          </w:pPr>
          <w:r>
            <w:fldChar w:fldCharType="begin"/>
          </w:r>
          <w:r>
            <w:instrText xml:space="preserve"> HYPERLINK \l "_Toc25861" </w:instrText>
          </w:r>
          <w:r>
            <w:fldChar w:fldCharType="separate"/>
          </w:r>
          <w:r>
            <w:rPr>
              <w:rFonts w:hint="eastAsia" w:ascii="黑体" w:hAnsi="黑体" w:eastAsia="黑体" w:cs="黑体"/>
              <w:bCs/>
              <w:szCs w:val="28"/>
            </w:rPr>
            <w:t>十、考核评价</w:t>
          </w:r>
          <w:r>
            <w:tab/>
          </w:r>
          <w:r>
            <w:fldChar w:fldCharType="begin"/>
          </w:r>
          <w:r>
            <w:instrText xml:space="preserve"> PAGEREF _Toc25861 \h </w:instrText>
          </w:r>
          <w:r>
            <w:fldChar w:fldCharType="separate"/>
          </w:r>
          <w:r>
            <w:t>23</w:t>
          </w:r>
          <w:r>
            <w:fldChar w:fldCharType="end"/>
          </w:r>
          <w:r>
            <w:fldChar w:fldCharType="end"/>
          </w:r>
        </w:p>
        <w:p>
          <w:pPr>
            <w:pStyle w:val="8"/>
            <w:tabs>
              <w:tab w:val="right" w:leader="dot" w:pos="8306"/>
            </w:tabs>
          </w:pPr>
          <w:r>
            <w:fldChar w:fldCharType="begin"/>
          </w:r>
          <w:r>
            <w:instrText xml:space="preserve"> HYPERLINK \l "_Toc22588" </w:instrText>
          </w:r>
          <w:r>
            <w:fldChar w:fldCharType="separate"/>
          </w:r>
          <w:r>
            <w:rPr>
              <w:rFonts w:hint="eastAsia" w:ascii="黑体" w:hAnsi="黑体" w:eastAsia="黑体" w:cs="黑体"/>
              <w:szCs w:val="28"/>
            </w:rPr>
            <w:t>十一、相关文件</w:t>
          </w:r>
          <w:r>
            <w:tab/>
          </w:r>
          <w:r>
            <w:fldChar w:fldCharType="begin"/>
          </w:r>
          <w:r>
            <w:instrText xml:space="preserve"> PAGEREF _Toc22588 \h </w:instrText>
          </w:r>
          <w:r>
            <w:fldChar w:fldCharType="separate"/>
          </w:r>
          <w:r>
            <w:t>28</w:t>
          </w:r>
          <w:r>
            <w:fldChar w:fldCharType="end"/>
          </w:r>
          <w:r>
            <w:fldChar w:fldCharType="end"/>
          </w:r>
        </w:p>
        <w:p>
          <w:pPr>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Cs w:val="28"/>
            </w:rPr>
            <w:fldChar w:fldCharType="end"/>
          </w:r>
        </w:p>
      </w:sdtContent>
    </w:sdt>
    <w:p>
      <w:pPr>
        <w:pStyle w:val="16"/>
        <w:spacing w:line="360" w:lineRule="auto"/>
        <w:rPr>
          <w:rFonts w:hint="eastAsia" w:asciiTheme="minorEastAsia" w:hAnsiTheme="minorEastAsia" w:eastAsiaTheme="minorEastAsia" w:cstheme="minorEastAsia"/>
          <w:sz w:val="28"/>
          <w:szCs w:val="28"/>
        </w:rPr>
      </w:pPr>
    </w:p>
    <w:p>
      <w:pPr>
        <w:pStyle w:val="16"/>
        <w:spacing w:line="360" w:lineRule="auto"/>
        <w:rPr>
          <w:rFonts w:hint="eastAsia" w:asciiTheme="minorEastAsia" w:hAnsiTheme="minorEastAsia" w:eastAsiaTheme="minorEastAsia" w:cstheme="minorEastAsia"/>
          <w:sz w:val="28"/>
          <w:szCs w:val="28"/>
        </w:rPr>
      </w:pPr>
    </w:p>
    <w:p>
      <w:pPr>
        <w:pStyle w:val="16"/>
        <w:spacing w:line="360" w:lineRule="auto"/>
        <w:rPr>
          <w:rFonts w:hint="eastAsia" w:asciiTheme="minorEastAsia" w:hAnsiTheme="minorEastAsia" w:eastAsiaTheme="minorEastAsia" w:cstheme="minorEastAsia"/>
          <w:sz w:val="28"/>
          <w:szCs w:val="28"/>
        </w:rPr>
      </w:pPr>
    </w:p>
    <w:p>
      <w:pPr>
        <w:pStyle w:val="16"/>
        <w:spacing w:line="360" w:lineRule="auto"/>
        <w:rPr>
          <w:rFonts w:hint="eastAsia" w:asciiTheme="minorEastAsia" w:hAnsiTheme="minorEastAsia" w:eastAsiaTheme="minorEastAsia" w:cstheme="minorEastAsia"/>
          <w:sz w:val="28"/>
          <w:szCs w:val="28"/>
        </w:rPr>
      </w:pPr>
    </w:p>
    <w:p>
      <w:pPr>
        <w:spacing w:line="360" w:lineRule="auto"/>
        <w:jc w:val="center"/>
        <w:rPr>
          <w:rFonts w:hint="eastAsia" w:asciiTheme="minorEastAsia" w:hAnsiTheme="minorEastAsia" w:eastAsiaTheme="minorEastAsia" w:cstheme="minorEastAsia"/>
          <w:sz w:val="28"/>
          <w:szCs w:val="28"/>
        </w:rPr>
      </w:pPr>
    </w:p>
    <w:p>
      <w:pPr>
        <w:spacing w:line="360" w:lineRule="auto"/>
        <w:jc w:val="center"/>
        <w:rPr>
          <w:rFonts w:hint="eastAsia" w:asciiTheme="minorEastAsia" w:hAnsiTheme="minorEastAsia" w:eastAsiaTheme="minorEastAsia" w:cstheme="minorEastAsia"/>
          <w:sz w:val="28"/>
          <w:szCs w:val="28"/>
        </w:rPr>
      </w:pPr>
    </w:p>
    <w:p>
      <w:pPr>
        <w:spacing w:line="360" w:lineRule="auto"/>
        <w:jc w:val="center"/>
        <w:rPr>
          <w:rFonts w:hint="eastAsia" w:asciiTheme="minorEastAsia" w:hAnsiTheme="minorEastAsia" w:eastAsiaTheme="minorEastAsia" w:cstheme="minorEastAsia"/>
          <w:sz w:val="28"/>
          <w:szCs w:val="28"/>
        </w:rPr>
      </w:pPr>
    </w:p>
    <w:p>
      <w:pPr>
        <w:pStyle w:val="16"/>
        <w:spacing w:line="360" w:lineRule="auto"/>
        <w:rPr>
          <w:rFonts w:hint="eastAsia" w:asciiTheme="minorEastAsia" w:hAnsiTheme="minorEastAsia" w:eastAsiaTheme="minorEastAsia" w:cstheme="minorEastAsia"/>
          <w:sz w:val="28"/>
          <w:szCs w:val="28"/>
        </w:rPr>
      </w:pPr>
    </w:p>
    <w:p>
      <w:pPr>
        <w:spacing w:line="360" w:lineRule="auto"/>
        <w:jc w:val="center"/>
        <w:rPr>
          <w:rFonts w:hint="eastAsia" w:asciiTheme="minorEastAsia" w:hAnsiTheme="minorEastAsia" w:eastAsiaTheme="minorEastAsia" w:cstheme="minorEastAsia"/>
          <w:b/>
          <w:sz w:val="28"/>
          <w:szCs w:val="28"/>
        </w:rPr>
        <w:sectPr>
          <w:pgSz w:w="11906" w:h="16838"/>
          <w:pgMar w:top="1440" w:right="1800" w:bottom="1440" w:left="1800" w:header="851" w:footer="992" w:gutter="0"/>
          <w:cols w:space="425" w:num="1"/>
          <w:docGrid w:type="lines" w:linePitch="312" w:charSpace="0"/>
        </w:sectPr>
      </w:pPr>
      <w:bookmarkStart w:id="0" w:name="_Toc9297_WPSOffice_Level1"/>
      <w:bookmarkStart w:id="1" w:name="_Toc6446_WPSOffice_Level1"/>
      <w:bookmarkStart w:id="2" w:name="_Toc24814_WPSOffice_Level1"/>
      <w:bookmarkStart w:id="3" w:name="_Toc32486_WPSOffice_Level1"/>
    </w:p>
    <w:p>
      <w:pPr>
        <w:adjustRightInd w:val="0"/>
        <w:snapToGrid w:val="0"/>
        <w:spacing w:line="348" w:lineRule="auto"/>
        <w:jc w:val="center"/>
        <w:rPr>
          <w:rFonts w:hint="eastAsia" w:ascii="方正小标宋_GBK" w:hAnsi="方正小标宋_GBK" w:eastAsia="方正小标宋_GBK" w:cs="方正小标宋_GBK"/>
          <w:b/>
          <w:sz w:val="36"/>
          <w:szCs w:val="36"/>
        </w:rPr>
      </w:pPr>
      <w:bookmarkStart w:id="4" w:name="_Toc32145"/>
      <w:bookmarkStart w:id="5" w:name="_Toc8218"/>
      <w:r>
        <w:rPr>
          <w:rFonts w:hint="eastAsia" w:ascii="方正小标宋_GBK" w:hAnsi="方正小标宋_GBK" w:eastAsia="方正小标宋_GBK" w:cs="方正小标宋_GBK"/>
          <w:b/>
          <w:sz w:val="36"/>
          <w:szCs w:val="36"/>
        </w:rPr>
        <w:t>南方电网澜湄国际能源有限责任公司2025年</w:t>
      </w:r>
    </w:p>
    <w:p>
      <w:pPr>
        <w:adjustRightInd w:val="0"/>
        <w:snapToGrid w:val="0"/>
        <w:spacing w:line="348" w:lineRule="auto"/>
        <w:jc w:val="center"/>
        <w:rPr>
          <w:rFonts w:hint="eastAsia" w:ascii="方正小标宋_GBK" w:hAnsi="方正小标宋_GBK" w:eastAsia="方正小标宋_GBK" w:cs="方正小标宋_GBK"/>
          <w:b/>
          <w:sz w:val="36"/>
          <w:szCs w:val="36"/>
        </w:rPr>
      </w:pPr>
      <w:r>
        <w:rPr>
          <w:rFonts w:hint="eastAsia" w:ascii="方正小标宋_GBK" w:hAnsi="方正小标宋_GBK" w:eastAsia="方正小标宋_GBK" w:cs="方正小标宋_GBK"/>
          <w:b/>
          <w:sz w:val="36"/>
          <w:szCs w:val="36"/>
        </w:rPr>
        <w:t>消防维保及检测服务采购技术规范书</w:t>
      </w:r>
      <w:bookmarkEnd w:id="0"/>
      <w:bookmarkEnd w:id="1"/>
      <w:bookmarkEnd w:id="2"/>
      <w:bookmarkEnd w:id="3"/>
      <w:bookmarkEnd w:id="4"/>
      <w:bookmarkEnd w:id="5"/>
    </w:p>
    <w:p>
      <w:pPr>
        <w:pStyle w:val="16"/>
        <w:spacing w:line="360" w:lineRule="auto"/>
        <w:rPr>
          <w:rFonts w:hint="eastAsia" w:asciiTheme="minorEastAsia" w:hAnsiTheme="minorEastAsia" w:eastAsiaTheme="minorEastAsia" w:cstheme="minorEastAsia"/>
          <w:sz w:val="32"/>
          <w:szCs w:val="32"/>
        </w:rPr>
      </w:pPr>
    </w:p>
    <w:p>
      <w:pPr>
        <w:adjustRightInd w:val="0"/>
        <w:snapToGrid w:val="0"/>
        <w:spacing w:line="348" w:lineRule="auto"/>
        <w:ind w:left="420" w:leftChars="200"/>
        <w:outlineLvl w:val="0"/>
        <w:rPr>
          <w:rFonts w:hint="eastAsia" w:ascii="黑体" w:hAnsi="黑体" w:eastAsia="黑体" w:cs="黑体"/>
          <w:bCs/>
          <w:sz w:val="28"/>
          <w:szCs w:val="28"/>
        </w:rPr>
      </w:pPr>
      <w:bookmarkStart w:id="6" w:name="_Toc5362"/>
      <w:bookmarkStart w:id="7" w:name="_Toc20641"/>
      <w:bookmarkStart w:id="8" w:name="_Toc11126"/>
      <w:r>
        <w:rPr>
          <w:rFonts w:hint="eastAsia" w:ascii="黑体" w:hAnsi="黑体" w:eastAsia="黑体" w:cs="黑体"/>
          <w:bCs/>
          <w:sz w:val="28"/>
          <w:szCs w:val="28"/>
        </w:rPr>
        <w:t>一、总则</w:t>
      </w:r>
      <w:bookmarkEnd w:id="6"/>
      <w:bookmarkEnd w:id="7"/>
      <w:bookmarkEnd w:id="8"/>
    </w:p>
    <w:p>
      <w:pPr>
        <w:adjustRightInd w:val="0"/>
        <w:snapToGrid w:val="0"/>
        <w:spacing w:line="360" w:lineRule="auto"/>
        <w:ind w:firstLine="560" w:firstLineChars="200"/>
        <w:rPr>
          <w:rFonts w:hint="eastAsia"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（一）本技术规范书适用于南方电网澜湄国际能源有限责任公司2025年消防维保及检测服务采购项目。本</w:t>
      </w:r>
      <w:r>
        <w:rPr>
          <w:rFonts w:hint="eastAsia" w:ascii="仿宋_GB2312" w:hAnsi="仿宋_GB2312" w:eastAsia="仿宋_GB2312" w:cs="仿宋_GB2312"/>
          <w:sz w:val="28"/>
          <w:szCs w:val="28"/>
        </w:rPr>
        <w:t>技术</w:t>
      </w:r>
      <w:r>
        <w:rPr>
          <w:rFonts w:hint="eastAsia" w:ascii="仿宋_GB2312" w:hAnsi="仿宋_GB2312" w:eastAsia="仿宋_GB2312" w:cs="仿宋_GB2312"/>
          <w:kern w:val="0"/>
          <w:sz w:val="28"/>
          <w:szCs w:val="28"/>
        </w:rPr>
        <w:t>规范书提出了项目的服务建议、实施方案等要求，所有条款的解释权归南方电网澜湄国际能源有限责任公司（以下简称“招标方”）所有。</w:t>
      </w:r>
    </w:p>
    <w:p>
      <w:pPr>
        <w:adjustRightInd w:val="0"/>
        <w:snapToGrid w:val="0"/>
        <w:spacing w:line="348" w:lineRule="auto"/>
        <w:ind w:firstLine="560" w:firstLineChars="200"/>
        <w:rPr>
          <w:rFonts w:hint="eastAsia" w:ascii="仿宋_GB2312" w:hAnsi="仿宋_GB2312" w:eastAsia="仿宋_GB2312" w:cs="仿宋_GB2312"/>
          <w:kern w:val="0"/>
          <w:sz w:val="28"/>
          <w:szCs w:val="28"/>
        </w:rPr>
      </w:pPr>
      <w:r>
        <w:rPr>
          <w:rFonts w:hint="eastAsia" w:ascii="仿宋_GB2312" w:hAnsi="仿宋_GB2312" w:eastAsia="仿宋_GB2312" w:cs="仿宋_GB2312"/>
          <w:sz w:val="28"/>
          <w:szCs w:val="28"/>
        </w:rPr>
        <w:t>（二）本技术规范书提出的是最低限度的技术要求，</w:t>
      </w:r>
      <w:r>
        <w:rPr>
          <w:rFonts w:hint="eastAsia" w:ascii="仿宋_GB2312" w:hAnsi="仿宋_GB2312" w:eastAsia="仿宋_GB2312" w:cs="仿宋_GB2312"/>
          <w:kern w:val="0"/>
          <w:sz w:val="28"/>
          <w:szCs w:val="28"/>
        </w:rPr>
        <w:t>并未对一切技术细节做出规定，</w:t>
      </w:r>
      <w:r>
        <w:rPr>
          <w:rFonts w:hint="eastAsia" w:ascii="仿宋_GB2312" w:hAnsi="仿宋_GB2312" w:eastAsia="仿宋_GB2312" w:cs="仿宋_GB2312"/>
          <w:sz w:val="28"/>
          <w:szCs w:val="28"/>
        </w:rPr>
        <w:t>投标方应按国家及项目所在地</w:t>
      </w:r>
      <w:r>
        <w:rPr>
          <w:rFonts w:hint="eastAsia" w:ascii="仿宋_GB2312" w:hAnsi="仿宋_GB2312" w:eastAsia="仿宋_GB2312" w:cs="仿宋_GB2312"/>
          <w:kern w:val="0"/>
          <w:sz w:val="28"/>
          <w:szCs w:val="28"/>
        </w:rPr>
        <w:t>消防维保及检测</w:t>
      </w:r>
      <w:r>
        <w:rPr>
          <w:rFonts w:hint="eastAsia" w:ascii="仿宋_GB2312" w:hAnsi="仿宋_GB2312" w:eastAsia="仿宋_GB2312" w:cs="仿宋_GB2312"/>
          <w:sz w:val="28"/>
          <w:szCs w:val="28"/>
        </w:rPr>
        <w:t>相关的最新版本规定和条款执行。</w:t>
      </w:r>
    </w:p>
    <w:p>
      <w:pPr>
        <w:adjustRightInd w:val="0"/>
        <w:snapToGrid w:val="0"/>
        <w:spacing w:line="360" w:lineRule="auto"/>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kern w:val="0"/>
          <w:sz w:val="28"/>
          <w:szCs w:val="28"/>
        </w:rPr>
        <w:t>（三）如果投标方没有以书面形式对本技术规范书的条款提出异议，则意味着投标方提供的服务完全满足本技术规范书的要求。如有异议，不管是多么微小，都应在投标书中以“对技术规范书的意见和与规范书的差异”为标题的专门章节加以详细描述，并说明原因。</w:t>
      </w:r>
    </w:p>
    <w:p>
      <w:pPr>
        <w:adjustRightInd w:val="0"/>
        <w:snapToGrid w:val="0"/>
        <w:spacing w:line="360" w:lineRule="auto"/>
        <w:ind w:firstLine="560" w:firstLineChars="200"/>
        <w:rPr>
          <w:rFonts w:hint="eastAsia"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（四）在根据本技术规范书签订合同之后，招标方有权提出因标准或规程规范发生变化而产生的一些补充，具体项目由双方共同商定。</w:t>
      </w:r>
    </w:p>
    <w:p>
      <w:pPr>
        <w:adjustRightInd w:val="0"/>
        <w:snapToGrid w:val="0"/>
        <w:spacing w:line="348" w:lineRule="auto"/>
        <w:ind w:firstLine="560" w:firstLineChars="200"/>
        <w:rPr>
          <w:rFonts w:hint="eastAsia"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（五）本技术规范书所使用的标准如遇与投标方所执行的标准发生矛盾时，按较高标准执行。本技术规范书未全部引用应用标准，凡是本技术规范书牵涉的各项内容均按最新标准实施。</w:t>
      </w:r>
    </w:p>
    <w:p>
      <w:pPr>
        <w:adjustRightInd w:val="0"/>
        <w:snapToGrid w:val="0"/>
        <w:spacing w:line="348" w:lineRule="auto"/>
        <w:ind w:firstLine="560" w:firstLineChars="200"/>
        <w:rPr>
          <w:rFonts w:hint="eastAsia"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（六）本技术规范书经双方确认后作为签订合同的技术附件，与合同正文具有同等法律效力。同时，技术规范书未尽事宜，由双方协商确定。</w:t>
      </w:r>
    </w:p>
    <w:p>
      <w:pPr>
        <w:adjustRightInd w:val="0"/>
        <w:snapToGrid w:val="0"/>
        <w:spacing w:line="360" w:lineRule="auto"/>
        <w:ind w:firstLine="560" w:firstLineChars="200"/>
        <w:rPr>
          <w:rFonts w:hint="eastAsia" w:ascii="仿宋_GB2312" w:hAnsi="仿宋_GB2312" w:eastAsia="仿宋_GB2312" w:cs="仿宋_GB2312"/>
          <w:kern w:val="0"/>
          <w:sz w:val="28"/>
          <w:szCs w:val="28"/>
        </w:rPr>
      </w:pPr>
      <w:r>
        <w:rPr>
          <w:rFonts w:hint="eastAsia" w:ascii="仿宋_GB2312" w:hAnsi="仿宋_GB2312" w:eastAsia="仿宋_GB2312" w:cs="仿宋_GB2312"/>
          <w:kern w:val="0"/>
          <w:sz w:val="28"/>
          <w:szCs w:val="28"/>
        </w:rPr>
        <w:t>（七）消防维保及检测服务需满足国家现行的相关规范、规程、标准等。主要包括：</w:t>
      </w:r>
    </w:p>
    <w:p>
      <w:pPr>
        <w:tabs>
          <w:tab w:val="left" w:pos="7920"/>
        </w:tabs>
        <w:adjustRightInd w:val="0"/>
        <w:snapToGrid w:val="0"/>
        <w:spacing w:line="360" w:lineRule="auto"/>
        <w:ind w:firstLine="560" w:firstLineChars="200"/>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1、《中华人民共和国消防法》</w:t>
      </w:r>
    </w:p>
    <w:p>
      <w:pPr>
        <w:tabs>
          <w:tab w:val="left" w:pos="7920"/>
        </w:tabs>
        <w:adjustRightInd w:val="0"/>
        <w:snapToGrid w:val="0"/>
        <w:spacing w:line="360" w:lineRule="auto"/>
        <w:ind w:firstLine="560" w:firstLineChars="200"/>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2、《社会消防技术服务管理规定》（中华人民共和国应急管理部令第7号，2021年11月9日起实施）</w:t>
      </w:r>
    </w:p>
    <w:p>
      <w:pPr>
        <w:tabs>
          <w:tab w:val="left" w:pos="7920"/>
        </w:tabs>
        <w:adjustRightInd w:val="0"/>
        <w:snapToGrid w:val="0"/>
        <w:spacing w:line="360" w:lineRule="auto"/>
        <w:ind w:firstLine="560" w:firstLineChars="200"/>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3、《建筑消防设施的维护管理》（GB25201-2010）</w:t>
      </w:r>
    </w:p>
    <w:p>
      <w:pPr>
        <w:numPr>
          <w:ilvl w:val="255"/>
          <w:numId w:val="0"/>
        </w:numPr>
        <w:tabs>
          <w:tab w:val="left" w:pos="7920"/>
        </w:tabs>
        <w:adjustRightInd w:val="0"/>
        <w:snapToGrid w:val="0"/>
        <w:spacing w:line="360" w:lineRule="auto"/>
        <w:ind w:firstLine="560" w:firstLineChars="200"/>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4、《消防技术服务机构从业条件》（2019年8月29日）</w:t>
      </w:r>
    </w:p>
    <w:p>
      <w:pPr>
        <w:numPr>
          <w:ilvl w:val="255"/>
          <w:numId w:val="0"/>
        </w:numPr>
        <w:tabs>
          <w:tab w:val="left" w:pos="7920"/>
        </w:tabs>
        <w:adjustRightInd w:val="0"/>
        <w:snapToGrid w:val="0"/>
        <w:spacing w:line="360" w:lineRule="auto"/>
        <w:ind w:firstLine="560" w:firstLineChars="200"/>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5、《云南省消防条例》</w:t>
      </w:r>
    </w:p>
    <w:p>
      <w:pPr>
        <w:numPr>
          <w:ilvl w:val="255"/>
          <w:numId w:val="0"/>
        </w:numPr>
        <w:tabs>
          <w:tab w:val="left" w:pos="7920"/>
        </w:tabs>
        <w:adjustRightInd w:val="0"/>
        <w:snapToGrid w:val="0"/>
        <w:spacing w:line="360" w:lineRule="auto"/>
        <w:ind w:firstLine="560" w:firstLineChars="200"/>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6、《云南省单位消防安全管理规定》</w:t>
      </w:r>
    </w:p>
    <w:p>
      <w:pPr>
        <w:numPr>
          <w:ilvl w:val="255"/>
          <w:numId w:val="0"/>
        </w:numPr>
        <w:tabs>
          <w:tab w:val="left" w:pos="7920"/>
        </w:tabs>
        <w:adjustRightInd w:val="0"/>
        <w:snapToGrid w:val="0"/>
        <w:spacing w:line="360" w:lineRule="auto"/>
        <w:ind w:firstLine="560" w:firstLineChars="200"/>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7、《云南省建筑消防监督管理规定》</w:t>
      </w:r>
    </w:p>
    <w:p>
      <w:pPr>
        <w:numPr>
          <w:ilvl w:val="255"/>
          <w:numId w:val="0"/>
        </w:numPr>
        <w:tabs>
          <w:tab w:val="left" w:pos="7920"/>
        </w:tabs>
        <w:adjustRightInd w:val="0"/>
        <w:snapToGrid w:val="0"/>
        <w:spacing w:line="360" w:lineRule="auto"/>
        <w:ind w:firstLine="560" w:firstLineChars="200"/>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8、《云南省消防技术服务管理规定》</w:t>
      </w:r>
    </w:p>
    <w:p>
      <w:pPr>
        <w:numPr>
          <w:ilvl w:val="255"/>
          <w:numId w:val="0"/>
        </w:numPr>
        <w:tabs>
          <w:tab w:val="left" w:pos="7920"/>
        </w:tabs>
        <w:adjustRightInd w:val="0"/>
        <w:snapToGrid w:val="0"/>
        <w:spacing w:line="360" w:lineRule="auto"/>
        <w:ind w:firstLine="560" w:firstLineChars="200"/>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9、《消防技术服务机构设备配备》（GA 1157-2014）</w:t>
      </w:r>
    </w:p>
    <w:p>
      <w:pPr>
        <w:numPr>
          <w:ilvl w:val="255"/>
          <w:numId w:val="0"/>
        </w:numPr>
        <w:tabs>
          <w:tab w:val="left" w:pos="7920"/>
        </w:tabs>
        <w:adjustRightInd w:val="0"/>
        <w:snapToGrid w:val="0"/>
        <w:spacing w:line="360" w:lineRule="auto"/>
        <w:ind w:firstLine="560" w:firstLineChars="200"/>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10、《建筑消防系统检测技术规程》（GA 503-2004）</w:t>
      </w:r>
    </w:p>
    <w:p>
      <w:pPr>
        <w:numPr>
          <w:ilvl w:val="255"/>
          <w:numId w:val="0"/>
        </w:numPr>
        <w:tabs>
          <w:tab w:val="left" w:pos="7920"/>
        </w:tabs>
        <w:adjustRightInd w:val="0"/>
        <w:snapToGrid w:val="0"/>
        <w:spacing w:line="360" w:lineRule="auto"/>
        <w:ind w:firstLine="560" w:firstLineChars="200"/>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11、《建筑消防系统的维护管理》（GB 25201-2010）</w:t>
      </w:r>
    </w:p>
    <w:p>
      <w:pPr>
        <w:numPr>
          <w:ilvl w:val="255"/>
          <w:numId w:val="0"/>
        </w:numPr>
        <w:tabs>
          <w:tab w:val="left" w:pos="7920"/>
        </w:tabs>
        <w:adjustRightInd w:val="0"/>
        <w:snapToGrid w:val="0"/>
        <w:spacing w:line="360" w:lineRule="auto"/>
        <w:ind w:firstLine="560" w:firstLineChars="200"/>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12、《消防安全标志设置要求》（GB 15630-1995）</w:t>
      </w:r>
    </w:p>
    <w:p>
      <w:pPr>
        <w:numPr>
          <w:ilvl w:val="255"/>
          <w:numId w:val="0"/>
        </w:numPr>
        <w:tabs>
          <w:tab w:val="left" w:pos="7920"/>
        </w:tabs>
        <w:adjustRightInd w:val="0"/>
        <w:snapToGrid w:val="0"/>
        <w:spacing w:line="360" w:lineRule="auto"/>
        <w:ind w:firstLine="560" w:firstLineChars="200"/>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13、 《手提式灭火器第1部分：性能和结构要求》（GB 4351-2005）</w:t>
      </w:r>
    </w:p>
    <w:p>
      <w:pPr>
        <w:numPr>
          <w:ilvl w:val="255"/>
          <w:numId w:val="0"/>
        </w:numPr>
        <w:tabs>
          <w:tab w:val="left" w:pos="7920"/>
        </w:tabs>
        <w:adjustRightInd w:val="0"/>
        <w:snapToGrid w:val="0"/>
        <w:spacing w:line="360" w:lineRule="auto"/>
        <w:ind w:firstLine="560" w:firstLineChars="200"/>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14、《灭火器维修与报废》（GA 95）</w:t>
      </w:r>
    </w:p>
    <w:p>
      <w:pPr>
        <w:numPr>
          <w:ilvl w:val="255"/>
          <w:numId w:val="0"/>
        </w:numPr>
        <w:tabs>
          <w:tab w:val="left" w:pos="7920"/>
        </w:tabs>
        <w:adjustRightInd w:val="0"/>
        <w:snapToGrid w:val="0"/>
        <w:spacing w:line="360" w:lineRule="auto"/>
        <w:ind w:firstLine="560" w:firstLineChars="200"/>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15、《固定消防给水设备的性能要求和试验方法》（GA 30-2002）</w:t>
      </w:r>
    </w:p>
    <w:p>
      <w:pPr>
        <w:numPr>
          <w:ilvl w:val="255"/>
          <w:numId w:val="0"/>
        </w:numPr>
        <w:tabs>
          <w:tab w:val="left" w:pos="7920"/>
        </w:tabs>
        <w:adjustRightInd w:val="0"/>
        <w:snapToGrid w:val="0"/>
        <w:spacing w:line="360" w:lineRule="auto"/>
        <w:ind w:firstLine="560" w:firstLineChars="200"/>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16、《气体灭火系统及零部件性能要求和试验方法》（GA 400-2002）</w:t>
      </w:r>
    </w:p>
    <w:p>
      <w:pPr>
        <w:numPr>
          <w:ilvl w:val="255"/>
          <w:numId w:val="0"/>
        </w:numPr>
        <w:tabs>
          <w:tab w:val="left" w:pos="7920"/>
        </w:tabs>
        <w:adjustRightInd w:val="0"/>
        <w:snapToGrid w:val="0"/>
        <w:spacing w:line="360" w:lineRule="auto"/>
        <w:ind w:firstLine="560" w:firstLineChars="200"/>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17、《单位消防安全管理》（DB 53/T 270—2017）</w:t>
      </w:r>
    </w:p>
    <w:p>
      <w:pPr>
        <w:numPr>
          <w:ilvl w:val="255"/>
          <w:numId w:val="0"/>
        </w:numPr>
        <w:tabs>
          <w:tab w:val="left" w:pos="7920"/>
        </w:tabs>
        <w:adjustRightInd w:val="0"/>
        <w:snapToGrid w:val="0"/>
        <w:spacing w:line="360" w:lineRule="auto"/>
        <w:ind w:firstLine="560" w:firstLineChars="200"/>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18、《建筑消防安全检测评价》（DB 53/T67—2017）</w:t>
      </w:r>
    </w:p>
    <w:p>
      <w:pPr>
        <w:numPr>
          <w:ilvl w:val="255"/>
          <w:numId w:val="0"/>
        </w:numPr>
        <w:tabs>
          <w:tab w:val="left" w:pos="7920"/>
        </w:tabs>
        <w:adjustRightInd w:val="0"/>
        <w:snapToGrid w:val="0"/>
        <w:spacing w:line="360" w:lineRule="auto"/>
        <w:ind w:firstLine="560" w:firstLineChars="200"/>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19、《电气火灾监控系统》（GB 14287-2014）</w:t>
      </w:r>
    </w:p>
    <w:p>
      <w:pPr>
        <w:numPr>
          <w:ilvl w:val="255"/>
          <w:numId w:val="0"/>
        </w:numPr>
        <w:tabs>
          <w:tab w:val="left" w:pos="7920"/>
        </w:tabs>
        <w:adjustRightInd w:val="0"/>
        <w:snapToGrid w:val="0"/>
        <w:spacing w:line="360" w:lineRule="auto"/>
        <w:ind w:firstLine="560" w:firstLineChars="200"/>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20、《消防安全重点单位管理规范》（DB 5301/T63—2021）</w:t>
      </w:r>
    </w:p>
    <w:p>
      <w:pPr>
        <w:adjustRightInd w:val="0"/>
        <w:snapToGrid w:val="0"/>
        <w:spacing w:line="348" w:lineRule="auto"/>
        <w:ind w:left="420" w:leftChars="200"/>
        <w:outlineLvl w:val="0"/>
        <w:rPr>
          <w:rFonts w:hint="eastAsia" w:ascii="黑体" w:hAnsi="黑体" w:eastAsia="黑体" w:cs="黑体"/>
          <w:bCs/>
          <w:sz w:val="28"/>
          <w:szCs w:val="28"/>
        </w:rPr>
      </w:pPr>
      <w:bookmarkStart w:id="9" w:name="_Toc3844"/>
      <w:bookmarkStart w:id="10" w:name="_Toc25865"/>
      <w:r>
        <w:rPr>
          <w:rFonts w:hint="eastAsia" w:ascii="黑体" w:hAnsi="黑体" w:eastAsia="黑体" w:cs="黑体"/>
          <w:bCs/>
          <w:sz w:val="28"/>
          <w:szCs w:val="28"/>
        </w:rPr>
        <w:t>二、项目概述</w:t>
      </w:r>
      <w:bookmarkEnd w:id="9"/>
      <w:bookmarkEnd w:id="10"/>
    </w:p>
    <w:p>
      <w:pPr>
        <w:tabs>
          <w:tab w:val="left" w:pos="7920"/>
        </w:tabs>
        <w:adjustRightInd w:val="0"/>
        <w:snapToGrid w:val="0"/>
        <w:spacing w:line="360" w:lineRule="auto"/>
        <w:ind w:firstLine="560" w:firstLineChars="200"/>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南方电网澜湄国际能源有限责任公司2025年消防维保及检测服务采购项目（以下简称“本项目”）位于云南省昆明市滇池旅游度假区广福路15号，项目总建筑面积16111.07平方。为了规范本项目消防系统设施维修保养及检测服务质量，保证设施正常运行，特制定本规范。</w:t>
      </w:r>
    </w:p>
    <w:p>
      <w:pPr>
        <w:adjustRightInd w:val="0"/>
        <w:snapToGrid w:val="0"/>
        <w:spacing w:line="348" w:lineRule="auto"/>
        <w:ind w:left="420" w:leftChars="200"/>
        <w:outlineLvl w:val="0"/>
        <w:rPr>
          <w:rFonts w:hint="eastAsia" w:ascii="黑体" w:hAnsi="黑体" w:eastAsia="黑体" w:cs="黑体"/>
          <w:bCs/>
          <w:sz w:val="28"/>
          <w:szCs w:val="28"/>
        </w:rPr>
      </w:pPr>
      <w:bookmarkStart w:id="11" w:name="_Toc1517"/>
      <w:bookmarkStart w:id="12" w:name="_Toc31331"/>
      <w:r>
        <w:rPr>
          <w:rFonts w:hint="eastAsia" w:ascii="黑体" w:hAnsi="黑体" w:eastAsia="黑体" w:cs="黑体"/>
          <w:bCs/>
          <w:sz w:val="28"/>
          <w:szCs w:val="28"/>
        </w:rPr>
        <w:t>三、服务期限</w:t>
      </w:r>
      <w:bookmarkEnd w:id="11"/>
      <w:bookmarkEnd w:id="12"/>
    </w:p>
    <w:p>
      <w:pPr>
        <w:tabs>
          <w:tab w:val="left" w:pos="7920"/>
        </w:tabs>
        <w:adjustRightInd w:val="0"/>
        <w:snapToGrid w:val="0"/>
        <w:spacing w:line="360" w:lineRule="auto"/>
        <w:ind w:firstLine="560" w:firstLineChars="200"/>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（一） 本项目服务期限为一年（自合同签订之日起一年），服务起始时间以最终合同约定为准。</w:t>
      </w:r>
    </w:p>
    <w:p>
      <w:pPr>
        <w:tabs>
          <w:tab w:val="left" w:pos="7920"/>
        </w:tabs>
        <w:adjustRightInd w:val="0"/>
        <w:snapToGrid w:val="0"/>
        <w:spacing w:line="360" w:lineRule="auto"/>
        <w:ind w:firstLine="560" w:firstLineChars="200"/>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（二）如果本项目服务期限届满，招标方尚未选聘新的服务单位，投标方的服务期限应当延长至新服务单位提供服务之日。增加的服务费用按投标单价，据实结算。</w:t>
      </w:r>
    </w:p>
    <w:p>
      <w:pPr>
        <w:tabs>
          <w:tab w:val="left" w:pos="7920"/>
        </w:tabs>
        <w:adjustRightInd w:val="0"/>
        <w:snapToGrid w:val="0"/>
        <w:spacing w:line="360" w:lineRule="auto"/>
        <w:ind w:firstLine="560" w:firstLineChars="200"/>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（三）如果本项目服务期限未满，双方因其他因素变化协商中断本项目服务，投标方在服务期限已开展的服务费用按投标单价，据实结算。</w:t>
      </w:r>
    </w:p>
    <w:p>
      <w:pPr>
        <w:adjustRightInd w:val="0"/>
        <w:snapToGrid w:val="0"/>
        <w:spacing w:line="348" w:lineRule="auto"/>
        <w:ind w:left="420" w:leftChars="200"/>
        <w:outlineLvl w:val="0"/>
        <w:rPr>
          <w:rFonts w:hint="eastAsia" w:ascii="黑体" w:hAnsi="黑体" w:eastAsia="黑体" w:cs="黑体"/>
          <w:bCs/>
          <w:sz w:val="28"/>
          <w:szCs w:val="28"/>
        </w:rPr>
      </w:pPr>
      <w:bookmarkStart w:id="13" w:name="_Toc29595"/>
      <w:bookmarkStart w:id="14" w:name="_Toc3573"/>
      <w:r>
        <w:rPr>
          <w:rFonts w:hint="eastAsia" w:ascii="黑体" w:hAnsi="黑体" w:eastAsia="黑体" w:cs="黑体"/>
          <w:bCs/>
          <w:sz w:val="28"/>
          <w:szCs w:val="28"/>
        </w:rPr>
        <w:t>四、服务内容</w:t>
      </w:r>
      <w:bookmarkEnd w:id="13"/>
      <w:bookmarkEnd w:id="14"/>
    </w:p>
    <w:p>
      <w:pPr>
        <w:tabs>
          <w:tab w:val="left" w:pos="7920"/>
        </w:tabs>
        <w:adjustRightInd w:val="0"/>
        <w:snapToGrid w:val="0"/>
        <w:spacing w:line="360" w:lineRule="auto"/>
        <w:ind w:firstLine="560" w:firstLineChars="200"/>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（一）</w:t>
      </w:r>
      <w:r>
        <w:rPr>
          <w:rFonts w:hint="eastAsia" w:ascii="仿宋_GB2312" w:hAnsi="仿宋_GB2312" w:eastAsia="仿宋_GB2312" w:cs="仿宋_GB2312"/>
          <w:kern w:val="0"/>
          <w:sz w:val="28"/>
          <w:szCs w:val="28"/>
        </w:rPr>
        <w:t xml:space="preserve"> 本项目</w:t>
      </w:r>
      <w:r>
        <w:rPr>
          <w:rFonts w:hint="eastAsia" w:ascii="仿宋_GB2312" w:hAnsi="仿宋_GB2312" w:eastAsia="仿宋_GB2312" w:cs="仿宋_GB2312"/>
          <w:bCs/>
          <w:kern w:val="0"/>
          <w:sz w:val="28"/>
          <w:szCs w:val="28"/>
        </w:rPr>
        <w:t>服务内容：</w:t>
      </w:r>
      <w:r>
        <w:rPr>
          <w:rFonts w:hint="eastAsia" w:ascii="仿宋_GB2312" w:hAnsi="仿宋_GB2312" w:eastAsia="仿宋_GB2312" w:cs="仿宋_GB2312"/>
          <w:sz w:val="28"/>
          <w:szCs w:val="28"/>
        </w:rPr>
        <w:t>消防系统及设施的巡视、维修、保养、检测、应急处理</w:t>
      </w:r>
      <w:r>
        <w:rPr>
          <w:rFonts w:hint="eastAsia" w:ascii="仿宋_GB2312" w:hAnsi="仿宋_GB2312" w:eastAsia="仿宋_GB2312" w:cs="仿宋_GB2312"/>
          <w:bCs/>
          <w:kern w:val="0"/>
          <w:sz w:val="28"/>
          <w:szCs w:val="28"/>
        </w:rPr>
        <w:t>服务等。</w:t>
      </w:r>
    </w:p>
    <w:p>
      <w:pPr>
        <w:tabs>
          <w:tab w:val="left" w:pos="7920"/>
        </w:tabs>
        <w:adjustRightInd w:val="0"/>
        <w:snapToGrid w:val="0"/>
        <w:spacing w:line="360" w:lineRule="auto"/>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（二）投标方须按照合同约定负责消防系统设施维修保养及检测、检测报告信息上传具体实施、年度检测等工作。</w:t>
      </w:r>
    </w:p>
    <w:p>
      <w:pPr>
        <w:overflowPunct w:val="0"/>
        <w:autoSpaceDE w:val="0"/>
        <w:autoSpaceDN w:val="0"/>
        <w:adjustRightInd w:val="0"/>
        <w:snapToGrid w:val="0"/>
        <w:spacing w:line="360" w:lineRule="auto"/>
        <w:ind w:firstLine="562" w:firstLineChars="200"/>
        <w:jc w:val="left"/>
        <w:textAlignment w:val="baseline"/>
        <w:outlineLvl w:val="0"/>
        <w:rPr>
          <w:rFonts w:hint="eastAsia" w:ascii="黑体" w:hAnsi="黑体" w:eastAsia="黑体" w:cs="黑体"/>
          <w:sz w:val="28"/>
          <w:szCs w:val="28"/>
        </w:rPr>
      </w:pPr>
      <w:bookmarkStart w:id="15" w:name="_Toc2853_WPSOffice_Level1"/>
      <w:bookmarkStart w:id="16" w:name="_Toc30863_WPSOffice_Level1"/>
      <w:bookmarkStart w:id="17" w:name="_Toc357_WPSOffice_Level1"/>
      <w:bookmarkStart w:id="18" w:name="_Toc5538_WPSOffice_Level1"/>
      <w:bookmarkStart w:id="19" w:name="_Toc792"/>
      <w:r>
        <w:rPr>
          <w:rFonts w:hint="eastAsia" w:ascii="黑体" w:hAnsi="黑体" w:eastAsia="黑体" w:cs="黑体"/>
          <w:b/>
          <w:bCs/>
          <w:sz w:val="28"/>
          <w:szCs w:val="28"/>
          <w:lang w:val="en-US" w:eastAsia="zh-CN"/>
        </w:rPr>
        <w:t>五</w:t>
      </w:r>
      <w:r>
        <w:rPr>
          <w:rFonts w:hint="eastAsia" w:ascii="黑体" w:hAnsi="黑体" w:eastAsia="黑体" w:cs="黑体"/>
          <w:b/>
          <w:bCs/>
          <w:sz w:val="28"/>
          <w:szCs w:val="28"/>
        </w:rPr>
        <w:t>、</w:t>
      </w:r>
      <w:bookmarkEnd w:id="15"/>
      <w:bookmarkEnd w:id="16"/>
      <w:bookmarkEnd w:id="17"/>
      <w:bookmarkEnd w:id="18"/>
      <w:r>
        <w:rPr>
          <w:rFonts w:hint="eastAsia" w:ascii="黑体" w:hAnsi="黑体" w:eastAsia="黑体" w:cs="黑体"/>
          <w:b/>
          <w:bCs/>
          <w:sz w:val="28"/>
          <w:szCs w:val="28"/>
        </w:rPr>
        <w:t>服务管理要求</w:t>
      </w:r>
      <w:bookmarkEnd w:id="19"/>
    </w:p>
    <w:p>
      <w:pPr>
        <w:tabs>
          <w:tab w:val="left" w:pos="360"/>
        </w:tabs>
        <w:adjustRightInd w:val="0"/>
        <w:snapToGrid w:val="0"/>
        <w:spacing w:line="360" w:lineRule="auto"/>
        <w:ind w:firstLine="562" w:firstLineChars="200"/>
        <w:jc w:val="left"/>
        <w:rPr>
          <w:rFonts w:hint="eastAsia" w:ascii="楷体_GB2312" w:hAnsi="楷体_GB2312" w:eastAsia="楷体_GB2312" w:cs="楷体_GB2312"/>
          <w:b/>
          <w:bCs/>
          <w:sz w:val="28"/>
          <w:szCs w:val="28"/>
        </w:rPr>
      </w:pPr>
      <w:r>
        <w:rPr>
          <w:rFonts w:hint="eastAsia" w:ascii="楷体_GB2312" w:hAnsi="楷体_GB2312" w:eastAsia="楷体_GB2312" w:cs="楷体_GB2312"/>
          <w:b/>
          <w:bCs/>
          <w:sz w:val="28"/>
          <w:szCs w:val="28"/>
        </w:rPr>
        <w:t>（一）消防系统设施维修保养技术要求</w:t>
      </w:r>
    </w:p>
    <w:p>
      <w:pPr>
        <w:tabs>
          <w:tab w:val="left" w:pos="360"/>
        </w:tabs>
        <w:adjustRightInd w:val="0"/>
        <w:snapToGrid w:val="0"/>
        <w:spacing w:line="360" w:lineRule="auto"/>
        <w:ind w:firstLine="560" w:firstLineChars="200"/>
        <w:jc w:val="lef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1.火灾自动报警系统</w:t>
      </w:r>
    </w:p>
    <w:p>
      <w:pPr>
        <w:tabs>
          <w:tab w:val="left" w:pos="360"/>
        </w:tabs>
        <w:adjustRightInd w:val="0"/>
        <w:snapToGrid w:val="0"/>
        <w:spacing w:line="360" w:lineRule="auto"/>
        <w:ind w:firstLine="560" w:firstLineChars="200"/>
        <w:jc w:val="lef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（1）</w:t>
      </w:r>
      <w:r>
        <w:rPr>
          <w:rFonts w:hint="eastAsia" w:ascii="仿宋_GB2312" w:hAnsi="仿宋_GB2312" w:eastAsia="仿宋_GB2312" w:cs="仿宋_GB2312"/>
          <w:sz w:val="28"/>
          <w:szCs w:val="28"/>
        </w:rPr>
        <w:t>火灾</w:t>
      </w:r>
      <w:r>
        <w:rPr>
          <w:rFonts w:hint="eastAsia" w:ascii="仿宋_GB2312" w:hAnsi="仿宋_GB2312" w:eastAsia="仿宋_GB2312" w:cs="仿宋_GB2312"/>
          <w:bCs/>
          <w:sz w:val="28"/>
          <w:szCs w:val="28"/>
        </w:rPr>
        <w:t>自动联动系统主机自动巡检功能正常，信号灯、显示部分功能正常。</w:t>
      </w:r>
    </w:p>
    <w:p>
      <w:pPr>
        <w:tabs>
          <w:tab w:val="left" w:pos="7920"/>
        </w:tabs>
        <w:adjustRightInd w:val="0"/>
        <w:snapToGrid w:val="0"/>
        <w:spacing w:line="360" w:lineRule="auto"/>
        <w:ind w:firstLine="560" w:firstLineChars="200"/>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（2）系统自动、手动功能键切换动作正常；各程序运行符合消防设计规范要求、动作准确；区域控制器与主机通讯正常，区域范围功能可控。</w:t>
      </w:r>
    </w:p>
    <w:p>
      <w:pPr>
        <w:tabs>
          <w:tab w:val="left" w:pos="7920"/>
        </w:tabs>
        <w:adjustRightInd w:val="0"/>
        <w:snapToGrid w:val="0"/>
        <w:spacing w:line="360" w:lineRule="auto"/>
        <w:ind w:firstLine="560" w:firstLineChars="200"/>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（3）系统功能操作键对应程序功能操作正常，可远程有效控制各终端设施，显示正确、动作正常、程序运行正常。</w:t>
      </w:r>
    </w:p>
    <w:p>
      <w:pPr>
        <w:tabs>
          <w:tab w:val="left" w:pos="7920"/>
        </w:tabs>
        <w:adjustRightInd w:val="0"/>
        <w:snapToGrid w:val="0"/>
        <w:spacing w:line="360" w:lineRule="auto"/>
        <w:ind w:firstLine="560" w:firstLineChars="200"/>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（4）系统电子地图控制软件运行、操作、查询等功能正常；与主机通讯功能及联网功能正常，软件可对系统终端设施进行有效功能控制。</w:t>
      </w:r>
    </w:p>
    <w:p>
      <w:pPr>
        <w:tabs>
          <w:tab w:val="left" w:pos="7920"/>
        </w:tabs>
        <w:adjustRightInd w:val="0"/>
        <w:snapToGrid w:val="0"/>
        <w:spacing w:line="360" w:lineRule="auto"/>
        <w:ind w:firstLine="560" w:firstLineChars="200"/>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（5）系统与各终端设施通讯功能正常、对各终端运行检测、故障反馈准确率符合消防设计要求。</w:t>
      </w:r>
    </w:p>
    <w:p>
      <w:pPr>
        <w:tabs>
          <w:tab w:val="left" w:pos="7920"/>
        </w:tabs>
        <w:adjustRightInd w:val="0"/>
        <w:snapToGrid w:val="0"/>
        <w:spacing w:line="360" w:lineRule="auto"/>
        <w:ind w:firstLine="560" w:firstLineChars="200"/>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（6）终端设施（烟感探测器、温感探测器、手动报警控制器、区域控制器、控制模块等）故障或信号显示正常，信号可正常反馈至主机系统，反馈信号及位置准确，不发生误报现象。</w:t>
      </w:r>
    </w:p>
    <w:p>
      <w:pPr>
        <w:tabs>
          <w:tab w:val="left" w:pos="7920"/>
        </w:tabs>
        <w:adjustRightInd w:val="0"/>
        <w:snapToGrid w:val="0"/>
        <w:spacing w:line="360" w:lineRule="auto"/>
        <w:ind w:firstLine="560" w:firstLineChars="200"/>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（7）系统备用电源工作性能正常、电压输出正常；同时在备用电源供电状态下进行短路故障报警及火灾优先功能检测，备用电源充放电正常，主机电源断开后可持续供电时间不少于3小时供电要求。</w:t>
      </w:r>
    </w:p>
    <w:p>
      <w:pPr>
        <w:tabs>
          <w:tab w:val="left" w:pos="7920"/>
        </w:tabs>
        <w:adjustRightInd w:val="0"/>
        <w:snapToGrid w:val="0"/>
        <w:spacing w:line="360" w:lineRule="auto"/>
        <w:ind w:firstLine="560" w:firstLineChars="200"/>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（8）电梯在主机任意状态下迫降功能正常。</w:t>
      </w:r>
    </w:p>
    <w:p>
      <w:pPr>
        <w:tabs>
          <w:tab w:val="left" w:pos="7920"/>
        </w:tabs>
        <w:adjustRightInd w:val="0"/>
        <w:snapToGrid w:val="0"/>
        <w:spacing w:line="360" w:lineRule="auto"/>
        <w:ind w:firstLine="560" w:firstLineChars="200"/>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（9）防火门监控系统关闭及信号传送正常。</w:t>
      </w:r>
    </w:p>
    <w:p>
      <w:pPr>
        <w:tabs>
          <w:tab w:val="left" w:pos="7920"/>
        </w:tabs>
        <w:adjustRightInd w:val="0"/>
        <w:snapToGrid w:val="0"/>
        <w:spacing w:line="360" w:lineRule="auto"/>
        <w:ind w:firstLine="560" w:firstLineChars="200"/>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（10）火灾状态下对非消防电源能自动进行控制关断。</w:t>
      </w:r>
    </w:p>
    <w:p>
      <w:pPr>
        <w:tabs>
          <w:tab w:val="left" w:pos="7920"/>
        </w:tabs>
        <w:adjustRightInd w:val="0"/>
        <w:snapToGrid w:val="0"/>
        <w:spacing w:line="360" w:lineRule="auto"/>
        <w:ind w:firstLine="560" w:firstLineChars="200"/>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（11）消防主机打印功能正常，供纸充足，对报警及故障信息及时打印。</w:t>
      </w:r>
    </w:p>
    <w:p>
      <w:pPr>
        <w:tabs>
          <w:tab w:val="left" w:pos="7920"/>
        </w:tabs>
        <w:adjustRightInd w:val="0"/>
        <w:snapToGrid w:val="0"/>
        <w:spacing w:line="360" w:lineRule="auto"/>
        <w:ind w:firstLine="560" w:firstLineChars="200"/>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（12）主机绝缘电阻测试，阻值符合国家标准。</w:t>
      </w:r>
    </w:p>
    <w:p>
      <w:pPr>
        <w:tabs>
          <w:tab w:val="left" w:pos="360"/>
        </w:tabs>
        <w:adjustRightInd w:val="0"/>
        <w:snapToGrid w:val="0"/>
        <w:spacing w:line="360" w:lineRule="auto"/>
        <w:ind w:firstLine="560" w:firstLineChars="200"/>
        <w:jc w:val="lef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2.消火栓灭火系统</w:t>
      </w:r>
    </w:p>
    <w:p>
      <w:pPr>
        <w:tabs>
          <w:tab w:val="left" w:pos="7920"/>
        </w:tabs>
        <w:adjustRightInd w:val="0"/>
        <w:snapToGrid w:val="0"/>
        <w:spacing w:line="360" w:lineRule="auto"/>
        <w:ind w:firstLine="560" w:firstLineChars="200"/>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（1）系统自动状态下主机功能键、软件启动图标、可远程控制消火栓水泵动作，且信号动作准确。</w:t>
      </w:r>
    </w:p>
    <w:p>
      <w:pPr>
        <w:tabs>
          <w:tab w:val="left" w:pos="7920"/>
        </w:tabs>
        <w:adjustRightInd w:val="0"/>
        <w:snapToGrid w:val="0"/>
        <w:spacing w:line="360" w:lineRule="auto"/>
        <w:ind w:firstLine="560" w:firstLineChars="200"/>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（2）消火栓配电控制柜供电状态正常，开关与交流接触器工作正常，二次控制回路功能正常，与主机通讯模块信号连接功能正常。</w:t>
      </w:r>
    </w:p>
    <w:p>
      <w:pPr>
        <w:tabs>
          <w:tab w:val="left" w:pos="7920"/>
        </w:tabs>
        <w:adjustRightInd w:val="0"/>
        <w:snapToGrid w:val="0"/>
        <w:spacing w:line="360" w:lineRule="auto"/>
        <w:ind w:firstLine="560" w:firstLineChars="200"/>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水泵启动运转模式、动作时间动作正常，运行电压、电流符合要求。</w:t>
      </w:r>
    </w:p>
    <w:p>
      <w:pPr>
        <w:tabs>
          <w:tab w:val="left" w:pos="7920"/>
        </w:tabs>
        <w:adjustRightInd w:val="0"/>
        <w:snapToGrid w:val="0"/>
        <w:spacing w:line="360" w:lineRule="auto"/>
        <w:ind w:firstLine="560" w:firstLineChars="200"/>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（3）楼顶与首层消火栓最不利点最远喷射距离符合消防设计要求。</w:t>
      </w:r>
    </w:p>
    <w:p>
      <w:pPr>
        <w:tabs>
          <w:tab w:val="left" w:pos="7920"/>
        </w:tabs>
        <w:adjustRightInd w:val="0"/>
        <w:snapToGrid w:val="0"/>
        <w:spacing w:line="360" w:lineRule="auto"/>
        <w:ind w:firstLine="560" w:firstLineChars="200"/>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（4）系统压力表显示各终端压力值符合设计要求，稳压水泵在系统压力区间范围可自动启停加压。</w:t>
      </w:r>
    </w:p>
    <w:p>
      <w:pPr>
        <w:tabs>
          <w:tab w:val="left" w:pos="7920"/>
        </w:tabs>
        <w:adjustRightInd w:val="0"/>
        <w:snapToGrid w:val="0"/>
        <w:spacing w:line="360" w:lineRule="auto"/>
        <w:ind w:firstLine="560" w:firstLineChars="200"/>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（5）系统中各阀门状态正常、动作灵活、信号正常，阀门间隙符合标准无渗漏。</w:t>
      </w:r>
    </w:p>
    <w:p>
      <w:pPr>
        <w:tabs>
          <w:tab w:val="left" w:pos="7920"/>
        </w:tabs>
        <w:adjustRightInd w:val="0"/>
        <w:snapToGrid w:val="0"/>
        <w:spacing w:line="360" w:lineRule="auto"/>
        <w:ind w:firstLine="560" w:firstLineChars="200"/>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（6）消火栓箱内接口及开关启动灵活，无卡阻故障现象，关闭严密无渗漏现象。</w:t>
      </w:r>
    </w:p>
    <w:p>
      <w:pPr>
        <w:tabs>
          <w:tab w:val="left" w:pos="7920"/>
        </w:tabs>
        <w:adjustRightInd w:val="0"/>
        <w:snapToGrid w:val="0"/>
        <w:spacing w:line="360" w:lineRule="auto"/>
        <w:ind w:firstLine="560" w:firstLineChars="200"/>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（7）市政消火栓接口状态良好，开关启闭正常，与其它各点位管路通畅。</w:t>
      </w:r>
    </w:p>
    <w:p>
      <w:pPr>
        <w:tabs>
          <w:tab w:val="left" w:pos="7920"/>
        </w:tabs>
        <w:adjustRightInd w:val="0"/>
        <w:snapToGrid w:val="0"/>
        <w:spacing w:line="360" w:lineRule="auto"/>
        <w:ind w:firstLine="560" w:firstLineChars="200"/>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（8）消防水池水位符合设计标准、补水阀门开关信号动作正常。</w:t>
      </w:r>
    </w:p>
    <w:p>
      <w:pPr>
        <w:tabs>
          <w:tab w:val="left" w:pos="7920"/>
        </w:tabs>
        <w:adjustRightInd w:val="0"/>
        <w:snapToGrid w:val="0"/>
        <w:spacing w:line="360" w:lineRule="auto"/>
        <w:ind w:firstLine="560" w:firstLineChars="200"/>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（9）水泵泵轴密封正常、填料、温升、声音状状正常。</w:t>
      </w:r>
    </w:p>
    <w:p>
      <w:pPr>
        <w:tabs>
          <w:tab w:val="left" w:pos="7920"/>
        </w:tabs>
        <w:adjustRightInd w:val="0"/>
        <w:snapToGrid w:val="0"/>
        <w:spacing w:line="360" w:lineRule="auto"/>
        <w:ind w:firstLine="560" w:firstLineChars="200"/>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（10）系统管网设施无腐蚀、脱漆退色现象，管网无漏水现象。</w:t>
      </w:r>
    </w:p>
    <w:p>
      <w:pPr>
        <w:tabs>
          <w:tab w:val="left" w:pos="360"/>
        </w:tabs>
        <w:adjustRightInd w:val="0"/>
        <w:snapToGrid w:val="0"/>
        <w:spacing w:line="360" w:lineRule="auto"/>
        <w:ind w:firstLine="560" w:firstLineChars="200"/>
        <w:jc w:val="lef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3.喷淋灭火系统</w:t>
      </w:r>
    </w:p>
    <w:p>
      <w:pPr>
        <w:tabs>
          <w:tab w:val="left" w:pos="7920"/>
        </w:tabs>
        <w:adjustRightInd w:val="0"/>
        <w:snapToGrid w:val="0"/>
        <w:spacing w:line="360" w:lineRule="auto"/>
        <w:ind w:firstLine="560" w:firstLineChars="200"/>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（1）系统自动状态下主机功能键、软件启动图标、均可远程控</w:t>
      </w:r>
      <w:r>
        <w:rPr>
          <w:rFonts w:hint="eastAsia" w:ascii="仿宋_GB2312" w:hAnsi="仿宋_GB2312" w:eastAsia="仿宋_GB2312" w:cs="仿宋_GB2312"/>
          <w:bCs/>
          <w:sz w:val="28"/>
          <w:szCs w:val="28"/>
          <w:highlight w:val="none"/>
        </w:rPr>
        <w:t>制喷淋水泵动</w:t>
      </w:r>
      <w:r>
        <w:rPr>
          <w:rFonts w:hint="eastAsia" w:ascii="仿宋_GB2312" w:hAnsi="仿宋_GB2312" w:eastAsia="仿宋_GB2312" w:cs="仿宋_GB2312"/>
          <w:bCs/>
          <w:sz w:val="28"/>
          <w:szCs w:val="28"/>
        </w:rPr>
        <w:t>作，且信号动作准确。</w:t>
      </w:r>
    </w:p>
    <w:p>
      <w:pPr>
        <w:tabs>
          <w:tab w:val="left" w:pos="7920"/>
        </w:tabs>
        <w:adjustRightInd w:val="0"/>
        <w:snapToGrid w:val="0"/>
        <w:spacing w:line="360" w:lineRule="auto"/>
        <w:ind w:firstLine="560" w:firstLineChars="200"/>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（2）喷淋配电控制柜供电状态正常，开关与交流接触器工作正常，二次控制回路功能正常，与主机通讯模块信号连接功能正常。</w:t>
      </w:r>
    </w:p>
    <w:p>
      <w:pPr>
        <w:tabs>
          <w:tab w:val="left" w:pos="7920"/>
        </w:tabs>
        <w:adjustRightInd w:val="0"/>
        <w:snapToGrid w:val="0"/>
        <w:spacing w:line="360" w:lineRule="auto"/>
        <w:ind w:firstLine="560" w:firstLineChars="200"/>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（3）水泵启动运转模式、动作时间动作正常，运行电压、电流符合要求。</w:t>
      </w:r>
    </w:p>
    <w:p>
      <w:pPr>
        <w:tabs>
          <w:tab w:val="left" w:pos="7920"/>
        </w:tabs>
        <w:adjustRightInd w:val="0"/>
        <w:snapToGrid w:val="0"/>
        <w:spacing w:line="360" w:lineRule="auto"/>
        <w:ind w:firstLine="560" w:firstLineChars="200"/>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（4）系统压力表显示各终端压力值符合设计要求，稳压水泵在系统压力区间范围可自动启停加压。</w:t>
      </w:r>
    </w:p>
    <w:p>
      <w:pPr>
        <w:tabs>
          <w:tab w:val="left" w:pos="7920"/>
        </w:tabs>
        <w:adjustRightInd w:val="0"/>
        <w:snapToGrid w:val="0"/>
        <w:spacing w:line="360" w:lineRule="auto"/>
        <w:ind w:firstLine="560" w:firstLineChars="200"/>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（5）系统中各控制阀门、信号阀、水流指示器、湿式报警阀组等设施状态正常、动作灵活、信号正常，阀门间隙符合标准无渗漏。</w:t>
      </w:r>
    </w:p>
    <w:p>
      <w:pPr>
        <w:tabs>
          <w:tab w:val="left" w:pos="7920"/>
        </w:tabs>
        <w:adjustRightInd w:val="0"/>
        <w:snapToGrid w:val="0"/>
        <w:spacing w:line="360" w:lineRule="auto"/>
        <w:ind w:firstLine="560" w:firstLineChars="200"/>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（6）补水水池水位正常、补水阀门开关信号动作正常。</w:t>
      </w:r>
    </w:p>
    <w:p>
      <w:pPr>
        <w:tabs>
          <w:tab w:val="left" w:pos="7920"/>
        </w:tabs>
        <w:adjustRightInd w:val="0"/>
        <w:snapToGrid w:val="0"/>
        <w:spacing w:line="360" w:lineRule="auto"/>
        <w:ind w:firstLine="560" w:firstLineChars="200"/>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（7）水泵泵轴密封正常、填料、温升、声音状状正常。</w:t>
      </w:r>
    </w:p>
    <w:p>
      <w:pPr>
        <w:tabs>
          <w:tab w:val="left" w:pos="7920"/>
        </w:tabs>
        <w:adjustRightInd w:val="0"/>
        <w:snapToGrid w:val="0"/>
        <w:spacing w:line="360" w:lineRule="auto"/>
        <w:ind w:firstLine="560" w:firstLineChars="200"/>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（8）系统管网设施无腐蚀、脱漆退色现象，管网无漏水现象。</w:t>
      </w:r>
    </w:p>
    <w:p>
      <w:pPr>
        <w:tabs>
          <w:tab w:val="left" w:pos="360"/>
        </w:tabs>
        <w:adjustRightInd w:val="0"/>
        <w:snapToGrid w:val="0"/>
        <w:spacing w:line="360" w:lineRule="auto"/>
        <w:ind w:firstLine="560" w:firstLineChars="200"/>
        <w:jc w:val="lef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4.气体灭火系统</w:t>
      </w:r>
    </w:p>
    <w:p>
      <w:pPr>
        <w:tabs>
          <w:tab w:val="left" w:pos="7920"/>
        </w:tabs>
        <w:adjustRightInd w:val="0"/>
        <w:snapToGrid w:val="0"/>
        <w:spacing w:line="360" w:lineRule="auto"/>
        <w:ind w:firstLine="560" w:firstLineChars="200"/>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（1）区域气体消防控制主机与大楼火灾控制主机通讯正常，终端信号可有效反馈至大楼火灾控制主机，监视功能正常。</w:t>
      </w:r>
    </w:p>
    <w:p>
      <w:pPr>
        <w:tabs>
          <w:tab w:val="left" w:pos="7920"/>
        </w:tabs>
        <w:adjustRightInd w:val="0"/>
        <w:snapToGrid w:val="0"/>
        <w:spacing w:line="360" w:lineRule="auto"/>
        <w:ind w:firstLine="560" w:firstLineChars="200"/>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（2）气体火灾控制器主机液晶显示、信号状态灯显示正常，功能键操作正常。</w:t>
      </w:r>
    </w:p>
    <w:p>
      <w:pPr>
        <w:tabs>
          <w:tab w:val="left" w:pos="7920"/>
        </w:tabs>
        <w:adjustRightInd w:val="0"/>
        <w:snapToGrid w:val="0"/>
        <w:spacing w:line="360" w:lineRule="auto"/>
        <w:ind w:firstLine="560" w:firstLineChars="200"/>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（3）紧急启停按钮信号指示灯显示正常，钥匙孔插入灵活无无卡阻现象，且启停有效。</w:t>
      </w:r>
    </w:p>
    <w:p>
      <w:pPr>
        <w:tabs>
          <w:tab w:val="left" w:pos="7920"/>
        </w:tabs>
        <w:adjustRightInd w:val="0"/>
        <w:snapToGrid w:val="0"/>
        <w:spacing w:line="360" w:lineRule="auto"/>
        <w:ind w:firstLine="560" w:firstLineChars="200"/>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（4）灭火剂贮存容器、容器阀、选择阀、单向阀、高压软管、压力讯号器、阀驱动装置等组件外观检查正常，限位装置有效。</w:t>
      </w:r>
    </w:p>
    <w:p>
      <w:pPr>
        <w:tabs>
          <w:tab w:val="left" w:pos="7920"/>
        </w:tabs>
        <w:adjustRightInd w:val="0"/>
        <w:snapToGrid w:val="0"/>
        <w:spacing w:line="360" w:lineRule="auto"/>
        <w:ind w:firstLine="560" w:firstLineChars="200"/>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（5）系统压力表显示符合设计要求范围，气压在规定范围内。</w:t>
      </w:r>
    </w:p>
    <w:p>
      <w:pPr>
        <w:tabs>
          <w:tab w:val="left" w:pos="7920"/>
        </w:tabs>
        <w:adjustRightInd w:val="0"/>
        <w:snapToGrid w:val="0"/>
        <w:spacing w:line="360" w:lineRule="auto"/>
        <w:ind w:firstLine="560" w:firstLineChars="200"/>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（6）主机自动、手动功能切换键正常，无论系统运行处于何种状态，在紧急情况下手动操作均应有效。</w:t>
      </w:r>
    </w:p>
    <w:p>
      <w:pPr>
        <w:tabs>
          <w:tab w:val="left" w:pos="7920"/>
        </w:tabs>
        <w:adjustRightInd w:val="0"/>
        <w:snapToGrid w:val="0"/>
        <w:spacing w:line="360" w:lineRule="auto"/>
        <w:ind w:firstLine="560" w:firstLineChars="200"/>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（7）火灾控测器（烟感探测器、温感探测器）工作状态正常，无误报及故障现象。</w:t>
      </w:r>
    </w:p>
    <w:p>
      <w:pPr>
        <w:tabs>
          <w:tab w:val="left" w:pos="7920"/>
        </w:tabs>
        <w:adjustRightInd w:val="0"/>
        <w:snapToGrid w:val="0"/>
        <w:spacing w:line="360" w:lineRule="auto"/>
        <w:ind w:firstLine="560" w:firstLineChars="200"/>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（8）市电断电后，主机备用电池应能正常切换并工作，并保证消防最低供电持续时间要求。</w:t>
      </w:r>
    </w:p>
    <w:p>
      <w:pPr>
        <w:tabs>
          <w:tab w:val="left" w:pos="7920"/>
        </w:tabs>
        <w:adjustRightInd w:val="0"/>
        <w:snapToGrid w:val="0"/>
        <w:spacing w:line="360" w:lineRule="auto"/>
        <w:ind w:firstLine="560" w:firstLineChars="200"/>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（9）声光报警及喷酒指示灯应能在主机信号驱动下按时间间隙正常发出警报声及指示。</w:t>
      </w:r>
    </w:p>
    <w:p>
      <w:pPr>
        <w:tabs>
          <w:tab w:val="left" w:pos="7920"/>
        </w:tabs>
        <w:adjustRightInd w:val="0"/>
        <w:snapToGrid w:val="0"/>
        <w:spacing w:line="360" w:lineRule="auto"/>
        <w:ind w:firstLine="560" w:firstLineChars="200"/>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（10）系统全部设施调试全部有效，保证各动作部件润滑良好，限位正常、安全有效。</w:t>
      </w:r>
    </w:p>
    <w:p>
      <w:pPr>
        <w:tabs>
          <w:tab w:val="left" w:pos="360"/>
        </w:tabs>
        <w:adjustRightInd w:val="0"/>
        <w:snapToGrid w:val="0"/>
        <w:spacing w:line="360" w:lineRule="auto"/>
        <w:ind w:firstLine="560" w:firstLineChars="200"/>
        <w:jc w:val="lef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5.送风及防排烟系统</w:t>
      </w:r>
    </w:p>
    <w:p>
      <w:pPr>
        <w:tabs>
          <w:tab w:val="left" w:pos="7920"/>
        </w:tabs>
        <w:adjustRightInd w:val="0"/>
        <w:snapToGrid w:val="0"/>
        <w:spacing w:line="360" w:lineRule="auto"/>
        <w:ind w:firstLine="560" w:firstLineChars="200"/>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（1）配电控制柜各开关、交流接触器、二次控制回路功能正常，与主机通讯模块信号连接功能正常。</w:t>
      </w:r>
    </w:p>
    <w:p>
      <w:pPr>
        <w:tabs>
          <w:tab w:val="left" w:pos="7920"/>
        </w:tabs>
        <w:adjustRightInd w:val="0"/>
        <w:snapToGrid w:val="0"/>
        <w:spacing w:line="360" w:lineRule="auto"/>
        <w:ind w:firstLine="560" w:firstLineChars="200"/>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（2）风机运行噪声符合设计标准，风管、风管及连接口紧固无松动、运行无振动及异常噪音。</w:t>
      </w:r>
    </w:p>
    <w:p>
      <w:pPr>
        <w:tabs>
          <w:tab w:val="left" w:pos="7920"/>
        </w:tabs>
        <w:adjustRightInd w:val="0"/>
        <w:snapToGrid w:val="0"/>
        <w:spacing w:line="360" w:lineRule="auto"/>
        <w:ind w:firstLine="560" w:firstLineChars="200"/>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（3）风阀控制机构动作灵活、限位正常，阀门关闭严密，模块信号控制正常。</w:t>
      </w:r>
    </w:p>
    <w:p>
      <w:pPr>
        <w:tabs>
          <w:tab w:val="left" w:pos="7920"/>
        </w:tabs>
        <w:adjustRightInd w:val="0"/>
        <w:snapToGrid w:val="0"/>
        <w:spacing w:line="360" w:lineRule="auto"/>
        <w:ind w:firstLine="560" w:firstLineChars="200"/>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（4）风压、送风量及排烟量符合设计标准要求，定期测试功能指数在正常范围内。</w:t>
      </w:r>
    </w:p>
    <w:p>
      <w:pPr>
        <w:tabs>
          <w:tab w:val="left" w:pos="7920"/>
        </w:tabs>
        <w:adjustRightInd w:val="0"/>
        <w:snapToGrid w:val="0"/>
        <w:spacing w:line="360" w:lineRule="auto"/>
        <w:ind w:firstLine="560" w:firstLineChars="200"/>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（5）电机轴承运行温度无异常，温升符合电机工作要求。</w:t>
      </w:r>
    </w:p>
    <w:p>
      <w:pPr>
        <w:tabs>
          <w:tab w:val="left" w:pos="7920"/>
        </w:tabs>
        <w:adjustRightInd w:val="0"/>
        <w:snapToGrid w:val="0"/>
        <w:spacing w:line="360" w:lineRule="auto"/>
        <w:ind w:firstLine="560" w:firstLineChars="200"/>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（6）卷帘上升或下降速度恒定，到位间隙符合设计要求，手动控制开关应能现场可靠控制。</w:t>
      </w:r>
    </w:p>
    <w:p>
      <w:pPr>
        <w:tabs>
          <w:tab w:val="left" w:pos="7920"/>
        </w:tabs>
        <w:adjustRightInd w:val="0"/>
        <w:snapToGrid w:val="0"/>
        <w:spacing w:line="360" w:lineRule="auto"/>
        <w:ind w:firstLine="560" w:firstLineChars="200"/>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（7）风机皮带或边轴器无松动，运行无异常。</w:t>
      </w:r>
    </w:p>
    <w:p>
      <w:pPr>
        <w:tabs>
          <w:tab w:val="left" w:pos="360"/>
        </w:tabs>
        <w:adjustRightInd w:val="0"/>
        <w:snapToGrid w:val="0"/>
        <w:spacing w:line="360" w:lineRule="auto"/>
        <w:ind w:firstLine="560" w:firstLineChars="200"/>
        <w:jc w:val="lef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6.疏散指示及应急照明</w:t>
      </w:r>
    </w:p>
    <w:p>
      <w:pPr>
        <w:tabs>
          <w:tab w:val="left" w:pos="7920"/>
        </w:tabs>
        <w:adjustRightInd w:val="0"/>
        <w:snapToGrid w:val="0"/>
        <w:spacing w:line="360" w:lineRule="auto"/>
        <w:ind w:firstLine="560" w:firstLineChars="200"/>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（1）主机控制柜市电与备用电池供电电压正常。</w:t>
      </w:r>
    </w:p>
    <w:p>
      <w:pPr>
        <w:tabs>
          <w:tab w:val="left" w:pos="7920"/>
        </w:tabs>
        <w:adjustRightInd w:val="0"/>
        <w:snapToGrid w:val="0"/>
        <w:spacing w:line="360" w:lineRule="auto"/>
        <w:ind w:firstLine="560" w:firstLineChars="200"/>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（2）系统图形软件界面显示正常，各终端设施在软件界面均能检索，显示及动作正常。</w:t>
      </w:r>
    </w:p>
    <w:p>
      <w:pPr>
        <w:tabs>
          <w:tab w:val="left" w:pos="7920"/>
        </w:tabs>
        <w:adjustRightInd w:val="0"/>
        <w:snapToGrid w:val="0"/>
        <w:spacing w:line="360" w:lineRule="auto"/>
        <w:ind w:firstLine="560" w:firstLineChars="200"/>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（3）楼层疏散指示灯供电电源正常、方向指示正确，应急灯功能正常，各按钮功能键测试正常。</w:t>
      </w:r>
    </w:p>
    <w:p>
      <w:pPr>
        <w:tabs>
          <w:tab w:val="left" w:pos="360"/>
        </w:tabs>
        <w:adjustRightInd w:val="0"/>
        <w:snapToGrid w:val="0"/>
        <w:spacing w:line="360" w:lineRule="auto"/>
        <w:ind w:firstLine="560" w:firstLineChars="200"/>
        <w:jc w:val="lef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7.消防广播及电话</w:t>
      </w:r>
    </w:p>
    <w:p>
      <w:pPr>
        <w:tabs>
          <w:tab w:val="left" w:pos="7920"/>
        </w:tabs>
        <w:adjustRightInd w:val="0"/>
        <w:snapToGrid w:val="0"/>
        <w:spacing w:line="360" w:lineRule="auto"/>
        <w:ind w:firstLine="560" w:firstLineChars="200"/>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（1） 系统平时兼作公共背景音乐使用，系统通讯信号传输正常。</w:t>
      </w:r>
    </w:p>
    <w:p>
      <w:pPr>
        <w:tabs>
          <w:tab w:val="left" w:pos="7920"/>
        </w:tabs>
        <w:adjustRightInd w:val="0"/>
        <w:snapToGrid w:val="0"/>
        <w:spacing w:line="360" w:lineRule="auto"/>
        <w:ind w:firstLine="560" w:firstLineChars="200"/>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（2）火灾状态时自动切入消防广播状态，时限符合消防设计要求。</w:t>
      </w:r>
    </w:p>
    <w:p>
      <w:pPr>
        <w:tabs>
          <w:tab w:val="left" w:pos="7920"/>
        </w:tabs>
        <w:adjustRightInd w:val="0"/>
        <w:snapToGrid w:val="0"/>
        <w:spacing w:line="360" w:lineRule="auto"/>
        <w:ind w:firstLine="560" w:firstLineChars="200"/>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（3）主机及各终端通话质量应清晰无杂音。</w:t>
      </w:r>
    </w:p>
    <w:p>
      <w:pPr>
        <w:tabs>
          <w:tab w:val="left" w:pos="7920"/>
        </w:tabs>
        <w:adjustRightInd w:val="0"/>
        <w:snapToGrid w:val="0"/>
        <w:spacing w:line="360" w:lineRule="auto"/>
        <w:ind w:firstLine="560" w:firstLineChars="200"/>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（4）现场广播声压值符合消防设计要求或产品使用说明。</w:t>
      </w:r>
    </w:p>
    <w:p>
      <w:pPr>
        <w:tabs>
          <w:tab w:val="left" w:pos="7920"/>
        </w:tabs>
        <w:adjustRightInd w:val="0"/>
        <w:snapToGrid w:val="0"/>
        <w:spacing w:line="360" w:lineRule="auto"/>
        <w:ind w:firstLine="560" w:firstLineChars="200"/>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8.电气火灾监控系统</w:t>
      </w:r>
    </w:p>
    <w:p>
      <w:pPr>
        <w:tabs>
          <w:tab w:val="left" w:pos="7920"/>
        </w:tabs>
        <w:adjustRightInd w:val="0"/>
        <w:snapToGrid w:val="0"/>
        <w:spacing w:line="360" w:lineRule="auto"/>
        <w:ind w:firstLine="560" w:firstLineChars="200"/>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（1）电气火灾监控探测器外观完好，工作正常。功能异常或损坏模块更换及时。</w:t>
      </w:r>
    </w:p>
    <w:p>
      <w:pPr>
        <w:tabs>
          <w:tab w:val="left" w:pos="7920"/>
        </w:tabs>
        <w:adjustRightInd w:val="0"/>
        <w:snapToGrid w:val="0"/>
        <w:spacing w:line="360" w:lineRule="auto"/>
        <w:ind w:firstLine="560" w:firstLineChars="200"/>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（2）报警控制器外观完好，运行正常，功能键操作正常。</w:t>
      </w:r>
    </w:p>
    <w:p>
      <w:pPr>
        <w:tabs>
          <w:tab w:val="left" w:pos="7920"/>
        </w:tabs>
        <w:adjustRightInd w:val="0"/>
        <w:snapToGrid w:val="0"/>
        <w:spacing w:line="360" w:lineRule="auto"/>
        <w:ind w:firstLine="560" w:firstLineChars="200"/>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9.消防供配电设施</w:t>
      </w:r>
    </w:p>
    <w:p>
      <w:pPr>
        <w:tabs>
          <w:tab w:val="left" w:pos="7920"/>
        </w:tabs>
        <w:adjustRightInd w:val="0"/>
        <w:snapToGrid w:val="0"/>
        <w:spacing w:line="360" w:lineRule="auto"/>
        <w:ind w:firstLine="560" w:firstLineChars="200"/>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（1）消防配电箱（柜）内主电源、备用电源工作正常，消防设备末端配电箱切换装置工作正常，消防配电房无杂物堆放。</w:t>
      </w:r>
    </w:p>
    <w:p>
      <w:pPr>
        <w:tabs>
          <w:tab w:val="left" w:pos="7920"/>
        </w:tabs>
        <w:adjustRightInd w:val="0"/>
        <w:snapToGrid w:val="0"/>
        <w:spacing w:line="360" w:lineRule="auto"/>
        <w:ind w:firstLine="560" w:firstLineChars="200"/>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（2）消防应急电源外观完好，运行正常，消防配电房无杂物堆放。</w:t>
      </w:r>
    </w:p>
    <w:p>
      <w:pPr>
        <w:tabs>
          <w:tab w:val="left" w:pos="7920"/>
        </w:tabs>
        <w:adjustRightInd w:val="0"/>
        <w:snapToGrid w:val="0"/>
        <w:spacing w:line="360" w:lineRule="auto"/>
        <w:ind w:firstLine="560" w:firstLineChars="200"/>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10.防火分隔设施</w:t>
      </w:r>
    </w:p>
    <w:p>
      <w:pPr>
        <w:tabs>
          <w:tab w:val="left" w:pos="7920"/>
        </w:tabs>
        <w:adjustRightInd w:val="0"/>
        <w:snapToGrid w:val="0"/>
        <w:spacing w:line="360" w:lineRule="auto"/>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防火门的外观完好、配件完整，启闭功能正常、无杂物堵塞。防火卷帘外观完好、配件完整，防火卷帘控制装置外观完好、功能正常。</w:t>
      </w:r>
    </w:p>
    <w:p>
      <w:pPr>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br w:type="page"/>
      </w:r>
    </w:p>
    <w:p>
      <w:pPr>
        <w:tabs>
          <w:tab w:val="left" w:pos="7920"/>
        </w:tabs>
        <w:adjustRightInd w:val="0"/>
        <w:snapToGrid w:val="0"/>
        <w:spacing w:line="360" w:lineRule="auto"/>
        <w:ind w:firstLine="562" w:firstLineChars="200"/>
        <w:rPr>
          <w:rFonts w:hint="eastAsia" w:ascii="楷体_GB2312" w:hAnsi="楷体_GB2312" w:eastAsia="楷体_GB2312" w:cs="楷体_GB2312"/>
          <w:b/>
          <w:bCs/>
          <w:sz w:val="28"/>
          <w:szCs w:val="28"/>
        </w:rPr>
      </w:pPr>
      <w:r>
        <w:rPr>
          <w:rFonts w:hint="eastAsia" w:ascii="楷体_GB2312" w:hAnsi="楷体_GB2312" w:eastAsia="楷体_GB2312" w:cs="楷体_GB2312"/>
          <w:b/>
          <w:bCs/>
          <w:sz w:val="28"/>
          <w:szCs w:val="28"/>
        </w:rPr>
        <w:t>（二）消防系统设施维修保养及检测服务要求</w:t>
      </w:r>
    </w:p>
    <w:p>
      <w:pPr>
        <w:widowControl/>
        <w:tabs>
          <w:tab w:val="left" w:pos="360"/>
        </w:tabs>
        <w:adjustRightInd w:val="0"/>
        <w:snapToGrid w:val="0"/>
        <w:spacing w:line="360" w:lineRule="auto"/>
        <w:ind w:firstLine="560" w:firstLineChars="200"/>
        <w:jc w:val="lef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1.消防系统设施维修保养服务要求</w:t>
      </w:r>
    </w:p>
    <w:p>
      <w:pPr>
        <w:widowControl/>
        <w:tabs>
          <w:tab w:val="left" w:pos="360"/>
        </w:tabs>
        <w:adjustRightInd w:val="0"/>
        <w:snapToGrid w:val="0"/>
        <w:spacing w:line="360" w:lineRule="auto"/>
        <w:ind w:firstLine="560" w:firstLineChars="200"/>
        <w:jc w:val="left"/>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投标方项目负责人和维修保养人员应满足《社会消防技术服务管理规定》和《消防技术服务机构从业条件》的相关规定。投标方应按照《建筑消防系统的维护管理》（GB 25201-2010）、《单位消防安全管理》（DB 53/T 270—2017）等规程规范相关规定开展维修保养工作，不得出现违反《社会消防技术服务管理规定》相关规定的行为。投标方不得将本项目的维修保养工作进行转包、分包。</w:t>
      </w:r>
    </w:p>
    <w:p>
      <w:pPr>
        <w:widowControl/>
        <w:tabs>
          <w:tab w:val="left" w:pos="360"/>
        </w:tabs>
        <w:adjustRightInd w:val="0"/>
        <w:snapToGrid w:val="0"/>
        <w:spacing w:line="360" w:lineRule="auto"/>
        <w:ind w:firstLine="560" w:firstLineChars="200"/>
        <w:jc w:val="lef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2.故障响应服务</w:t>
      </w:r>
    </w:p>
    <w:tbl>
      <w:tblPr>
        <w:tblStyle w:val="11"/>
        <w:tblW w:w="10134"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130"/>
        <w:gridCol w:w="3402"/>
        <w:gridCol w:w="5602"/>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40" w:hRule="atLeast"/>
          <w:jc w:val="center"/>
        </w:trPr>
        <w:tc>
          <w:tcPr>
            <w:tcW w:w="1130" w:type="dxa"/>
            <w:tcBorders>
              <w:top w:val="single" w:color="auto" w:sz="4" w:space="0"/>
              <w:left w:val="single" w:color="auto" w:sz="4" w:space="0"/>
              <w:bottom w:val="single" w:color="auto" w:sz="4" w:space="0"/>
              <w:right w:val="single" w:color="auto" w:sz="4" w:space="0"/>
            </w:tcBorders>
            <w:vAlign w:val="center"/>
          </w:tcPr>
          <w:p>
            <w:pPr>
              <w:tabs>
                <w:tab w:val="left" w:pos="567"/>
              </w:tabs>
              <w:spacing w:line="360" w:lineRule="auto"/>
              <w:jc w:val="center"/>
              <w:rPr>
                <w:rFonts w:hint="eastAsia" w:ascii="仿宋_GB2312" w:hAnsi="仿宋_GB2312" w:eastAsia="仿宋_GB2312" w:cs="仿宋_GB2312"/>
                <w:b/>
                <w:bCs/>
                <w:sz w:val="24"/>
              </w:rPr>
            </w:pPr>
            <w:r>
              <w:rPr>
                <w:rFonts w:hint="eastAsia" w:ascii="仿宋_GB2312" w:hAnsi="仿宋_GB2312" w:eastAsia="仿宋_GB2312" w:cs="仿宋_GB2312"/>
                <w:b/>
                <w:bCs/>
                <w:sz w:val="24"/>
              </w:rPr>
              <w:t>故障级别</w:t>
            </w:r>
          </w:p>
        </w:tc>
        <w:tc>
          <w:tcPr>
            <w:tcW w:w="3402" w:type="dxa"/>
            <w:tcBorders>
              <w:top w:val="single" w:color="auto" w:sz="4" w:space="0"/>
              <w:left w:val="single" w:color="auto" w:sz="4" w:space="0"/>
              <w:bottom w:val="single" w:color="auto" w:sz="4" w:space="0"/>
              <w:right w:val="single" w:color="auto" w:sz="4" w:space="0"/>
            </w:tcBorders>
            <w:vAlign w:val="center"/>
          </w:tcPr>
          <w:p>
            <w:pPr>
              <w:tabs>
                <w:tab w:val="left" w:pos="567"/>
              </w:tabs>
              <w:spacing w:line="360" w:lineRule="auto"/>
              <w:jc w:val="center"/>
              <w:rPr>
                <w:rFonts w:hint="eastAsia" w:ascii="仿宋_GB2312" w:hAnsi="仿宋_GB2312" w:eastAsia="仿宋_GB2312" w:cs="仿宋_GB2312"/>
                <w:b/>
                <w:bCs/>
                <w:sz w:val="24"/>
              </w:rPr>
            </w:pPr>
            <w:r>
              <w:rPr>
                <w:rFonts w:hint="eastAsia" w:ascii="仿宋_GB2312" w:hAnsi="仿宋_GB2312" w:eastAsia="仿宋_GB2312" w:cs="仿宋_GB2312"/>
                <w:b/>
                <w:bCs/>
                <w:sz w:val="24"/>
              </w:rPr>
              <w:t>故障内容</w:t>
            </w:r>
          </w:p>
        </w:tc>
        <w:tc>
          <w:tcPr>
            <w:tcW w:w="5602" w:type="dxa"/>
            <w:tcBorders>
              <w:top w:val="single" w:color="auto" w:sz="4" w:space="0"/>
              <w:left w:val="single" w:color="auto" w:sz="4" w:space="0"/>
              <w:bottom w:val="single" w:color="auto" w:sz="4" w:space="0"/>
              <w:right w:val="single" w:color="auto" w:sz="4" w:space="0"/>
            </w:tcBorders>
            <w:vAlign w:val="center"/>
          </w:tcPr>
          <w:p>
            <w:pPr>
              <w:tabs>
                <w:tab w:val="left" w:pos="567"/>
              </w:tabs>
              <w:spacing w:line="360" w:lineRule="auto"/>
              <w:jc w:val="center"/>
              <w:rPr>
                <w:rFonts w:hint="eastAsia" w:ascii="仿宋_GB2312" w:hAnsi="仿宋_GB2312" w:eastAsia="仿宋_GB2312" w:cs="仿宋_GB2312"/>
                <w:b/>
                <w:bCs/>
                <w:sz w:val="24"/>
              </w:rPr>
            </w:pPr>
            <w:r>
              <w:rPr>
                <w:rFonts w:hint="eastAsia" w:ascii="仿宋_GB2312" w:hAnsi="仿宋_GB2312" w:eastAsia="仿宋_GB2312" w:cs="仿宋_GB2312"/>
                <w:b/>
                <w:bCs/>
                <w:sz w:val="24"/>
              </w:rPr>
              <w:t>响应时间及处理时限</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73" w:hRule="atLeast"/>
          <w:jc w:val="center"/>
        </w:trPr>
        <w:tc>
          <w:tcPr>
            <w:tcW w:w="1130" w:type="dxa"/>
            <w:tcBorders>
              <w:top w:val="single" w:color="auto" w:sz="4" w:space="0"/>
              <w:left w:val="single" w:color="auto" w:sz="4" w:space="0"/>
              <w:bottom w:val="single" w:color="auto" w:sz="4" w:space="0"/>
              <w:right w:val="single" w:color="auto" w:sz="4" w:space="0"/>
            </w:tcBorders>
            <w:vAlign w:val="center"/>
          </w:tcPr>
          <w:p>
            <w:pPr>
              <w:tabs>
                <w:tab w:val="left" w:pos="567"/>
              </w:tabs>
              <w:spacing w:line="360" w:lineRule="auto"/>
              <w:jc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I</w:t>
            </w:r>
          </w:p>
        </w:tc>
        <w:tc>
          <w:tcPr>
            <w:tcW w:w="3402" w:type="dxa"/>
            <w:tcBorders>
              <w:top w:val="single" w:color="auto" w:sz="4" w:space="0"/>
              <w:left w:val="single" w:color="auto" w:sz="4" w:space="0"/>
              <w:bottom w:val="single" w:color="auto" w:sz="4" w:space="0"/>
              <w:right w:val="single" w:color="auto" w:sz="4" w:space="0"/>
            </w:tcBorders>
            <w:vAlign w:val="center"/>
          </w:tcPr>
          <w:p>
            <w:pPr>
              <w:tabs>
                <w:tab w:val="left" w:pos="567"/>
              </w:tabs>
              <w:spacing w:line="360" w:lineRule="auto"/>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系统出现告警（故障、火警），影响局部（独立空间或办公室）运行安全</w:t>
            </w:r>
          </w:p>
        </w:tc>
        <w:tc>
          <w:tcPr>
            <w:tcW w:w="5602" w:type="dxa"/>
            <w:tcBorders>
              <w:top w:val="single" w:color="auto" w:sz="4" w:space="0"/>
              <w:left w:val="single" w:color="auto" w:sz="4" w:space="0"/>
              <w:bottom w:val="single" w:color="auto" w:sz="4" w:space="0"/>
              <w:right w:val="single" w:color="auto" w:sz="4" w:space="0"/>
            </w:tcBorders>
            <w:vAlign w:val="center"/>
          </w:tcPr>
          <w:p>
            <w:pPr>
              <w:tabs>
                <w:tab w:val="left" w:pos="567"/>
              </w:tabs>
              <w:spacing w:line="360" w:lineRule="auto"/>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2小时内到达现场；4小时内采取应急措施恢复系统运行,消除告警；24小时内故障处理完毕（需要购买设备的情况，以购买设备到场后时间计算）。</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2" w:hRule="atLeast"/>
          <w:jc w:val="center"/>
        </w:trPr>
        <w:tc>
          <w:tcPr>
            <w:tcW w:w="1130" w:type="dxa"/>
            <w:tcBorders>
              <w:top w:val="single" w:color="auto" w:sz="4" w:space="0"/>
              <w:left w:val="single" w:color="auto" w:sz="4" w:space="0"/>
              <w:bottom w:val="single" w:color="auto" w:sz="4" w:space="0"/>
              <w:right w:val="single" w:color="auto" w:sz="4" w:space="0"/>
            </w:tcBorders>
            <w:vAlign w:val="center"/>
          </w:tcPr>
          <w:p>
            <w:pPr>
              <w:tabs>
                <w:tab w:val="left" w:pos="567"/>
              </w:tabs>
              <w:spacing w:line="360" w:lineRule="auto"/>
              <w:jc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II</w:t>
            </w:r>
          </w:p>
        </w:tc>
        <w:tc>
          <w:tcPr>
            <w:tcW w:w="3402" w:type="dxa"/>
            <w:tcBorders>
              <w:top w:val="single" w:color="auto" w:sz="4" w:space="0"/>
              <w:left w:val="single" w:color="auto" w:sz="4" w:space="0"/>
              <w:bottom w:val="single" w:color="auto" w:sz="4" w:space="0"/>
              <w:right w:val="single" w:color="auto" w:sz="4" w:space="0"/>
            </w:tcBorders>
            <w:vAlign w:val="center"/>
          </w:tcPr>
          <w:p>
            <w:pPr>
              <w:tabs>
                <w:tab w:val="left" w:pos="567"/>
              </w:tabs>
              <w:spacing w:line="360" w:lineRule="auto"/>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出现部分设施告警，影响区域（楼层或防区）运行安全</w:t>
            </w:r>
          </w:p>
        </w:tc>
        <w:tc>
          <w:tcPr>
            <w:tcW w:w="5602" w:type="dxa"/>
            <w:tcBorders>
              <w:top w:val="single" w:color="auto" w:sz="4" w:space="0"/>
              <w:left w:val="single" w:color="auto" w:sz="4" w:space="0"/>
              <w:bottom w:val="single" w:color="auto" w:sz="4" w:space="0"/>
              <w:right w:val="single" w:color="auto" w:sz="4" w:space="0"/>
            </w:tcBorders>
            <w:vAlign w:val="center"/>
          </w:tcPr>
          <w:p>
            <w:pPr>
              <w:tabs>
                <w:tab w:val="left" w:pos="567"/>
              </w:tabs>
              <w:spacing w:line="360" w:lineRule="auto"/>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1小时内到达现场；4小时内采取应急措施恢复设施运行，消除告警；12小时内完成合同内清单设施更换，恢复设备运行（需要购买设备的情况，以购买设备到场后时间计算）。</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19" w:hRule="atLeast"/>
          <w:jc w:val="center"/>
        </w:trPr>
        <w:tc>
          <w:tcPr>
            <w:tcW w:w="1130" w:type="dxa"/>
            <w:tcBorders>
              <w:top w:val="single" w:color="auto" w:sz="4" w:space="0"/>
              <w:left w:val="single" w:color="auto" w:sz="4" w:space="0"/>
              <w:bottom w:val="single" w:color="auto" w:sz="4" w:space="0"/>
              <w:right w:val="single" w:color="auto" w:sz="4" w:space="0"/>
            </w:tcBorders>
            <w:vAlign w:val="center"/>
          </w:tcPr>
          <w:p>
            <w:pPr>
              <w:tabs>
                <w:tab w:val="left" w:pos="567"/>
              </w:tabs>
              <w:spacing w:line="360" w:lineRule="auto"/>
              <w:jc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III</w:t>
            </w:r>
          </w:p>
        </w:tc>
        <w:tc>
          <w:tcPr>
            <w:tcW w:w="3402" w:type="dxa"/>
            <w:tcBorders>
              <w:top w:val="single" w:color="auto" w:sz="4" w:space="0"/>
              <w:left w:val="single" w:color="auto" w:sz="4" w:space="0"/>
              <w:bottom w:val="single" w:color="auto" w:sz="4" w:space="0"/>
              <w:right w:val="single" w:color="auto" w:sz="4" w:space="0"/>
            </w:tcBorders>
            <w:vAlign w:val="center"/>
          </w:tcPr>
          <w:p>
            <w:pPr>
              <w:tabs>
                <w:tab w:val="left" w:pos="567"/>
              </w:tabs>
              <w:spacing w:line="360" w:lineRule="auto"/>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系统故障、停止运行</w:t>
            </w:r>
          </w:p>
        </w:tc>
        <w:tc>
          <w:tcPr>
            <w:tcW w:w="5602" w:type="dxa"/>
            <w:tcBorders>
              <w:top w:val="single" w:color="auto" w:sz="4" w:space="0"/>
              <w:left w:val="single" w:color="auto" w:sz="4" w:space="0"/>
              <w:bottom w:val="single" w:color="auto" w:sz="4" w:space="0"/>
              <w:right w:val="single" w:color="auto" w:sz="4" w:space="0"/>
            </w:tcBorders>
            <w:vAlign w:val="center"/>
          </w:tcPr>
          <w:p>
            <w:pPr>
              <w:tabs>
                <w:tab w:val="left" w:pos="567"/>
              </w:tabs>
              <w:spacing w:line="360" w:lineRule="auto"/>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1小时内到达现场；4小时内采取应急措施恢复系统运行；8小时内完成故障排查恢复设备运行（需要购买设备的情况，以购买设备到场后时间计算）。</w:t>
            </w:r>
          </w:p>
        </w:tc>
      </w:tr>
    </w:tbl>
    <w:p>
      <w:pPr>
        <w:tabs>
          <w:tab w:val="left" w:pos="7920"/>
        </w:tabs>
        <w:adjustRightInd w:val="0"/>
        <w:snapToGrid w:val="0"/>
        <w:spacing w:line="360" w:lineRule="auto"/>
        <w:ind w:firstLine="560" w:firstLineChars="200"/>
        <w:rPr>
          <w:rFonts w:hint="eastAsia" w:ascii="仿宋_GB2312" w:hAnsi="仿宋_GB2312" w:eastAsia="仿宋_GB2312" w:cs="仿宋_GB2312"/>
          <w:bCs/>
          <w:sz w:val="28"/>
          <w:szCs w:val="28"/>
          <w:highlight w:val="none"/>
        </w:rPr>
      </w:pPr>
      <w:r>
        <w:rPr>
          <w:rFonts w:hint="eastAsia" w:ascii="仿宋_GB2312" w:hAnsi="仿宋_GB2312" w:eastAsia="仿宋_GB2312" w:cs="仿宋_GB2312"/>
          <w:bCs/>
          <w:sz w:val="28"/>
          <w:szCs w:val="28"/>
          <w:highlight w:val="none"/>
        </w:rPr>
        <w:t>特别说明：招标方委托的第三方现场值班人员发现系统主机告警情形，不论是否属于误报（故障、火警），即值班人员现场对主机复位可以消除告警，仍拨打故障报修电话并在故障记录本上作好相应记录，维保人员到达后对现场进行检查处理并作好记录，考核按现场实际响应记录为准。</w:t>
      </w:r>
    </w:p>
    <w:p>
      <w:pPr>
        <w:tabs>
          <w:tab w:val="left" w:pos="360"/>
        </w:tabs>
        <w:adjustRightInd w:val="0"/>
        <w:snapToGrid w:val="0"/>
        <w:spacing w:line="360" w:lineRule="auto"/>
        <w:ind w:firstLine="560" w:firstLineChars="200"/>
        <w:jc w:val="left"/>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3.专项约定</w:t>
      </w:r>
    </w:p>
    <w:p>
      <w:pPr>
        <w:tabs>
          <w:tab w:val="left" w:pos="7920"/>
        </w:tabs>
        <w:adjustRightInd w:val="0"/>
        <w:snapToGrid w:val="0"/>
        <w:spacing w:line="360" w:lineRule="auto"/>
        <w:ind w:firstLine="560" w:firstLineChars="200"/>
        <w:rPr>
          <w:rFonts w:hint="eastAsia" w:ascii="仿宋_GB2312" w:hAnsi="仿宋_GB2312" w:eastAsia="仿宋_GB2312" w:cs="仿宋_GB2312"/>
          <w:bCs/>
          <w:sz w:val="28"/>
          <w:szCs w:val="28"/>
          <w:highlight w:val="none"/>
        </w:rPr>
      </w:pPr>
      <w:r>
        <w:rPr>
          <w:rFonts w:hint="eastAsia" w:ascii="仿宋_GB2312" w:hAnsi="仿宋_GB2312" w:eastAsia="仿宋_GB2312" w:cs="仿宋_GB2312"/>
          <w:bCs/>
          <w:sz w:val="28"/>
          <w:szCs w:val="28"/>
          <w:highlight w:val="none"/>
        </w:rPr>
        <w:t>（1）每年</w:t>
      </w:r>
      <w:r>
        <w:rPr>
          <w:rFonts w:hint="eastAsia" w:ascii="仿宋_GB2312" w:hAnsi="仿宋_GB2312" w:eastAsia="仿宋_GB2312" w:cs="仿宋_GB2312"/>
          <w:bCs/>
          <w:sz w:val="28"/>
          <w:szCs w:val="28"/>
          <w:highlight w:val="none"/>
          <w:u w:val="single"/>
        </w:rPr>
        <w:t>2</w:t>
      </w:r>
      <w:r>
        <w:rPr>
          <w:rFonts w:hint="eastAsia" w:ascii="仿宋_GB2312" w:hAnsi="仿宋_GB2312" w:eastAsia="仿宋_GB2312" w:cs="仿宋_GB2312"/>
          <w:bCs/>
          <w:sz w:val="28"/>
          <w:szCs w:val="28"/>
          <w:highlight w:val="none"/>
        </w:rPr>
        <w:t>次配合委托方对各场所进行消防现场应急处置方案培训及消防演练工作，指导志愿消防员进行消防安全知识培训。</w:t>
      </w:r>
    </w:p>
    <w:p>
      <w:pPr>
        <w:tabs>
          <w:tab w:val="left" w:pos="7920"/>
        </w:tabs>
        <w:adjustRightInd w:val="0"/>
        <w:snapToGrid w:val="0"/>
        <w:spacing w:line="360" w:lineRule="auto"/>
        <w:ind w:firstLine="560" w:firstLineChars="200"/>
        <w:rPr>
          <w:rFonts w:hint="eastAsia" w:ascii="仿宋_GB2312" w:hAnsi="仿宋_GB2312" w:eastAsia="仿宋_GB2312" w:cs="仿宋_GB2312"/>
          <w:bCs/>
          <w:sz w:val="28"/>
          <w:szCs w:val="28"/>
          <w:highlight w:val="none"/>
        </w:rPr>
      </w:pPr>
      <w:r>
        <w:rPr>
          <w:rFonts w:hint="eastAsia" w:ascii="仿宋_GB2312" w:hAnsi="仿宋_GB2312" w:eastAsia="仿宋_GB2312" w:cs="仿宋_GB2312"/>
          <w:bCs/>
          <w:sz w:val="28"/>
          <w:szCs w:val="28"/>
          <w:highlight w:val="none"/>
        </w:rPr>
        <w:t>（2）按属地地区公安消防管理的相关要求，出具的月度消防《维保报告》符合规定并按要求上传至属地“社会消防技术服务平台”备案并通过审核，同步传送到属地“社会消防安全管理”联网单位平台。</w:t>
      </w:r>
    </w:p>
    <w:p>
      <w:pPr>
        <w:tabs>
          <w:tab w:val="left" w:pos="7920"/>
        </w:tabs>
        <w:adjustRightInd w:val="0"/>
        <w:snapToGrid w:val="0"/>
        <w:spacing w:line="360" w:lineRule="auto"/>
        <w:ind w:firstLine="560" w:firstLineChars="200"/>
        <w:rPr>
          <w:rFonts w:hint="eastAsia" w:ascii="仿宋_GB2312" w:hAnsi="仿宋_GB2312" w:eastAsia="仿宋_GB2312" w:cs="仿宋_GB2312"/>
          <w:bCs/>
          <w:sz w:val="28"/>
          <w:szCs w:val="28"/>
          <w:highlight w:val="none"/>
        </w:rPr>
      </w:pPr>
      <w:r>
        <w:rPr>
          <w:rFonts w:hint="eastAsia" w:ascii="仿宋_GB2312" w:hAnsi="仿宋_GB2312" w:eastAsia="仿宋_GB2312" w:cs="仿宋_GB2312"/>
          <w:bCs/>
          <w:sz w:val="28"/>
          <w:szCs w:val="28"/>
          <w:highlight w:val="none"/>
        </w:rPr>
        <w:t>（3）地方消防管理部门会根据消防法有关规定在地方适时进行一些强制性试点工作，投标方必须按消防管理部门要求作好相关工作（如：网上平台资料数据填报、配合消防安全检查等）。</w:t>
      </w:r>
    </w:p>
    <w:p>
      <w:pPr>
        <w:tabs>
          <w:tab w:val="left" w:pos="7920"/>
        </w:tabs>
        <w:adjustRightInd w:val="0"/>
        <w:snapToGrid w:val="0"/>
        <w:spacing w:line="360" w:lineRule="auto"/>
        <w:ind w:firstLine="560" w:firstLineChars="200"/>
        <w:rPr>
          <w:rFonts w:hint="eastAsia" w:ascii="仿宋_GB2312" w:hAnsi="仿宋_GB2312" w:eastAsia="仿宋_GB2312" w:cs="仿宋_GB2312"/>
          <w:bCs/>
          <w:sz w:val="28"/>
          <w:szCs w:val="28"/>
          <w:highlight w:val="none"/>
        </w:rPr>
      </w:pPr>
      <w:r>
        <w:rPr>
          <w:rFonts w:hint="eastAsia" w:ascii="仿宋_GB2312" w:hAnsi="仿宋_GB2312" w:eastAsia="仿宋_GB2312" w:cs="仿宋_GB2312"/>
          <w:bCs/>
          <w:sz w:val="28"/>
          <w:szCs w:val="28"/>
          <w:highlight w:val="none"/>
        </w:rPr>
        <w:t>（4）对招标方提出的新增或改造项目需积极配合，属于现有服务清单内项目按投标价执行。</w:t>
      </w:r>
    </w:p>
    <w:p>
      <w:pPr>
        <w:tabs>
          <w:tab w:val="left" w:pos="7920"/>
        </w:tabs>
        <w:adjustRightInd w:val="0"/>
        <w:snapToGrid w:val="0"/>
        <w:spacing w:line="360" w:lineRule="auto"/>
        <w:ind w:firstLine="560" w:firstLineChars="200"/>
        <w:rPr>
          <w:rFonts w:hint="eastAsia" w:ascii="仿宋_GB2312" w:hAnsi="仿宋_GB2312" w:eastAsia="仿宋_GB2312" w:cs="仿宋_GB2312"/>
          <w:bCs/>
          <w:sz w:val="28"/>
          <w:szCs w:val="28"/>
          <w:highlight w:val="none"/>
        </w:rPr>
      </w:pPr>
      <w:r>
        <w:rPr>
          <w:rFonts w:hint="eastAsia" w:ascii="仿宋_GB2312" w:hAnsi="仿宋_GB2312" w:eastAsia="仿宋_GB2312" w:cs="仿宋_GB2312"/>
          <w:bCs/>
          <w:sz w:val="28"/>
          <w:szCs w:val="28"/>
          <w:highlight w:val="none"/>
        </w:rPr>
        <w:t>（5）投标方按消防设计要求，集中全面对各个系统进行一次综合性调试及检测工作并出具符合消防平台上传要求的《检测报告》。</w:t>
      </w:r>
    </w:p>
    <w:p>
      <w:pPr>
        <w:tabs>
          <w:tab w:val="left" w:pos="7920"/>
        </w:tabs>
        <w:adjustRightInd w:val="0"/>
        <w:snapToGrid w:val="0"/>
        <w:spacing w:line="360" w:lineRule="auto"/>
        <w:ind w:firstLine="560" w:firstLineChars="200"/>
        <w:rPr>
          <w:rFonts w:hint="eastAsia" w:ascii="仿宋_GB2312" w:hAnsi="仿宋_GB2312" w:eastAsia="仿宋_GB2312" w:cs="仿宋_GB2312"/>
          <w:bCs/>
          <w:sz w:val="28"/>
          <w:szCs w:val="28"/>
          <w:highlight w:val="none"/>
        </w:rPr>
      </w:pPr>
      <w:r>
        <w:rPr>
          <w:rFonts w:hint="eastAsia" w:ascii="仿宋_GB2312" w:hAnsi="仿宋_GB2312" w:eastAsia="仿宋_GB2312" w:cs="仿宋_GB2312"/>
          <w:bCs/>
          <w:sz w:val="28"/>
          <w:szCs w:val="28"/>
          <w:highlight w:val="none"/>
        </w:rPr>
        <w:t>（6）协助招标方与地方公安消防管理部门沟通、联系协调工作。</w:t>
      </w:r>
    </w:p>
    <w:p>
      <w:pPr>
        <w:tabs>
          <w:tab w:val="left" w:pos="7920"/>
        </w:tabs>
        <w:adjustRightInd w:val="0"/>
        <w:snapToGrid w:val="0"/>
        <w:spacing w:line="360" w:lineRule="auto"/>
        <w:ind w:firstLine="560" w:firstLineChars="200"/>
        <w:rPr>
          <w:rFonts w:hint="eastAsia" w:ascii="仿宋_GB2312" w:hAnsi="仿宋_GB2312" w:eastAsia="仿宋_GB2312" w:cs="仿宋_GB2312"/>
          <w:sz w:val="28"/>
          <w:szCs w:val="28"/>
          <w:highlight w:val="none"/>
        </w:rPr>
      </w:pPr>
      <w:r>
        <w:rPr>
          <w:rFonts w:hint="eastAsia" w:ascii="仿宋_GB2312" w:hAnsi="仿宋_GB2312" w:eastAsia="仿宋_GB2312" w:cs="仿宋_GB2312"/>
          <w:bCs/>
          <w:sz w:val="28"/>
          <w:szCs w:val="28"/>
          <w:highlight w:val="none"/>
        </w:rPr>
        <w:t>（7）对日常维保过程中发现需维修或更换的设备设施或零部件，属于《投标方负责更换维修故障或损坏消防设备设施或零部件清单》（详见附录1）中的，由投标方负责维修或更换，所需辅材由投标方免费提供，投标方按此清单提供的报价中应包含相应服务费用。其中，</w:t>
      </w:r>
      <w:r>
        <w:rPr>
          <w:rFonts w:hint="eastAsia" w:ascii="仿宋_GB2312" w:hAnsi="仿宋_GB2312" w:eastAsia="仿宋_GB2312" w:cs="仿宋_GB2312"/>
          <w:b/>
          <w:sz w:val="28"/>
          <w:szCs w:val="28"/>
          <w:highlight w:val="none"/>
        </w:rPr>
        <w:t>单次更换维修故障或损坏消防设备设施或零部件费用在500元及以下的，由投标方免费进行维修或更换，全年总费用不超过5000元，超过部分按乙方报价进行据实结算。</w:t>
      </w:r>
    </w:p>
    <w:p>
      <w:pPr>
        <w:tabs>
          <w:tab w:val="left" w:pos="360"/>
        </w:tabs>
        <w:adjustRightInd w:val="0"/>
        <w:snapToGrid w:val="0"/>
        <w:spacing w:line="360" w:lineRule="auto"/>
        <w:ind w:firstLine="560" w:firstLineChars="200"/>
        <w:jc w:val="left"/>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4.现场应急处理措施</w:t>
      </w:r>
    </w:p>
    <w:p>
      <w:pPr>
        <w:tabs>
          <w:tab w:val="left" w:pos="7920"/>
        </w:tabs>
        <w:adjustRightInd w:val="0"/>
        <w:snapToGrid w:val="0"/>
        <w:spacing w:line="360" w:lineRule="auto"/>
        <w:ind w:firstLine="560" w:firstLineChars="200"/>
        <w:rPr>
          <w:rFonts w:hint="eastAsia" w:ascii="仿宋_GB2312" w:hAnsi="仿宋_GB2312" w:eastAsia="仿宋_GB2312" w:cs="仿宋_GB2312"/>
          <w:bCs/>
          <w:sz w:val="28"/>
          <w:szCs w:val="28"/>
          <w:highlight w:val="none"/>
        </w:rPr>
      </w:pPr>
      <w:r>
        <w:rPr>
          <w:rFonts w:hint="eastAsia" w:ascii="仿宋_GB2312" w:hAnsi="仿宋_GB2312" w:eastAsia="仿宋_GB2312" w:cs="仿宋_GB2312"/>
          <w:bCs/>
          <w:sz w:val="28"/>
          <w:szCs w:val="28"/>
          <w:highlight w:val="none"/>
        </w:rPr>
        <w:t>投标方在实施日常维修保养作业过程中，需遵守各项安全规定，编制安全事故应急预案措施和维保事故应急预案措施交委托方备案。</w:t>
      </w:r>
    </w:p>
    <w:p>
      <w:pPr>
        <w:tabs>
          <w:tab w:val="left" w:pos="7920"/>
        </w:tabs>
        <w:adjustRightInd w:val="0"/>
        <w:snapToGrid w:val="0"/>
        <w:spacing w:line="360" w:lineRule="auto"/>
        <w:ind w:firstLine="560" w:firstLineChars="200"/>
        <w:rPr>
          <w:rFonts w:hint="eastAsia" w:ascii="仿宋_GB2312" w:hAnsi="仿宋_GB2312" w:eastAsia="仿宋_GB2312" w:cs="仿宋_GB2312"/>
          <w:bCs/>
          <w:sz w:val="28"/>
          <w:szCs w:val="28"/>
          <w:highlight w:val="none"/>
        </w:rPr>
      </w:pPr>
      <w:r>
        <w:rPr>
          <w:rFonts w:hint="eastAsia" w:ascii="仿宋_GB2312" w:hAnsi="仿宋_GB2312" w:eastAsia="仿宋_GB2312" w:cs="仿宋_GB2312"/>
          <w:bCs/>
          <w:sz w:val="28"/>
          <w:szCs w:val="28"/>
          <w:highlight w:val="none"/>
        </w:rPr>
        <w:t>5.作业时间</w:t>
      </w:r>
    </w:p>
    <w:p>
      <w:pPr>
        <w:tabs>
          <w:tab w:val="left" w:pos="7920"/>
        </w:tabs>
        <w:adjustRightInd w:val="0"/>
        <w:snapToGrid w:val="0"/>
        <w:spacing w:line="360" w:lineRule="auto"/>
        <w:ind w:firstLine="560" w:firstLineChars="200"/>
        <w:rPr>
          <w:rFonts w:hint="eastAsia" w:ascii="仿宋_GB2312" w:hAnsi="仿宋_GB2312" w:eastAsia="仿宋_GB2312" w:cs="仿宋_GB2312"/>
          <w:bCs/>
          <w:sz w:val="28"/>
          <w:szCs w:val="28"/>
          <w:highlight w:val="none"/>
        </w:rPr>
      </w:pPr>
      <w:r>
        <w:rPr>
          <w:rFonts w:hint="eastAsia" w:ascii="仿宋_GB2312" w:hAnsi="仿宋_GB2312" w:eastAsia="仿宋_GB2312" w:cs="仿宋_GB2312"/>
          <w:bCs/>
          <w:sz w:val="28"/>
          <w:szCs w:val="28"/>
          <w:highlight w:val="none"/>
        </w:rPr>
        <w:t>（1）作业时间：故障维修按故障响应服务时间要求到达现场进行维修作业，例行保养作业统一安排在非正常上班时段（或不影响正常办公）进行，穿公司统一制服，所有作业均不得影响正常办公秩序（紧急维修除外）。</w:t>
      </w:r>
    </w:p>
    <w:p>
      <w:pPr>
        <w:tabs>
          <w:tab w:val="left" w:pos="7920"/>
        </w:tabs>
        <w:adjustRightInd w:val="0"/>
        <w:snapToGrid w:val="0"/>
        <w:spacing w:line="360" w:lineRule="auto"/>
        <w:ind w:firstLine="560" w:firstLineChars="200"/>
        <w:rPr>
          <w:rFonts w:hint="eastAsia" w:ascii="仿宋_GB2312" w:hAnsi="仿宋_GB2312" w:eastAsia="仿宋_GB2312" w:cs="仿宋_GB2312"/>
          <w:bCs/>
          <w:sz w:val="28"/>
          <w:szCs w:val="28"/>
          <w:highlight w:val="none"/>
        </w:rPr>
      </w:pPr>
      <w:r>
        <w:rPr>
          <w:rFonts w:hint="eastAsia" w:ascii="仿宋_GB2312" w:hAnsi="仿宋_GB2312" w:eastAsia="仿宋_GB2312" w:cs="仿宋_GB2312"/>
          <w:bCs/>
          <w:sz w:val="28"/>
          <w:szCs w:val="28"/>
          <w:highlight w:val="none"/>
        </w:rPr>
        <w:t>（2）维保作业招标方不提供任何工器具，投标方需结合现场实际配备工器具，不能因没有工具延缓故障处理。</w:t>
      </w:r>
    </w:p>
    <w:p>
      <w:pPr>
        <w:tabs>
          <w:tab w:val="left" w:pos="7920"/>
        </w:tabs>
        <w:adjustRightInd w:val="0"/>
        <w:snapToGrid w:val="0"/>
        <w:spacing w:line="360" w:lineRule="auto"/>
        <w:ind w:firstLine="560" w:firstLineChars="200"/>
        <w:rPr>
          <w:rFonts w:hint="eastAsia" w:ascii="仿宋_GB2312" w:hAnsi="仿宋_GB2312" w:eastAsia="仿宋_GB2312" w:cs="仿宋_GB2312"/>
          <w:bCs/>
          <w:sz w:val="28"/>
          <w:szCs w:val="28"/>
          <w:highlight w:val="none"/>
        </w:rPr>
      </w:pPr>
      <w:r>
        <w:rPr>
          <w:rFonts w:hint="eastAsia" w:ascii="仿宋_GB2312" w:hAnsi="仿宋_GB2312" w:eastAsia="仿宋_GB2312" w:cs="仿宋_GB2312"/>
          <w:bCs/>
          <w:sz w:val="28"/>
          <w:szCs w:val="28"/>
          <w:highlight w:val="none"/>
        </w:rPr>
        <w:t>6.资料要求</w:t>
      </w:r>
    </w:p>
    <w:p>
      <w:pPr>
        <w:tabs>
          <w:tab w:val="left" w:pos="7920"/>
        </w:tabs>
        <w:adjustRightInd w:val="0"/>
        <w:snapToGrid w:val="0"/>
        <w:spacing w:line="360" w:lineRule="auto"/>
        <w:ind w:firstLine="560" w:firstLineChars="200"/>
        <w:rPr>
          <w:rFonts w:hint="eastAsia" w:ascii="仿宋_GB2312" w:hAnsi="仿宋_GB2312" w:eastAsia="仿宋_GB2312" w:cs="仿宋_GB2312"/>
          <w:bCs/>
          <w:sz w:val="28"/>
          <w:szCs w:val="28"/>
          <w:highlight w:val="none"/>
        </w:rPr>
      </w:pPr>
      <w:r>
        <w:rPr>
          <w:rFonts w:hint="eastAsia" w:ascii="仿宋_GB2312" w:hAnsi="仿宋_GB2312" w:eastAsia="仿宋_GB2312" w:cs="仿宋_GB2312"/>
          <w:bCs/>
          <w:sz w:val="28"/>
          <w:szCs w:val="28"/>
          <w:highlight w:val="none"/>
        </w:rPr>
        <w:t>（1）按照合同保养约定要求，编制年度总体保养工作计划，并分解编制月、年度保养工作计划，于每月前一周提交。</w:t>
      </w:r>
    </w:p>
    <w:p>
      <w:pPr>
        <w:tabs>
          <w:tab w:val="left" w:pos="7920"/>
        </w:tabs>
        <w:adjustRightInd w:val="0"/>
        <w:snapToGrid w:val="0"/>
        <w:spacing w:line="360" w:lineRule="auto"/>
        <w:ind w:firstLine="560" w:firstLineChars="200"/>
        <w:rPr>
          <w:rFonts w:hint="eastAsia" w:ascii="仿宋_GB2312" w:hAnsi="仿宋_GB2312" w:eastAsia="仿宋_GB2312" w:cs="仿宋_GB2312"/>
          <w:bCs/>
          <w:sz w:val="28"/>
          <w:szCs w:val="28"/>
          <w:highlight w:val="none"/>
        </w:rPr>
      </w:pPr>
      <w:r>
        <w:rPr>
          <w:rFonts w:hint="eastAsia" w:ascii="仿宋_GB2312" w:hAnsi="仿宋_GB2312" w:eastAsia="仿宋_GB2312" w:cs="仿宋_GB2312"/>
          <w:bCs/>
          <w:sz w:val="28"/>
          <w:szCs w:val="28"/>
          <w:highlight w:val="none"/>
        </w:rPr>
        <w:t>（2）按照保养工作内容汇总编制当月、年度保养工作总结，分别于次月第一周提交。</w:t>
      </w:r>
    </w:p>
    <w:p>
      <w:pPr>
        <w:tabs>
          <w:tab w:val="left" w:pos="7920"/>
        </w:tabs>
        <w:adjustRightInd w:val="0"/>
        <w:snapToGrid w:val="0"/>
        <w:spacing w:line="360" w:lineRule="auto"/>
        <w:ind w:firstLine="560" w:firstLineChars="200"/>
        <w:rPr>
          <w:rFonts w:hint="eastAsia" w:ascii="仿宋_GB2312" w:hAnsi="仿宋_GB2312" w:eastAsia="仿宋_GB2312" w:cs="仿宋_GB2312"/>
          <w:bCs/>
          <w:sz w:val="28"/>
          <w:szCs w:val="28"/>
          <w:highlight w:val="none"/>
        </w:rPr>
      </w:pPr>
      <w:r>
        <w:rPr>
          <w:rFonts w:hint="eastAsia" w:ascii="仿宋_GB2312" w:hAnsi="仿宋_GB2312" w:eastAsia="仿宋_GB2312" w:cs="仿宋_GB2312"/>
          <w:bCs/>
          <w:sz w:val="28"/>
          <w:szCs w:val="28"/>
          <w:highlight w:val="none"/>
        </w:rPr>
        <w:t>（3）投标方需按照国家消防法规相关规定，结合项目消防实施情况，编制各种类别的巡视、维修、保养等相关表单并印刷装订成册，协助招标方建立、完善消防档案台账。</w:t>
      </w:r>
    </w:p>
    <w:p>
      <w:pPr>
        <w:tabs>
          <w:tab w:val="left" w:pos="7920"/>
        </w:tabs>
        <w:adjustRightInd w:val="0"/>
        <w:snapToGrid w:val="0"/>
        <w:spacing w:line="360" w:lineRule="auto"/>
        <w:ind w:firstLine="562" w:firstLineChars="200"/>
        <w:rPr>
          <w:rFonts w:hint="eastAsia" w:ascii="楷体_GB2312" w:hAnsi="楷体_GB2312" w:eastAsia="楷体_GB2312" w:cs="楷体_GB2312"/>
          <w:sz w:val="28"/>
          <w:szCs w:val="28"/>
          <w:highlight w:val="none"/>
        </w:rPr>
      </w:pPr>
      <w:r>
        <w:rPr>
          <w:rFonts w:hint="eastAsia" w:ascii="楷体_GB2312" w:hAnsi="楷体_GB2312" w:eastAsia="楷体_GB2312" w:cs="楷体_GB2312"/>
          <w:b/>
          <w:bCs/>
          <w:sz w:val="28"/>
          <w:szCs w:val="28"/>
          <w:highlight w:val="none"/>
        </w:rPr>
        <w:t>（三）消防系统设施检测服务要求</w:t>
      </w:r>
    </w:p>
    <w:p>
      <w:pPr>
        <w:tabs>
          <w:tab w:val="left" w:pos="7920"/>
        </w:tabs>
        <w:adjustRightInd w:val="0"/>
        <w:snapToGrid w:val="0"/>
        <w:spacing w:line="360" w:lineRule="auto"/>
        <w:ind w:firstLine="560" w:firstLineChars="200"/>
        <w:rPr>
          <w:rFonts w:hint="eastAsia" w:ascii="仿宋_GB2312" w:hAnsi="仿宋_GB2312" w:eastAsia="仿宋_GB2312" w:cs="仿宋_GB2312"/>
          <w:bCs/>
          <w:sz w:val="28"/>
          <w:szCs w:val="28"/>
          <w:highlight w:val="none"/>
        </w:rPr>
      </w:pPr>
      <w:r>
        <w:rPr>
          <w:rFonts w:hint="eastAsia" w:ascii="仿宋_GB2312" w:hAnsi="仿宋_GB2312" w:eastAsia="仿宋_GB2312" w:cs="仿宋_GB2312"/>
          <w:bCs/>
          <w:sz w:val="28"/>
          <w:szCs w:val="28"/>
          <w:highlight w:val="none"/>
        </w:rPr>
        <w:t>1.投标方的检测工作应按照《建筑消防系统检测技术规程》（GA503-2004 503）相关规定开展，公平公正出具检测报告，不得出现违反《社会消防技术服务管理规定》第十六条规定的行为。</w:t>
      </w:r>
    </w:p>
    <w:p>
      <w:pPr>
        <w:tabs>
          <w:tab w:val="left" w:pos="7920"/>
        </w:tabs>
        <w:adjustRightInd w:val="0"/>
        <w:snapToGrid w:val="0"/>
        <w:spacing w:line="360" w:lineRule="auto"/>
        <w:ind w:firstLine="560" w:firstLineChars="200"/>
        <w:rPr>
          <w:rFonts w:hint="eastAsia" w:ascii="仿宋_GB2312" w:hAnsi="仿宋_GB2312" w:eastAsia="仿宋_GB2312" w:cs="仿宋_GB2312"/>
          <w:bCs/>
          <w:sz w:val="28"/>
          <w:szCs w:val="28"/>
          <w:highlight w:val="none"/>
        </w:rPr>
      </w:pPr>
      <w:r>
        <w:rPr>
          <w:rFonts w:hint="eastAsia" w:ascii="仿宋_GB2312" w:hAnsi="仿宋_GB2312" w:eastAsia="仿宋_GB2312" w:cs="仿宋_GB2312"/>
          <w:bCs/>
          <w:sz w:val="28"/>
          <w:szCs w:val="28"/>
          <w:highlight w:val="none"/>
        </w:rPr>
        <w:t>2.投标方对招标方的消防系统每年开展一次全面检测，检测对象包括系统全部设备设施，每年检测完毕后应出具检测报告，确保完好有效，检测记录应当完整准确，存档备查。</w:t>
      </w:r>
    </w:p>
    <w:p>
      <w:pPr>
        <w:tabs>
          <w:tab w:val="left" w:pos="7920"/>
        </w:tabs>
        <w:adjustRightInd w:val="0"/>
        <w:snapToGrid w:val="0"/>
        <w:spacing w:line="360" w:lineRule="auto"/>
        <w:ind w:firstLine="560" w:firstLineChars="200"/>
        <w:rPr>
          <w:rFonts w:hint="eastAsia" w:ascii="仿宋_GB2312" w:hAnsi="仿宋_GB2312" w:eastAsia="仿宋_GB2312" w:cs="仿宋_GB2312"/>
          <w:bCs/>
          <w:sz w:val="28"/>
          <w:szCs w:val="28"/>
          <w:highlight w:val="none"/>
        </w:rPr>
      </w:pPr>
      <w:r>
        <w:rPr>
          <w:rFonts w:hint="eastAsia" w:ascii="仿宋_GB2312" w:hAnsi="仿宋_GB2312" w:eastAsia="仿宋_GB2312" w:cs="仿宋_GB2312"/>
          <w:bCs/>
          <w:sz w:val="28"/>
          <w:szCs w:val="28"/>
          <w:highlight w:val="none"/>
        </w:rPr>
        <w:t>3.投标方应按照年度检测提出的整改建议核查招标方的消防系统是否满足要求，对不满足要求的内容须进行及时整改，若不满足要求的内容不在消防系统维护保养范围内，则由投标方向招标方提出可行性的整改方案或建议。因投标方维保不到位导致检测结论为不合格，整改及再次检测的费用由投标方承担，直至检测结论为合格。</w:t>
      </w:r>
    </w:p>
    <w:p>
      <w:pPr>
        <w:tabs>
          <w:tab w:val="left" w:pos="7920"/>
        </w:tabs>
        <w:adjustRightInd w:val="0"/>
        <w:snapToGrid w:val="0"/>
        <w:spacing w:line="360" w:lineRule="auto"/>
        <w:ind w:firstLine="560" w:firstLineChars="200"/>
        <w:outlineLvl w:val="0"/>
        <w:rPr>
          <w:rFonts w:hint="eastAsia" w:ascii="黑体" w:hAnsi="黑体" w:eastAsia="黑体" w:cs="黑体"/>
          <w:bCs/>
          <w:sz w:val="28"/>
          <w:szCs w:val="28"/>
          <w:highlight w:val="none"/>
        </w:rPr>
      </w:pPr>
      <w:bookmarkStart w:id="20" w:name="_Toc2983"/>
      <w:r>
        <w:rPr>
          <w:rFonts w:hint="eastAsia" w:ascii="黑体" w:hAnsi="黑体" w:eastAsia="黑体" w:cs="黑体"/>
          <w:bCs/>
          <w:sz w:val="28"/>
          <w:szCs w:val="28"/>
          <w:highlight w:val="none"/>
          <w:lang w:val="en-US" w:eastAsia="zh-CN"/>
        </w:rPr>
        <w:t>六</w:t>
      </w:r>
      <w:r>
        <w:rPr>
          <w:rFonts w:hint="eastAsia" w:ascii="黑体" w:hAnsi="黑体" w:eastAsia="黑体" w:cs="黑体"/>
          <w:bCs/>
          <w:sz w:val="28"/>
          <w:szCs w:val="28"/>
          <w:highlight w:val="none"/>
        </w:rPr>
        <w:t>、实施方法及质量标准要求</w:t>
      </w:r>
      <w:bookmarkEnd w:id="20"/>
    </w:p>
    <w:p>
      <w:pPr>
        <w:tabs>
          <w:tab w:val="left" w:pos="360"/>
        </w:tabs>
        <w:adjustRightInd w:val="0"/>
        <w:snapToGrid w:val="0"/>
        <w:spacing w:line="360" w:lineRule="auto"/>
        <w:ind w:firstLine="562" w:firstLineChars="200"/>
        <w:jc w:val="left"/>
        <w:rPr>
          <w:rFonts w:hint="eastAsia" w:ascii="楷体_GB2312" w:hAnsi="楷体_GB2312" w:eastAsia="楷体_GB2312" w:cs="楷体_GB2312"/>
          <w:b/>
          <w:bCs/>
          <w:sz w:val="28"/>
          <w:szCs w:val="28"/>
          <w:highlight w:val="none"/>
        </w:rPr>
      </w:pPr>
      <w:r>
        <w:rPr>
          <w:rFonts w:hint="eastAsia" w:ascii="楷体_GB2312" w:hAnsi="楷体_GB2312" w:eastAsia="楷体_GB2312" w:cs="楷体_GB2312"/>
          <w:b/>
          <w:bCs/>
          <w:sz w:val="28"/>
          <w:szCs w:val="28"/>
          <w:highlight w:val="none"/>
        </w:rPr>
        <w:t>（一）维护方法及标准</w:t>
      </w:r>
    </w:p>
    <w:p>
      <w:pPr>
        <w:tabs>
          <w:tab w:val="left" w:pos="360"/>
        </w:tabs>
        <w:adjustRightInd w:val="0"/>
        <w:snapToGrid w:val="0"/>
        <w:spacing w:line="360" w:lineRule="auto"/>
        <w:ind w:firstLine="560" w:firstLineChars="200"/>
        <w:jc w:val="left"/>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1、火灾自动报警系统</w:t>
      </w:r>
    </w:p>
    <w:tbl>
      <w:tblPr>
        <w:tblStyle w:val="11"/>
        <w:tblpPr w:leftFromText="180" w:rightFromText="180" w:vertAnchor="text" w:tblpXSpec="center" w:tblpY="1"/>
        <w:tblOverlap w:val="never"/>
        <w:tblW w:w="100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38"/>
        <w:gridCol w:w="3870"/>
        <w:gridCol w:w="2595"/>
        <w:gridCol w:w="220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1338" w:type="dxa"/>
            <w:vAlign w:val="center"/>
          </w:tcPr>
          <w:p>
            <w:pPr>
              <w:spacing w:line="360" w:lineRule="auto"/>
              <w:jc w:val="center"/>
              <w:rPr>
                <w:rFonts w:hint="eastAsia" w:ascii="仿宋_GB2312" w:hAnsi="仿宋_GB2312" w:eastAsia="仿宋_GB2312" w:cs="仿宋_GB2312"/>
                <w:b/>
                <w:bCs/>
                <w:sz w:val="24"/>
                <w:highlight w:val="none"/>
              </w:rPr>
            </w:pPr>
            <w:r>
              <w:rPr>
                <w:rFonts w:hint="eastAsia" w:ascii="仿宋_GB2312" w:hAnsi="仿宋_GB2312" w:eastAsia="仿宋_GB2312" w:cs="仿宋_GB2312"/>
                <w:b/>
                <w:bCs/>
                <w:sz w:val="24"/>
                <w:highlight w:val="none"/>
              </w:rPr>
              <w:t>维护项目</w:t>
            </w:r>
          </w:p>
        </w:tc>
        <w:tc>
          <w:tcPr>
            <w:tcW w:w="3870" w:type="dxa"/>
            <w:vAlign w:val="center"/>
          </w:tcPr>
          <w:p>
            <w:pPr>
              <w:spacing w:line="360" w:lineRule="auto"/>
              <w:jc w:val="center"/>
              <w:rPr>
                <w:rFonts w:hint="eastAsia" w:ascii="仿宋_GB2312" w:hAnsi="仿宋_GB2312" w:eastAsia="仿宋_GB2312" w:cs="仿宋_GB2312"/>
                <w:b/>
                <w:bCs/>
                <w:sz w:val="24"/>
                <w:highlight w:val="none"/>
              </w:rPr>
            </w:pPr>
            <w:r>
              <w:rPr>
                <w:rFonts w:hint="eastAsia" w:ascii="仿宋_GB2312" w:hAnsi="仿宋_GB2312" w:eastAsia="仿宋_GB2312" w:cs="仿宋_GB2312"/>
                <w:b/>
                <w:bCs/>
                <w:sz w:val="24"/>
                <w:highlight w:val="none"/>
              </w:rPr>
              <w:t>作业内容</w:t>
            </w:r>
          </w:p>
        </w:tc>
        <w:tc>
          <w:tcPr>
            <w:tcW w:w="2595" w:type="dxa"/>
            <w:vAlign w:val="center"/>
          </w:tcPr>
          <w:p>
            <w:pPr>
              <w:spacing w:line="360" w:lineRule="auto"/>
              <w:jc w:val="center"/>
              <w:rPr>
                <w:rFonts w:hint="eastAsia" w:ascii="仿宋_GB2312" w:hAnsi="仿宋_GB2312" w:eastAsia="仿宋_GB2312" w:cs="仿宋_GB2312"/>
                <w:b/>
                <w:bCs/>
                <w:sz w:val="24"/>
                <w:highlight w:val="none"/>
              </w:rPr>
            </w:pPr>
            <w:r>
              <w:rPr>
                <w:rFonts w:hint="eastAsia" w:ascii="仿宋_GB2312" w:hAnsi="仿宋_GB2312" w:eastAsia="仿宋_GB2312" w:cs="仿宋_GB2312"/>
                <w:b/>
                <w:bCs/>
                <w:sz w:val="24"/>
                <w:highlight w:val="none"/>
              </w:rPr>
              <w:t>维护方法</w:t>
            </w:r>
          </w:p>
        </w:tc>
        <w:tc>
          <w:tcPr>
            <w:tcW w:w="2206" w:type="dxa"/>
            <w:vAlign w:val="center"/>
          </w:tcPr>
          <w:p>
            <w:pPr>
              <w:spacing w:line="360" w:lineRule="auto"/>
              <w:jc w:val="center"/>
              <w:rPr>
                <w:rFonts w:hint="eastAsia" w:ascii="仿宋_GB2312" w:hAnsi="仿宋_GB2312" w:eastAsia="仿宋_GB2312" w:cs="仿宋_GB2312"/>
                <w:b/>
                <w:bCs/>
                <w:sz w:val="24"/>
                <w:highlight w:val="none"/>
              </w:rPr>
            </w:pPr>
            <w:r>
              <w:rPr>
                <w:rFonts w:hint="eastAsia" w:ascii="仿宋_GB2312" w:hAnsi="仿宋_GB2312" w:eastAsia="仿宋_GB2312" w:cs="仿宋_GB2312"/>
                <w:b/>
                <w:bCs/>
                <w:sz w:val="24"/>
                <w:highlight w:val="none"/>
              </w:rPr>
              <w:t>维护标准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89" w:hRule="atLeast"/>
        </w:trPr>
        <w:tc>
          <w:tcPr>
            <w:tcW w:w="1338" w:type="dxa"/>
            <w:vMerge w:val="restart"/>
            <w:vAlign w:val="center"/>
          </w:tcPr>
          <w:p>
            <w:pPr>
              <w:spacing w:line="360" w:lineRule="auto"/>
              <w:jc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烟、温感</w:t>
            </w:r>
          </w:p>
        </w:tc>
        <w:tc>
          <w:tcPr>
            <w:tcW w:w="3870" w:type="dxa"/>
            <w:vAlign w:val="center"/>
          </w:tcPr>
          <w:p>
            <w:pPr>
              <w:spacing w:line="360" w:lineRule="auto"/>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采用专用检测仪器对各防区烟感探头、温感探头进行加烟或加温抽检，试验探测器的动作及区域指示灯显示</w:t>
            </w:r>
          </w:p>
        </w:tc>
        <w:tc>
          <w:tcPr>
            <w:tcW w:w="2595" w:type="dxa"/>
            <w:vAlign w:val="center"/>
          </w:tcPr>
          <w:p>
            <w:pPr>
              <w:spacing w:line="360" w:lineRule="auto"/>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用专用测试工具测试</w:t>
            </w:r>
          </w:p>
        </w:tc>
        <w:tc>
          <w:tcPr>
            <w:tcW w:w="2206" w:type="dxa"/>
            <w:vAlign w:val="center"/>
          </w:tcPr>
          <w:p>
            <w:pPr>
              <w:spacing w:line="360" w:lineRule="auto"/>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主机声光报警器、区域状态灯功能正常，温、烟感回路区域状态无故障显示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8" w:hRule="atLeast"/>
        </w:trPr>
        <w:tc>
          <w:tcPr>
            <w:tcW w:w="1338" w:type="dxa"/>
            <w:vMerge w:val="continue"/>
            <w:vAlign w:val="center"/>
          </w:tcPr>
          <w:p>
            <w:pPr>
              <w:spacing w:line="360" w:lineRule="auto"/>
              <w:jc w:val="center"/>
              <w:rPr>
                <w:rFonts w:hint="eastAsia" w:ascii="仿宋_GB2312" w:hAnsi="仿宋_GB2312" w:eastAsia="仿宋_GB2312" w:cs="仿宋_GB2312"/>
                <w:sz w:val="24"/>
                <w:highlight w:val="none"/>
              </w:rPr>
            </w:pPr>
          </w:p>
        </w:tc>
        <w:tc>
          <w:tcPr>
            <w:tcW w:w="3870" w:type="dxa"/>
            <w:vAlign w:val="center"/>
          </w:tcPr>
          <w:p>
            <w:pPr>
              <w:spacing w:line="360" w:lineRule="auto"/>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对报警探头物理表面清洗</w:t>
            </w:r>
          </w:p>
        </w:tc>
        <w:tc>
          <w:tcPr>
            <w:tcW w:w="2595" w:type="dxa"/>
            <w:vAlign w:val="center"/>
          </w:tcPr>
          <w:p>
            <w:pPr>
              <w:spacing w:line="360" w:lineRule="auto"/>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清洗探头</w:t>
            </w:r>
          </w:p>
        </w:tc>
        <w:tc>
          <w:tcPr>
            <w:tcW w:w="2206" w:type="dxa"/>
            <w:vAlign w:val="center"/>
          </w:tcPr>
          <w:p>
            <w:pPr>
              <w:spacing w:line="360" w:lineRule="auto"/>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干净，无污垢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1338" w:type="dxa"/>
            <w:vAlign w:val="center"/>
          </w:tcPr>
          <w:p>
            <w:pPr>
              <w:spacing w:line="360" w:lineRule="auto"/>
              <w:jc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警报装置</w:t>
            </w:r>
          </w:p>
        </w:tc>
        <w:tc>
          <w:tcPr>
            <w:tcW w:w="3870" w:type="dxa"/>
            <w:vAlign w:val="center"/>
          </w:tcPr>
          <w:p>
            <w:pPr>
              <w:spacing w:line="360" w:lineRule="auto"/>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试验火灾警报装置的声光显示功能</w:t>
            </w:r>
          </w:p>
        </w:tc>
        <w:tc>
          <w:tcPr>
            <w:tcW w:w="2595" w:type="dxa"/>
            <w:vAlign w:val="center"/>
          </w:tcPr>
          <w:p>
            <w:pPr>
              <w:spacing w:line="360" w:lineRule="auto"/>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通过探头、主机自检时试验</w:t>
            </w:r>
          </w:p>
        </w:tc>
        <w:tc>
          <w:tcPr>
            <w:tcW w:w="2206" w:type="dxa"/>
            <w:vAlign w:val="center"/>
          </w:tcPr>
          <w:p>
            <w:pPr>
              <w:spacing w:line="360" w:lineRule="auto"/>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显示声光功能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17" w:hRule="atLeast"/>
        </w:trPr>
        <w:tc>
          <w:tcPr>
            <w:tcW w:w="1338" w:type="dxa"/>
            <w:vAlign w:val="center"/>
          </w:tcPr>
          <w:p>
            <w:pPr>
              <w:spacing w:line="360" w:lineRule="auto"/>
              <w:jc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控制主机</w:t>
            </w:r>
          </w:p>
        </w:tc>
        <w:tc>
          <w:tcPr>
            <w:tcW w:w="3870" w:type="dxa"/>
            <w:vAlign w:val="center"/>
          </w:tcPr>
          <w:p>
            <w:pPr>
              <w:spacing w:line="360" w:lineRule="auto"/>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检查系统主机内的仪表显示、状态指示灯等的工作状态，对控制主机进行必要的清洁；进行各种报警控制功能及自检测试</w:t>
            </w:r>
          </w:p>
        </w:tc>
        <w:tc>
          <w:tcPr>
            <w:tcW w:w="2595" w:type="dxa"/>
            <w:vAlign w:val="center"/>
          </w:tcPr>
          <w:p>
            <w:pPr>
              <w:spacing w:line="360" w:lineRule="auto"/>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检查仪表、指示灯，并对主机进行清洁、并在主机上测试功能</w:t>
            </w:r>
          </w:p>
        </w:tc>
        <w:tc>
          <w:tcPr>
            <w:tcW w:w="2206" w:type="dxa"/>
            <w:vAlign w:val="center"/>
          </w:tcPr>
          <w:p>
            <w:pPr>
              <w:spacing w:line="360" w:lineRule="auto"/>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状态显示正常，主机报警及联动正常，机身干净，无灰尘。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2" w:hRule="atLeast"/>
        </w:trPr>
        <w:tc>
          <w:tcPr>
            <w:tcW w:w="1338" w:type="dxa"/>
            <w:vAlign w:val="center"/>
          </w:tcPr>
          <w:p>
            <w:pPr>
              <w:spacing w:line="360" w:lineRule="auto"/>
              <w:jc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电    源</w:t>
            </w:r>
          </w:p>
        </w:tc>
        <w:tc>
          <w:tcPr>
            <w:tcW w:w="3870" w:type="dxa"/>
            <w:vAlign w:val="center"/>
          </w:tcPr>
          <w:p>
            <w:pPr>
              <w:spacing w:line="360" w:lineRule="auto"/>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对备用电源进行充放电试验，主电源和备用电源自动切换试验，在后备电源支持下的报警器、控制及联动测试</w:t>
            </w:r>
          </w:p>
        </w:tc>
        <w:tc>
          <w:tcPr>
            <w:tcW w:w="2595" w:type="dxa"/>
            <w:vAlign w:val="center"/>
          </w:tcPr>
          <w:p>
            <w:pPr>
              <w:spacing w:line="360" w:lineRule="auto"/>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断主机主电，启动警钟等设备</w:t>
            </w:r>
          </w:p>
        </w:tc>
        <w:tc>
          <w:tcPr>
            <w:tcW w:w="2206" w:type="dxa"/>
            <w:vAlign w:val="center"/>
          </w:tcPr>
          <w:p>
            <w:pPr>
              <w:spacing w:line="360" w:lineRule="auto"/>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备用电源能自动投入工作，备电能支持主机及终端设备工作时间不小于4小时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338" w:type="dxa"/>
            <w:vAlign w:val="center"/>
          </w:tcPr>
          <w:p>
            <w:pPr>
              <w:spacing w:line="360" w:lineRule="auto"/>
              <w:jc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控制线路</w:t>
            </w:r>
          </w:p>
        </w:tc>
        <w:tc>
          <w:tcPr>
            <w:tcW w:w="3870" w:type="dxa"/>
            <w:vAlign w:val="center"/>
          </w:tcPr>
          <w:p>
            <w:pPr>
              <w:spacing w:line="360" w:lineRule="auto"/>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检查系统线路的完好性</w:t>
            </w:r>
          </w:p>
        </w:tc>
        <w:tc>
          <w:tcPr>
            <w:tcW w:w="2595" w:type="dxa"/>
            <w:vAlign w:val="center"/>
          </w:tcPr>
          <w:p>
            <w:pPr>
              <w:spacing w:line="360" w:lineRule="auto"/>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检查主机内部线路</w:t>
            </w:r>
          </w:p>
        </w:tc>
        <w:tc>
          <w:tcPr>
            <w:tcW w:w="2206" w:type="dxa"/>
            <w:vAlign w:val="center"/>
          </w:tcPr>
          <w:p>
            <w:pPr>
              <w:spacing w:line="360" w:lineRule="auto"/>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线路接头无松动，各线路排列整齐，美观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0" w:hRule="atLeast"/>
        </w:trPr>
        <w:tc>
          <w:tcPr>
            <w:tcW w:w="1338" w:type="dxa"/>
            <w:vAlign w:val="center"/>
          </w:tcPr>
          <w:p>
            <w:pPr>
              <w:spacing w:line="360" w:lineRule="auto"/>
              <w:jc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整个系统</w:t>
            </w:r>
          </w:p>
        </w:tc>
        <w:tc>
          <w:tcPr>
            <w:tcW w:w="3870" w:type="dxa"/>
            <w:vAlign w:val="center"/>
          </w:tcPr>
          <w:p>
            <w:pPr>
              <w:spacing w:line="360" w:lineRule="auto"/>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检修、消防存在的故障和缺陷，恢复系统的完好性</w:t>
            </w:r>
          </w:p>
        </w:tc>
        <w:tc>
          <w:tcPr>
            <w:tcW w:w="2595" w:type="dxa"/>
            <w:vAlign w:val="center"/>
          </w:tcPr>
          <w:p>
            <w:pPr>
              <w:spacing w:line="360" w:lineRule="auto"/>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消防故障、缺陷</w:t>
            </w:r>
          </w:p>
        </w:tc>
        <w:tc>
          <w:tcPr>
            <w:tcW w:w="2206" w:type="dxa"/>
            <w:vAlign w:val="center"/>
          </w:tcPr>
          <w:p>
            <w:pPr>
              <w:spacing w:line="360" w:lineRule="auto"/>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系统完好</w:t>
            </w:r>
          </w:p>
        </w:tc>
      </w:tr>
    </w:tbl>
    <w:p>
      <w:pPr>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br w:type="page"/>
      </w:r>
    </w:p>
    <w:p>
      <w:pPr>
        <w:widowControl/>
        <w:tabs>
          <w:tab w:val="left" w:pos="360"/>
        </w:tabs>
        <w:adjustRightInd w:val="0"/>
        <w:snapToGrid w:val="0"/>
        <w:spacing w:line="360" w:lineRule="auto"/>
        <w:ind w:firstLine="560" w:firstLineChars="200"/>
        <w:jc w:val="left"/>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2.消火栓灭火系统</w:t>
      </w:r>
    </w:p>
    <w:tbl>
      <w:tblPr>
        <w:tblStyle w:val="11"/>
        <w:tblW w:w="998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6"/>
        <w:gridCol w:w="3867"/>
        <w:gridCol w:w="2613"/>
        <w:gridCol w:w="21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1326" w:type="dxa"/>
            <w:vAlign w:val="center"/>
          </w:tcPr>
          <w:p>
            <w:pPr>
              <w:spacing w:line="360" w:lineRule="auto"/>
              <w:jc w:val="center"/>
              <w:rPr>
                <w:rFonts w:hint="eastAsia" w:ascii="仿宋_GB2312" w:hAnsi="仿宋_GB2312" w:eastAsia="仿宋_GB2312" w:cs="仿宋_GB2312"/>
                <w:b/>
                <w:bCs/>
                <w:sz w:val="24"/>
                <w:highlight w:val="none"/>
              </w:rPr>
            </w:pPr>
            <w:r>
              <w:rPr>
                <w:rFonts w:hint="eastAsia" w:ascii="仿宋_GB2312" w:hAnsi="仿宋_GB2312" w:eastAsia="仿宋_GB2312" w:cs="仿宋_GB2312"/>
                <w:b/>
                <w:bCs/>
                <w:sz w:val="24"/>
                <w:highlight w:val="none"/>
              </w:rPr>
              <w:t>维护项目</w:t>
            </w:r>
          </w:p>
        </w:tc>
        <w:tc>
          <w:tcPr>
            <w:tcW w:w="3867" w:type="dxa"/>
            <w:vAlign w:val="center"/>
          </w:tcPr>
          <w:p>
            <w:pPr>
              <w:spacing w:line="360" w:lineRule="auto"/>
              <w:jc w:val="center"/>
              <w:rPr>
                <w:rFonts w:hint="eastAsia" w:ascii="仿宋_GB2312" w:hAnsi="仿宋_GB2312" w:eastAsia="仿宋_GB2312" w:cs="仿宋_GB2312"/>
                <w:b/>
                <w:bCs/>
                <w:sz w:val="24"/>
                <w:highlight w:val="none"/>
              </w:rPr>
            </w:pPr>
            <w:r>
              <w:rPr>
                <w:rFonts w:hint="eastAsia" w:ascii="仿宋_GB2312" w:hAnsi="仿宋_GB2312" w:eastAsia="仿宋_GB2312" w:cs="仿宋_GB2312"/>
                <w:b/>
                <w:bCs/>
                <w:sz w:val="24"/>
                <w:highlight w:val="none"/>
              </w:rPr>
              <w:t>作业内容</w:t>
            </w:r>
          </w:p>
        </w:tc>
        <w:tc>
          <w:tcPr>
            <w:tcW w:w="2613" w:type="dxa"/>
            <w:vAlign w:val="center"/>
          </w:tcPr>
          <w:p>
            <w:pPr>
              <w:spacing w:line="360" w:lineRule="auto"/>
              <w:jc w:val="center"/>
              <w:rPr>
                <w:rFonts w:hint="eastAsia" w:ascii="仿宋_GB2312" w:hAnsi="仿宋_GB2312" w:eastAsia="仿宋_GB2312" w:cs="仿宋_GB2312"/>
                <w:b/>
                <w:bCs/>
                <w:sz w:val="24"/>
                <w:highlight w:val="none"/>
              </w:rPr>
            </w:pPr>
            <w:r>
              <w:rPr>
                <w:rFonts w:hint="eastAsia" w:ascii="仿宋_GB2312" w:hAnsi="仿宋_GB2312" w:eastAsia="仿宋_GB2312" w:cs="仿宋_GB2312"/>
                <w:b/>
                <w:bCs/>
                <w:sz w:val="24"/>
                <w:highlight w:val="none"/>
              </w:rPr>
              <w:t>维护方法</w:t>
            </w:r>
          </w:p>
        </w:tc>
        <w:tc>
          <w:tcPr>
            <w:tcW w:w="2177" w:type="dxa"/>
            <w:vAlign w:val="center"/>
          </w:tcPr>
          <w:p>
            <w:pPr>
              <w:spacing w:line="360" w:lineRule="auto"/>
              <w:jc w:val="center"/>
              <w:rPr>
                <w:rFonts w:hint="eastAsia" w:ascii="仿宋_GB2312" w:hAnsi="仿宋_GB2312" w:eastAsia="仿宋_GB2312" w:cs="仿宋_GB2312"/>
                <w:b/>
                <w:bCs/>
                <w:sz w:val="24"/>
                <w:highlight w:val="none"/>
              </w:rPr>
            </w:pPr>
            <w:r>
              <w:rPr>
                <w:rFonts w:hint="eastAsia" w:ascii="仿宋_GB2312" w:hAnsi="仿宋_GB2312" w:eastAsia="仿宋_GB2312" w:cs="仿宋_GB2312"/>
                <w:b/>
                <w:bCs/>
                <w:sz w:val="24"/>
                <w:highlight w:val="none"/>
              </w:rPr>
              <w:t>维护标准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 w:hRule="atLeast"/>
          <w:jc w:val="center"/>
        </w:trPr>
        <w:tc>
          <w:tcPr>
            <w:tcW w:w="1326" w:type="dxa"/>
            <w:vAlign w:val="center"/>
          </w:tcPr>
          <w:p>
            <w:pPr>
              <w:spacing w:line="360" w:lineRule="auto"/>
              <w:jc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消火栓箱</w:t>
            </w:r>
          </w:p>
        </w:tc>
        <w:tc>
          <w:tcPr>
            <w:tcW w:w="3867" w:type="dxa"/>
            <w:vAlign w:val="center"/>
          </w:tcPr>
          <w:p>
            <w:pPr>
              <w:spacing w:line="360" w:lineRule="auto"/>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检查设备（如卷盘、水带、水枪等）开关是否灵活及其完好状态。</w:t>
            </w:r>
          </w:p>
        </w:tc>
        <w:tc>
          <w:tcPr>
            <w:tcW w:w="2613" w:type="dxa"/>
            <w:vAlign w:val="center"/>
          </w:tcPr>
          <w:p>
            <w:pPr>
              <w:spacing w:line="360" w:lineRule="auto"/>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检查设备、清洁箱体、闸阀的灵活性、严密性</w:t>
            </w:r>
          </w:p>
        </w:tc>
        <w:tc>
          <w:tcPr>
            <w:tcW w:w="2177" w:type="dxa"/>
            <w:vAlign w:val="center"/>
          </w:tcPr>
          <w:p>
            <w:pPr>
              <w:spacing w:line="360" w:lineRule="auto"/>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设备齐全、完好。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5" w:hRule="atLeast"/>
          <w:jc w:val="center"/>
        </w:trPr>
        <w:tc>
          <w:tcPr>
            <w:tcW w:w="1326" w:type="dxa"/>
            <w:vAlign w:val="center"/>
          </w:tcPr>
          <w:p>
            <w:pPr>
              <w:spacing w:line="360" w:lineRule="auto"/>
              <w:jc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破玻按钮</w:t>
            </w:r>
          </w:p>
        </w:tc>
        <w:tc>
          <w:tcPr>
            <w:tcW w:w="3867" w:type="dxa"/>
            <w:vAlign w:val="center"/>
          </w:tcPr>
          <w:p>
            <w:pPr>
              <w:spacing w:line="360" w:lineRule="auto"/>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 xml:space="preserve">抽查试验远程启泵破玻按钮的动作功能 </w:t>
            </w:r>
          </w:p>
        </w:tc>
        <w:tc>
          <w:tcPr>
            <w:tcW w:w="2613" w:type="dxa"/>
            <w:vAlign w:val="center"/>
          </w:tcPr>
          <w:p>
            <w:pPr>
              <w:spacing w:line="360" w:lineRule="auto"/>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在楼层用破玻匙插入破玻</w:t>
            </w:r>
          </w:p>
        </w:tc>
        <w:tc>
          <w:tcPr>
            <w:tcW w:w="2177" w:type="dxa"/>
            <w:vAlign w:val="center"/>
          </w:tcPr>
          <w:p>
            <w:pPr>
              <w:spacing w:line="360" w:lineRule="auto"/>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联动柜或主机声光报警，显示位置准确并且自动状态时能启泵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22" w:hRule="atLeast"/>
          <w:jc w:val="center"/>
        </w:trPr>
        <w:tc>
          <w:tcPr>
            <w:tcW w:w="1326" w:type="dxa"/>
            <w:vAlign w:val="center"/>
          </w:tcPr>
          <w:p>
            <w:pPr>
              <w:spacing w:line="360" w:lineRule="auto"/>
              <w:jc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消防水池</w:t>
            </w:r>
          </w:p>
        </w:tc>
        <w:tc>
          <w:tcPr>
            <w:tcW w:w="3867" w:type="dxa"/>
            <w:vAlign w:val="center"/>
          </w:tcPr>
          <w:p>
            <w:pPr>
              <w:spacing w:line="360" w:lineRule="auto"/>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检查消防水池水位（包括地下水池和楼顶水箱）、浮球阀、水位报警器及水池进、出水阀门检查</w:t>
            </w:r>
          </w:p>
        </w:tc>
        <w:tc>
          <w:tcPr>
            <w:tcW w:w="2613" w:type="dxa"/>
            <w:vAlign w:val="center"/>
          </w:tcPr>
          <w:p>
            <w:pPr>
              <w:spacing w:line="360" w:lineRule="auto"/>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检查水池水位及阀门手动浮球阀（水位报警器）</w:t>
            </w:r>
          </w:p>
        </w:tc>
        <w:tc>
          <w:tcPr>
            <w:tcW w:w="2177" w:type="dxa"/>
            <w:vAlign w:val="center"/>
          </w:tcPr>
          <w:p>
            <w:pPr>
              <w:spacing w:line="360" w:lineRule="auto"/>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水位正常、阀门完好，浮球阀、水位报警器功能正常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0" w:hRule="atLeast"/>
          <w:jc w:val="center"/>
        </w:trPr>
        <w:tc>
          <w:tcPr>
            <w:tcW w:w="1326" w:type="dxa"/>
            <w:vAlign w:val="center"/>
          </w:tcPr>
          <w:p>
            <w:pPr>
              <w:spacing w:line="360" w:lineRule="auto"/>
              <w:jc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消火栓水泵控制柜</w:t>
            </w:r>
          </w:p>
        </w:tc>
        <w:tc>
          <w:tcPr>
            <w:tcW w:w="3867" w:type="dxa"/>
            <w:vAlign w:val="center"/>
          </w:tcPr>
          <w:p>
            <w:pPr>
              <w:spacing w:line="360" w:lineRule="auto"/>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检查电器元件、仪表显示、状态指示灯并试验消防水泵控制柜的控制功能，测试控制柜的保护、报警功能</w:t>
            </w:r>
          </w:p>
        </w:tc>
        <w:tc>
          <w:tcPr>
            <w:tcW w:w="2613" w:type="dxa"/>
            <w:vAlign w:val="center"/>
          </w:tcPr>
          <w:p>
            <w:pPr>
              <w:spacing w:line="360" w:lineRule="auto"/>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检测元件、仪表、状态指示灯，按下按钮控制水泵网状区分测试保护、报警功能</w:t>
            </w:r>
          </w:p>
        </w:tc>
        <w:tc>
          <w:tcPr>
            <w:tcW w:w="2177" w:type="dxa"/>
            <w:vAlign w:val="center"/>
          </w:tcPr>
          <w:p>
            <w:pPr>
              <w:spacing w:line="360" w:lineRule="auto"/>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相应检查项目正常，水泵启停正常，显示状态信号准确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26" w:type="dxa"/>
            <w:vAlign w:val="center"/>
          </w:tcPr>
          <w:p>
            <w:pPr>
              <w:spacing w:line="360" w:lineRule="auto"/>
              <w:jc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阀门开关和接合器</w:t>
            </w:r>
          </w:p>
        </w:tc>
        <w:tc>
          <w:tcPr>
            <w:tcW w:w="3867" w:type="dxa"/>
            <w:vAlign w:val="center"/>
          </w:tcPr>
          <w:p>
            <w:pPr>
              <w:spacing w:line="360" w:lineRule="auto"/>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检查管网、主要阀门和水泵接合器的完好情况和工作状态，使之不渗漏、易于开启使用</w:t>
            </w:r>
          </w:p>
        </w:tc>
        <w:tc>
          <w:tcPr>
            <w:tcW w:w="2613" w:type="dxa"/>
            <w:vAlign w:val="center"/>
          </w:tcPr>
          <w:p>
            <w:pPr>
              <w:spacing w:line="360" w:lineRule="auto"/>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闸阀轴承加润滑油，关闭阀门再恢复工作状态，试验接合器接口弹簧是否卡死</w:t>
            </w:r>
          </w:p>
        </w:tc>
        <w:tc>
          <w:tcPr>
            <w:tcW w:w="2177" w:type="dxa"/>
            <w:vAlign w:val="center"/>
          </w:tcPr>
          <w:p>
            <w:pPr>
              <w:spacing w:line="360" w:lineRule="auto"/>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闸阀易于启闭，接合器操作灵活，闸阀状态牌面对观看者方向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1326" w:type="dxa"/>
            <w:vAlign w:val="center"/>
          </w:tcPr>
          <w:p>
            <w:pPr>
              <w:spacing w:line="360" w:lineRule="auto"/>
              <w:jc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管网和支架</w:t>
            </w:r>
          </w:p>
        </w:tc>
        <w:tc>
          <w:tcPr>
            <w:tcW w:w="3867" w:type="dxa"/>
            <w:vAlign w:val="center"/>
          </w:tcPr>
          <w:p>
            <w:pPr>
              <w:spacing w:line="360" w:lineRule="auto"/>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检查管网、支架的稳固，有否渗漏，对生锈、脱漆部分进行除锈补漆</w:t>
            </w:r>
          </w:p>
        </w:tc>
        <w:tc>
          <w:tcPr>
            <w:tcW w:w="2613" w:type="dxa"/>
            <w:vAlign w:val="center"/>
          </w:tcPr>
          <w:p>
            <w:pPr>
              <w:spacing w:line="360" w:lineRule="auto"/>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视觉管网、支架，补防锈和红丹油漆</w:t>
            </w:r>
          </w:p>
        </w:tc>
        <w:tc>
          <w:tcPr>
            <w:tcW w:w="2177" w:type="dxa"/>
            <w:vAlign w:val="center"/>
          </w:tcPr>
          <w:p>
            <w:pPr>
              <w:spacing w:line="360" w:lineRule="auto"/>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无渗漏、无脱漆、无腐蚀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8" w:hRule="atLeast"/>
          <w:jc w:val="center"/>
        </w:trPr>
        <w:tc>
          <w:tcPr>
            <w:tcW w:w="1326" w:type="dxa"/>
            <w:vAlign w:val="center"/>
          </w:tcPr>
          <w:p>
            <w:pPr>
              <w:spacing w:line="360" w:lineRule="auto"/>
              <w:jc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消防栓水泵</w:t>
            </w:r>
          </w:p>
        </w:tc>
        <w:tc>
          <w:tcPr>
            <w:tcW w:w="3867" w:type="dxa"/>
            <w:vAlign w:val="center"/>
          </w:tcPr>
          <w:p>
            <w:pPr>
              <w:spacing w:line="360" w:lineRule="auto"/>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手动、自动开启消防水泵（主、备）并进行楼顶、室外消火栓的试验射水，检查水压</w:t>
            </w:r>
          </w:p>
        </w:tc>
        <w:tc>
          <w:tcPr>
            <w:tcW w:w="2613" w:type="dxa"/>
            <w:vAlign w:val="center"/>
          </w:tcPr>
          <w:p>
            <w:pPr>
              <w:spacing w:line="360" w:lineRule="auto"/>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插破玻、按控制柜上手动按钮启泵，检查楼顶室外栓射水水压</w:t>
            </w:r>
          </w:p>
        </w:tc>
        <w:tc>
          <w:tcPr>
            <w:tcW w:w="2177" w:type="dxa"/>
            <w:vAlign w:val="center"/>
          </w:tcPr>
          <w:p>
            <w:pPr>
              <w:spacing w:line="360" w:lineRule="auto"/>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启泵正常，压力符合设计要求，水质清晰无黄色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1326" w:type="dxa"/>
            <w:vAlign w:val="center"/>
          </w:tcPr>
          <w:p>
            <w:pPr>
              <w:spacing w:line="360" w:lineRule="auto"/>
              <w:jc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整个系统</w:t>
            </w:r>
          </w:p>
        </w:tc>
        <w:tc>
          <w:tcPr>
            <w:tcW w:w="3867" w:type="dxa"/>
            <w:vAlign w:val="center"/>
          </w:tcPr>
          <w:p>
            <w:pPr>
              <w:spacing w:line="360" w:lineRule="auto"/>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一般性维修保养，包括清除设备周边杂物和水泵房卫生，调整不正常状态，加注润滑剂等；检修、消防存在的故障和缺陷， 管道油漆补刷，恢复系统的完好性</w:t>
            </w:r>
          </w:p>
        </w:tc>
        <w:tc>
          <w:tcPr>
            <w:tcW w:w="2613" w:type="dxa"/>
            <w:vAlign w:val="center"/>
          </w:tcPr>
          <w:p>
            <w:pPr>
              <w:spacing w:line="360" w:lineRule="auto"/>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消防故障、缺陷</w:t>
            </w:r>
          </w:p>
        </w:tc>
        <w:tc>
          <w:tcPr>
            <w:tcW w:w="2177" w:type="dxa"/>
            <w:vAlign w:val="center"/>
          </w:tcPr>
          <w:p>
            <w:pPr>
              <w:spacing w:line="360" w:lineRule="auto"/>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系统正常，泵房卫生良好、管道油漆完好，干燥不潮湿无杂物</w:t>
            </w:r>
          </w:p>
        </w:tc>
      </w:tr>
    </w:tbl>
    <w:p>
      <w:pPr>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br w:type="page"/>
      </w:r>
    </w:p>
    <w:p>
      <w:pPr>
        <w:widowControl/>
        <w:tabs>
          <w:tab w:val="left" w:pos="360"/>
        </w:tabs>
        <w:adjustRightInd w:val="0"/>
        <w:snapToGrid w:val="0"/>
        <w:spacing w:line="360" w:lineRule="auto"/>
        <w:ind w:firstLine="560" w:firstLineChars="200"/>
        <w:jc w:val="left"/>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3.自动喷淋灭火系统</w:t>
      </w:r>
    </w:p>
    <w:tbl>
      <w:tblPr>
        <w:tblStyle w:val="11"/>
        <w:tblW w:w="99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9"/>
        <w:gridCol w:w="3870"/>
        <w:gridCol w:w="2610"/>
        <w:gridCol w:w="214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289" w:type="dxa"/>
            <w:vAlign w:val="center"/>
          </w:tcPr>
          <w:p>
            <w:pPr>
              <w:spacing w:line="360" w:lineRule="auto"/>
              <w:jc w:val="center"/>
              <w:rPr>
                <w:rFonts w:hint="eastAsia" w:ascii="仿宋_GB2312" w:hAnsi="仿宋_GB2312" w:eastAsia="仿宋_GB2312" w:cs="仿宋_GB2312"/>
                <w:b/>
                <w:bCs/>
                <w:sz w:val="24"/>
                <w:highlight w:val="none"/>
              </w:rPr>
            </w:pPr>
            <w:r>
              <w:rPr>
                <w:rFonts w:hint="eastAsia" w:ascii="仿宋_GB2312" w:hAnsi="仿宋_GB2312" w:eastAsia="仿宋_GB2312" w:cs="仿宋_GB2312"/>
                <w:b/>
                <w:bCs/>
                <w:sz w:val="24"/>
                <w:highlight w:val="none"/>
              </w:rPr>
              <w:t>维护项目</w:t>
            </w:r>
          </w:p>
        </w:tc>
        <w:tc>
          <w:tcPr>
            <w:tcW w:w="3870" w:type="dxa"/>
            <w:vAlign w:val="center"/>
          </w:tcPr>
          <w:p>
            <w:pPr>
              <w:spacing w:line="360" w:lineRule="auto"/>
              <w:jc w:val="center"/>
              <w:rPr>
                <w:rFonts w:hint="eastAsia" w:ascii="仿宋_GB2312" w:hAnsi="仿宋_GB2312" w:eastAsia="仿宋_GB2312" w:cs="仿宋_GB2312"/>
                <w:b/>
                <w:bCs/>
                <w:sz w:val="24"/>
                <w:highlight w:val="none"/>
              </w:rPr>
            </w:pPr>
            <w:r>
              <w:rPr>
                <w:rFonts w:hint="eastAsia" w:ascii="仿宋_GB2312" w:hAnsi="仿宋_GB2312" w:eastAsia="仿宋_GB2312" w:cs="仿宋_GB2312"/>
                <w:b/>
                <w:bCs/>
                <w:sz w:val="24"/>
                <w:highlight w:val="none"/>
              </w:rPr>
              <w:t>作业内容</w:t>
            </w:r>
          </w:p>
        </w:tc>
        <w:tc>
          <w:tcPr>
            <w:tcW w:w="2610" w:type="dxa"/>
            <w:vAlign w:val="center"/>
          </w:tcPr>
          <w:p>
            <w:pPr>
              <w:spacing w:line="360" w:lineRule="auto"/>
              <w:jc w:val="center"/>
              <w:rPr>
                <w:rFonts w:hint="eastAsia" w:ascii="仿宋_GB2312" w:hAnsi="仿宋_GB2312" w:eastAsia="仿宋_GB2312" w:cs="仿宋_GB2312"/>
                <w:b/>
                <w:bCs/>
                <w:sz w:val="24"/>
                <w:highlight w:val="none"/>
              </w:rPr>
            </w:pPr>
            <w:r>
              <w:rPr>
                <w:rFonts w:hint="eastAsia" w:ascii="仿宋_GB2312" w:hAnsi="仿宋_GB2312" w:eastAsia="仿宋_GB2312" w:cs="仿宋_GB2312"/>
                <w:b/>
                <w:bCs/>
                <w:sz w:val="24"/>
                <w:highlight w:val="none"/>
              </w:rPr>
              <w:t>维护方法</w:t>
            </w:r>
          </w:p>
        </w:tc>
        <w:tc>
          <w:tcPr>
            <w:tcW w:w="2142" w:type="dxa"/>
            <w:vAlign w:val="center"/>
          </w:tcPr>
          <w:p>
            <w:pPr>
              <w:spacing w:line="360" w:lineRule="auto"/>
              <w:jc w:val="center"/>
              <w:rPr>
                <w:rFonts w:hint="eastAsia" w:ascii="仿宋_GB2312" w:hAnsi="仿宋_GB2312" w:eastAsia="仿宋_GB2312" w:cs="仿宋_GB2312"/>
                <w:b/>
                <w:bCs/>
                <w:sz w:val="24"/>
                <w:highlight w:val="none"/>
              </w:rPr>
            </w:pPr>
            <w:r>
              <w:rPr>
                <w:rFonts w:hint="eastAsia" w:ascii="仿宋_GB2312" w:hAnsi="仿宋_GB2312" w:eastAsia="仿宋_GB2312" w:cs="仿宋_GB2312"/>
                <w:b/>
                <w:bCs/>
                <w:sz w:val="24"/>
                <w:highlight w:val="none"/>
              </w:rPr>
              <w:t>维护标准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 w:hRule="atLeast"/>
          <w:jc w:val="center"/>
        </w:trPr>
        <w:tc>
          <w:tcPr>
            <w:tcW w:w="1289" w:type="dxa"/>
            <w:vAlign w:val="center"/>
          </w:tcPr>
          <w:p>
            <w:pPr>
              <w:spacing w:line="360" w:lineRule="auto"/>
              <w:jc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喷淋头</w:t>
            </w:r>
          </w:p>
        </w:tc>
        <w:tc>
          <w:tcPr>
            <w:tcW w:w="3870" w:type="dxa"/>
            <w:vAlign w:val="center"/>
          </w:tcPr>
          <w:p>
            <w:pPr>
              <w:spacing w:line="360" w:lineRule="auto"/>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视觉抽查喷淋头的完好情况，不漏水滴</w:t>
            </w:r>
          </w:p>
        </w:tc>
        <w:tc>
          <w:tcPr>
            <w:tcW w:w="2610" w:type="dxa"/>
            <w:vAlign w:val="center"/>
          </w:tcPr>
          <w:p>
            <w:pPr>
              <w:spacing w:line="360" w:lineRule="auto"/>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视觉检查</w:t>
            </w:r>
          </w:p>
        </w:tc>
        <w:tc>
          <w:tcPr>
            <w:tcW w:w="2142" w:type="dxa"/>
            <w:vAlign w:val="center"/>
          </w:tcPr>
          <w:p>
            <w:pPr>
              <w:spacing w:line="360" w:lineRule="auto"/>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喷头干净、无杂物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jc w:val="center"/>
        </w:trPr>
        <w:tc>
          <w:tcPr>
            <w:tcW w:w="1289" w:type="dxa"/>
            <w:vAlign w:val="center"/>
          </w:tcPr>
          <w:p>
            <w:pPr>
              <w:spacing w:line="360" w:lineRule="auto"/>
              <w:jc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阀  门</w:t>
            </w:r>
          </w:p>
        </w:tc>
        <w:tc>
          <w:tcPr>
            <w:tcW w:w="3870" w:type="dxa"/>
            <w:vAlign w:val="center"/>
          </w:tcPr>
          <w:p>
            <w:pPr>
              <w:spacing w:line="360" w:lineRule="auto"/>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检查主要阀门的工作状态，加注润滑剂</w:t>
            </w:r>
          </w:p>
        </w:tc>
        <w:tc>
          <w:tcPr>
            <w:tcW w:w="2610" w:type="dxa"/>
            <w:vAlign w:val="center"/>
          </w:tcPr>
          <w:p>
            <w:pPr>
              <w:spacing w:line="360" w:lineRule="auto"/>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检查阀门是否打开并进行日常维护</w:t>
            </w:r>
          </w:p>
        </w:tc>
        <w:tc>
          <w:tcPr>
            <w:tcW w:w="2142" w:type="dxa"/>
            <w:vAlign w:val="center"/>
          </w:tcPr>
          <w:p>
            <w:pPr>
              <w:spacing w:line="360" w:lineRule="auto"/>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易于打开、无生锈启闭状态正常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9" w:type="dxa"/>
            <w:vAlign w:val="center"/>
          </w:tcPr>
          <w:p>
            <w:pPr>
              <w:spacing w:line="360" w:lineRule="auto"/>
              <w:jc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湿式报警阀</w:t>
            </w:r>
          </w:p>
        </w:tc>
        <w:tc>
          <w:tcPr>
            <w:tcW w:w="3870" w:type="dxa"/>
            <w:vAlign w:val="center"/>
          </w:tcPr>
          <w:p>
            <w:pPr>
              <w:spacing w:line="360" w:lineRule="auto"/>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试验报警阀的动作功能</w:t>
            </w:r>
          </w:p>
        </w:tc>
        <w:tc>
          <w:tcPr>
            <w:tcW w:w="2610" w:type="dxa"/>
            <w:vAlign w:val="center"/>
          </w:tcPr>
          <w:p>
            <w:pPr>
              <w:spacing w:line="360" w:lineRule="auto"/>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拧开测试阀，观察水力警铃动作情况</w:t>
            </w:r>
          </w:p>
        </w:tc>
        <w:tc>
          <w:tcPr>
            <w:tcW w:w="2142" w:type="dxa"/>
            <w:vAlign w:val="center"/>
          </w:tcPr>
          <w:p>
            <w:pPr>
              <w:spacing w:line="360" w:lineRule="auto"/>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水力警铃发出音响报警，声音符合规范要求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0" w:hRule="atLeast"/>
          <w:jc w:val="center"/>
        </w:trPr>
        <w:tc>
          <w:tcPr>
            <w:tcW w:w="1289" w:type="dxa"/>
            <w:vAlign w:val="center"/>
          </w:tcPr>
          <w:p>
            <w:pPr>
              <w:spacing w:line="360" w:lineRule="auto"/>
              <w:jc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消防水池</w:t>
            </w:r>
          </w:p>
        </w:tc>
        <w:tc>
          <w:tcPr>
            <w:tcW w:w="3870" w:type="dxa"/>
            <w:vAlign w:val="center"/>
          </w:tcPr>
          <w:p>
            <w:pPr>
              <w:spacing w:line="360" w:lineRule="auto"/>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检查消防水池水位（包括地下水池和楼顶水箱）、浮球阀、水位报警器及水池进、出水阀门检查</w:t>
            </w:r>
          </w:p>
        </w:tc>
        <w:tc>
          <w:tcPr>
            <w:tcW w:w="2610" w:type="dxa"/>
            <w:vAlign w:val="center"/>
          </w:tcPr>
          <w:p>
            <w:pPr>
              <w:spacing w:line="360" w:lineRule="auto"/>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检查水池水位及阀门手动浮球阀（水位报警器）</w:t>
            </w:r>
          </w:p>
        </w:tc>
        <w:tc>
          <w:tcPr>
            <w:tcW w:w="2142" w:type="dxa"/>
            <w:vAlign w:val="center"/>
          </w:tcPr>
          <w:p>
            <w:pPr>
              <w:spacing w:line="360" w:lineRule="auto"/>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水位正常、阀门完好，浮球阀、水位报警器功能正常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9" w:type="dxa"/>
            <w:vAlign w:val="center"/>
          </w:tcPr>
          <w:p>
            <w:pPr>
              <w:spacing w:line="360" w:lineRule="auto"/>
              <w:jc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喷淋水泵控制柜</w:t>
            </w:r>
          </w:p>
        </w:tc>
        <w:tc>
          <w:tcPr>
            <w:tcW w:w="3870" w:type="dxa"/>
            <w:vAlign w:val="center"/>
          </w:tcPr>
          <w:p>
            <w:pPr>
              <w:spacing w:line="360" w:lineRule="auto"/>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检查电器元件、仪表显示、状态指示灯并试验消防水泵控制柜的控制功能，测试控制柜的保护、报警功能</w:t>
            </w:r>
          </w:p>
        </w:tc>
        <w:tc>
          <w:tcPr>
            <w:tcW w:w="2610" w:type="dxa"/>
            <w:vAlign w:val="center"/>
          </w:tcPr>
          <w:p>
            <w:pPr>
              <w:spacing w:line="360" w:lineRule="auto"/>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检测元件、仪表、状态指示灯，按下按钮控制水泵，测试保护、报警功能，并对控制柜进行清洁、填写维护卡</w:t>
            </w:r>
          </w:p>
        </w:tc>
        <w:tc>
          <w:tcPr>
            <w:tcW w:w="2142" w:type="dxa"/>
            <w:vAlign w:val="center"/>
          </w:tcPr>
          <w:p>
            <w:pPr>
              <w:spacing w:line="360" w:lineRule="auto"/>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相应检查项目正常，水泵启停正常，显示状态信号准确，维护卡字体端正清晰，无漏填，机身干净，无灰尘。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289" w:type="dxa"/>
            <w:vMerge w:val="restart"/>
            <w:vAlign w:val="center"/>
          </w:tcPr>
          <w:p>
            <w:pPr>
              <w:spacing w:line="360" w:lineRule="auto"/>
              <w:jc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水喷淋泵</w:t>
            </w:r>
          </w:p>
        </w:tc>
        <w:tc>
          <w:tcPr>
            <w:tcW w:w="3870" w:type="dxa"/>
            <w:vAlign w:val="center"/>
          </w:tcPr>
          <w:p>
            <w:pPr>
              <w:spacing w:line="360" w:lineRule="auto"/>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手、自动开启喷淋主、备泵进行试运转，检查水泵运转参数和起动功能测试</w:t>
            </w:r>
          </w:p>
        </w:tc>
        <w:tc>
          <w:tcPr>
            <w:tcW w:w="2610" w:type="dxa"/>
            <w:vAlign w:val="center"/>
          </w:tcPr>
          <w:p>
            <w:pPr>
              <w:spacing w:line="360" w:lineRule="auto"/>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放水测试，在水泵各连接部分加润滑油</w:t>
            </w:r>
          </w:p>
        </w:tc>
        <w:tc>
          <w:tcPr>
            <w:tcW w:w="2142" w:type="dxa"/>
            <w:vMerge w:val="restart"/>
            <w:vAlign w:val="center"/>
          </w:tcPr>
          <w:p>
            <w:pPr>
              <w:spacing w:line="360" w:lineRule="auto"/>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启泵正常，润滑良好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289" w:type="dxa"/>
            <w:vMerge w:val="continue"/>
            <w:vAlign w:val="center"/>
          </w:tcPr>
          <w:p>
            <w:pPr>
              <w:spacing w:line="360" w:lineRule="auto"/>
              <w:jc w:val="center"/>
              <w:rPr>
                <w:rFonts w:hint="eastAsia" w:ascii="仿宋_GB2312" w:hAnsi="仿宋_GB2312" w:eastAsia="仿宋_GB2312" w:cs="仿宋_GB2312"/>
                <w:sz w:val="24"/>
                <w:highlight w:val="none"/>
              </w:rPr>
            </w:pPr>
          </w:p>
        </w:tc>
        <w:tc>
          <w:tcPr>
            <w:tcW w:w="3870" w:type="dxa"/>
            <w:vAlign w:val="center"/>
          </w:tcPr>
          <w:p>
            <w:pPr>
              <w:spacing w:line="360" w:lineRule="auto"/>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对水喷淋泵进行加润滑油保养</w:t>
            </w:r>
          </w:p>
        </w:tc>
        <w:tc>
          <w:tcPr>
            <w:tcW w:w="2610" w:type="dxa"/>
            <w:vAlign w:val="center"/>
          </w:tcPr>
          <w:p>
            <w:pPr>
              <w:spacing w:line="360" w:lineRule="auto"/>
              <w:rPr>
                <w:rFonts w:hint="eastAsia" w:ascii="仿宋_GB2312" w:hAnsi="仿宋_GB2312" w:eastAsia="仿宋_GB2312" w:cs="仿宋_GB2312"/>
                <w:sz w:val="24"/>
                <w:highlight w:val="none"/>
              </w:rPr>
            </w:pPr>
          </w:p>
        </w:tc>
        <w:tc>
          <w:tcPr>
            <w:tcW w:w="2142" w:type="dxa"/>
            <w:vMerge w:val="continue"/>
            <w:vAlign w:val="center"/>
          </w:tcPr>
          <w:p>
            <w:pPr>
              <w:spacing w:line="360" w:lineRule="auto"/>
              <w:rPr>
                <w:rFonts w:hint="eastAsia" w:ascii="仿宋_GB2312" w:hAnsi="仿宋_GB2312" w:eastAsia="仿宋_GB2312" w:cs="仿宋_GB2312"/>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9" w:type="dxa"/>
            <w:vAlign w:val="center"/>
          </w:tcPr>
          <w:p>
            <w:pPr>
              <w:spacing w:line="360" w:lineRule="auto"/>
              <w:jc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管网支架</w:t>
            </w:r>
          </w:p>
        </w:tc>
        <w:tc>
          <w:tcPr>
            <w:tcW w:w="3870" w:type="dxa"/>
            <w:vAlign w:val="center"/>
          </w:tcPr>
          <w:p>
            <w:pPr>
              <w:spacing w:line="360" w:lineRule="auto"/>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检查其稳固性，有否渗漏及生锈、脱漆</w:t>
            </w:r>
          </w:p>
        </w:tc>
        <w:tc>
          <w:tcPr>
            <w:tcW w:w="2610" w:type="dxa"/>
            <w:vAlign w:val="center"/>
          </w:tcPr>
          <w:p>
            <w:pPr>
              <w:spacing w:line="360" w:lineRule="auto"/>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检查管网、支架，管道清洗</w:t>
            </w:r>
          </w:p>
        </w:tc>
        <w:tc>
          <w:tcPr>
            <w:tcW w:w="2142" w:type="dxa"/>
            <w:vAlign w:val="center"/>
          </w:tcPr>
          <w:p>
            <w:pPr>
              <w:spacing w:line="360" w:lineRule="auto"/>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无渗漏、无脱漆、无腐蚀、无松动</w:t>
            </w:r>
          </w:p>
        </w:tc>
      </w:tr>
    </w:tbl>
    <w:p>
      <w:pPr>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br w:type="page"/>
      </w:r>
    </w:p>
    <w:p>
      <w:pPr>
        <w:widowControl/>
        <w:tabs>
          <w:tab w:val="left" w:pos="360"/>
        </w:tabs>
        <w:adjustRightInd w:val="0"/>
        <w:snapToGrid w:val="0"/>
        <w:spacing w:line="360" w:lineRule="auto"/>
        <w:ind w:firstLine="560" w:firstLineChars="200"/>
        <w:jc w:val="left"/>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t>4.气体灭火系统</w:t>
      </w:r>
    </w:p>
    <w:tbl>
      <w:tblPr>
        <w:tblStyle w:val="11"/>
        <w:tblpPr w:leftFromText="180" w:rightFromText="180" w:vertAnchor="text" w:horzAnchor="page" w:tblpX="1185" w:tblpY="269"/>
        <w:tblOverlap w:val="never"/>
        <w:tblW w:w="983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0"/>
        <w:gridCol w:w="3824"/>
        <w:gridCol w:w="2586"/>
        <w:gridCol w:w="21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3" w:hRule="atLeast"/>
        </w:trPr>
        <w:tc>
          <w:tcPr>
            <w:tcW w:w="1260" w:type="dxa"/>
            <w:vAlign w:val="center"/>
          </w:tcPr>
          <w:p>
            <w:pPr>
              <w:spacing w:line="360" w:lineRule="auto"/>
              <w:jc w:val="center"/>
              <w:rPr>
                <w:rFonts w:hint="eastAsia" w:ascii="仿宋_GB2312" w:hAnsi="仿宋_GB2312" w:eastAsia="仿宋_GB2312" w:cs="仿宋_GB2312"/>
                <w:b/>
                <w:bCs/>
                <w:sz w:val="24"/>
                <w:highlight w:val="none"/>
              </w:rPr>
            </w:pPr>
            <w:r>
              <w:rPr>
                <w:rFonts w:hint="eastAsia" w:ascii="仿宋_GB2312" w:hAnsi="仿宋_GB2312" w:eastAsia="仿宋_GB2312" w:cs="仿宋_GB2312"/>
                <w:b/>
                <w:bCs/>
                <w:sz w:val="24"/>
                <w:highlight w:val="none"/>
              </w:rPr>
              <w:t>维护项目</w:t>
            </w:r>
          </w:p>
        </w:tc>
        <w:tc>
          <w:tcPr>
            <w:tcW w:w="3824" w:type="dxa"/>
            <w:vAlign w:val="center"/>
          </w:tcPr>
          <w:p>
            <w:pPr>
              <w:spacing w:line="360" w:lineRule="auto"/>
              <w:jc w:val="center"/>
              <w:rPr>
                <w:rFonts w:hint="eastAsia" w:ascii="仿宋_GB2312" w:hAnsi="仿宋_GB2312" w:eastAsia="仿宋_GB2312" w:cs="仿宋_GB2312"/>
                <w:b/>
                <w:bCs/>
                <w:sz w:val="24"/>
                <w:highlight w:val="none"/>
              </w:rPr>
            </w:pPr>
            <w:r>
              <w:rPr>
                <w:rFonts w:hint="eastAsia" w:ascii="仿宋_GB2312" w:hAnsi="仿宋_GB2312" w:eastAsia="仿宋_GB2312" w:cs="仿宋_GB2312"/>
                <w:b/>
                <w:bCs/>
                <w:sz w:val="24"/>
                <w:highlight w:val="none"/>
              </w:rPr>
              <w:t>作业内容</w:t>
            </w:r>
          </w:p>
        </w:tc>
        <w:tc>
          <w:tcPr>
            <w:tcW w:w="2586" w:type="dxa"/>
            <w:vAlign w:val="center"/>
          </w:tcPr>
          <w:p>
            <w:pPr>
              <w:spacing w:line="360" w:lineRule="auto"/>
              <w:jc w:val="center"/>
              <w:rPr>
                <w:rFonts w:hint="eastAsia" w:ascii="仿宋_GB2312" w:hAnsi="仿宋_GB2312" w:eastAsia="仿宋_GB2312" w:cs="仿宋_GB2312"/>
                <w:b/>
                <w:bCs/>
                <w:sz w:val="24"/>
                <w:highlight w:val="none"/>
              </w:rPr>
            </w:pPr>
            <w:r>
              <w:rPr>
                <w:rFonts w:hint="eastAsia" w:ascii="仿宋_GB2312" w:hAnsi="仿宋_GB2312" w:eastAsia="仿宋_GB2312" w:cs="仿宋_GB2312"/>
                <w:b/>
                <w:bCs/>
                <w:sz w:val="24"/>
                <w:highlight w:val="none"/>
              </w:rPr>
              <w:t>维护方法</w:t>
            </w:r>
          </w:p>
        </w:tc>
        <w:tc>
          <w:tcPr>
            <w:tcW w:w="2160" w:type="dxa"/>
            <w:vAlign w:val="center"/>
          </w:tcPr>
          <w:p>
            <w:pPr>
              <w:spacing w:line="360" w:lineRule="auto"/>
              <w:jc w:val="center"/>
              <w:rPr>
                <w:rFonts w:hint="eastAsia" w:ascii="仿宋_GB2312" w:hAnsi="仿宋_GB2312" w:eastAsia="仿宋_GB2312" w:cs="仿宋_GB2312"/>
                <w:b/>
                <w:bCs/>
                <w:sz w:val="24"/>
                <w:highlight w:val="none"/>
              </w:rPr>
            </w:pPr>
            <w:r>
              <w:rPr>
                <w:rFonts w:hint="eastAsia" w:ascii="仿宋_GB2312" w:hAnsi="仿宋_GB2312" w:eastAsia="仿宋_GB2312" w:cs="仿宋_GB2312"/>
                <w:b/>
                <w:bCs/>
                <w:sz w:val="24"/>
                <w:highlight w:val="none"/>
              </w:rPr>
              <w:t>维护标准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0" w:type="dxa"/>
            <w:vAlign w:val="center"/>
          </w:tcPr>
          <w:p>
            <w:pPr>
              <w:spacing w:line="360" w:lineRule="auto"/>
              <w:jc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系统组件</w:t>
            </w:r>
          </w:p>
        </w:tc>
        <w:tc>
          <w:tcPr>
            <w:tcW w:w="3824" w:type="dxa"/>
            <w:vAlign w:val="center"/>
          </w:tcPr>
          <w:p>
            <w:pPr>
              <w:spacing w:line="360" w:lineRule="auto"/>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对灭火剂存储容器、选择阀、单向阀、高压软管、集流管、阀启动装置、管网和喷嘴等全部系统组件进行外观检查</w:t>
            </w:r>
          </w:p>
        </w:tc>
        <w:tc>
          <w:tcPr>
            <w:tcW w:w="2586" w:type="dxa"/>
            <w:vAlign w:val="center"/>
          </w:tcPr>
          <w:p>
            <w:pPr>
              <w:spacing w:line="360" w:lineRule="auto"/>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外观检查各系统组件</w:t>
            </w:r>
          </w:p>
        </w:tc>
        <w:tc>
          <w:tcPr>
            <w:tcW w:w="2160" w:type="dxa"/>
            <w:vAlign w:val="center"/>
          </w:tcPr>
          <w:p>
            <w:pPr>
              <w:spacing w:line="360" w:lineRule="auto"/>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各组件齐全、完好、干净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0" w:type="dxa"/>
            <w:vAlign w:val="center"/>
          </w:tcPr>
          <w:p>
            <w:pPr>
              <w:spacing w:line="360" w:lineRule="auto"/>
              <w:jc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存储容器和启动瓶</w:t>
            </w:r>
          </w:p>
        </w:tc>
        <w:tc>
          <w:tcPr>
            <w:tcW w:w="3824" w:type="dxa"/>
            <w:vAlign w:val="center"/>
          </w:tcPr>
          <w:p>
            <w:pPr>
              <w:spacing w:line="360" w:lineRule="auto"/>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检查灭火剂存储容器内的压力和启动气瓶的压力、气瓶称重检查</w:t>
            </w:r>
          </w:p>
        </w:tc>
        <w:tc>
          <w:tcPr>
            <w:tcW w:w="2586" w:type="dxa"/>
            <w:vAlign w:val="center"/>
          </w:tcPr>
          <w:p>
            <w:pPr>
              <w:spacing w:line="360" w:lineRule="auto"/>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在瓶头压力表上检查；视觉称重装置</w:t>
            </w:r>
          </w:p>
        </w:tc>
        <w:tc>
          <w:tcPr>
            <w:tcW w:w="2160" w:type="dxa"/>
            <w:vAlign w:val="center"/>
          </w:tcPr>
          <w:p>
            <w:pPr>
              <w:spacing w:line="360" w:lineRule="auto"/>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压力、重量符合设计要求；称重装置无报警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4" w:hRule="atLeast"/>
        </w:trPr>
        <w:tc>
          <w:tcPr>
            <w:tcW w:w="1260" w:type="dxa"/>
            <w:vAlign w:val="center"/>
          </w:tcPr>
          <w:p>
            <w:pPr>
              <w:spacing w:line="360" w:lineRule="auto"/>
              <w:jc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灭火控制主机</w:t>
            </w:r>
          </w:p>
        </w:tc>
        <w:tc>
          <w:tcPr>
            <w:tcW w:w="3824" w:type="dxa"/>
            <w:vAlign w:val="center"/>
          </w:tcPr>
          <w:p>
            <w:pPr>
              <w:spacing w:line="360" w:lineRule="auto"/>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对控制主机进行必要的清洁，检查主机内的仪表显示、状态指示灯等的工作状态并进行功能测试（如故障报警测试等）对控制机进行清洁</w:t>
            </w:r>
          </w:p>
        </w:tc>
        <w:tc>
          <w:tcPr>
            <w:tcW w:w="2586" w:type="dxa"/>
            <w:vAlign w:val="center"/>
          </w:tcPr>
          <w:p>
            <w:pPr>
              <w:spacing w:line="360" w:lineRule="auto"/>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检查仪表、指示灯并清洁主机，通过手动、自动、自检测试主机</w:t>
            </w:r>
          </w:p>
        </w:tc>
        <w:tc>
          <w:tcPr>
            <w:tcW w:w="2160" w:type="dxa"/>
            <w:vAlign w:val="center"/>
          </w:tcPr>
          <w:p>
            <w:pPr>
              <w:spacing w:line="360" w:lineRule="auto"/>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主机干净、显示准确，单回路联动报警，双回路、手动、自检时系统启动，通过延时后喷洒，机身干净，无灰尘。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2" w:hRule="atLeast"/>
        </w:trPr>
        <w:tc>
          <w:tcPr>
            <w:tcW w:w="1260" w:type="dxa"/>
            <w:vAlign w:val="center"/>
          </w:tcPr>
          <w:p>
            <w:pPr>
              <w:spacing w:line="360" w:lineRule="auto"/>
              <w:jc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防区设备</w:t>
            </w:r>
          </w:p>
        </w:tc>
        <w:tc>
          <w:tcPr>
            <w:tcW w:w="3824" w:type="dxa"/>
            <w:vAlign w:val="center"/>
          </w:tcPr>
          <w:p>
            <w:pPr>
              <w:spacing w:line="360" w:lineRule="auto"/>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检查各防区内的模块箱、紧启和紧停开关、新风阀、排风设备的工作状态</w:t>
            </w:r>
          </w:p>
        </w:tc>
        <w:tc>
          <w:tcPr>
            <w:tcW w:w="2586" w:type="dxa"/>
            <w:vAlign w:val="center"/>
          </w:tcPr>
          <w:p>
            <w:pPr>
              <w:spacing w:line="360" w:lineRule="auto"/>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检查各设备工作状态</w:t>
            </w:r>
          </w:p>
        </w:tc>
        <w:tc>
          <w:tcPr>
            <w:tcW w:w="2160" w:type="dxa"/>
            <w:vAlign w:val="center"/>
          </w:tcPr>
          <w:p>
            <w:pPr>
              <w:spacing w:line="360" w:lineRule="auto"/>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应符合设计要求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60" w:type="dxa"/>
            <w:vAlign w:val="center"/>
          </w:tcPr>
          <w:p>
            <w:pPr>
              <w:spacing w:line="360" w:lineRule="auto"/>
              <w:jc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电  源</w:t>
            </w:r>
          </w:p>
        </w:tc>
        <w:tc>
          <w:tcPr>
            <w:tcW w:w="3824" w:type="dxa"/>
            <w:vAlign w:val="center"/>
          </w:tcPr>
          <w:p>
            <w:pPr>
              <w:spacing w:line="360" w:lineRule="auto"/>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进行主、备电源自动转换功能测试</w:t>
            </w:r>
          </w:p>
        </w:tc>
        <w:tc>
          <w:tcPr>
            <w:tcW w:w="2586" w:type="dxa"/>
            <w:vAlign w:val="center"/>
          </w:tcPr>
          <w:p>
            <w:pPr>
              <w:spacing w:line="360" w:lineRule="auto"/>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断主机主电，启动警钟等设备</w:t>
            </w:r>
          </w:p>
        </w:tc>
        <w:tc>
          <w:tcPr>
            <w:tcW w:w="2160" w:type="dxa"/>
            <w:vAlign w:val="center"/>
          </w:tcPr>
          <w:p>
            <w:pPr>
              <w:spacing w:line="360" w:lineRule="auto"/>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备用电源能自动投入工作，备电能支持主机及终端设备工作时间不小于4小时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1260" w:type="dxa"/>
            <w:vAlign w:val="center"/>
          </w:tcPr>
          <w:p>
            <w:pPr>
              <w:spacing w:line="360" w:lineRule="auto"/>
              <w:jc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气瓶间设备及管网</w:t>
            </w:r>
          </w:p>
        </w:tc>
        <w:tc>
          <w:tcPr>
            <w:tcW w:w="3824" w:type="dxa"/>
            <w:vAlign w:val="center"/>
          </w:tcPr>
          <w:p>
            <w:pPr>
              <w:spacing w:line="360" w:lineRule="auto"/>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对气瓶间设备、灭火剂输送管道和支、固架的固定情况进行检查，对管网生锈脱漆部分进行清理补漆；对高压软管是否变形、裂纹及老化进行检查；检查各喷嘴孔口、输送管道有无损伤堵塞现象；清除设备周边杂物和气瓶间卫生</w:t>
            </w:r>
          </w:p>
        </w:tc>
        <w:tc>
          <w:tcPr>
            <w:tcW w:w="2586" w:type="dxa"/>
            <w:vAlign w:val="center"/>
          </w:tcPr>
          <w:p>
            <w:pPr>
              <w:spacing w:line="360" w:lineRule="auto"/>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视觉气瓶间设备及管道、支架，清洁气瓶间卫生</w:t>
            </w:r>
          </w:p>
        </w:tc>
        <w:tc>
          <w:tcPr>
            <w:tcW w:w="2160" w:type="dxa"/>
            <w:vAlign w:val="center"/>
          </w:tcPr>
          <w:p>
            <w:pPr>
              <w:spacing w:line="360" w:lineRule="auto"/>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设备、管道、支架无物理损伤，无脱漆，气瓶间卫生良好、无阳光直射气瓶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8" w:hRule="atLeast"/>
        </w:trPr>
        <w:tc>
          <w:tcPr>
            <w:tcW w:w="1260" w:type="dxa"/>
            <w:vAlign w:val="center"/>
          </w:tcPr>
          <w:p>
            <w:pPr>
              <w:spacing w:line="360" w:lineRule="auto"/>
              <w:jc w:val="center"/>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整个系统</w:t>
            </w:r>
          </w:p>
        </w:tc>
        <w:tc>
          <w:tcPr>
            <w:tcW w:w="3824" w:type="dxa"/>
            <w:vAlign w:val="center"/>
          </w:tcPr>
          <w:p>
            <w:pPr>
              <w:spacing w:line="360" w:lineRule="auto"/>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进行现场及远程手动触发系统测试进行自动启动模拟试验</w:t>
            </w:r>
          </w:p>
        </w:tc>
        <w:tc>
          <w:tcPr>
            <w:tcW w:w="2586" w:type="dxa"/>
            <w:vAlign w:val="center"/>
          </w:tcPr>
          <w:p>
            <w:pPr>
              <w:spacing w:line="360" w:lineRule="auto"/>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消除故障、缺陷</w:t>
            </w:r>
          </w:p>
        </w:tc>
        <w:tc>
          <w:tcPr>
            <w:tcW w:w="2160" w:type="dxa"/>
            <w:vAlign w:val="center"/>
          </w:tcPr>
          <w:p>
            <w:pPr>
              <w:spacing w:line="360" w:lineRule="auto"/>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系统完好</w:t>
            </w:r>
          </w:p>
        </w:tc>
      </w:tr>
    </w:tbl>
    <w:p>
      <w:pPr>
        <w:widowControl/>
        <w:tabs>
          <w:tab w:val="left" w:pos="360"/>
        </w:tabs>
        <w:adjustRightInd w:val="0"/>
        <w:snapToGrid w:val="0"/>
        <w:spacing w:line="360" w:lineRule="auto"/>
        <w:ind w:firstLine="560" w:firstLineChars="200"/>
        <w:jc w:val="left"/>
        <w:rPr>
          <w:rFonts w:hint="eastAsia" w:ascii="仿宋_GB2312" w:hAnsi="仿宋_GB2312" w:eastAsia="仿宋_GB2312" w:cs="仿宋_GB2312"/>
          <w:sz w:val="28"/>
          <w:szCs w:val="28"/>
          <w:highlight w:val="none"/>
        </w:rPr>
      </w:pPr>
    </w:p>
    <w:p>
      <w:pPr>
        <w:rPr>
          <w:rFonts w:hint="eastAsia" w:ascii="仿宋_GB2312" w:hAnsi="仿宋_GB2312" w:eastAsia="仿宋_GB2312" w:cs="仿宋_GB2312"/>
          <w:sz w:val="28"/>
          <w:szCs w:val="28"/>
          <w:highlight w:val="none"/>
        </w:rPr>
      </w:pPr>
      <w:r>
        <w:rPr>
          <w:rFonts w:hint="eastAsia" w:ascii="仿宋_GB2312" w:hAnsi="仿宋_GB2312" w:eastAsia="仿宋_GB2312" w:cs="仿宋_GB2312"/>
          <w:sz w:val="28"/>
          <w:szCs w:val="28"/>
          <w:highlight w:val="none"/>
        </w:rPr>
        <w:br w:type="page"/>
      </w:r>
    </w:p>
    <w:p>
      <w:pPr>
        <w:widowControl/>
        <w:tabs>
          <w:tab w:val="left" w:pos="360"/>
        </w:tabs>
        <w:adjustRightInd w:val="0"/>
        <w:snapToGrid w:val="0"/>
        <w:spacing w:line="360" w:lineRule="auto"/>
        <w:ind w:firstLine="560" w:firstLineChars="200"/>
        <w:jc w:val="left"/>
        <w:rPr>
          <w:rFonts w:hint="eastAsia" w:ascii="仿宋_GB2312" w:hAnsi="仿宋_GB2312" w:eastAsia="仿宋_GB2312" w:cs="仿宋_GB2312"/>
          <w:sz w:val="28"/>
          <w:szCs w:val="28"/>
        </w:rPr>
      </w:pPr>
      <w:r>
        <w:rPr>
          <w:rFonts w:hint="eastAsia" w:ascii="仿宋_GB2312" w:hAnsi="仿宋_GB2312" w:eastAsia="仿宋_GB2312" w:cs="仿宋_GB2312"/>
          <w:sz w:val="28"/>
          <w:szCs w:val="28"/>
          <w:highlight w:val="none"/>
        </w:rPr>
        <w:t>5.防排烟系统</w:t>
      </w:r>
    </w:p>
    <w:tbl>
      <w:tblPr>
        <w:tblStyle w:val="11"/>
        <w:tblW w:w="97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1"/>
        <w:gridCol w:w="3885"/>
        <w:gridCol w:w="2595"/>
        <w:gridCol w:w="20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1241" w:type="dxa"/>
            <w:vAlign w:val="center"/>
          </w:tcPr>
          <w:p>
            <w:pPr>
              <w:spacing w:line="360" w:lineRule="auto"/>
              <w:jc w:val="center"/>
              <w:rPr>
                <w:rFonts w:hint="eastAsia" w:ascii="仿宋_GB2312" w:hAnsi="仿宋_GB2312" w:eastAsia="仿宋_GB2312" w:cs="仿宋_GB2312"/>
                <w:b/>
                <w:bCs/>
                <w:sz w:val="24"/>
              </w:rPr>
            </w:pPr>
            <w:r>
              <w:rPr>
                <w:rFonts w:hint="eastAsia" w:ascii="仿宋_GB2312" w:hAnsi="仿宋_GB2312" w:eastAsia="仿宋_GB2312" w:cs="仿宋_GB2312"/>
                <w:b/>
                <w:bCs/>
                <w:sz w:val="24"/>
              </w:rPr>
              <w:t>维护项目</w:t>
            </w:r>
          </w:p>
        </w:tc>
        <w:tc>
          <w:tcPr>
            <w:tcW w:w="3885" w:type="dxa"/>
            <w:vAlign w:val="center"/>
          </w:tcPr>
          <w:p>
            <w:pPr>
              <w:spacing w:line="360" w:lineRule="auto"/>
              <w:jc w:val="center"/>
              <w:rPr>
                <w:rFonts w:hint="eastAsia" w:ascii="仿宋_GB2312" w:hAnsi="仿宋_GB2312" w:eastAsia="仿宋_GB2312" w:cs="仿宋_GB2312"/>
                <w:b/>
                <w:bCs/>
                <w:sz w:val="24"/>
              </w:rPr>
            </w:pPr>
            <w:r>
              <w:rPr>
                <w:rFonts w:hint="eastAsia" w:ascii="仿宋_GB2312" w:hAnsi="仿宋_GB2312" w:eastAsia="仿宋_GB2312" w:cs="仿宋_GB2312"/>
                <w:b/>
                <w:bCs/>
                <w:sz w:val="24"/>
              </w:rPr>
              <w:t>作业内容</w:t>
            </w:r>
          </w:p>
        </w:tc>
        <w:tc>
          <w:tcPr>
            <w:tcW w:w="2595" w:type="dxa"/>
            <w:vAlign w:val="center"/>
          </w:tcPr>
          <w:p>
            <w:pPr>
              <w:spacing w:line="360" w:lineRule="auto"/>
              <w:jc w:val="center"/>
              <w:rPr>
                <w:rFonts w:hint="eastAsia" w:ascii="仿宋_GB2312" w:hAnsi="仿宋_GB2312" w:eastAsia="仿宋_GB2312" w:cs="仿宋_GB2312"/>
                <w:b/>
                <w:bCs/>
                <w:sz w:val="24"/>
              </w:rPr>
            </w:pPr>
            <w:r>
              <w:rPr>
                <w:rFonts w:hint="eastAsia" w:ascii="仿宋_GB2312" w:hAnsi="仿宋_GB2312" w:eastAsia="仿宋_GB2312" w:cs="仿宋_GB2312"/>
                <w:b/>
                <w:bCs/>
                <w:sz w:val="24"/>
              </w:rPr>
              <w:t>维护方法</w:t>
            </w:r>
          </w:p>
        </w:tc>
        <w:tc>
          <w:tcPr>
            <w:tcW w:w="2065" w:type="dxa"/>
            <w:vAlign w:val="center"/>
          </w:tcPr>
          <w:p>
            <w:pPr>
              <w:spacing w:line="360" w:lineRule="auto"/>
              <w:jc w:val="center"/>
              <w:rPr>
                <w:rFonts w:hint="eastAsia" w:ascii="仿宋_GB2312" w:hAnsi="仿宋_GB2312" w:eastAsia="仿宋_GB2312" w:cs="仿宋_GB2312"/>
                <w:b/>
                <w:bCs/>
                <w:sz w:val="24"/>
              </w:rPr>
            </w:pPr>
            <w:r>
              <w:rPr>
                <w:rFonts w:hint="eastAsia" w:ascii="仿宋_GB2312" w:hAnsi="仿宋_GB2312" w:eastAsia="仿宋_GB2312" w:cs="仿宋_GB2312"/>
                <w:b/>
                <w:bCs/>
                <w:sz w:val="24"/>
              </w:rPr>
              <w:t>维护标准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6" w:hRule="atLeast"/>
          <w:jc w:val="center"/>
        </w:trPr>
        <w:tc>
          <w:tcPr>
            <w:tcW w:w="1241" w:type="dxa"/>
            <w:vAlign w:val="center"/>
          </w:tcPr>
          <w:p>
            <w:pPr>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送风和排风口设备</w:t>
            </w:r>
          </w:p>
        </w:tc>
        <w:tc>
          <w:tcPr>
            <w:tcW w:w="3885" w:type="dxa"/>
            <w:vAlign w:val="center"/>
          </w:tcPr>
          <w:p>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检查楼层的送风口和排风口设备，对松脱部件进行坚固调整，并进行必要的清洁工作</w:t>
            </w:r>
          </w:p>
        </w:tc>
        <w:tc>
          <w:tcPr>
            <w:tcW w:w="2595" w:type="dxa"/>
            <w:vAlign w:val="center"/>
          </w:tcPr>
          <w:p>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目测排风口设备</w:t>
            </w:r>
          </w:p>
        </w:tc>
        <w:tc>
          <w:tcPr>
            <w:tcW w:w="2065" w:type="dxa"/>
            <w:vAlign w:val="center"/>
          </w:tcPr>
          <w:p>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无松动，无灰尘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jc w:val="center"/>
        </w:trPr>
        <w:tc>
          <w:tcPr>
            <w:tcW w:w="1241" w:type="dxa"/>
            <w:vAlign w:val="center"/>
          </w:tcPr>
          <w:p>
            <w:pPr>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风机控制柜</w:t>
            </w:r>
          </w:p>
        </w:tc>
        <w:tc>
          <w:tcPr>
            <w:tcW w:w="3885" w:type="dxa"/>
            <w:vAlign w:val="center"/>
          </w:tcPr>
          <w:p>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检查风机控制柜的内部电路、各电器部件、仪表显示、状态指示灯等工作状态，对控制柜的内部和外部进行必要的清洁</w:t>
            </w:r>
          </w:p>
        </w:tc>
        <w:tc>
          <w:tcPr>
            <w:tcW w:w="2595" w:type="dxa"/>
            <w:vAlign w:val="center"/>
          </w:tcPr>
          <w:p>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用干布清洁灰尘，目测控制柜内接线，目测面板显示灯</w:t>
            </w:r>
          </w:p>
        </w:tc>
        <w:tc>
          <w:tcPr>
            <w:tcW w:w="2065" w:type="dxa"/>
            <w:vAlign w:val="center"/>
          </w:tcPr>
          <w:p>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干净无灰尘，线无松脱，工作显示灯显示正常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7" w:hRule="atLeast"/>
          <w:jc w:val="center"/>
        </w:trPr>
        <w:tc>
          <w:tcPr>
            <w:tcW w:w="1241" w:type="dxa"/>
            <w:vAlign w:val="center"/>
          </w:tcPr>
          <w:p>
            <w:pPr>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风  机</w:t>
            </w:r>
          </w:p>
        </w:tc>
        <w:tc>
          <w:tcPr>
            <w:tcW w:w="3885" w:type="dxa"/>
            <w:vAlign w:val="center"/>
          </w:tcPr>
          <w:p>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检测消防正压送风机和排烟风机的动作功能，检查状态显示情况；对送、排风机的电机进行加润滑油保养</w:t>
            </w:r>
          </w:p>
        </w:tc>
        <w:tc>
          <w:tcPr>
            <w:tcW w:w="2595" w:type="dxa"/>
            <w:vAlign w:val="center"/>
          </w:tcPr>
          <w:p>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对机械转动部分加润滑油，手动启动风机，目测工作状态</w:t>
            </w:r>
          </w:p>
        </w:tc>
        <w:tc>
          <w:tcPr>
            <w:tcW w:w="2065" w:type="dxa"/>
            <w:vAlign w:val="center"/>
          </w:tcPr>
          <w:p>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转动部分不生锈，转动灵活，运行正常，显示正确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atLeast"/>
          <w:jc w:val="center"/>
        </w:trPr>
        <w:tc>
          <w:tcPr>
            <w:tcW w:w="1241" w:type="dxa"/>
            <w:vAlign w:val="center"/>
          </w:tcPr>
          <w:p>
            <w:pPr>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风  阀</w:t>
            </w:r>
          </w:p>
        </w:tc>
        <w:tc>
          <w:tcPr>
            <w:tcW w:w="3885" w:type="dxa"/>
            <w:vAlign w:val="center"/>
          </w:tcPr>
          <w:p>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对正压送风阀、排烟阀及其他阀门进行试验</w:t>
            </w:r>
          </w:p>
        </w:tc>
        <w:tc>
          <w:tcPr>
            <w:tcW w:w="2595" w:type="dxa"/>
            <w:vAlign w:val="center"/>
          </w:tcPr>
          <w:p>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自动状态测试楼层、破玻或烟感信号</w:t>
            </w:r>
          </w:p>
        </w:tc>
        <w:tc>
          <w:tcPr>
            <w:tcW w:w="2065" w:type="dxa"/>
            <w:vAlign w:val="center"/>
          </w:tcPr>
          <w:p>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本层及上一、下一层风阀应动作</w:t>
            </w:r>
          </w:p>
        </w:tc>
      </w:tr>
    </w:tbl>
    <w:p>
      <w:pPr>
        <w:widowControl/>
        <w:tabs>
          <w:tab w:val="left" w:pos="360"/>
        </w:tabs>
        <w:adjustRightInd w:val="0"/>
        <w:snapToGrid w:val="0"/>
        <w:spacing w:line="360" w:lineRule="auto"/>
        <w:ind w:firstLine="560" w:firstLineChars="200"/>
        <w:jc w:val="lef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6.应急照明及疏散指示设施系统</w:t>
      </w:r>
    </w:p>
    <w:tbl>
      <w:tblPr>
        <w:tblStyle w:val="11"/>
        <w:tblW w:w="98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1"/>
        <w:gridCol w:w="3885"/>
        <w:gridCol w:w="2671"/>
        <w:gridCol w:w="20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61" w:type="dxa"/>
            <w:vAlign w:val="center"/>
          </w:tcPr>
          <w:p>
            <w:pPr>
              <w:spacing w:line="360" w:lineRule="auto"/>
              <w:jc w:val="center"/>
              <w:rPr>
                <w:rFonts w:hint="eastAsia" w:ascii="仿宋_GB2312" w:hAnsi="仿宋_GB2312" w:eastAsia="仿宋_GB2312" w:cs="仿宋_GB2312"/>
                <w:b/>
                <w:bCs/>
                <w:sz w:val="24"/>
              </w:rPr>
            </w:pPr>
            <w:r>
              <w:rPr>
                <w:rFonts w:hint="eastAsia" w:ascii="仿宋_GB2312" w:hAnsi="仿宋_GB2312" w:eastAsia="仿宋_GB2312" w:cs="仿宋_GB2312"/>
                <w:b/>
                <w:bCs/>
                <w:sz w:val="24"/>
              </w:rPr>
              <w:t>维护项目</w:t>
            </w:r>
          </w:p>
        </w:tc>
        <w:tc>
          <w:tcPr>
            <w:tcW w:w="3885" w:type="dxa"/>
            <w:vAlign w:val="center"/>
          </w:tcPr>
          <w:p>
            <w:pPr>
              <w:spacing w:line="360" w:lineRule="auto"/>
              <w:jc w:val="center"/>
              <w:rPr>
                <w:rFonts w:hint="eastAsia" w:ascii="仿宋_GB2312" w:hAnsi="仿宋_GB2312" w:eastAsia="仿宋_GB2312" w:cs="仿宋_GB2312"/>
                <w:b/>
                <w:bCs/>
                <w:sz w:val="24"/>
              </w:rPr>
            </w:pPr>
            <w:r>
              <w:rPr>
                <w:rFonts w:hint="eastAsia" w:ascii="仿宋_GB2312" w:hAnsi="仿宋_GB2312" w:eastAsia="仿宋_GB2312" w:cs="仿宋_GB2312"/>
                <w:b/>
                <w:bCs/>
                <w:sz w:val="24"/>
              </w:rPr>
              <w:t>作业内容</w:t>
            </w:r>
          </w:p>
        </w:tc>
        <w:tc>
          <w:tcPr>
            <w:tcW w:w="2671" w:type="dxa"/>
            <w:vAlign w:val="center"/>
          </w:tcPr>
          <w:p>
            <w:pPr>
              <w:spacing w:line="360" w:lineRule="auto"/>
              <w:jc w:val="center"/>
              <w:rPr>
                <w:rFonts w:hint="eastAsia" w:ascii="仿宋_GB2312" w:hAnsi="仿宋_GB2312" w:eastAsia="仿宋_GB2312" w:cs="仿宋_GB2312"/>
                <w:b/>
                <w:bCs/>
                <w:sz w:val="24"/>
              </w:rPr>
            </w:pPr>
            <w:r>
              <w:rPr>
                <w:rFonts w:hint="eastAsia" w:ascii="仿宋_GB2312" w:hAnsi="仿宋_GB2312" w:eastAsia="仿宋_GB2312" w:cs="仿宋_GB2312"/>
                <w:b/>
                <w:bCs/>
                <w:sz w:val="24"/>
              </w:rPr>
              <w:t>维护方法</w:t>
            </w:r>
          </w:p>
        </w:tc>
        <w:tc>
          <w:tcPr>
            <w:tcW w:w="2009" w:type="dxa"/>
            <w:vAlign w:val="center"/>
          </w:tcPr>
          <w:p>
            <w:pPr>
              <w:spacing w:line="360" w:lineRule="auto"/>
              <w:jc w:val="center"/>
              <w:rPr>
                <w:rFonts w:hint="eastAsia" w:ascii="仿宋_GB2312" w:hAnsi="仿宋_GB2312" w:eastAsia="仿宋_GB2312" w:cs="仿宋_GB2312"/>
                <w:b/>
                <w:bCs/>
                <w:sz w:val="24"/>
              </w:rPr>
            </w:pPr>
            <w:r>
              <w:rPr>
                <w:rFonts w:hint="eastAsia" w:ascii="仿宋_GB2312" w:hAnsi="仿宋_GB2312" w:eastAsia="仿宋_GB2312" w:cs="仿宋_GB2312"/>
                <w:b/>
                <w:bCs/>
                <w:sz w:val="24"/>
              </w:rPr>
              <w:t>维护标准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61" w:type="dxa"/>
            <w:vAlign w:val="center"/>
          </w:tcPr>
          <w:p>
            <w:pPr>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相关灯具</w:t>
            </w:r>
          </w:p>
        </w:tc>
        <w:tc>
          <w:tcPr>
            <w:tcW w:w="3885" w:type="dxa"/>
            <w:vAlign w:val="center"/>
          </w:tcPr>
          <w:p>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检查系统相关灯具（应急照明灯、安全出口灯、疏散指示灯等）的工作状态，电源连接是否可靠及有无其他异常现象</w:t>
            </w:r>
          </w:p>
        </w:tc>
        <w:tc>
          <w:tcPr>
            <w:tcW w:w="2671" w:type="dxa"/>
            <w:vAlign w:val="center"/>
          </w:tcPr>
          <w:p>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目测工作显示指示灯状态，电源线有无脱落</w:t>
            </w:r>
          </w:p>
        </w:tc>
        <w:tc>
          <w:tcPr>
            <w:tcW w:w="2009" w:type="dxa"/>
            <w:vAlign w:val="center"/>
          </w:tcPr>
          <w:p>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运行、电源、指示灯显示正常，电源、插头无松脱</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61" w:type="dxa"/>
            <w:vAlign w:val="center"/>
          </w:tcPr>
          <w:p>
            <w:pPr>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电  源</w:t>
            </w:r>
          </w:p>
        </w:tc>
        <w:tc>
          <w:tcPr>
            <w:tcW w:w="3885" w:type="dxa"/>
            <w:vAlign w:val="center"/>
          </w:tcPr>
          <w:p>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循环检测系统相关灯具的主、备电源自动切换和投入功能，灯具能否正常点亮，有关控制、试验按钮的操作和功能测试，备用电源的充、放电功能测试等</w:t>
            </w:r>
          </w:p>
        </w:tc>
        <w:tc>
          <w:tcPr>
            <w:tcW w:w="2671" w:type="dxa"/>
            <w:vAlign w:val="center"/>
          </w:tcPr>
          <w:p>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切断主电，或按下面板功能测试按钮</w:t>
            </w:r>
          </w:p>
        </w:tc>
        <w:tc>
          <w:tcPr>
            <w:tcW w:w="2009" w:type="dxa"/>
            <w:vAlign w:val="center"/>
          </w:tcPr>
          <w:p>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主电切断或按下功能测试按钮后，备电自投工作，设备相应工作</w:t>
            </w:r>
          </w:p>
        </w:tc>
      </w:tr>
    </w:tbl>
    <w:p>
      <w:pP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br w:type="page"/>
      </w:r>
    </w:p>
    <w:p>
      <w:pPr>
        <w:widowControl/>
        <w:tabs>
          <w:tab w:val="left" w:pos="360"/>
        </w:tabs>
        <w:adjustRightInd w:val="0"/>
        <w:snapToGrid w:val="0"/>
        <w:spacing w:line="360" w:lineRule="auto"/>
        <w:ind w:firstLine="560" w:firstLineChars="200"/>
        <w:jc w:val="lef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7.消防广播及电话系统</w:t>
      </w:r>
    </w:p>
    <w:tbl>
      <w:tblPr>
        <w:tblStyle w:val="11"/>
        <w:tblW w:w="97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4"/>
        <w:gridCol w:w="3870"/>
        <w:gridCol w:w="2325"/>
        <w:gridCol w:w="23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jc w:val="center"/>
        </w:trPr>
        <w:tc>
          <w:tcPr>
            <w:tcW w:w="1244" w:type="dxa"/>
            <w:vAlign w:val="center"/>
          </w:tcPr>
          <w:p>
            <w:pPr>
              <w:spacing w:line="360" w:lineRule="auto"/>
              <w:jc w:val="center"/>
              <w:rPr>
                <w:rFonts w:hint="eastAsia" w:ascii="仿宋_GB2312" w:hAnsi="仿宋_GB2312" w:eastAsia="仿宋_GB2312" w:cs="仿宋_GB2312"/>
                <w:b/>
                <w:bCs/>
                <w:sz w:val="24"/>
              </w:rPr>
            </w:pPr>
            <w:r>
              <w:rPr>
                <w:rFonts w:hint="eastAsia" w:ascii="仿宋_GB2312" w:hAnsi="仿宋_GB2312" w:eastAsia="仿宋_GB2312" w:cs="仿宋_GB2312"/>
                <w:b/>
                <w:bCs/>
                <w:sz w:val="24"/>
              </w:rPr>
              <w:t>维护项目</w:t>
            </w:r>
          </w:p>
        </w:tc>
        <w:tc>
          <w:tcPr>
            <w:tcW w:w="3870" w:type="dxa"/>
            <w:vAlign w:val="center"/>
          </w:tcPr>
          <w:p>
            <w:pPr>
              <w:spacing w:line="360" w:lineRule="auto"/>
              <w:jc w:val="center"/>
              <w:rPr>
                <w:rFonts w:hint="eastAsia" w:ascii="仿宋_GB2312" w:hAnsi="仿宋_GB2312" w:eastAsia="仿宋_GB2312" w:cs="仿宋_GB2312"/>
                <w:b/>
                <w:bCs/>
                <w:sz w:val="24"/>
              </w:rPr>
            </w:pPr>
            <w:r>
              <w:rPr>
                <w:rFonts w:hint="eastAsia" w:ascii="仿宋_GB2312" w:hAnsi="仿宋_GB2312" w:eastAsia="仿宋_GB2312" w:cs="仿宋_GB2312"/>
                <w:b/>
                <w:bCs/>
                <w:sz w:val="24"/>
              </w:rPr>
              <w:t>作业内容</w:t>
            </w:r>
          </w:p>
        </w:tc>
        <w:tc>
          <w:tcPr>
            <w:tcW w:w="2325" w:type="dxa"/>
            <w:vAlign w:val="center"/>
          </w:tcPr>
          <w:p>
            <w:pPr>
              <w:spacing w:line="360" w:lineRule="auto"/>
              <w:jc w:val="center"/>
              <w:rPr>
                <w:rFonts w:hint="eastAsia" w:ascii="仿宋_GB2312" w:hAnsi="仿宋_GB2312" w:eastAsia="仿宋_GB2312" w:cs="仿宋_GB2312"/>
                <w:b/>
                <w:bCs/>
                <w:sz w:val="24"/>
              </w:rPr>
            </w:pPr>
            <w:r>
              <w:rPr>
                <w:rFonts w:hint="eastAsia" w:ascii="仿宋_GB2312" w:hAnsi="仿宋_GB2312" w:eastAsia="仿宋_GB2312" w:cs="仿宋_GB2312"/>
                <w:b/>
                <w:bCs/>
                <w:sz w:val="24"/>
              </w:rPr>
              <w:t>维护方法</w:t>
            </w:r>
          </w:p>
        </w:tc>
        <w:tc>
          <w:tcPr>
            <w:tcW w:w="2322" w:type="dxa"/>
            <w:vAlign w:val="center"/>
          </w:tcPr>
          <w:p>
            <w:pPr>
              <w:spacing w:line="360" w:lineRule="auto"/>
              <w:jc w:val="center"/>
              <w:rPr>
                <w:rFonts w:hint="eastAsia" w:ascii="仿宋_GB2312" w:hAnsi="仿宋_GB2312" w:eastAsia="仿宋_GB2312" w:cs="仿宋_GB2312"/>
                <w:b/>
                <w:bCs/>
                <w:sz w:val="24"/>
              </w:rPr>
            </w:pPr>
            <w:r>
              <w:rPr>
                <w:rFonts w:hint="eastAsia" w:ascii="仿宋_GB2312" w:hAnsi="仿宋_GB2312" w:eastAsia="仿宋_GB2312" w:cs="仿宋_GB2312"/>
                <w:b/>
                <w:bCs/>
                <w:sz w:val="24"/>
              </w:rPr>
              <w:t>维护标准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12" w:hRule="atLeast"/>
          <w:jc w:val="center"/>
        </w:trPr>
        <w:tc>
          <w:tcPr>
            <w:tcW w:w="1244" w:type="dxa"/>
            <w:vAlign w:val="center"/>
          </w:tcPr>
          <w:p>
            <w:pPr>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广播</w:t>
            </w:r>
          </w:p>
        </w:tc>
        <w:tc>
          <w:tcPr>
            <w:tcW w:w="3870" w:type="dxa"/>
            <w:vAlign w:val="center"/>
          </w:tcPr>
          <w:p>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采用专用检测仪器对各防区广播抽检（每次占各回路总数的30%），检测声压及音质是否符合标准。火灾优先级测试</w:t>
            </w:r>
          </w:p>
        </w:tc>
        <w:tc>
          <w:tcPr>
            <w:tcW w:w="2325" w:type="dxa"/>
            <w:vAlign w:val="center"/>
          </w:tcPr>
          <w:p>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用专用测试工具测试、现场模拟</w:t>
            </w:r>
          </w:p>
        </w:tc>
        <w:tc>
          <w:tcPr>
            <w:tcW w:w="2322" w:type="dxa"/>
            <w:vAlign w:val="center"/>
          </w:tcPr>
          <w:p>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音质清晰、声压符合标准.任一火警情况下均能自动转为消防广播状态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1244" w:type="dxa"/>
            <w:vAlign w:val="center"/>
          </w:tcPr>
          <w:p>
            <w:pPr>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电话</w:t>
            </w:r>
          </w:p>
        </w:tc>
        <w:tc>
          <w:tcPr>
            <w:tcW w:w="3870" w:type="dxa"/>
            <w:vAlign w:val="center"/>
          </w:tcPr>
          <w:p>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主机侧终端处模拟通话</w:t>
            </w:r>
          </w:p>
        </w:tc>
        <w:tc>
          <w:tcPr>
            <w:tcW w:w="2325" w:type="dxa"/>
            <w:vAlign w:val="center"/>
          </w:tcPr>
          <w:p>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现场模拟</w:t>
            </w:r>
          </w:p>
        </w:tc>
        <w:tc>
          <w:tcPr>
            <w:tcW w:w="2322" w:type="dxa"/>
            <w:vAlign w:val="center"/>
          </w:tcPr>
          <w:p>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音质清晰、声压符合标准</w:t>
            </w:r>
          </w:p>
        </w:tc>
      </w:tr>
    </w:tbl>
    <w:p>
      <w:pPr>
        <w:widowControl/>
        <w:tabs>
          <w:tab w:val="left" w:pos="360"/>
        </w:tabs>
        <w:adjustRightInd w:val="0"/>
        <w:snapToGrid w:val="0"/>
        <w:spacing w:line="360" w:lineRule="auto"/>
        <w:ind w:firstLine="560" w:firstLineChars="200"/>
        <w:jc w:val="lef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8.消防联动控制系统</w:t>
      </w:r>
    </w:p>
    <w:tbl>
      <w:tblPr>
        <w:tblStyle w:val="11"/>
        <w:tblW w:w="97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3"/>
        <w:gridCol w:w="3900"/>
        <w:gridCol w:w="2295"/>
        <w:gridCol w:w="23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jc w:val="center"/>
        </w:trPr>
        <w:tc>
          <w:tcPr>
            <w:tcW w:w="1203" w:type="dxa"/>
            <w:vAlign w:val="center"/>
          </w:tcPr>
          <w:p>
            <w:pPr>
              <w:spacing w:line="360" w:lineRule="auto"/>
              <w:jc w:val="center"/>
              <w:rPr>
                <w:rFonts w:hint="eastAsia" w:ascii="仿宋_GB2312" w:hAnsi="仿宋_GB2312" w:eastAsia="仿宋_GB2312" w:cs="仿宋_GB2312"/>
                <w:b/>
                <w:bCs/>
                <w:sz w:val="24"/>
              </w:rPr>
            </w:pPr>
            <w:r>
              <w:rPr>
                <w:rFonts w:hint="eastAsia" w:ascii="仿宋_GB2312" w:hAnsi="仿宋_GB2312" w:eastAsia="仿宋_GB2312" w:cs="仿宋_GB2312"/>
                <w:b/>
                <w:bCs/>
                <w:sz w:val="24"/>
              </w:rPr>
              <w:t>维护项目</w:t>
            </w:r>
          </w:p>
        </w:tc>
        <w:tc>
          <w:tcPr>
            <w:tcW w:w="3900" w:type="dxa"/>
            <w:vAlign w:val="center"/>
          </w:tcPr>
          <w:p>
            <w:pPr>
              <w:spacing w:line="360" w:lineRule="auto"/>
              <w:jc w:val="center"/>
              <w:rPr>
                <w:rFonts w:hint="eastAsia" w:ascii="仿宋_GB2312" w:hAnsi="仿宋_GB2312" w:eastAsia="仿宋_GB2312" w:cs="仿宋_GB2312"/>
                <w:b/>
                <w:bCs/>
                <w:sz w:val="24"/>
              </w:rPr>
            </w:pPr>
            <w:r>
              <w:rPr>
                <w:rFonts w:hint="eastAsia" w:ascii="仿宋_GB2312" w:hAnsi="仿宋_GB2312" w:eastAsia="仿宋_GB2312" w:cs="仿宋_GB2312"/>
                <w:b/>
                <w:bCs/>
                <w:sz w:val="24"/>
              </w:rPr>
              <w:t>作业内容</w:t>
            </w:r>
          </w:p>
        </w:tc>
        <w:tc>
          <w:tcPr>
            <w:tcW w:w="2295" w:type="dxa"/>
            <w:vAlign w:val="center"/>
          </w:tcPr>
          <w:p>
            <w:pPr>
              <w:spacing w:line="360" w:lineRule="auto"/>
              <w:jc w:val="center"/>
              <w:rPr>
                <w:rFonts w:hint="eastAsia" w:ascii="仿宋_GB2312" w:hAnsi="仿宋_GB2312" w:eastAsia="仿宋_GB2312" w:cs="仿宋_GB2312"/>
                <w:b/>
                <w:bCs/>
                <w:sz w:val="24"/>
              </w:rPr>
            </w:pPr>
            <w:r>
              <w:rPr>
                <w:rFonts w:hint="eastAsia" w:ascii="仿宋_GB2312" w:hAnsi="仿宋_GB2312" w:eastAsia="仿宋_GB2312" w:cs="仿宋_GB2312"/>
                <w:b/>
                <w:bCs/>
                <w:sz w:val="24"/>
              </w:rPr>
              <w:t>维护方法</w:t>
            </w:r>
          </w:p>
        </w:tc>
        <w:tc>
          <w:tcPr>
            <w:tcW w:w="2311" w:type="dxa"/>
            <w:vAlign w:val="center"/>
          </w:tcPr>
          <w:p>
            <w:pPr>
              <w:spacing w:line="360" w:lineRule="auto"/>
              <w:jc w:val="center"/>
              <w:rPr>
                <w:rFonts w:hint="eastAsia" w:ascii="仿宋_GB2312" w:hAnsi="仿宋_GB2312" w:eastAsia="仿宋_GB2312" w:cs="仿宋_GB2312"/>
                <w:b/>
                <w:bCs/>
                <w:sz w:val="24"/>
              </w:rPr>
            </w:pPr>
            <w:r>
              <w:rPr>
                <w:rFonts w:hint="eastAsia" w:ascii="仿宋_GB2312" w:hAnsi="仿宋_GB2312" w:eastAsia="仿宋_GB2312" w:cs="仿宋_GB2312"/>
                <w:b/>
                <w:bCs/>
                <w:sz w:val="24"/>
              </w:rPr>
              <w:t>维护标准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1203" w:type="dxa"/>
            <w:vMerge w:val="restart"/>
            <w:vAlign w:val="center"/>
          </w:tcPr>
          <w:p>
            <w:pPr>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消防中心设备</w:t>
            </w:r>
          </w:p>
        </w:tc>
        <w:tc>
          <w:tcPr>
            <w:tcW w:w="3900" w:type="dxa"/>
            <w:vAlign w:val="center"/>
          </w:tcPr>
          <w:p>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检查主控屏、联动柜等的工作状态；检查相关消防设备的控制线路及各种指示灯、按钮、开关等的工作状态</w:t>
            </w:r>
          </w:p>
        </w:tc>
        <w:tc>
          <w:tcPr>
            <w:tcW w:w="2295" w:type="dxa"/>
            <w:vAlign w:val="center"/>
          </w:tcPr>
          <w:p>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目测工作显示灯、按钮</w:t>
            </w:r>
          </w:p>
        </w:tc>
        <w:tc>
          <w:tcPr>
            <w:tcW w:w="2311" w:type="dxa"/>
            <w:vAlign w:val="center"/>
          </w:tcPr>
          <w:p>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工作显示灯指示正常按钮无松动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8" w:hRule="atLeast"/>
          <w:jc w:val="center"/>
        </w:trPr>
        <w:tc>
          <w:tcPr>
            <w:tcW w:w="1203" w:type="dxa"/>
            <w:vMerge w:val="continue"/>
            <w:vAlign w:val="center"/>
          </w:tcPr>
          <w:p>
            <w:pPr>
              <w:spacing w:line="360" w:lineRule="auto"/>
              <w:jc w:val="center"/>
              <w:rPr>
                <w:rFonts w:hint="eastAsia" w:ascii="仿宋_GB2312" w:hAnsi="仿宋_GB2312" w:eastAsia="仿宋_GB2312" w:cs="仿宋_GB2312"/>
                <w:sz w:val="24"/>
              </w:rPr>
            </w:pPr>
          </w:p>
        </w:tc>
        <w:tc>
          <w:tcPr>
            <w:tcW w:w="3900" w:type="dxa"/>
            <w:vAlign w:val="center"/>
          </w:tcPr>
          <w:p>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在消防中心进行消防通讯设备对讲通话试验</w:t>
            </w:r>
          </w:p>
        </w:tc>
        <w:tc>
          <w:tcPr>
            <w:tcW w:w="2295" w:type="dxa"/>
            <w:vAlign w:val="center"/>
          </w:tcPr>
          <w:p>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用专用电话插入主机</w:t>
            </w:r>
          </w:p>
        </w:tc>
        <w:tc>
          <w:tcPr>
            <w:tcW w:w="2311" w:type="dxa"/>
            <w:vAlign w:val="center"/>
          </w:tcPr>
          <w:p>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声音清楚、无杂音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03" w:type="dxa"/>
            <w:vAlign w:val="center"/>
          </w:tcPr>
          <w:p>
            <w:pPr>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电  梯</w:t>
            </w:r>
          </w:p>
        </w:tc>
        <w:tc>
          <w:tcPr>
            <w:tcW w:w="3900" w:type="dxa"/>
            <w:vAlign w:val="center"/>
          </w:tcPr>
          <w:p>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进行强制电梯首层迫降试验</w:t>
            </w:r>
          </w:p>
        </w:tc>
        <w:tc>
          <w:tcPr>
            <w:tcW w:w="2295" w:type="dxa"/>
            <w:vAlign w:val="center"/>
          </w:tcPr>
          <w:p>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按下联动柜电梯迫降按钮</w:t>
            </w:r>
          </w:p>
        </w:tc>
        <w:tc>
          <w:tcPr>
            <w:tcW w:w="2311" w:type="dxa"/>
            <w:vAlign w:val="center"/>
          </w:tcPr>
          <w:p>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相应控制电梯应迫降至首层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jc w:val="center"/>
        </w:trPr>
        <w:tc>
          <w:tcPr>
            <w:tcW w:w="1203" w:type="dxa"/>
            <w:vAlign w:val="center"/>
          </w:tcPr>
          <w:p>
            <w:pPr>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消防电源</w:t>
            </w:r>
          </w:p>
        </w:tc>
        <w:tc>
          <w:tcPr>
            <w:tcW w:w="3900" w:type="dxa"/>
            <w:vAlign w:val="center"/>
          </w:tcPr>
          <w:p>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进行强制切断非消防电源功能试验</w:t>
            </w:r>
          </w:p>
        </w:tc>
        <w:tc>
          <w:tcPr>
            <w:tcW w:w="2295" w:type="dxa"/>
            <w:vAlign w:val="center"/>
          </w:tcPr>
          <w:p>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按下相应楼层切断非消防电源</w:t>
            </w:r>
          </w:p>
        </w:tc>
        <w:tc>
          <w:tcPr>
            <w:tcW w:w="2311" w:type="dxa"/>
            <w:vAlign w:val="center"/>
          </w:tcPr>
          <w:p>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相应楼层应动作，信号反馈应正常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1203" w:type="dxa"/>
            <w:vAlign w:val="center"/>
          </w:tcPr>
          <w:p>
            <w:pPr>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消火栓泵系统</w:t>
            </w:r>
          </w:p>
        </w:tc>
        <w:tc>
          <w:tcPr>
            <w:tcW w:w="3900" w:type="dxa"/>
            <w:vAlign w:val="center"/>
          </w:tcPr>
          <w:p>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试验与消火栓泵系统的联动功能，检测联动控制信号和反馈信号</w:t>
            </w:r>
          </w:p>
        </w:tc>
        <w:tc>
          <w:tcPr>
            <w:tcW w:w="2295" w:type="dxa"/>
            <w:vAlign w:val="center"/>
          </w:tcPr>
          <w:p>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手动按下消火栓启动按钮目测运行、显示灯</w:t>
            </w:r>
          </w:p>
        </w:tc>
        <w:tc>
          <w:tcPr>
            <w:tcW w:w="2311" w:type="dxa"/>
            <w:vAlign w:val="center"/>
          </w:tcPr>
          <w:p>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水泵应启动，运行显示灯显示正常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 w:hRule="atLeast"/>
          <w:jc w:val="center"/>
        </w:trPr>
        <w:tc>
          <w:tcPr>
            <w:tcW w:w="1203" w:type="dxa"/>
            <w:vAlign w:val="center"/>
          </w:tcPr>
          <w:p>
            <w:pPr>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喷淋泵系统</w:t>
            </w:r>
          </w:p>
        </w:tc>
        <w:tc>
          <w:tcPr>
            <w:tcW w:w="3900" w:type="dxa"/>
            <w:vAlign w:val="center"/>
          </w:tcPr>
          <w:p>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试验与水喷淋泵系统的联动功能，检测联动控制信号和反馈信号</w:t>
            </w:r>
          </w:p>
        </w:tc>
        <w:tc>
          <w:tcPr>
            <w:tcW w:w="2295" w:type="dxa"/>
            <w:vAlign w:val="center"/>
          </w:tcPr>
          <w:p>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手动按下消火栓启动按钮目测运行、显示灯</w:t>
            </w:r>
          </w:p>
        </w:tc>
        <w:tc>
          <w:tcPr>
            <w:tcW w:w="2311" w:type="dxa"/>
            <w:vAlign w:val="center"/>
          </w:tcPr>
          <w:p>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水泵应启动，运行显示灯显示正常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4" w:hRule="atLeast"/>
          <w:jc w:val="center"/>
        </w:trPr>
        <w:tc>
          <w:tcPr>
            <w:tcW w:w="1203" w:type="dxa"/>
            <w:vAlign w:val="center"/>
          </w:tcPr>
          <w:p>
            <w:pPr>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气体灭火系统</w:t>
            </w:r>
          </w:p>
        </w:tc>
        <w:tc>
          <w:tcPr>
            <w:tcW w:w="3900" w:type="dxa"/>
            <w:vAlign w:val="center"/>
          </w:tcPr>
          <w:p>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试验与气体灭火系统的联动功能，检测联动控制信号和反馈信号</w:t>
            </w:r>
          </w:p>
        </w:tc>
        <w:tc>
          <w:tcPr>
            <w:tcW w:w="2295" w:type="dxa"/>
            <w:vAlign w:val="center"/>
          </w:tcPr>
          <w:p>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测试气体灭火控制及反馈功能</w:t>
            </w:r>
          </w:p>
        </w:tc>
        <w:tc>
          <w:tcPr>
            <w:tcW w:w="2311" w:type="dxa"/>
            <w:vAlign w:val="center"/>
          </w:tcPr>
          <w:p>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状态相应显示正常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9" w:hRule="atLeast"/>
          <w:jc w:val="center"/>
        </w:trPr>
        <w:tc>
          <w:tcPr>
            <w:tcW w:w="1203" w:type="dxa"/>
            <w:vAlign w:val="center"/>
          </w:tcPr>
          <w:p>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防火卷帘系统</w:t>
            </w:r>
          </w:p>
        </w:tc>
        <w:tc>
          <w:tcPr>
            <w:tcW w:w="3900" w:type="dxa"/>
            <w:vAlign w:val="center"/>
          </w:tcPr>
          <w:p>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试验与防火卷帘系统的联动功能，检测联动控制信号和反馈信号</w:t>
            </w:r>
          </w:p>
        </w:tc>
        <w:tc>
          <w:tcPr>
            <w:tcW w:w="2295" w:type="dxa"/>
            <w:vAlign w:val="center"/>
          </w:tcPr>
          <w:p>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测试防火卷帘控制及反馈功能</w:t>
            </w:r>
          </w:p>
        </w:tc>
        <w:tc>
          <w:tcPr>
            <w:tcW w:w="2311" w:type="dxa"/>
            <w:vAlign w:val="center"/>
          </w:tcPr>
          <w:p>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状态相应显示正常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jc w:val="center"/>
        </w:trPr>
        <w:tc>
          <w:tcPr>
            <w:tcW w:w="1203" w:type="dxa"/>
            <w:vAlign w:val="center"/>
          </w:tcPr>
          <w:p>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防排烟系统</w:t>
            </w:r>
          </w:p>
        </w:tc>
        <w:tc>
          <w:tcPr>
            <w:tcW w:w="3900" w:type="dxa"/>
            <w:vAlign w:val="center"/>
          </w:tcPr>
          <w:p>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试验与防排烟系统的联动功能，检测联动控制信号和反馈信号</w:t>
            </w:r>
          </w:p>
        </w:tc>
        <w:tc>
          <w:tcPr>
            <w:tcW w:w="2295" w:type="dxa"/>
            <w:vAlign w:val="center"/>
          </w:tcPr>
          <w:p>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测试防火卷帘控制及反馈功能</w:t>
            </w:r>
          </w:p>
        </w:tc>
        <w:tc>
          <w:tcPr>
            <w:tcW w:w="2311" w:type="dxa"/>
            <w:vAlign w:val="center"/>
          </w:tcPr>
          <w:p>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状态相应显示正常</w:t>
            </w:r>
          </w:p>
        </w:tc>
      </w:tr>
    </w:tbl>
    <w:p>
      <w:pPr>
        <w:widowControl/>
        <w:tabs>
          <w:tab w:val="left" w:pos="360"/>
        </w:tabs>
        <w:ind w:firstLine="560" w:firstLineChars="200"/>
        <w:jc w:val="lef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9.消防器材</w:t>
      </w:r>
    </w:p>
    <w:tbl>
      <w:tblPr>
        <w:tblStyle w:val="11"/>
        <w:tblpPr w:leftFromText="180" w:rightFromText="180" w:vertAnchor="text" w:horzAnchor="page" w:tblpX="1209" w:tblpY="519"/>
        <w:tblOverlap w:val="never"/>
        <w:tblW w:w="970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00"/>
        <w:gridCol w:w="5633"/>
        <w:gridCol w:w="1160"/>
        <w:gridCol w:w="17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 w:hRule="atLeast"/>
        </w:trPr>
        <w:tc>
          <w:tcPr>
            <w:tcW w:w="1200" w:type="dxa"/>
            <w:vAlign w:val="center"/>
          </w:tcPr>
          <w:p>
            <w:pPr>
              <w:jc w:val="center"/>
              <w:rPr>
                <w:rFonts w:hint="eastAsia" w:ascii="仿宋_GB2312" w:hAnsi="仿宋_GB2312" w:eastAsia="仿宋_GB2312" w:cs="仿宋_GB2312"/>
                <w:b/>
                <w:bCs/>
                <w:sz w:val="24"/>
              </w:rPr>
            </w:pPr>
            <w:r>
              <w:rPr>
                <w:rFonts w:hint="eastAsia" w:ascii="仿宋_GB2312" w:hAnsi="仿宋_GB2312" w:eastAsia="仿宋_GB2312" w:cs="仿宋_GB2312"/>
                <w:b/>
                <w:bCs/>
                <w:sz w:val="24"/>
              </w:rPr>
              <w:t>维护项目</w:t>
            </w:r>
          </w:p>
        </w:tc>
        <w:tc>
          <w:tcPr>
            <w:tcW w:w="5633" w:type="dxa"/>
            <w:vAlign w:val="center"/>
          </w:tcPr>
          <w:p>
            <w:pPr>
              <w:jc w:val="center"/>
              <w:rPr>
                <w:rFonts w:hint="eastAsia" w:ascii="仿宋_GB2312" w:hAnsi="仿宋_GB2312" w:eastAsia="仿宋_GB2312" w:cs="仿宋_GB2312"/>
                <w:b/>
                <w:bCs/>
                <w:sz w:val="24"/>
              </w:rPr>
            </w:pPr>
            <w:r>
              <w:rPr>
                <w:rFonts w:hint="eastAsia" w:ascii="仿宋_GB2312" w:hAnsi="仿宋_GB2312" w:eastAsia="仿宋_GB2312" w:cs="仿宋_GB2312"/>
                <w:b/>
                <w:bCs/>
                <w:sz w:val="24"/>
              </w:rPr>
              <w:t>作业内容</w:t>
            </w:r>
          </w:p>
        </w:tc>
        <w:tc>
          <w:tcPr>
            <w:tcW w:w="1160" w:type="dxa"/>
            <w:vAlign w:val="center"/>
          </w:tcPr>
          <w:p>
            <w:pPr>
              <w:jc w:val="center"/>
              <w:rPr>
                <w:rFonts w:hint="eastAsia" w:ascii="仿宋_GB2312" w:hAnsi="仿宋_GB2312" w:eastAsia="仿宋_GB2312" w:cs="仿宋_GB2312"/>
                <w:b/>
                <w:bCs/>
                <w:sz w:val="24"/>
              </w:rPr>
            </w:pPr>
            <w:r>
              <w:rPr>
                <w:rFonts w:hint="eastAsia" w:ascii="仿宋_GB2312" w:hAnsi="仿宋_GB2312" w:eastAsia="仿宋_GB2312" w:cs="仿宋_GB2312"/>
                <w:b/>
                <w:bCs/>
                <w:sz w:val="24"/>
              </w:rPr>
              <w:t>维护方法</w:t>
            </w:r>
          </w:p>
        </w:tc>
        <w:tc>
          <w:tcPr>
            <w:tcW w:w="1714" w:type="dxa"/>
            <w:vAlign w:val="center"/>
          </w:tcPr>
          <w:p>
            <w:pPr>
              <w:jc w:val="center"/>
              <w:rPr>
                <w:rFonts w:hint="eastAsia" w:ascii="仿宋_GB2312" w:hAnsi="仿宋_GB2312" w:eastAsia="仿宋_GB2312" w:cs="仿宋_GB2312"/>
                <w:b/>
                <w:bCs/>
                <w:sz w:val="24"/>
              </w:rPr>
            </w:pPr>
            <w:r>
              <w:rPr>
                <w:rFonts w:hint="eastAsia" w:ascii="仿宋_GB2312" w:hAnsi="仿宋_GB2312" w:eastAsia="仿宋_GB2312" w:cs="仿宋_GB2312"/>
                <w:b/>
                <w:bCs/>
                <w:sz w:val="24"/>
              </w:rPr>
              <w:t>维护标准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5" w:hRule="atLeast"/>
        </w:trPr>
        <w:tc>
          <w:tcPr>
            <w:tcW w:w="1200" w:type="dxa"/>
            <w:vAlign w:val="center"/>
          </w:tcPr>
          <w:p>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灭火器材</w:t>
            </w:r>
          </w:p>
        </w:tc>
        <w:tc>
          <w:tcPr>
            <w:tcW w:w="5633" w:type="dxa"/>
            <w:vAlign w:val="center"/>
          </w:tcPr>
          <w:p>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检查压力是否在规定的范围内，对活动部位进行润滑保养，防止灭火器压把、阀体、顶针等金属件损伤、变形、锈蚀等，定期晃动筒体防止干粉结块，消火栓箱、灭火器箱、微型消防站等存放消防器材部位卫生清扫、清洁。</w:t>
            </w:r>
          </w:p>
        </w:tc>
        <w:tc>
          <w:tcPr>
            <w:tcW w:w="1160" w:type="dxa"/>
            <w:vAlign w:val="center"/>
          </w:tcPr>
          <w:p>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外观检查</w:t>
            </w:r>
          </w:p>
          <w:p>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清扫清洁</w:t>
            </w:r>
          </w:p>
        </w:tc>
        <w:tc>
          <w:tcPr>
            <w:tcW w:w="1714" w:type="dxa"/>
            <w:vAlign w:val="center"/>
          </w:tcPr>
          <w:p>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器材完好，摆放有序，卫生整洁</w:t>
            </w:r>
          </w:p>
        </w:tc>
      </w:tr>
    </w:tbl>
    <w:p>
      <w:pPr>
        <w:widowControl/>
        <w:tabs>
          <w:tab w:val="left" w:pos="360"/>
        </w:tabs>
        <w:ind w:firstLine="560" w:firstLineChars="200"/>
        <w:jc w:val="lef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10.消防供配电设施</w:t>
      </w:r>
    </w:p>
    <w:tbl>
      <w:tblPr>
        <w:tblStyle w:val="11"/>
        <w:tblpPr w:leftFromText="180" w:rightFromText="180" w:vertAnchor="text" w:horzAnchor="page" w:tblpX="1209" w:tblpY="519"/>
        <w:tblOverlap w:val="never"/>
        <w:tblW w:w="970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13"/>
        <w:gridCol w:w="3760"/>
        <w:gridCol w:w="1093"/>
        <w:gridCol w:w="35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 w:hRule="atLeast"/>
        </w:trPr>
        <w:tc>
          <w:tcPr>
            <w:tcW w:w="1313" w:type="dxa"/>
            <w:vAlign w:val="center"/>
          </w:tcPr>
          <w:p>
            <w:pPr>
              <w:jc w:val="center"/>
              <w:rPr>
                <w:rFonts w:hint="eastAsia" w:ascii="仿宋_GB2312" w:hAnsi="仿宋_GB2312" w:eastAsia="仿宋_GB2312" w:cs="仿宋_GB2312"/>
                <w:b/>
                <w:bCs/>
                <w:sz w:val="24"/>
              </w:rPr>
            </w:pPr>
            <w:r>
              <w:rPr>
                <w:rFonts w:hint="eastAsia" w:ascii="仿宋_GB2312" w:hAnsi="仿宋_GB2312" w:eastAsia="仿宋_GB2312" w:cs="仿宋_GB2312"/>
                <w:b/>
                <w:bCs/>
                <w:sz w:val="24"/>
              </w:rPr>
              <w:t>维护项目</w:t>
            </w:r>
          </w:p>
        </w:tc>
        <w:tc>
          <w:tcPr>
            <w:tcW w:w="3760" w:type="dxa"/>
            <w:vAlign w:val="center"/>
          </w:tcPr>
          <w:p>
            <w:pPr>
              <w:jc w:val="center"/>
              <w:rPr>
                <w:rFonts w:hint="eastAsia" w:ascii="仿宋_GB2312" w:hAnsi="仿宋_GB2312" w:eastAsia="仿宋_GB2312" w:cs="仿宋_GB2312"/>
                <w:b/>
                <w:bCs/>
                <w:sz w:val="24"/>
              </w:rPr>
            </w:pPr>
            <w:r>
              <w:rPr>
                <w:rFonts w:hint="eastAsia" w:ascii="仿宋_GB2312" w:hAnsi="仿宋_GB2312" w:eastAsia="仿宋_GB2312" w:cs="仿宋_GB2312"/>
                <w:b/>
                <w:bCs/>
                <w:sz w:val="24"/>
              </w:rPr>
              <w:t>作业内容</w:t>
            </w:r>
          </w:p>
        </w:tc>
        <w:tc>
          <w:tcPr>
            <w:tcW w:w="1093" w:type="dxa"/>
            <w:vAlign w:val="center"/>
          </w:tcPr>
          <w:p>
            <w:pPr>
              <w:jc w:val="center"/>
              <w:rPr>
                <w:rFonts w:hint="eastAsia" w:ascii="仿宋_GB2312" w:hAnsi="仿宋_GB2312" w:eastAsia="仿宋_GB2312" w:cs="仿宋_GB2312"/>
                <w:b/>
                <w:bCs/>
                <w:sz w:val="24"/>
              </w:rPr>
            </w:pPr>
            <w:r>
              <w:rPr>
                <w:rFonts w:hint="eastAsia" w:ascii="仿宋_GB2312" w:hAnsi="仿宋_GB2312" w:eastAsia="仿宋_GB2312" w:cs="仿宋_GB2312"/>
                <w:b/>
                <w:bCs/>
                <w:sz w:val="24"/>
              </w:rPr>
              <w:t>维护方法</w:t>
            </w:r>
          </w:p>
        </w:tc>
        <w:tc>
          <w:tcPr>
            <w:tcW w:w="3541" w:type="dxa"/>
            <w:vAlign w:val="center"/>
          </w:tcPr>
          <w:p>
            <w:pPr>
              <w:jc w:val="center"/>
              <w:rPr>
                <w:rFonts w:hint="eastAsia" w:ascii="仿宋_GB2312" w:hAnsi="仿宋_GB2312" w:eastAsia="仿宋_GB2312" w:cs="仿宋_GB2312"/>
                <w:b/>
                <w:bCs/>
                <w:sz w:val="24"/>
              </w:rPr>
            </w:pPr>
            <w:r>
              <w:rPr>
                <w:rFonts w:hint="eastAsia" w:ascii="仿宋_GB2312" w:hAnsi="仿宋_GB2312" w:eastAsia="仿宋_GB2312" w:cs="仿宋_GB2312"/>
                <w:b/>
                <w:bCs/>
                <w:sz w:val="24"/>
              </w:rPr>
              <w:t>维护标准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trPr>
        <w:tc>
          <w:tcPr>
            <w:tcW w:w="1313" w:type="dxa"/>
            <w:vAlign w:val="center"/>
          </w:tcPr>
          <w:p>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配电箱(柜)</w:t>
            </w:r>
          </w:p>
        </w:tc>
        <w:tc>
          <w:tcPr>
            <w:tcW w:w="3760" w:type="dxa"/>
            <w:vAlign w:val="center"/>
          </w:tcPr>
          <w:p>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检查消防主电源、备用电源工作状态。</w:t>
            </w:r>
          </w:p>
        </w:tc>
        <w:tc>
          <w:tcPr>
            <w:tcW w:w="1093" w:type="dxa"/>
            <w:vAlign w:val="center"/>
          </w:tcPr>
          <w:p>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外观检查</w:t>
            </w:r>
          </w:p>
          <w:p>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功能检查</w:t>
            </w:r>
          </w:p>
        </w:tc>
        <w:tc>
          <w:tcPr>
            <w:tcW w:w="3541" w:type="dxa"/>
            <w:vAlign w:val="center"/>
          </w:tcPr>
          <w:p>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配电箱(柜)上的仪表、指示灯显示应正常，开关及控制按钮应灵活可靠。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1313" w:type="dxa"/>
            <w:vAlign w:val="center"/>
          </w:tcPr>
          <w:p>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消防应急电源</w:t>
            </w:r>
          </w:p>
        </w:tc>
        <w:tc>
          <w:tcPr>
            <w:tcW w:w="3760" w:type="dxa"/>
            <w:vAlign w:val="center"/>
          </w:tcPr>
          <w:p>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检查消防消防应急电源工作状态。</w:t>
            </w:r>
          </w:p>
        </w:tc>
        <w:tc>
          <w:tcPr>
            <w:tcW w:w="1093" w:type="dxa"/>
            <w:vAlign w:val="center"/>
          </w:tcPr>
          <w:p>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外观检查</w:t>
            </w:r>
          </w:p>
          <w:p>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功能检查</w:t>
            </w:r>
          </w:p>
        </w:tc>
        <w:tc>
          <w:tcPr>
            <w:tcW w:w="3541" w:type="dxa"/>
            <w:vAlign w:val="center"/>
          </w:tcPr>
          <w:p>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消防应急电源外观完好，运行正常，消防配电房无杂物堆放。</w:t>
            </w:r>
          </w:p>
        </w:tc>
      </w:tr>
    </w:tbl>
    <w:p>
      <w:pPr>
        <w:widowControl/>
        <w:tabs>
          <w:tab w:val="left" w:pos="360"/>
        </w:tabs>
        <w:ind w:firstLine="560" w:firstLineChars="200"/>
        <w:jc w:val="lef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11.电气火灾监控系统</w:t>
      </w:r>
    </w:p>
    <w:tbl>
      <w:tblPr>
        <w:tblStyle w:val="11"/>
        <w:tblpPr w:leftFromText="180" w:rightFromText="180" w:vertAnchor="text" w:horzAnchor="page" w:tblpX="1209" w:tblpY="519"/>
        <w:tblOverlap w:val="never"/>
        <w:tblW w:w="970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13"/>
        <w:gridCol w:w="3773"/>
        <w:gridCol w:w="1094"/>
        <w:gridCol w:w="35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2" w:hRule="atLeast"/>
        </w:trPr>
        <w:tc>
          <w:tcPr>
            <w:tcW w:w="1313" w:type="dxa"/>
            <w:vAlign w:val="center"/>
          </w:tcPr>
          <w:p>
            <w:pPr>
              <w:jc w:val="center"/>
              <w:rPr>
                <w:rFonts w:hint="eastAsia" w:ascii="仿宋_GB2312" w:hAnsi="仿宋_GB2312" w:eastAsia="仿宋_GB2312" w:cs="仿宋_GB2312"/>
                <w:b/>
                <w:bCs/>
                <w:sz w:val="24"/>
              </w:rPr>
            </w:pPr>
            <w:r>
              <w:rPr>
                <w:rFonts w:hint="eastAsia" w:ascii="仿宋_GB2312" w:hAnsi="仿宋_GB2312" w:eastAsia="仿宋_GB2312" w:cs="仿宋_GB2312"/>
                <w:b/>
                <w:bCs/>
                <w:sz w:val="24"/>
              </w:rPr>
              <w:t>维护项目</w:t>
            </w:r>
          </w:p>
        </w:tc>
        <w:tc>
          <w:tcPr>
            <w:tcW w:w="3773" w:type="dxa"/>
            <w:vAlign w:val="center"/>
          </w:tcPr>
          <w:p>
            <w:pPr>
              <w:jc w:val="center"/>
              <w:rPr>
                <w:rFonts w:hint="eastAsia" w:ascii="仿宋_GB2312" w:hAnsi="仿宋_GB2312" w:eastAsia="仿宋_GB2312" w:cs="仿宋_GB2312"/>
                <w:b/>
                <w:bCs/>
                <w:sz w:val="24"/>
              </w:rPr>
            </w:pPr>
            <w:r>
              <w:rPr>
                <w:rFonts w:hint="eastAsia" w:ascii="仿宋_GB2312" w:hAnsi="仿宋_GB2312" w:eastAsia="仿宋_GB2312" w:cs="仿宋_GB2312"/>
                <w:b/>
                <w:bCs/>
                <w:sz w:val="24"/>
              </w:rPr>
              <w:t>作业内容</w:t>
            </w:r>
          </w:p>
        </w:tc>
        <w:tc>
          <w:tcPr>
            <w:tcW w:w="1094" w:type="dxa"/>
            <w:vAlign w:val="center"/>
          </w:tcPr>
          <w:p>
            <w:pPr>
              <w:jc w:val="center"/>
              <w:rPr>
                <w:rFonts w:hint="eastAsia" w:ascii="仿宋_GB2312" w:hAnsi="仿宋_GB2312" w:eastAsia="仿宋_GB2312" w:cs="仿宋_GB2312"/>
                <w:b/>
                <w:bCs/>
                <w:sz w:val="24"/>
              </w:rPr>
            </w:pPr>
            <w:r>
              <w:rPr>
                <w:rFonts w:hint="eastAsia" w:ascii="仿宋_GB2312" w:hAnsi="仿宋_GB2312" w:eastAsia="仿宋_GB2312" w:cs="仿宋_GB2312"/>
                <w:b/>
                <w:bCs/>
                <w:sz w:val="24"/>
              </w:rPr>
              <w:t>维护方法</w:t>
            </w:r>
          </w:p>
        </w:tc>
        <w:tc>
          <w:tcPr>
            <w:tcW w:w="3527" w:type="dxa"/>
            <w:vAlign w:val="center"/>
          </w:tcPr>
          <w:p>
            <w:pPr>
              <w:jc w:val="center"/>
              <w:rPr>
                <w:rFonts w:hint="eastAsia" w:ascii="仿宋_GB2312" w:hAnsi="仿宋_GB2312" w:eastAsia="仿宋_GB2312" w:cs="仿宋_GB2312"/>
                <w:b/>
                <w:bCs/>
                <w:sz w:val="24"/>
              </w:rPr>
            </w:pPr>
            <w:r>
              <w:rPr>
                <w:rFonts w:hint="eastAsia" w:ascii="仿宋_GB2312" w:hAnsi="仿宋_GB2312" w:eastAsia="仿宋_GB2312" w:cs="仿宋_GB2312"/>
                <w:b/>
                <w:bCs/>
                <w:sz w:val="24"/>
              </w:rPr>
              <w:t>维护标准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trPr>
        <w:tc>
          <w:tcPr>
            <w:tcW w:w="1313" w:type="dxa"/>
            <w:vAlign w:val="center"/>
          </w:tcPr>
          <w:p>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电气火灾监控探测器</w:t>
            </w:r>
          </w:p>
        </w:tc>
        <w:tc>
          <w:tcPr>
            <w:tcW w:w="3773" w:type="dxa"/>
            <w:vAlign w:val="center"/>
          </w:tcPr>
          <w:p>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检查电气火灾监控探测器的外观及工作状态。</w:t>
            </w:r>
          </w:p>
        </w:tc>
        <w:tc>
          <w:tcPr>
            <w:tcW w:w="1094" w:type="dxa"/>
            <w:vAlign w:val="center"/>
          </w:tcPr>
          <w:p>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外观检查</w:t>
            </w:r>
          </w:p>
          <w:p>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功能检查</w:t>
            </w:r>
          </w:p>
        </w:tc>
        <w:tc>
          <w:tcPr>
            <w:tcW w:w="3527" w:type="dxa"/>
            <w:vAlign w:val="center"/>
          </w:tcPr>
          <w:p>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设备外观应完好，紧固件、插接件应无松动。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8" w:hRule="atLeast"/>
        </w:trPr>
        <w:tc>
          <w:tcPr>
            <w:tcW w:w="1313" w:type="dxa"/>
            <w:vAlign w:val="center"/>
          </w:tcPr>
          <w:p>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报警控制器</w:t>
            </w:r>
          </w:p>
        </w:tc>
        <w:tc>
          <w:tcPr>
            <w:tcW w:w="3773" w:type="dxa"/>
            <w:vAlign w:val="center"/>
          </w:tcPr>
          <w:p>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检查报警控制器的外观及运行状态</w:t>
            </w:r>
          </w:p>
        </w:tc>
        <w:tc>
          <w:tcPr>
            <w:tcW w:w="1094" w:type="dxa"/>
            <w:vAlign w:val="center"/>
          </w:tcPr>
          <w:p>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外观检查</w:t>
            </w:r>
          </w:p>
          <w:p>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功能检查</w:t>
            </w:r>
          </w:p>
        </w:tc>
        <w:tc>
          <w:tcPr>
            <w:tcW w:w="3527" w:type="dxa"/>
            <w:vAlign w:val="center"/>
          </w:tcPr>
          <w:p>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控制器主电源供电应正常；指示灯、显示屏、按钮、标签应正常；钥匙、开关等应置于正常位置；系统应设定在安全工作状态。触发自检键，对面板上所有的指示灯、显示器和音响器件进行功能自检。</w:t>
            </w:r>
          </w:p>
        </w:tc>
      </w:tr>
    </w:tbl>
    <w:p>
      <w:pPr>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br w:type="page"/>
      </w:r>
    </w:p>
    <w:p>
      <w:pPr>
        <w:widowControl/>
        <w:tabs>
          <w:tab w:val="left" w:pos="360"/>
        </w:tabs>
        <w:ind w:firstLine="560" w:firstLineChars="200"/>
        <w:jc w:val="left"/>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12.防火分隔设施</w:t>
      </w:r>
    </w:p>
    <w:tbl>
      <w:tblPr>
        <w:tblStyle w:val="11"/>
        <w:tblpPr w:leftFromText="180" w:rightFromText="180" w:vertAnchor="text" w:horzAnchor="page" w:tblpX="1209" w:tblpY="519"/>
        <w:tblOverlap w:val="never"/>
        <w:tblW w:w="970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13"/>
        <w:gridCol w:w="3787"/>
        <w:gridCol w:w="1080"/>
        <w:gridCol w:w="35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4" w:hRule="atLeast"/>
        </w:trPr>
        <w:tc>
          <w:tcPr>
            <w:tcW w:w="1313" w:type="dxa"/>
            <w:vAlign w:val="center"/>
          </w:tcPr>
          <w:p>
            <w:pPr>
              <w:jc w:val="center"/>
              <w:rPr>
                <w:rFonts w:hint="eastAsia" w:ascii="仿宋_GB2312" w:hAnsi="仿宋_GB2312" w:eastAsia="仿宋_GB2312" w:cs="仿宋_GB2312"/>
                <w:b/>
                <w:bCs/>
                <w:sz w:val="24"/>
              </w:rPr>
            </w:pPr>
            <w:r>
              <w:rPr>
                <w:rFonts w:hint="eastAsia" w:ascii="仿宋_GB2312" w:hAnsi="仿宋_GB2312" w:eastAsia="仿宋_GB2312" w:cs="仿宋_GB2312"/>
                <w:b/>
                <w:bCs/>
                <w:sz w:val="24"/>
              </w:rPr>
              <w:t>维护项目</w:t>
            </w:r>
          </w:p>
        </w:tc>
        <w:tc>
          <w:tcPr>
            <w:tcW w:w="3787" w:type="dxa"/>
            <w:vAlign w:val="center"/>
          </w:tcPr>
          <w:p>
            <w:pPr>
              <w:jc w:val="center"/>
              <w:rPr>
                <w:rFonts w:hint="eastAsia" w:ascii="仿宋_GB2312" w:hAnsi="仿宋_GB2312" w:eastAsia="仿宋_GB2312" w:cs="仿宋_GB2312"/>
                <w:b/>
                <w:bCs/>
                <w:sz w:val="24"/>
              </w:rPr>
            </w:pPr>
            <w:r>
              <w:rPr>
                <w:rFonts w:hint="eastAsia" w:ascii="仿宋_GB2312" w:hAnsi="仿宋_GB2312" w:eastAsia="仿宋_GB2312" w:cs="仿宋_GB2312"/>
                <w:b/>
                <w:bCs/>
                <w:sz w:val="24"/>
              </w:rPr>
              <w:t>作业内容</w:t>
            </w:r>
          </w:p>
        </w:tc>
        <w:tc>
          <w:tcPr>
            <w:tcW w:w="1080" w:type="dxa"/>
            <w:vAlign w:val="center"/>
          </w:tcPr>
          <w:p>
            <w:pPr>
              <w:jc w:val="center"/>
              <w:rPr>
                <w:rFonts w:hint="eastAsia" w:ascii="仿宋_GB2312" w:hAnsi="仿宋_GB2312" w:eastAsia="仿宋_GB2312" w:cs="仿宋_GB2312"/>
                <w:b/>
                <w:bCs/>
                <w:sz w:val="24"/>
              </w:rPr>
            </w:pPr>
            <w:r>
              <w:rPr>
                <w:rFonts w:hint="eastAsia" w:ascii="仿宋_GB2312" w:hAnsi="仿宋_GB2312" w:eastAsia="仿宋_GB2312" w:cs="仿宋_GB2312"/>
                <w:b/>
                <w:bCs/>
                <w:sz w:val="24"/>
              </w:rPr>
              <w:t>维护方法</w:t>
            </w:r>
          </w:p>
        </w:tc>
        <w:tc>
          <w:tcPr>
            <w:tcW w:w="3527" w:type="dxa"/>
            <w:vAlign w:val="center"/>
          </w:tcPr>
          <w:p>
            <w:pPr>
              <w:jc w:val="center"/>
              <w:rPr>
                <w:rFonts w:hint="eastAsia" w:ascii="仿宋_GB2312" w:hAnsi="仿宋_GB2312" w:eastAsia="仿宋_GB2312" w:cs="仿宋_GB2312"/>
                <w:b/>
                <w:bCs/>
                <w:sz w:val="24"/>
              </w:rPr>
            </w:pPr>
            <w:r>
              <w:rPr>
                <w:rFonts w:hint="eastAsia" w:ascii="仿宋_GB2312" w:hAnsi="仿宋_GB2312" w:eastAsia="仿宋_GB2312" w:cs="仿宋_GB2312"/>
                <w:b/>
                <w:bCs/>
                <w:sz w:val="24"/>
              </w:rPr>
              <w:t>维护标准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9" w:hRule="atLeast"/>
        </w:trPr>
        <w:tc>
          <w:tcPr>
            <w:tcW w:w="1313" w:type="dxa"/>
            <w:vAlign w:val="center"/>
          </w:tcPr>
          <w:p>
            <w:pPr>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防火门</w:t>
            </w:r>
          </w:p>
        </w:tc>
        <w:tc>
          <w:tcPr>
            <w:tcW w:w="3787" w:type="dxa"/>
            <w:vAlign w:val="center"/>
          </w:tcPr>
          <w:p>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对防火门的外观、配件完整性、启闭状况及周围环境进行检查</w:t>
            </w:r>
          </w:p>
        </w:tc>
        <w:tc>
          <w:tcPr>
            <w:tcW w:w="1080" w:type="dxa"/>
            <w:vAlign w:val="center"/>
          </w:tcPr>
          <w:p>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外观检查</w:t>
            </w:r>
          </w:p>
          <w:p>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功能检查</w:t>
            </w:r>
          </w:p>
        </w:tc>
        <w:tc>
          <w:tcPr>
            <w:tcW w:w="3527" w:type="dxa"/>
            <w:vAlign w:val="center"/>
          </w:tcPr>
          <w:p>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防火门使用正常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 w:hRule="atLeast"/>
        </w:trPr>
        <w:tc>
          <w:tcPr>
            <w:tcW w:w="1313" w:type="dxa"/>
            <w:vAlign w:val="center"/>
          </w:tcPr>
          <w:p>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防火卷帘</w:t>
            </w:r>
          </w:p>
        </w:tc>
        <w:tc>
          <w:tcPr>
            <w:tcW w:w="3787" w:type="dxa"/>
            <w:vAlign w:val="center"/>
          </w:tcPr>
          <w:p>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对防火卷帘外观及配件完整性，防火卷帘控制装置外观及工作状况进行检查</w:t>
            </w:r>
          </w:p>
        </w:tc>
        <w:tc>
          <w:tcPr>
            <w:tcW w:w="1080" w:type="dxa"/>
            <w:vAlign w:val="center"/>
          </w:tcPr>
          <w:p>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外观检查</w:t>
            </w:r>
          </w:p>
          <w:p>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功能检查</w:t>
            </w:r>
          </w:p>
        </w:tc>
        <w:tc>
          <w:tcPr>
            <w:tcW w:w="3527" w:type="dxa"/>
            <w:vAlign w:val="center"/>
          </w:tcPr>
          <w:p>
            <w:pPr>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防火卷帘使用正常</w:t>
            </w:r>
          </w:p>
        </w:tc>
      </w:tr>
    </w:tbl>
    <w:p>
      <w:pPr>
        <w:widowControl/>
        <w:tabs>
          <w:tab w:val="left" w:pos="360"/>
        </w:tabs>
        <w:adjustRightInd w:val="0"/>
        <w:snapToGrid w:val="0"/>
        <w:spacing w:line="360" w:lineRule="auto"/>
        <w:ind w:firstLine="562" w:firstLineChars="200"/>
        <w:jc w:val="left"/>
        <w:rPr>
          <w:rFonts w:hint="eastAsia" w:ascii="仿宋_GB2312" w:hAnsi="仿宋_GB2312" w:eastAsia="仿宋_GB2312" w:cs="仿宋_GB2312"/>
          <w:sz w:val="28"/>
          <w:szCs w:val="28"/>
        </w:rPr>
      </w:pPr>
      <w:r>
        <w:rPr>
          <w:rFonts w:hint="eastAsia" w:ascii="仿宋_GB2312" w:hAnsi="仿宋_GB2312" w:eastAsia="仿宋_GB2312" w:cs="仿宋_GB2312"/>
          <w:b/>
          <w:bCs/>
          <w:sz w:val="28"/>
          <w:szCs w:val="28"/>
        </w:rPr>
        <w:t>（二）消防系统设施维修保养及检测内容和实施频率</w:t>
      </w:r>
    </w:p>
    <w:tbl>
      <w:tblPr>
        <w:tblStyle w:val="12"/>
        <w:tblW w:w="97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7"/>
        <w:gridCol w:w="8467"/>
        <w:gridCol w:w="6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627" w:type="dxa"/>
            <w:vAlign w:val="center"/>
          </w:tcPr>
          <w:p>
            <w:pPr>
              <w:tabs>
                <w:tab w:val="left" w:pos="720"/>
              </w:tabs>
              <w:spacing w:line="360" w:lineRule="auto"/>
              <w:jc w:val="center"/>
              <w:rPr>
                <w:rFonts w:hint="eastAsia" w:ascii="仿宋_GB2312" w:hAnsi="仿宋_GB2312" w:eastAsia="仿宋_GB2312" w:cs="仿宋_GB2312"/>
                <w:b/>
                <w:bCs/>
                <w:sz w:val="24"/>
              </w:rPr>
            </w:pPr>
            <w:r>
              <w:rPr>
                <w:rFonts w:hint="eastAsia" w:ascii="仿宋_GB2312" w:hAnsi="仿宋_GB2312" w:eastAsia="仿宋_GB2312" w:cs="仿宋_GB2312"/>
                <w:b/>
                <w:bCs/>
                <w:sz w:val="24"/>
              </w:rPr>
              <w:t>序号</w:t>
            </w:r>
          </w:p>
        </w:tc>
        <w:tc>
          <w:tcPr>
            <w:tcW w:w="8467" w:type="dxa"/>
            <w:vAlign w:val="center"/>
          </w:tcPr>
          <w:p>
            <w:pPr>
              <w:tabs>
                <w:tab w:val="left" w:pos="720"/>
              </w:tabs>
              <w:spacing w:line="360" w:lineRule="auto"/>
              <w:jc w:val="center"/>
              <w:rPr>
                <w:rFonts w:hint="eastAsia" w:ascii="仿宋_GB2312" w:hAnsi="仿宋_GB2312" w:eastAsia="仿宋_GB2312" w:cs="仿宋_GB2312"/>
                <w:b/>
                <w:bCs/>
                <w:sz w:val="24"/>
              </w:rPr>
            </w:pPr>
            <w:r>
              <w:rPr>
                <w:rFonts w:hint="eastAsia" w:ascii="仿宋_GB2312" w:hAnsi="仿宋_GB2312" w:eastAsia="仿宋_GB2312" w:cs="仿宋_GB2312"/>
                <w:b/>
                <w:bCs/>
                <w:sz w:val="24"/>
              </w:rPr>
              <w:t>保养项目及质量要求</w:t>
            </w:r>
          </w:p>
        </w:tc>
        <w:tc>
          <w:tcPr>
            <w:tcW w:w="665" w:type="dxa"/>
            <w:vAlign w:val="center"/>
          </w:tcPr>
          <w:p>
            <w:pPr>
              <w:tabs>
                <w:tab w:val="left" w:pos="720"/>
              </w:tabs>
              <w:spacing w:line="360" w:lineRule="auto"/>
              <w:jc w:val="center"/>
              <w:rPr>
                <w:rFonts w:hint="eastAsia" w:ascii="仿宋_GB2312" w:hAnsi="仿宋_GB2312" w:eastAsia="仿宋_GB2312" w:cs="仿宋_GB2312"/>
                <w:b/>
                <w:bCs/>
                <w:sz w:val="24"/>
              </w:rPr>
            </w:pPr>
            <w:r>
              <w:rPr>
                <w:rFonts w:hint="eastAsia" w:ascii="仿宋_GB2312" w:hAnsi="仿宋_GB2312" w:eastAsia="仿宋_GB2312" w:cs="仿宋_GB2312"/>
                <w:b/>
                <w:bCs/>
                <w:sz w:val="24"/>
              </w:rPr>
              <w:t>频率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7" w:type="dxa"/>
            <w:vAlign w:val="center"/>
          </w:tcPr>
          <w:p>
            <w:pPr>
              <w:tabs>
                <w:tab w:val="left" w:pos="720"/>
              </w:tabs>
              <w:spacing w:line="360" w:lineRule="auto"/>
              <w:jc w:val="center"/>
              <w:rPr>
                <w:rFonts w:hint="eastAsia" w:ascii="仿宋_GB2312" w:hAnsi="仿宋_GB2312" w:eastAsia="仿宋_GB2312" w:cs="仿宋_GB2312"/>
                <w:b/>
                <w:bCs/>
                <w:sz w:val="24"/>
              </w:rPr>
            </w:pPr>
            <w:r>
              <w:rPr>
                <w:rFonts w:hint="eastAsia" w:ascii="仿宋_GB2312" w:hAnsi="仿宋_GB2312" w:eastAsia="仿宋_GB2312" w:cs="仿宋_GB2312"/>
                <w:b/>
                <w:bCs/>
                <w:sz w:val="24"/>
              </w:rPr>
              <w:t>一</w:t>
            </w:r>
          </w:p>
        </w:tc>
        <w:tc>
          <w:tcPr>
            <w:tcW w:w="8467" w:type="dxa"/>
            <w:vAlign w:val="center"/>
          </w:tcPr>
          <w:p>
            <w:pPr>
              <w:tabs>
                <w:tab w:val="left" w:pos="720"/>
              </w:tabs>
              <w:spacing w:line="360" w:lineRule="auto"/>
              <w:rPr>
                <w:rFonts w:hint="eastAsia" w:ascii="仿宋_GB2312" w:hAnsi="仿宋_GB2312" w:eastAsia="仿宋_GB2312" w:cs="仿宋_GB2312"/>
                <w:b/>
                <w:bCs/>
                <w:sz w:val="24"/>
              </w:rPr>
            </w:pPr>
            <w:r>
              <w:rPr>
                <w:rFonts w:hint="eastAsia" w:ascii="仿宋_GB2312" w:hAnsi="仿宋_GB2312" w:eastAsia="仿宋_GB2312" w:cs="仿宋_GB2312"/>
                <w:b/>
                <w:bCs/>
                <w:sz w:val="24"/>
              </w:rPr>
              <w:t>火灾自动报警系统</w:t>
            </w:r>
          </w:p>
        </w:tc>
        <w:tc>
          <w:tcPr>
            <w:tcW w:w="665" w:type="dxa"/>
            <w:vAlign w:val="center"/>
          </w:tcPr>
          <w:p>
            <w:pPr>
              <w:tabs>
                <w:tab w:val="left" w:pos="720"/>
              </w:tabs>
              <w:spacing w:line="360" w:lineRule="auto"/>
              <w:jc w:val="center"/>
              <w:rPr>
                <w:rFonts w:hint="eastAsia" w:ascii="仿宋_GB2312" w:hAnsi="仿宋_GB2312" w:eastAsia="仿宋_GB2312" w:cs="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7" w:type="dxa"/>
            <w:vAlign w:val="center"/>
          </w:tcPr>
          <w:p>
            <w:pPr>
              <w:tabs>
                <w:tab w:val="left" w:pos="720"/>
              </w:tabs>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1</w:t>
            </w:r>
          </w:p>
        </w:tc>
        <w:tc>
          <w:tcPr>
            <w:tcW w:w="8467" w:type="dxa"/>
            <w:vAlign w:val="center"/>
          </w:tcPr>
          <w:p>
            <w:pPr>
              <w:tabs>
                <w:tab w:val="left" w:pos="720"/>
              </w:tabs>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火灾探测部分（烟感探测器、温感探测器、模块）信号正常，功能测试、清尘保养。抽取系统20%比例，每月检查范围均不相同。必须达到半年全数一次检查。</w:t>
            </w:r>
          </w:p>
        </w:tc>
        <w:tc>
          <w:tcPr>
            <w:tcW w:w="665" w:type="dxa"/>
            <w:vAlign w:val="center"/>
          </w:tcPr>
          <w:p>
            <w:pPr>
              <w:tabs>
                <w:tab w:val="left" w:pos="720"/>
              </w:tabs>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月度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7" w:type="dxa"/>
            <w:vAlign w:val="center"/>
          </w:tcPr>
          <w:p>
            <w:pPr>
              <w:tabs>
                <w:tab w:val="left" w:pos="720"/>
              </w:tabs>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2</w:t>
            </w:r>
          </w:p>
        </w:tc>
        <w:tc>
          <w:tcPr>
            <w:tcW w:w="8467" w:type="dxa"/>
            <w:vAlign w:val="center"/>
          </w:tcPr>
          <w:p>
            <w:pPr>
              <w:tabs>
                <w:tab w:val="left" w:pos="720"/>
              </w:tabs>
              <w:spacing w:line="360" w:lineRule="auto"/>
              <w:jc w:val="left"/>
              <w:rPr>
                <w:rFonts w:hint="eastAsia" w:ascii="仿宋_GB2312" w:hAnsi="仿宋_GB2312" w:eastAsia="仿宋_GB2312" w:cs="仿宋_GB2312"/>
                <w:sz w:val="24"/>
              </w:rPr>
            </w:pPr>
            <w:r>
              <w:rPr>
                <w:rFonts w:hint="eastAsia" w:ascii="仿宋_GB2312" w:hAnsi="仿宋_GB2312" w:eastAsia="仿宋_GB2312" w:cs="仿宋_GB2312"/>
                <w:sz w:val="24"/>
              </w:rPr>
              <w:t>火灾报警部分（手动报警按钮、报警控制按钮、声光报警器）信号正常，功能测试、清尘保养。抽取系统15%比例，每月检查范围均不相同。</w:t>
            </w:r>
          </w:p>
        </w:tc>
        <w:tc>
          <w:tcPr>
            <w:tcW w:w="665" w:type="dxa"/>
            <w:vAlign w:val="center"/>
          </w:tcPr>
          <w:p>
            <w:pPr>
              <w:tabs>
                <w:tab w:val="left" w:pos="720"/>
              </w:tabs>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月度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7" w:type="dxa"/>
            <w:vAlign w:val="center"/>
          </w:tcPr>
          <w:p>
            <w:pPr>
              <w:tabs>
                <w:tab w:val="left" w:pos="720"/>
              </w:tabs>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3</w:t>
            </w:r>
          </w:p>
        </w:tc>
        <w:tc>
          <w:tcPr>
            <w:tcW w:w="8467" w:type="dxa"/>
            <w:vAlign w:val="center"/>
          </w:tcPr>
          <w:p>
            <w:pPr>
              <w:tabs>
                <w:tab w:val="left" w:pos="720"/>
              </w:tabs>
              <w:spacing w:line="360" w:lineRule="auto"/>
              <w:jc w:val="left"/>
              <w:rPr>
                <w:rFonts w:hint="eastAsia" w:ascii="仿宋_GB2312" w:hAnsi="仿宋_GB2312" w:eastAsia="仿宋_GB2312" w:cs="仿宋_GB2312"/>
                <w:sz w:val="24"/>
              </w:rPr>
            </w:pPr>
            <w:r>
              <w:rPr>
                <w:rFonts w:hint="eastAsia" w:ascii="仿宋_GB2312" w:hAnsi="仿宋_GB2312" w:eastAsia="仿宋_GB2312" w:cs="仿宋_GB2312"/>
                <w:sz w:val="24"/>
              </w:rPr>
              <w:t>系统联动部分（主机、区域报警控制器、线路）信号正常，功能测试、清尘保养。按系统100%比例保养。</w:t>
            </w:r>
          </w:p>
        </w:tc>
        <w:tc>
          <w:tcPr>
            <w:tcW w:w="665" w:type="dxa"/>
            <w:vAlign w:val="center"/>
          </w:tcPr>
          <w:p>
            <w:pPr>
              <w:tabs>
                <w:tab w:val="left" w:pos="720"/>
              </w:tabs>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半年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7" w:type="dxa"/>
            <w:vAlign w:val="center"/>
          </w:tcPr>
          <w:p>
            <w:pPr>
              <w:tabs>
                <w:tab w:val="left" w:pos="720"/>
              </w:tabs>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4</w:t>
            </w:r>
          </w:p>
        </w:tc>
        <w:tc>
          <w:tcPr>
            <w:tcW w:w="8467" w:type="dxa"/>
            <w:vAlign w:val="center"/>
          </w:tcPr>
          <w:p>
            <w:pPr>
              <w:tabs>
                <w:tab w:val="left" w:pos="720"/>
              </w:tabs>
              <w:spacing w:line="360" w:lineRule="auto"/>
              <w:jc w:val="left"/>
              <w:rPr>
                <w:rFonts w:hint="eastAsia" w:ascii="仿宋_GB2312" w:hAnsi="仿宋_GB2312" w:eastAsia="仿宋_GB2312" w:cs="仿宋_GB2312"/>
                <w:sz w:val="24"/>
              </w:rPr>
            </w:pPr>
            <w:r>
              <w:rPr>
                <w:rFonts w:hint="eastAsia" w:ascii="仿宋_GB2312" w:hAnsi="仿宋_GB2312" w:eastAsia="仿宋_GB2312" w:cs="仿宋_GB2312"/>
                <w:sz w:val="24"/>
              </w:rPr>
              <w:t>按火灾自动报警系统部分设施全数进行年度保养，各部分功能测试正常。</w:t>
            </w:r>
          </w:p>
        </w:tc>
        <w:tc>
          <w:tcPr>
            <w:tcW w:w="665" w:type="dxa"/>
            <w:vAlign w:val="center"/>
          </w:tcPr>
          <w:p>
            <w:pPr>
              <w:tabs>
                <w:tab w:val="left" w:pos="720"/>
              </w:tabs>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年度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7" w:type="dxa"/>
            <w:vAlign w:val="center"/>
          </w:tcPr>
          <w:p>
            <w:pPr>
              <w:tabs>
                <w:tab w:val="left" w:pos="720"/>
              </w:tabs>
              <w:spacing w:line="360" w:lineRule="auto"/>
              <w:jc w:val="center"/>
              <w:rPr>
                <w:rFonts w:hint="eastAsia" w:ascii="仿宋_GB2312" w:hAnsi="仿宋_GB2312" w:eastAsia="仿宋_GB2312" w:cs="仿宋_GB2312"/>
                <w:b/>
                <w:bCs/>
                <w:sz w:val="24"/>
              </w:rPr>
            </w:pPr>
            <w:r>
              <w:rPr>
                <w:rFonts w:hint="eastAsia" w:ascii="仿宋_GB2312" w:hAnsi="仿宋_GB2312" w:eastAsia="仿宋_GB2312" w:cs="仿宋_GB2312"/>
                <w:b/>
                <w:bCs/>
                <w:sz w:val="24"/>
              </w:rPr>
              <w:t>二</w:t>
            </w:r>
          </w:p>
        </w:tc>
        <w:tc>
          <w:tcPr>
            <w:tcW w:w="8467" w:type="dxa"/>
            <w:vAlign w:val="center"/>
          </w:tcPr>
          <w:p>
            <w:pPr>
              <w:tabs>
                <w:tab w:val="left" w:pos="720"/>
              </w:tabs>
              <w:spacing w:line="360" w:lineRule="auto"/>
              <w:jc w:val="left"/>
              <w:rPr>
                <w:rFonts w:hint="eastAsia" w:ascii="仿宋_GB2312" w:hAnsi="仿宋_GB2312" w:eastAsia="仿宋_GB2312" w:cs="仿宋_GB2312"/>
                <w:b/>
                <w:bCs/>
                <w:sz w:val="24"/>
              </w:rPr>
            </w:pPr>
            <w:r>
              <w:rPr>
                <w:rFonts w:hint="eastAsia" w:ascii="仿宋_GB2312" w:hAnsi="仿宋_GB2312" w:eastAsia="仿宋_GB2312" w:cs="仿宋_GB2312"/>
                <w:b/>
                <w:bCs/>
                <w:sz w:val="24"/>
              </w:rPr>
              <w:t>消火栓灭火系统</w:t>
            </w:r>
          </w:p>
        </w:tc>
        <w:tc>
          <w:tcPr>
            <w:tcW w:w="665" w:type="dxa"/>
            <w:vAlign w:val="center"/>
          </w:tcPr>
          <w:p>
            <w:pPr>
              <w:tabs>
                <w:tab w:val="left" w:pos="720"/>
              </w:tabs>
              <w:spacing w:line="360" w:lineRule="auto"/>
              <w:jc w:val="center"/>
              <w:rPr>
                <w:rFonts w:hint="eastAsia" w:ascii="仿宋_GB2312" w:hAnsi="仿宋_GB2312" w:eastAsia="仿宋_GB2312" w:cs="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7" w:type="dxa"/>
            <w:vAlign w:val="center"/>
          </w:tcPr>
          <w:p>
            <w:pPr>
              <w:tabs>
                <w:tab w:val="left" w:pos="720"/>
              </w:tabs>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1</w:t>
            </w:r>
          </w:p>
        </w:tc>
        <w:tc>
          <w:tcPr>
            <w:tcW w:w="8467" w:type="dxa"/>
            <w:vAlign w:val="center"/>
          </w:tcPr>
          <w:p>
            <w:pPr>
              <w:tabs>
                <w:tab w:val="left" w:pos="720"/>
              </w:tabs>
              <w:spacing w:line="360" w:lineRule="auto"/>
              <w:jc w:val="left"/>
              <w:rPr>
                <w:rFonts w:hint="eastAsia" w:ascii="仿宋_GB2312" w:hAnsi="仿宋_GB2312" w:eastAsia="仿宋_GB2312" w:cs="仿宋_GB2312"/>
                <w:sz w:val="24"/>
              </w:rPr>
            </w:pPr>
            <w:r>
              <w:rPr>
                <w:rFonts w:hint="eastAsia" w:ascii="仿宋_GB2312" w:hAnsi="仿宋_GB2312" w:eastAsia="仿宋_GB2312" w:cs="仿宋_GB2312"/>
                <w:sz w:val="24"/>
              </w:rPr>
              <w:t>楼层消火栓箱内阀门检测，要求启闭灵活无渗漏水现象。抽取系统15%比例，每月检查范围均不相同。</w:t>
            </w:r>
          </w:p>
        </w:tc>
        <w:tc>
          <w:tcPr>
            <w:tcW w:w="665" w:type="dxa"/>
            <w:vAlign w:val="center"/>
          </w:tcPr>
          <w:p>
            <w:pPr>
              <w:tabs>
                <w:tab w:val="left" w:pos="720"/>
              </w:tabs>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月度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7" w:type="dxa"/>
            <w:vAlign w:val="center"/>
          </w:tcPr>
          <w:p>
            <w:pPr>
              <w:tabs>
                <w:tab w:val="left" w:pos="720"/>
              </w:tabs>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2</w:t>
            </w:r>
          </w:p>
        </w:tc>
        <w:tc>
          <w:tcPr>
            <w:tcW w:w="8467" w:type="dxa"/>
            <w:vAlign w:val="center"/>
          </w:tcPr>
          <w:p>
            <w:pPr>
              <w:tabs>
                <w:tab w:val="left" w:pos="720"/>
              </w:tabs>
              <w:spacing w:line="360" w:lineRule="auto"/>
              <w:jc w:val="left"/>
              <w:rPr>
                <w:rFonts w:hint="eastAsia" w:ascii="仿宋_GB2312" w:hAnsi="仿宋_GB2312" w:eastAsia="仿宋_GB2312" w:cs="仿宋_GB2312"/>
                <w:sz w:val="24"/>
              </w:rPr>
            </w:pPr>
            <w:r>
              <w:rPr>
                <w:rFonts w:hint="eastAsia" w:ascii="仿宋_GB2312" w:hAnsi="仿宋_GB2312" w:eastAsia="仿宋_GB2312" w:cs="仿宋_GB2312"/>
                <w:sz w:val="24"/>
              </w:rPr>
              <w:t>水泵及阀门检查及保养，状态正常，信号正确，泵体及阀门无渗漏水现象。按100%比例保养。</w:t>
            </w:r>
          </w:p>
        </w:tc>
        <w:tc>
          <w:tcPr>
            <w:tcW w:w="665" w:type="dxa"/>
            <w:vAlign w:val="center"/>
          </w:tcPr>
          <w:p>
            <w:pPr>
              <w:tabs>
                <w:tab w:val="left" w:pos="720"/>
              </w:tabs>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月度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7" w:type="dxa"/>
            <w:vAlign w:val="center"/>
          </w:tcPr>
          <w:p>
            <w:pPr>
              <w:tabs>
                <w:tab w:val="left" w:pos="720"/>
              </w:tabs>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3</w:t>
            </w:r>
          </w:p>
        </w:tc>
        <w:tc>
          <w:tcPr>
            <w:tcW w:w="8467" w:type="dxa"/>
            <w:vAlign w:val="center"/>
          </w:tcPr>
          <w:p>
            <w:pPr>
              <w:tabs>
                <w:tab w:val="left" w:pos="720"/>
              </w:tabs>
              <w:spacing w:line="360" w:lineRule="auto"/>
              <w:jc w:val="left"/>
              <w:rPr>
                <w:rFonts w:hint="eastAsia" w:ascii="仿宋_GB2312" w:hAnsi="仿宋_GB2312" w:eastAsia="仿宋_GB2312" w:cs="仿宋_GB2312"/>
                <w:sz w:val="24"/>
              </w:rPr>
            </w:pPr>
            <w:r>
              <w:rPr>
                <w:rFonts w:hint="eastAsia" w:ascii="仿宋_GB2312" w:hAnsi="仿宋_GB2312" w:eastAsia="仿宋_GB2312" w:cs="仿宋_GB2312"/>
                <w:sz w:val="24"/>
              </w:rPr>
              <w:t>消防水池自动补水及检查，水位正常。按100%比例保养。</w:t>
            </w:r>
          </w:p>
        </w:tc>
        <w:tc>
          <w:tcPr>
            <w:tcW w:w="665" w:type="dxa"/>
            <w:vAlign w:val="center"/>
          </w:tcPr>
          <w:p>
            <w:pPr>
              <w:tabs>
                <w:tab w:val="left" w:pos="720"/>
              </w:tabs>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月度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7" w:type="dxa"/>
            <w:vAlign w:val="center"/>
          </w:tcPr>
          <w:p>
            <w:pPr>
              <w:tabs>
                <w:tab w:val="left" w:pos="720"/>
              </w:tabs>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4</w:t>
            </w:r>
          </w:p>
        </w:tc>
        <w:tc>
          <w:tcPr>
            <w:tcW w:w="8467" w:type="dxa"/>
            <w:vAlign w:val="center"/>
          </w:tcPr>
          <w:p>
            <w:pPr>
              <w:tabs>
                <w:tab w:val="left" w:pos="720"/>
              </w:tabs>
              <w:spacing w:line="360" w:lineRule="auto"/>
              <w:jc w:val="left"/>
              <w:rPr>
                <w:rFonts w:hint="eastAsia" w:ascii="仿宋_GB2312" w:hAnsi="仿宋_GB2312" w:eastAsia="仿宋_GB2312" w:cs="仿宋_GB2312"/>
                <w:sz w:val="24"/>
              </w:rPr>
            </w:pPr>
            <w:r>
              <w:rPr>
                <w:rFonts w:hint="eastAsia" w:ascii="仿宋_GB2312" w:hAnsi="仿宋_GB2312" w:eastAsia="仿宋_GB2312" w:cs="仿宋_GB2312"/>
                <w:sz w:val="24"/>
              </w:rPr>
              <w:t>配电控制柜电源、电器开关功能性检查。按100%比例保养。</w:t>
            </w:r>
          </w:p>
        </w:tc>
        <w:tc>
          <w:tcPr>
            <w:tcW w:w="665" w:type="dxa"/>
            <w:vAlign w:val="center"/>
          </w:tcPr>
          <w:p>
            <w:pPr>
              <w:tabs>
                <w:tab w:val="left" w:pos="720"/>
              </w:tabs>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年度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627" w:type="dxa"/>
            <w:vAlign w:val="center"/>
          </w:tcPr>
          <w:p>
            <w:pPr>
              <w:tabs>
                <w:tab w:val="left" w:pos="720"/>
              </w:tabs>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5</w:t>
            </w:r>
          </w:p>
        </w:tc>
        <w:tc>
          <w:tcPr>
            <w:tcW w:w="8467" w:type="dxa"/>
            <w:vAlign w:val="center"/>
          </w:tcPr>
          <w:p>
            <w:pPr>
              <w:tabs>
                <w:tab w:val="left" w:pos="720"/>
              </w:tabs>
              <w:spacing w:line="360" w:lineRule="auto"/>
              <w:jc w:val="left"/>
              <w:rPr>
                <w:rFonts w:hint="eastAsia" w:ascii="仿宋_GB2312" w:hAnsi="仿宋_GB2312" w:eastAsia="仿宋_GB2312" w:cs="仿宋_GB2312"/>
                <w:sz w:val="24"/>
              </w:rPr>
            </w:pPr>
            <w:r>
              <w:rPr>
                <w:rFonts w:hint="eastAsia" w:ascii="仿宋_GB2312" w:hAnsi="仿宋_GB2312" w:eastAsia="仿宋_GB2312" w:cs="仿宋_GB2312"/>
                <w:sz w:val="24"/>
              </w:rPr>
              <w:t>对室外消火栓及楼顶管道，脱漆部分每年进行一次油漆补刷。</w:t>
            </w:r>
          </w:p>
        </w:tc>
        <w:tc>
          <w:tcPr>
            <w:tcW w:w="665" w:type="dxa"/>
            <w:vAlign w:val="center"/>
          </w:tcPr>
          <w:p>
            <w:pPr>
              <w:tabs>
                <w:tab w:val="left" w:pos="720"/>
              </w:tabs>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年度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8" w:hRule="atLeast"/>
          <w:jc w:val="center"/>
        </w:trPr>
        <w:tc>
          <w:tcPr>
            <w:tcW w:w="627" w:type="dxa"/>
            <w:vAlign w:val="center"/>
          </w:tcPr>
          <w:p>
            <w:pPr>
              <w:tabs>
                <w:tab w:val="left" w:pos="720"/>
              </w:tabs>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6</w:t>
            </w:r>
          </w:p>
        </w:tc>
        <w:tc>
          <w:tcPr>
            <w:tcW w:w="8467" w:type="dxa"/>
            <w:vAlign w:val="center"/>
          </w:tcPr>
          <w:p>
            <w:pPr>
              <w:tabs>
                <w:tab w:val="left" w:pos="720"/>
              </w:tabs>
              <w:spacing w:line="360" w:lineRule="auto"/>
              <w:jc w:val="left"/>
              <w:rPr>
                <w:rFonts w:hint="eastAsia" w:ascii="仿宋_GB2312" w:hAnsi="仿宋_GB2312" w:eastAsia="仿宋_GB2312" w:cs="仿宋_GB2312"/>
                <w:sz w:val="24"/>
              </w:rPr>
            </w:pPr>
            <w:r>
              <w:rPr>
                <w:rFonts w:hint="eastAsia" w:ascii="仿宋_GB2312" w:hAnsi="仿宋_GB2312" w:eastAsia="仿宋_GB2312" w:cs="仿宋_GB2312"/>
                <w:sz w:val="24"/>
              </w:rPr>
              <w:t>按消火栓灭火系统部分设施全数进行年度保养，各部分功能测试正常。</w:t>
            </w:r>
          </w:p>
        </w:tc>
        <w:tc>
          <w:tcPr>
            <w:tcW w:w="665" w:type="dxa"/>
            <w:vAlign w:val="center"/>
          </w:tcPr>
          <w:p>
            <w:pPr>
              <w:tabs>
                <w:tab w:val="left" w:pos="720"/>
              </w:tabs>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年度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7" w:type="dxa"/>
            <w:vAlign w:val="center"/>
          </w:tcPr>
          <w:p>
            <w:pPr>
              <w:tabs>
                <w:tab w:val="left" w:pos="720"/>
              </w:tabs>
              <w:spacing w:line="360" w:lineRule="auto"/>
              <w:jc w:val="center"/>
              <w:rPr>
                <w:rFonts w:hint="eastAsia" w:ascii="仿宋_GB2312" w:hAnsi="仿宋_GB2312" w:eastAsia="仿宋_GB2312" w:cs="仿宋_GB2312"/>
                <w:b/>
                <w:bCs/>
                <w:sz w:val="24"/>
              </w:rPr>
            </w:pPr>
            <w:r>
              <w:rPr>
                <w:rFonts w:hint="eastAsia" w:ascii="仿宋_GB2312" w:hAnsi="仿宋_GB2312" w:eastAsia="仿宋_GB2312" w:cs="仿宋_GB2312"/>
                <w:b/>
                <w:bCs/>
                <w:sz w:val="24"/>
              </w:rPr>
              <w:t>三</w:t>
            </w:r>
          </w:p>
        </w:tc>
        <w:tc>
          <w:tcPr>
            <w:tcW w:w="8467" w:type="dxa"/>
            <w:vAlign w:val="center"/>
          </w:tcPr>
          <w:p>
            <w:pPr>
              <w:tabs>
                <w:tab w:val="left" w:pos="720"/>
              </w:tabs>
              <w:spacing w:line="360" w:lineRule="auto"/>
              <w:jc w:val="left"/>
              <w:rPr>
                <w:rFonts w:hint="eastAsia" w:ascii="仿宋_GB2312" w:hAnsi="仿宋_GB2312" w:eastAsia="仿宋_GB2312" w:cs="仿宋_GB2312"/>
                <w:b/>
                <w:bCs/>
                <w:sz w:val="24"/>
              </w:rPr>
            </w:pPr>
            <w:r>
              <w:rPr>
                <w:rFonts w:hint="eastAsia" w:ascii="仿宋_GB2312" w:hAnsi="仿宋_GB2312" w:eastAsia="仿宋_GB2312" w:cs="仿宋_GB2312"/>
                <w:b/>
                <w:bCs/>
                <w:sz w:val="24"/>
              </w:rPr>
              <w:t>喷淋灭火系统</w:t>
            </w:r>
          </w:p>
        </w:tc>
        <w:tc>
          <w:tcPr>
            <w:tcW w:w="665" w:type="dxa"/>
            <w:vAlign w:val="center"/>
          </w:tcPr>
          <w:p>
            <w:pPr>
              <w:tabs>
                <w:tab w:val="left" w:pos="720"/>
              </w:tabs>
              <w:spacing w:line="360" w:lineRule="auto"/>
              <w:jc w:val="center"/>
              <w:rPr>
                <w:rFonts w:hint="eastAsia" w:ascii="仿宋_GB2312" w:hAnsi="仿宋_GB2312" w:eastAsia="仿宋_GB2312" w:cs="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627" w:type="dxa"/>
            <w:vAlign w:val="center"/>
          </w:tcPr>
          <w:p>
            <w:pPr>
              <w:tabs>
                <w:tab w:val="left" w:pos="720"/>
              </w:tabs>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1</w:t>
            </w:r>
          </w:p>
        </w:tc>
        <w:tc>
          <w:tcPr>
            <w:tcW w:w="8467" w:type="dxa"/>
            <w:vAlign w:val="center"/>
          </w:tcPr>
          <w:p>
            <w:pPr>
              <w:tabs>
                <w:tab w:val="left" w:pos="720"/>
              </w:tabs>
              <w:spacing w:line="360" w:lineRule="auto"/>
              <w:jc w:val="left"/>
              <w:rPr>
                <w:rFonts w:hint="eastAsia" w:ascii="仿宋_GB2312" w:hAnsi="仿宋_GB2312" w:eastAsia="仿宋_GB2312" w:cs="仿宋_GB2312"/>
                <w:sz w:val="24"/>
              </w:rPr>
            </w:pPr>
            <w:r>
              <w:rPr>
                <w:rFonts w:hint="eastAsia" w:ascii="仿宋_GB2312" w:hAnsi="仿宋_GB2312" w:eastAsia="仿宋_GB2312" w:cs="仿宋_GB2312"/>
                <w:sz w:val="24"/>
              </w:rPr>
              <w:t>公共喷淋头检查，要求状态正常。按10%比例检查，每月检查范围均不相同，必须达到全年全数一次检查。</w:t>
            </w:r>
          </w:p>
        </w:tc>
        <w:tc>
          <w:tcPr>
            <w:tcW w:w="665" w:type="dxa"/>
            <w:vAlign w:val="center"/>
          </w:tcPr>
          <w:p>
            <w:pPr>
              <w:tabs>
                <w:tab w:val="left" w:pos="720"/>
              </w:tabs>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月度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7" w:type="dxa"/>
            <w:vAlign w:val="center"/>
          </w:tcPr>
          <w:p>
            <w:pPr>
              <w:tabs>
                <w:tab w:val="left" w:pos="720"/>
              </w:tabs>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2</w:t>
            </w:r>
          </w:p>
        </w:tc>
        <w:tc>
          <w:tcPr>
            <w:tcW w:w="8467" w:type="dxa"/>
            <w:vAlign w:val="center"/>
          </w:tcPr>
          <w:p>
            <w:pPr>
              <w:tabs>
                <w:tab w:val="left" w:pos="720"/>
              </w:tabs>
              <w:spacing w:line="360" w:lineRule="auto"/>
              <w:jc w:val="left"/>
              <w:rPr>
                <w:rFonts w:hint="eastAsia" w:ascii="仿宋_GB2312" w:hAnsi="仿宋_GB2312" w:eastAsia="仿宋_GB2312" w:cs="仿宋_GB2312"/>
                <w:sz w:val="24"/>
              </w:rPr>
            </w:pPr>
            <w:r>
              <w:rPr>
                <w:rFonts w:hint="eastAsia" w:ascii="仿宋_GB2312" w:hAnsi="仿宋_GB2312" w:eastAsia="仿宋_GB2312" w:cs="仿宋_GB2312"/>
                <w:sz w:val="24"/>
              </w:rPr>
              <w:t>水泵及阀门检查及保养，状态正常，信号正确，泵体及阀门无渗漏水现象。按100%比例保养。</w:t>
            </w:r>
          </w:p>
        </w:tc>
        <w:tc>
          <w:tcPr>
            <w:tcW w:w="665" w:type="dxa"/>
            <w:vAlign w:val="center"/>
          </w:tcPr>
          <w:p>
            <w:pPr>
              <w:tabs>
                <w:tab w:val="left" w:pos="720"/>
              </w:tabs>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月度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7" w:type="dxa"/>
            <w:vAlign w:val="center"/>
          </w:tcPr>
          <w:p>
            <w:pPr>
              <w:tabs>
                <w:tab w:val="left" w:pos="720"/>
              </w:tabs>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3</w:t>
            </w:r>
          </w:p>
        </w:tc>
        <w:tc>
          <w:tcPr>
            <w:tcW w:w="8467" w:type="dxa"/>
            <w:vAlign w:val="center"/>
          </w:tcPr>
          <w:p>
            <w:pPr>
              <w:tabs>
                <w:tab w:val="left" w:pos="720"/>
              </w:tabs>
              <w:spacing w:line="360" w:lineRule="auto"/>
              <w:jc w:val="left"/>
              <w:rPr>
                <w:rFonts w:hint="eastAsia" w:ascii="仿宋_GB2312" w:hAnsi="仿宋_GB2312" w:eastAsia="仿宋_GB2312" w:cs="仿宋_GB2312"/>
                <w:sz w:val="24"/>
              </w:rPr>
            </w:pPr>
            <w:r>
              <w:rPr>
                <w:rFonts w:hint="eastAsia" w:ascii="仿宋_GB2312" w:hAnsi="仿宋_GB2312" w:eastAsia="仿宋_GB2312" w:cs="仿宋_GB2312"/>
                <w:sz w:val="24"/>
              </w:rPr>
              <w:t>消防补水池自动补水及检查，水位正常。按100%比例保养。</w:t>
            </w:r>
          </w:p>
        </w:tc>
        <w:tc>
          <w:tcPr>
            <w:tcW w:w="665" w:type="dxa"/>
            <w:vAlign w:val="center"/>
          </w:tcPr>
          <w:p>
            <w:pPr>
              <w:tabs>
                <w:tab w:val="left" w:pos="720"/>
              </w:tabs>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月度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7" w:type="dxa"/>
            <w:vAlign w:val="center"/>
          </w:tcPr>
          <w:p>
            <w:pPr>
              <w:tabs>
                <w:tab w:val="left" w:pos="720"/>
              </w:tabs>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4</w:t>
            </w:r>
          </w:p>
        </w:tc>
        <w:tc>
          <w:tcPr>
            <w:tcW w:w="8467" w:type="dxa"/>
            <w:vAlign w:val="center"/>
          </w:tcPr>
          <w:p>
            <w:pPr>
              <w:tabs>
                <w:tab w:val="left" w:pos="720"/>
              </w:tabs>
              <w:spacing w:line="360" w:lineRule="auto"/>
              <w:jc w:val="left"/>
              <w:rPr>
                <w:rFonts w:hint="eastAsia" w:ascii="仿宋_GB2312" w:hAnsi="仿宋_GB2312" w:eastAsia="仿宋_GB2312" w:cs="仿宋_GB2312"/>
                <w:sz w:val="24"/>
              </w:rPr>
            </w:pPr>
            <w:r>
              <w:rPr>
                <w:rFonts w:hint="eastAsia" w:ascii="仿宋_GB2312" w:hAnsi="仿宋_GB2312" w:eastAsia="仿宋_GB2312" w:cs="仿宋_GB2312"/>
                <w:sz w:val="24"/>
              </w:rPr>
              <w:t>配电控制柜电源、电器开关功能性检测。按100%比例保养。</w:t>
            </w:r>
          </w:p>
        </w:tc>
        <w:tc>
          <w:tcPr>
            <w:tcW w:w="665" w:type="dxa"/>
            <w:vAlign w:val="center"/>
          </w:tcPr>
          <w:p>
            <w:pPr>
              <w:tabs>
                <w:tab w:val="left" w:pos="720"/>
              </w:tabs>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年度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jc w:val="center"/>
        </w:trPr>
        <w:tc>
          <w:tcPr>
            <w:tcW w:w="627" w:type="dxa"/>
            <w:vAlign w:val="center"/>
          </w:tcPr>
          <w:p>
            <w:pPr>
              <w:tabs>
                <w:tab w:val="left" w:pos="720"/>
              </w:tabs>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5</w:t>
            </w:r>
          </w:p>
        </w:tc>
        <w:tc>
          <w:tcPr>
            <w:tcW w:w="8467" w:type="dxa"/>
            <w:vAlign w:val="center"/>
          </w:tcPr>
          <w:p>
            <w:pPr>
              <w:tabs>
                <w:tab w:val="left" w:pos="720"/>
              </w:tabs>
              <w:spacing w:line="360" w:lineRule="auto"/>
              <w:jc w:val="left"/>
              <w:rPr>
                <w:rFonts w:hint="eastAsia" w:ascii="仿宋_GB2312" w:hAnsi="仿宋_GB2312" w:eastAsia="仿宋_GB2312" w:cs="仿宋_GB2312"/>
                <w:sz w:val="24"/>
              </w:rPr>
            </w:pPr>
            <w:r>
              <w:rPr>
                <w:rFonts w:hint="eastAsia" w:ascii="仿宋_GB2312" w:hAnsi="仿宋_GB2312" w:eastAsia="仿宋_GB2312" w:cs="仿宋_GB2312"/>
                <w:sz w:val="24"/>
              </w:rPr>
              <w:t>按喷淋灭火系统部分设施全数进行年度保养，各部分功能测试正常。</w:t>
            </w:r>
          </w:p>
        </w:tc>
        <w:tc>
          <w:tcPr>
            <w:tcW w:w="665" w:type="dxa"/>
            <w:vAlign w:val="center"/>
          </w:tcPr>
          <w:p>
            <w:pPr>
              <w:tabs>
                <w:tab w:val="left" w:pos="720"/>
              </w:tabs>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年度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4" w:hRule="atLeast"/>
          <w:jc w:val="center"/>
        </w:trPr>
        <w:tc>
          <w:tcPr>
            <w:tcW w:w="627" w:type="dxa"/>
            <w:vAlign w:val="center"/>
          </w:tcPr>
          <w:p>
            <w:pPr>
              <w:tabs>
                <w:tab w:val="left" w:pos="720"/>
              </w:tabs>
              <w:spacing w:line="360" w:lineRule="auto"/>
              <w:jc w:val="center"/>
              <w:rPr>
                <w:rFonts w:hint="eastAsia" w:ascii="仿宋_GB2312" w:hAnsi="仿宋_GB2312" w:eastAsia="仿宋_GB2312" w:cs="仿宋_GB2312"/>
                <w:b/>
                <w:bCs/>
                <w:sz w:val="24"/>
              </w:rPr>
            </w:pPr>
            <w:r>
              <w:rPr>
                <w:rFonts w:hint="eastAsia" w:ascii="仿宋_GB2312" w:hAnsi="仿宋_GB2312" w:eastAsia="仿宋_GB2312" w:cs="仿宋_GB2312"/>
                <w:b/>
                <w:bCs/>
                <w:sz w:val="24"/>
              </w:rPr>
              <w:t>四</w:t>
            </w:r>
          </w:p>
        </w:tc>
        <w:tc>
          <w:tcPr>
            <w:tcW w:w="8467" w:type="dxa"/>
            <w:vAlign w:val="center"/>
          </w:tcPr>
          <w:p>
            <w:pPr>
              <w:tabs>
                <w:tab w:val="left" w:pos="720"/>
              </w:tabs>
              <w:spacing w:line="360" w:lineRule="auto"/>
              <w:jc w:val="left"/>
              <w:rPr>
                <w:rFonts w:hint="eastAsia" w:ascii="仿宋_GB2312" w:hAnsi="仿宋_GB2312" w:eastAsia="仿宋_GB2312" w:cs="仿宋_GB2312"/>
                <w:b/>
                <w:bCs/>
                <w:sz w:val="24"/>
              </w:rPr>
            </w:pPr>
            <w:r>
              <w:rPr>
                <w:rFonts w:hint="eastAsia" w:ascii="仿宋_GB2312" w:hAnsi="仿宋_GB2312" w:eastAsia="仿宋_GB2312" w:cs="仿宋_GB2312"/>
                <w:b/>
                <w:bCs/>
                <w:sz w:val="24"/>
              </w:rPr>
              <w:t>气体灭火系统</w:t>
            </w:r>
          </w:p>
        </w:tc>
        <w:tc>
          <w:tcPr>
            <w:tcW w:w="665" w:type="dxa"/>
            <w:vAlign w:val="center"/>
          </w:tcPr>
          <w:p>
            <w:pPr>
              <w:tabs>
                <w:tab w:val="left" w:pos="720"/>
              </w:tabs>
              <w:spacing w:line="360" w:lineRule="auto"/>
              <w:jc w:val="center"/>
              <w:rPr>
                <w:rFonts w:hint="eastAsia" w:ascii="仿宋_GB2312" w:hAnsi="仿宋_GB2312" w:eastAsia="仿宋_GB2312" w:cs="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jc w:val="center"/>
        </w:trPr>
        <w:tc>
          <w:tcPr>
            <w:tcW w:w="627" w:type="dxa"/>
            <w:vAlign w:val="center"/>
          </w:tcPr>
          <w:p>
            <w:pPr>
              <w:tabs>
                <w:tab w:val="left" w:pos="720"/>
              </w:tabs>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1</w:t>
            </w:r>
          </w:p>
        </w:tc>
        <w:tc>
          <w:tcPr>
            <w:tcW w:w="8467" w:type="dxa"/>
            <w:vAlign w:val="center"/>
          </w:tcPr>
          <w:p>
            <w:pPr>
              <w:tabs>
                <w:tab w:val="left" w:pos="720"/>
              </w:tabs>
              <w:spacing w:line="360" w:lineRule="auto"/>
              <w:rPr>
                <w:rFonts w:hint="eastAsia" w:ascii="仿宋_GB2312" w:hAnsi="仿宋_GB2312" w:eastAsia="仿宋_GB2312" w:cs="仿宋_GB2312"/>
                <w:sz w:val="24"/>
              </w:rPr>
            </w:pPr>
            <w:r>
              <w:rPr>
                <w:rFonts w:hint="eastAsia" w:ascii="仿宋_GB2312" w:hAnsi="仿宋_GB2312" w:eastAsia="仿宋_GB2312" w:cs="仿宋_GB2312"/>
                <w:sz w:val="24"/>
              </w:rPr>
              <w:t>火灾控测部分（烟感探测器、温感探测器）信号正常，功能测试、清尘保养。抽取系统15%比例，每月检查范围均不相同。</w:t>
            </w:r>
          </w:p>
        </w:tc>
        <w:tc>
          <w:tcPr>
            <w:tcW w:w="665" w:type="dxa"/>
            <w:vAlign w:val="center"/>
          </w:tcPr>
          <w:p>
            <w:pPr>
              <w:tabs>
                <w:tab w:val="left" w:pos="720"/>
              </w:tabs>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月度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7" w:type="dxa"/>
            <w:vAlign w:val="center"/>
          </w:tcPr>
          <w:p>
            <w:pPr>
              <w:tabs>
                <w:tab w:val="left" w:pos="720"/>
              </w:tabs>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2</w:t>
            </w:r>
          </w:p>
        </w:tc>
        <w:tc>
          <w:tcPr>
            <w:tcW w:w="8467" w:type="dxa"/>
            <w:vAlign w:val="center"/>
          </w:tcPr>
          <w:p>
            <w:pPr>
              <w:tabs>
                <w:tab w:val="left" w:pos="720"/>
              </w:tabs>
              <w:spacing w:line="360" w:lineRule="auto"/>
              <w:jc w:val="left"/>
              <w:rPr>
                <w:rFonts w:hint="eastAsia" w:ascii="仿宋_GB2312" w:hAnsi="仿宋_GB2312" w:eastAsia="仿宋_GB2312" w:cs="仿宋_GB2312"/>
                <w:sz w:val="24"/>
              </w:rPr>
            </w:pPr>
            <w:r>
              <w:rPr>
                <w:rFonts w:hint="eastAsia" w:ascii="仿宋_GB2312" w:hAnsi="仿宋_GB2312" w:eastAsia="仿宋_GB2312" w:cs="仿宋_GB2312"/>
                <w:sz w:val="24"/>
              </w:rPr>
              <w:t>火灾报警部分（手动报警按钮、报警控制按钮、声光报警器）信号正常，功能测试、清尘保养。抽取系统15%比例，每月检查范围均不相同。</w:t>
            </w:r>
          </w:p>
        </w:tc>
        <w:tc>
          <w:tcPr>
            <w:tcW w:w="665" w:type="dxa"/>
            <w:vAlign w:val="center"/>
          </w:tcPr>
          <w:p>
            <w:pPr>
              <w:tabs>
                <w:tab w:val="left" w:pos="720"/>
              </w:tabs>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月度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7" w:type="dxa"/>
            <w:vAlign w:val="center"/>
          </w:tcPr>
          <w:p>
            <w:pPr>
              <w:tabs>
                <w:tab w:val="left" w:pos="720"/>
              </w:tabs>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3</w:t>
            </w:r>
          </w:p>
        </w:tc>
        <w:tc>
          <w:tcPr>
            <w:tcW w:w="8467" w:type="dxa"/>
            <w:vAlign w:val="center"/>
          </w:tcPr>
          <w:p>
            <w:pPr>
              <w:tabs>
                <w:tab w:val="left" w:pos="720"/>
              </w:tabs>
              <w:spacing w:line="360" w:lineRule="auto"/>
              <w:jc w:val="left"/>
              <w:rPr>
                <w:rFonts w:hint="eastAsia" w:ascii="仿宋_GB2312" w:hAnsi="仿宋_GB2312" w:eastAsia="仿宋_GB2312" w:cs="仿宋_GB2312"/>
                <w:sz w:val="24"/>
              </w:rPr>
            </w:pPr>
            <w:r>
              <w:rPr>
                <w:rFonts w:hint="eastAsia" w:ascii="仿宋_GB2312" w:hAnsi="仿宋_GB2312" w:eastAsia="仿宋_GB2312" w:cs="仿宋_GB2312"/>
                <w:sz w:val="24"/>
              </w:rPr>
              <w:t>贮气装置压力正常，驱动阀状态正常，限位正常。按系统100%比例检查保养。</w:t>
            </w:r>
          </w:p>
        </w:tc>
        <w:tc>
          <w:tcPr>
            <w:tcW w:w="665" w:type="dxa"/>
            <w:vAlign w:val="center"/>
          </w:tcPr>
          <w:p>
            <w:pPr>
              <w:tabs>
                <w:tab w:val="left" w:pos="720"/>
              </w:tabs>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月度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 w:hRule="atLeast"/>
          <w:jc w:val="center"/>
        </w:trPr>
        <w:tc>
          <w:tcPr>
            <w:tcW w:w="627" w:type="dxa"/>
            <w:vAlign w:val="center"/>
          </w:tcPr>
          <w:p>
            <w:pPr>
              <w:tabs>
                <w:tab w:val="left" w:pos="720"/>
              </w:tabs>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4</w:t>
            </w:r>
          </w:p>
        </w:tc>
        <w:tc>
          <w:tcPr>
            <w:tcW w:w="8467" w:type="dxa"/>
            <w:vAlign w:val="center"/>
          </w:tcPr>
          <w:p>
            <w:pPr>
              <w:tabs>
                <w:tab w:val="left" w:pos="720"/>
              </w:tabs>
              <w:spacing w:line="360" w:lineRule="auto"/>
              <w:jc w:val="left"/>
              <w:rPr>
                <w:rFonts w:hint="eastAsia" w:ascii="仿宋_GB2312" w:hAnsi="仿宋_GB2312" w:eastAsia="仿宋_GB2312" w:cs="仿宋_GB2312"/>
                <w:sz w:val="24"/>
              </w:rPr>
            </w:pPr>
            <w:r>
              <w:rPr>
                <w:rFonts w:hint="eastAsia" w:ascii="仿宋_GB2312" w:hAnsi="仿宋_GB2312" w:eastAsia="仿宋_GB2312" w:cs="仿宋_GB2312"/>
                <w:sz w:val="24"/>
              </w:rPr>
              <w:t>系统联动部分（主机、控制器、线路）信号正常，信号正常，功能测试、清尘保养。按系统100%比例保养。</w:t>
            </w:r>
          </w:p>
        </w:tc>
        <w:tc>
          <w:tcPr>
            <w:tcW w:w="665" w:type="dxa"/>
            <w:vAlign w:val="center"/>
          </w:tcPr>
          <w:p>
            <w:pPr>
              <w:tabs>
                <w:tab w:val="left" w:pos="720"/>
              </w:tabs>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半年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7" w:type="dxa"/>
            <w:vAlign w:val="center"/>
          </w:tcPr>
          <w:p>
            <w:pPr>
              <w:tabs>
                <w:tab w:val="left" w:pos="720"/>
              </w:tabs>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5</w:t>
            </w:r>
          </w:p>
        </w:tc>
        <w:tc>
          <w:tcPr>
            <w:tcW w:w="8467" w:type="dxa"/>
            <w:vAlign w:val="center"/>
          </w:tcPr>
          <w:p>
            <w:pPr>
              <w:tabs>
                <w:tab w:val="left" w:pos="720"/>
              </w:tabs>
              <w:spacing w:line="360" w:lineRule="auto"/>
              <w:jc w:val="left"/>
              <w:rPr>
                <w:rFonts w:hint="eastAsia" w:ascii="仿宋_GB2312" w:hAnsi="仿宋_GB2312" w:eastAsia="仿宋_GB2312" w:cs="仿宋_GB2312"/>
                <w:sz w:val="24"/>
              </w:rPr>
            </w:pPr>
            <w:r>
              <w:rPr>
                <w:rFonts w:hint="eastAsia" w:ascii="仿宋_GB2312" w:hAnsi="仿宋_GB2312" w:eastAsia="仿宋_GB2312" w:cs="仿宋_GB2312"/>
                <w:sz w:val="24"/>
              </w:rPr>
              <w:t>按火灾自动报警系统部分设施全数进行年度保养，各部分功能测试正常。</w:t>
            </w:r>
          </w:p>
        </w:tc>
        <w:tc>
          <w:tcPr>
            <w:tcW w:w="665" w:type="dxa"/>
            <w:vAlign w:val="center"/>
          </w:tcPr>
          <w:p>
            <w:pPr>
              <w:tabs>
                <w:tab w:val="left" w:pos="720"/>
              </w:tabs>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年度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8" w:hRule="atLeast"/>
          <w:jc w:val="center"/>
        </w:trPr>
        <w:tc>
          <w:tcPr>
            <w:tcW w:w="627" w:type="dxa"/>
            <w:vAlign w:val="center"/>
          </w:tcPr>
          <w:p>
            <w:pPr>
              <w:tabs>
                <w:tab w:val="left" w:pos="720"/>
              </w:tabs>
              <w:spacing w:line="360" w:lineRule="auto"/>
              <w:jc w:val="center"/>
              <w:rPr>
                <w:rFonts w:hint="eastAsia" w:ascii="仿宋_GB2312" w:hAnsi="仿宋_GB2312" w:eastAsia="仿宋_GB2312" w:cs="仿宋_GB2312"/>
                <w:b/>
                <w:bCs/>
                <w:sz w:val="24"/>
              </w:rPr>
            </w:pPr>
            <w:r>
              <w:rPr>
                <w:rFonts w:hint="eastAsia" w:ascii="仿宋_GB2312" w:hAnsi="仿宋_GB2312" w:eastAsia="仿宋_GB2312" w:cs="仿宋_GB2312"/>
                <w:b/>
                <w:bCs/>
                <w:sz w:val="24"/>
              </w:rPr>
              <w:t>五</w:t>
            </w:r>
          </w:p>
        </w:tc>
        <w:tc>
          <w:tcPr>
            <w:tcW w:w="8467" w:type="dxa"/>
            <w:vAlign w:val="center"/>
          </w:tcPr>
          <w:p>
            <w:pPr>
              <w:tabs>
                <w:tab w:val="left" w:pos="720"/>
              </w:tabs>
              <w:spacing w:line="360" w:lineRule="auto"/>
              <w:jc w:val="left"/>
              <w:rPr>
                <w:rFonts w:hint="eastAsia" w:ascii="仿宋_GB2312" w:hAnsi="仿宋_GB2312" w:eastAsia="仿宋_GB2312" w:cs="仿宋_GB2312"/>
                <w:b/>
                <w:bCs/>
                <w:sz w:val="24"/>
              </w:rPr>
            </w:pPr>
            <w:r>
              <w:rPr>
                <w:rFonts w:hint="eastAsia" w:ascii="仿宋_GB2312" w:hAnsi="仿宋_GB2312" w:eastAsia="仿宋_GB2312" w:cs="仿宋_GB2312"/>
                <w:b/>
                <w:bCs/>
                <w:sz w:val="24"/>
              </w:rPr>
              <w:t>送风及防排烟系统</w:t>
            </w:r>
          </w:p>
        </w:tc>
        <w:tc>
          <w:tcPr>
            <w:tcW w:w="665" w:type="dxa"/>
            <w:vAlign w:val="center"/>
          </w:tcPr>
          <w:p>
            <w:pPr>
              <w:tabs>
                <w:tab w:val="left" w:pos="720"/>
              </w:tabs>
              <w:spacing w:line="360" w:lineRule="auto"/>
              <w:jc w:val="center"/>
              <w:rPr>
                <w:rFonts w:hint="eastAsia" w:ascii="仿宋_GB2312" w:hAnsi="仿宋_GB2312" w:eastAsia="仿宋_GB2312" w:cs="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7" w:type="dxa"/>
            <w:vAlign w:val="center"/>
          </w:tcPr>
          <w:p>
            <w:pPr>
              <w:tabs>
                <w:tab w:val="left" w:pos="720"/>
              </w:tabs>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1</w:t>
            </w:r>
          </w:p>
        </w:tc>
        <w:tc>
          <w:tcPr>
            <w:tcW w:w="8467" w:type="dxa"/>
            <w:vAlign w:val="center"/>
          </w:tcPr>
          <w:p>
            <w:pPr>
              <w:tabs>
                <w:tab w:val="left" w:pos="720"/>
              </w:tabs>
              <w:spacing w:line="360" w:lineRule="auto"/>
              <w:jc w:val="left"/>
              <w:rPr>
                <w:rFonts w:hint="eastAsia" w:ascii="仿宋_GB2312" w:hAnsi="仿宋_GB2312" w:eastAsia="仿宋_GB2312" w:cs="仿宋_GB2312"/>
                <w:sz w:val="24"/>
              </w:rPr>
            </w:pPr>
            <w:r>
              <w:rPr>
                <w:rFonts w:hint="eastAsia" w:ascii="仿宋_GB2312" w:hAnsi="仿宋_GB2312" w:eastAsia="仿宋_GB2312" w:cs="仿宋_GB2312"/>
                <w:sz w:val="24"/>
              </w:rPr>
              <w:t>风机控制柜电源、电器开关功能性检测。抽取系统15%比例，每月检查范围均不相同。</w:t>
            </w:r>
          </w:p>
        </w:tc>
        <w:tc>
          <w:tcPr>
            <w:tcW w:w="665" w:type="dxa"/>
            <w:vAlign w:val="center"/>
          </w:tcPr>
          <w:p>
            <w:pPr>
              <w:tabs>
                <w:tab w:val="left" w:pos="720"/>
              </w:tabs>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月度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7" w:type="dxa"/>
            <w:vAlign w:val="center"/>
          </w:tcPr>
          <w:p>
            <w:pPr>
              <w:tabs>
                <w:tab w:val="left" w:pos="720"/>
              </w:tabs>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2</w:t>
            </w:r>
          </w:p>
        </w:tc>
        <w:tc>
          <w:tcPr>
            <w:tcW w:w="8467" w:type="dxa"/>
            <w:vAlign w:val="center"/>
          </w:tcPr>
          <w:p>
            <w:pPr>
              <w:tabs>
                <w:tab w:val="left" w:pos="720"/>
              </w:tabs>
              <w:spacing w:line="360" w:lineRule="auto"/>
              <w:jc w:val="left"/>
              <w:rPr>
                <w:rFonts w:hint="eastAsia" w:ascii="仿宋_GB2312" w:hAnsi="仿宋_GB2312" w:eastAsia="仿宋_GB2312" w:cs="仿宋_GB2312"/>
                <w:sz w:val="24"/>
              </w:rPr>
            </w:pPr>
            <w:r>
              <w:rPr>
                <w:rFonts w:hint="eastAsia" w:ascii="仿宋_GB2312" w:hAnsi="仿宋_GB2312" w:eastAsia="仿宋_GB2312" w:cs="仿宋_GB2312"/>
                <w:sz w:val="24"/>
              </w:rPr>
              <w:t>风机启动运行电流、噪音、振动符合产品设计要求，风阀启闭灵活无卡死。抽取系统15%比例，每月检查范围均不相同。</w:t>
            </w:r>
          </w:p>
        </w:tc>
        <w:tc>
          <w:tcPr>
            <w:tcW w:w="665" w:type="dxa"/>
            <w:vAlign w:val="center"/>
          </w:tcPr>
          <w:p>
            <w:pPr>
              <w:tabs>
                <w:tab w:val="left" w:pos="720"/>
              </w:tabs>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月度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7" w:type="dxa"/>
            <w:vAlign w:val="center"/>
          </w:tcPr>
          <w:p>
            <w:pPr>
              <w:tabs>
                <w:tab w:val="left" w:pos="720"/>
              </w:tabs>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3</w:t>
            </w:r>
          </w:p>
        </w:tc>
        <w:tc>
          <w:tcPr>
            <w:tcW w:w="8467" w:type="dxa"/>
            <w:vAlign w:val="center"/>
          </w:tcPr>
          <w:p>
            <w:pPr>
              <w:tabs>
                <w:tab w:val="left" w:pos="720"/>
              </w:tabs>
              <w:spacing w:line="360" w:lineRule="auto"/>
              <w:jc w:val="left"/>
              <w:rPr>
                <w:rFonts w:hint="eastAsia" w:ascii="仿宋_GB2312" w:hAnsi="仿宋_GB2312" w:eastAsia="仿宋_GB2312" w:cs="仿宋_GB2312"/>
                <w:sz w:val="24"/>
              </w:rPr>
            </w:pPr>
            <w:r>
              <w:rPr>
                <w:rFonts w:hint="eastAsia" w:ascii="仿宋_GB2312" w:hAnsi="仿宋_GB2312" w:eastAsia="仿宋_GB2312" w:cs="仿宋_GB2312"/>
                <w:sz w:val="24"/>
              </w:rPr>
              <w:t>卷帘升降动作正常，运行速度、噪音符合产品设计要求。抽取系统15%比例，每月检查范围均不相同。</w:t>
            </w:r>
          </w:p>
        </w:tc>
        <w:tc>
          <w:tcPr>
            <w:tcW w:w="665" w:type="dxa"/>
            <w:vAlign w:val="center"/>
          </w:tcPr>
          <w:p>
            <w:pPr>
              <w:tabs>
                <w:tab w:val="left" w:pos="720"/>
              </w:tabs>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月度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7" w:type="dxa"/>
            <w:vAlign w:val="center"/>
          </w:tcPr>
          <w:p>
            <w:pPr>
              <w:tabs>
                <w:tab w:val="left" w:pos="720"/>
              </w:tabs>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4</w:t>
            </w:r>
          </w:p>
        </w:tc>
        <w:tc>
          <w:tcPr>
            <w:tcW w:w="8467" w:type="dxa"/>
            <w:vAlign w:val="center"/>
          </w:tcPr>
          <w:p>
            <w:pPr>
              <w:tabs>
                <w:tab w:val="left" w:pos="720"/>
              </w:tabs>
              <w:spacing w:line="360" w:lineRule="auto"/>
              <w:jc w:val="left"/>
              <w:rPr>
                <w:rFonts w:hint="eastAsia" w:ascii="仿宋_GB2312" w:hAnsi="仿宋_GB2312" w:eastAsia="仿宋_GB2312" w:cs="仿宋_GB2312"/>
                <w:sz w:val="24"/>
              </w:rPr>
            </w:pPr>
            <w:r>
              <w:rPr>
                <w:rFonts w:hint="eastAsia" w:ascii="仿宋_GB2312" w:hAnsi="仿宋_GB2312" w:eastAsia="仿宋_GB2312" w:cs="仿宋_GB2312"/>
                <w:sz w:val="24"/>
              </w:rPr>
              <w:t>风机每年全数更换一次皮带，各运动部件运转灵活无卡死。</w:t>
            </w:r>
          </w:p>
        </w:tc>
        <w:tc>
          <w:tcPr>
            <w:tcW w:w="665" w:type="dxa"/>
            <w:vAlign w:val="center"/>
          </w:tcPr>
          <w:p>
            <w:pPr>
              <w:tabs>
                <w:tab w:val="left" w:pos="720"/>
              </w:tabs>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年度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7" w:type="dxa"/>
            <w:vAlign w:val="center"/>
          </w:tcPr>
          <w:p>
            <w:pPr>
              <w:tabs>
                <w:tab w:val="left" w:pos="720"/>
              </w:tabs>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5</w:t>
            </w:r>
          </w:p>
        </w:tc>
        <w:tc>
          <w:tcPr>
            <w:tcW w:w="8467" w:type="dxa"/>
            <w:vAlign w:val="center"/>
          </w:tcPr>
          <w:p>
            <w:pPr>
              <w:tabs>
                <w:tab w:val="left" w:pos="720"/>
              </w:tabs>
              <w:spacing w:line="360" w:lineRule="auto"/>
              <w:jc w:val="left"/>
              <w:rPr>
                <w:rFonts w:hint="eastAsia" w:ascii="仿宋_GB2312" w:hAnsi="仿宋_GB2312" w:eastAsia="仿宋_GB2312" w:cs="仿宋_GB2312"/>
                <w:sz w:val="24"/>
              </w:rPr>
            </w:pPr>
            <w:r>
              <w:rPr>
                <w:rFonts w:hint="eastAsia" w:ascii="仿宋_GB2312" w:hAnsi="仿宋_GB2312" w:eastAsia="仿宋_GB2312" w:cs="仿宋_GB2312"/>
                <w:sz w:val="24"/>
              </w:rPr>
              <w:t>按送风及防排烟系统部分设施全数进行年度保养，各部分功能测试正常。</w:t>
            </w:r>
          </w:p>
        </w:tc>
        <w:tc>
          <w:tcPr>
            <w:tcW w:w="665" w:type="dxa"/>
            <w:vAlign w:val="center"/>
          </w:tcPr>
          <w:p>
            <w:pPr>
              <w:tabs>
                <w:tab w:val="left" w:pos="720"/>
              </w:tabs>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年度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7" w:type="dxa"/>
            <w:vAlign w:val="center"/>
          </w:tcPr>
          <w:p>
            <w:pPr>
              <w:tabs>
                <w:tab w:val="left" w:pos="720"/>
              </w:tabs>
              <w:spacing w:line="360" w:lineRule="auto"/>
              <w:jc w:val="center"/>
              <w:rPr>
                <w:rFonts w:hint="eastAsia" w:ascii="仿宋_GB2312" w:hAnsi="仿宋_GB2312" w:eastAsia="仿宋_GB2312" w:cs="仿宋_GB2312"/>
                <w:b/>
                <w:bCs/>
                <w:sz w:val="24"/>
              </w:rPr>
            </w:pPr>
            <w:r>
              <w:rPr>
                <w:rFonts w:hint="eastAsia" w:ascii="仿宋_GB2312" w:hAnsi="仿宋_GB2312" w:eastAsia="仿宋_GB2312" w:cs="仿宋_GB2312"/>
                <w:b/>
                <w:bCs/>
                <w:sz w:val="24"/>
              </w:rPr>
              <w:t>六</w:t>
            </w:r>
          </w:p>
        </w:tc>
        <w:tc>
          <w:tcPr>
            <w:tcW w:w="8467" w:type="dxa"/>
            <w:vAlign w:val="center"/>
          </w:tcPr>
          <w:p>
            <w:pPr>
              <w:tabs>
                <w:tab w:val="left" w:pos="720"/>
              </w:tabs>
              <w:spacing w:line="360" w:lineRule="auto"/>
              <w:jc w:val="left"/>
              <w:rPr>
                <w:rFonts w:hint="eastAsia" w:ascii="仿宋_GB2312" w:hAnsi="仿宋_GB2312" w:eastAsia="仿宋_GB2312" w:cs="仿宋_GB2312"/>
                <w:b/>
                <w:bCs/>
                <w:sz w:val="24"/>
              </w:rPr>
            </w:pPr>
            <w:r>
              <w:rPr>
                <w:rFonts w:hint="eastAsia" w:ascii="仿宋_GB2312" w:hAnsi="仿宋_GB2312" w:eastAsia="仿宋_GB2312" w:cs="仿宋_GB2312"/>
                <w:b/>
                <w:bCs/>
                <w:sz w:val="24"/>
              </w:rPr>
              <w:t>疏散指示及应急照明</w:t>
            </w:r>
          </w:p>
        </w:tc>
        <w:tc>
          <w:tcPr>
            <w:tcW w:w="665" w:type="dxa"/>
            <w:vAlign w:val="center"/>
          </w:tcPr>
          <w:p>
            <w:pPr>
              <w:tabs>
                <w:tab w:val="left" w:pos="720"/>
              </w:tabs>
              <w:spacing w:line="360" w:lineRule="auto"/>
              <w:jc w:val="center"/>
              <w:rPr>
                <w:rFonts w:hint="eastAsia" w:ascii="仿宋_GB2312" w:hAnsi="仿宋_GB2312" w:eastAsia="仿宋_GB2312" w:cs="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7" w:type="dxa"/>
            <w:vAlign w:val="center"/>
          </w:tcPr>
          <w:p>
            <w:pPr>
              <w:tabs>
                <w:tab w:val="left" w:pos="720"/>
              </w:tabs>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1</w:t>
            </w:r>
          </w:p>
        </w:tc>
        <w:tc>
          <w:tcPr>
            <w:tcW w:w="8467" w:type="dxa"/>
            <w:vAlign w:val="center"/>
          </w:tcPr>
          <w:p>
            <w:pPr>
              <w:tabs>
                <w:tab w:val="left" w:pos="720"/>
              </w:tabs>
              <w:spacing w:line="360" w:lineRule="auto"/>
              <w:jc w:val="left"/>
              <w:rPr>
                <w:rFonts w:hint="eastAsia" w:ascii="仿宋_GB2312" w:hAnsi="仿宋_GB2312" w:eastAsia="仿宋_GB2312" w:cs="仿宋_GB2312"/>
                <w:sz w:val="24"/>
              </w:rPr>
            </w:pPr>
            <w:r>
              <w:rPr>
                <w:rFonts w:hint="eastAsia" w:ascii="仿宋_GB2312" w:hAnsi="仿宋_GB2312" w:eastAsia="仿宋_GB2312" w:cs="仿宋_GB2312"/>
                <w:sz w:val="24"/>
              </w:rPr>
              <w:t>系统联动部分（主机、系统线路）信号正常，信号正常，功能测试、清尘保养。按系统15%比例保养。</w:t>
            </w:r>
          </w:p>
        </w:tc>
        <w:tc>
          <w:tcPr>
            <w:tcW w:w="665" w:type="dxa"/>
            <w:vAlign w:val="center"/>
          </w:tcPr>
          <w:p>
            <w:pPr>
              <w:tabs>
                <w:tab w:val="left" w:pos="720"/>
              </w:tabs>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月度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7" w:type="dxa"/>
            <w:vAlign w:val="center"/>
          </w:tcPr>
          <w:p>
            <w:pPr>
              <w:tabs>
                <w:tab w:val="left" w:pos="720"/>
              </w:tabs>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2</w:t>
            </w:r>
          </w:p>
        </w:tc>
        <w:tc>
          <w:tcPr>
            <w:tcW w:w="8467" w:type="dxa"/>
            <w:vAlign w:val="center"/>
          </w:tcPr>
          <w:p>
            <w:pPr>
              <w:tabs>
                <w:tab w:val="left" w:pos="720"/>
              </w:tabs>
              <w:spacing w:line="360" w:lineRule="auto"/>
              <w:jc w:val="left"/>
              <w:rPr>
                <w:rFonts w:hint="eastAsia" w:ascii="仿宋_GB2312" w:hAnsi="仿宋_GB2312" w:eastAsia="仿宋_GB2312" w:cs="仿宋_GB2312"/>
                <w:sz w:val="24"/>
              </w:rPr>
            </w:pPr>
            <w:r>
              <w:rPr>
                <w:rFonts w:hint="eastAsia" w:ascii="仿宋_GB2312" w:hAnsi="仿宋_GB2312" w:eastAsia="仿宋_GB2312" w:cs="仿宋_GB2312"/>
                <w:sz w:val="24"/>
              </w:rPr>
              <w:t>疏散指示灯指示方向正确、应急照明灯状态正常。</w:t>
            </w:r>
          </w:p>
        </w:tc>
        <w:tc>
          <w:tcPr>
            <w:tcW w:w="665" w:type="dxa"/>
            <w:vAlign w:val="center"/>
          </w:tcPr>
          <w:p>
            <w:pPr>
              <w:tabs>
                <w:tab w:val="left" w:pos="720"/>
              </w:tabs>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月度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7" w:type="dxa"/>
            <w:vAlign w:val="center"/>
          </w:tcPr>
          <w:p>
            <w:pPr>
              <w:tabs>
                <w:tab w:val="left" w:pos="720"/>
              </w:tabs>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3</w:t>
            </w:r>
          </w:p>
        </w:tc>
        <w:tc>
          <w:tcPr>
            <w:tcW w:w="8467" w:type="dxa"/>
            <w:vAlign w:val="center"/>
          </w:tcPr>
          <w:p>
            <w:pPr>
              <w:tabs>
                <w:tab w:val="left" w:pos="720"/>
              </w:tabs>
              <w:spacing w:line="360" w:lineRule="auto"/>
              <w:jc w:val="left"/>
              <w:rPr>
                <w:rFonts w:hint="eastAsia" w:ascii="仿宋_GB2312" w:hAnsi="仿宋_GB2312" w:eastAsia="仿宋_GB2312" w:cs="仿宋_GB2312"/>
                <w:sz w:val="24"/>
              </w:rPr>
            </w:pPr>
            <w:r>
              <w:rPr>
                <w:rFonts w:hint="eastAsia" w:ascii="仿宋_GB2312" w:hAnsi="仿宋_GB2312" w:eastAsia="仿宋_GB2312" w:cs="仿宋_GB2312"/>
                <w:sz w:val="24"/>
              </w:rPr>
              <w:t>按疏散指示及应急照明系统部分设施全数进行年度保养，各部分功能测试正常。</w:t>
            </w:r>
          </w:p>
        </w:tc>
        <w:tc>
          <w:tcPr>
            <w:tcW w:w="665" w:type="dxa"/>
            <w:vAlign w:val="center"/>
          </w:tcPr>
          <w:p>
            <w:pPr>
              <w:tabs>
                <w:tab w:val="left" w:pos="720"/>
              </w:tabs>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年度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7" w:type="dxa"/>
            <w:vAlign w:val="center"/>
          </w:tcPr>
          <w:p>
            <w:pPr>
              <w:tabs>
                <w:tab w:val="left" w:pos="720"/>
              </w:tabs>
              <w:spacing w:line="360" w:lineRule="auto"/>
              <w:jc w:val="center"/>
              <w:rPr>
                <w:rFonts w:hint="eastAsia" w:ascii="仿宋_GB2312" w:hAnsi="仿宋_GB2312" w:eastAsia="仿宋_GB2312" w:cs="仿宋_GB2312"/>
                <w:b/>
                <w:bCs/>
                <w:sz w:val="24"/>
              </w:rPr>
            </w:pPr>
            <w:r>
              <w:rPr>
                <w:rFonts w:hint="eastAsia" w:ascii="仿宋_GB2312" w:hAnsi="仿宋_GB2312" w:eastAsia="仿宋_GB2312" w:cs="仿宋_GB2312"/>
                <w:b/>
                <w:bCs/>
                <w:sz w:val="24"/>
              </w:rPr>
              <w:t>七</w:t>
            </w:r>
          </w:p>
        </w:tc>
        <w:tc>
          <w:tcPr>
            <w:tcW w:w="8467" w:type="dxa"/>
            <w:vAlign w:val="center"/>
          </w:tcPr>
          <w:p>
            <w:pPr>
              <w:tabs>
                <w:tab w:val="left" w:pos="720"/>
              </w:tabs>
              <w:spacing w:line="360" w:lineRule="auto"/>
              <w:jc w:val="left"/>
              <w:rPr>
                <w:rFonts w:hint="eastAsia" w:ascii="仿宋_GB2312" w:hAnsi="仿宋_GB2312" w:eastAsia="仿宋_GB2312" w:cs="仿宋_GB2312"/>
                <w:b/>
                <w:bCs/>
                <w:sz w:val="24"/>
              </w:rPr>
            </w:pPr>
            <w:r>
              <w:rPr>
                <w:rFonts w:hint="eastAsia" w:ascii="仿宋_GB2312" w:hAnsi="仿宋_GB2312" w:eastAsia="仿宋_GB2312" w:cs="仿宋_GB2312"/>
                <w:b/>
                <w:bCs/>
                <w:sz w:val="24"/>
              </w:rPr>
              <w:t>消防广播及电话</w:t>
            </w:r>
          </w:p>
        </w:tc>
        <w:tc>
          <w:tcPr>
            <w:tcW w:w="665" w:type="dxa"/>
            <w:vAlign w:val="center"/>
          </w:tcPr>
          <w:p>
            <w:pPr>
              <w:tabs>
                <w:tab w:val="left" w:pos="720"/>
              </w:tabs>
              <w:spacing w:line="360" w:lineRule="auto"/>
              <w:jc w:val="center"/>
              <w:rPr>
                <w:rFonts w:hint="eastAsia" w:ascii="仿宋_GB2312" w:hAnsi="仿宋_GB2312" w:eastAsia="仿宋_GB2312" w:cs="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7" w:type="dxa"/>
            <w:vAlign w:val="center"/>
          </w:tcPr>
          <w:p>
            <w:pPr>
              <w:tabs>
                <w:tab w:val="left" w:pos="720"/>
              </w:tabs>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1</w:t>
            </w:r>
          </w:p>
        </w:tc>
        <w:tc>
          <w:tcPr>
            <w:tcW w:w="8467" w:type="dxa"/>
            <w:vAlign w:val="center"/>
          </w:tcPr>
          <w:p>
            <w:pPr>
              <w:tabs>
                <w:tab w:val="left" w:pos="720"/>
              </w:tabs>
              <w:spacing w:line="360" w:lineRule="auto"/>
              <w:jc w:val="left"/>
              <w:rPr>
                <w:rFonts w:hint="eastAsia" w:ascii="仿宋_GB2312" w:hAnsi="仿宋_GB2312" w:eastAsia="仿宋_GB2312" w:cs="仿宋_GB2312"/>
                <w:sz w:val="24"/>
              </w:rPr>
            </w:pPr>
            <w:r>
              <w:rPr>
                <w:rFonts w:hint="eastAsia" w:ascii="仿宋_GB2312" w:hAnsi="仿宋_GB2312" w:eastAsia="仿宋_GB2312" w:cs="仿宋_GB2312"/>
                <w:sz w:val="24"/>
              </w:rPr>
              <w:t>终端扬声器声压符合标准、音质清晰。按系统15%比例保养。</w:t>
            </w:r>
          </w:p>
        </w:tc>
        <w:tc>
          <w:tcPr>
            <w:tcW w:w="665" w:type="dxa"/>
            <w:vAlign w:val="center"/>
          </w:tcPr>
          <w:p>
            <w:pPr>
              <w:tabs>
                <w:tab w:val="left" w:pos="720"/>
              </w:tabs>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月度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7" w:type="dxa"/>
            <w:vAlign w:val="center"/>
          </w:tcPr>
          <w:p>
            <w:pPr>
              <w:tabs>
                <w:tab w:val="left" w:pos="720"/>
              </w:tabs>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2</w:t>
            </w:r>
          </w:p>
        </w:tc>
        <w:tc>
          <w:tcPr>
            <w:tcW w:w="8467" w:type="dxa"/>
            <w:vAlign w:val="center"/>
          </w:tcPr>
          <w:p>
            <w:pPr>
              <w:tabs>
                <w:tab w:val="left" w:pos="720"/>
              </w:tabs>
              <w:spacing w:line="360" w:lineRule="auto"/>
              <w:jc w:val="left"/>
              <w:rPr>
                <w:rFonts w:hint="eastAsia" w:ascii="仿宋_GB2312" w:hAnsi="仿宋_GB2312" w:eastAsia="仿宋_GB2312" w:cs="仿宋_GB2312"/>
                <w:sz w:val="24"/>
              </w:rPr>
            </w:pPr>
            <w:r>
              <w:rPr>
                <w:rFonts w:hint="eastAsia" w:ascii="仿宋_GB2312" w:hAnsi="仿宋_GB2312" w:eastAsia="仿宋_GB2312" w:cs="仿宋_GB2312"/>
                <w:sz w:val="24"/>
              </w:rPr>
              <w:t>主机与分机通话信号正常、音质清晰。</w:t>
            </w:r>
          </w:p>
        </w:tc>
        <w:tc>
          <w:tcPr>
            <w:tcW w:w="665" w:type="dxa"/>
            <w:vAlign w:val="center"/>
          </w:tcPr>
          <w:p>
            <w:pPr>
              <w:tabs>
                <w:tab w:val="left" w:pos="720"/>
              </w:tabs>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月度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7" w:type="dxa"/>
            <w:vAlign w:val="center"/>
          </w:tcPr>
          <w:p>
            <w:pPr>
              <w:tabs>
                <w:tab w:val="left" w:pos="720"/>
              </w:tabs>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3</w:t>
            </w:r>
          </w:p>
        </w:tc>
        <w:tc>
          <w:tcPr>
            <w:tcW w:w="8467" w:type="dxa"/>
            <w:vAlign w:val="center"/>
          </w:tcPr>
          <w:p>
            <w:pPr>
              <w:tabs>
                <w:tab w:val="left" w:pos="720"/>
              </w:tabs>
              <w:spacing w:line="360" w:lineRule="auto"/>
              <w:jc w:val="left"/>
              <w:rPr>
                <w:rFonts w:hint="eastAsia" w:ascii="仿宋_GB2312" w:hAnsi="仿宋_GB2312" w:eastAsia="仿宋_GB2312" w:cs="仿宋_GB2312"/>
                <w:sz w:val="24"/>
              </w:rPr>
            </w:pPr>
            <w:r>
              <w:rPr>
                <w:rFonts w:hint="eastAsia" w:ascii="仿宋_GB2312" w:hAnsi="仿宋_GB2312" w:eastAsia="仿宋_GB2312" w:cs="仿宋_GB2312"/>
                <w:sz w:val="24"/>
              </w:rPr>
              <w:t>按消防广播及电话系统部分设施全数进行年度保养，各部分功能测试正常。</w:t>
            </w:r>
          </w:p>
        </w:tc>
        <w:tc>
          <w:tcPr>
            <w:tcW w:w="665" w:type="dxa"/>
            <w:vAlign w:val="center"/>
          </w:tcPr>
          <w:p>
            <w:pPr>
              <w:tabs>
                <w:tab w:val="left" w:pos="720"/>
              </w:tabs>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年度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7" w:type="dxa"/>
            <w:vAlign w:val="center"/>
          </w:tcPr>
          <w:p>
            <w:pPr>
              <w:tabs>
                <w:tab w:val="left" w:pos="720"/>
              </w:tabs>
              <w:spacing w:line="360" w:lineRule="auto"/>
              <w:jc w:val="center"/>
              <w:rPr>
                <w:rFonts w:hint="eastAsia" w:ascii="仿宋_GB2312" w:hAnsi="仿宋_GB2312" w:eastAsia="仿宋_GB2312" w:cs="仿宋_GB2312"/>
                <w:b/>
                <w:bCs/>
                <w:sz w:val="24"/>
              </w:rPr>
            </w:pPr>
            <w:r>
              <w:rPr>
                <w:rFonts w:hint="eastAsia" w:ascii="仿宋_GB2312" w:hAnsi="仿宋_GB2312" w:eastAsia="仿宋_GB2312" w:cs="仿宋_GB2312"/>
                <w:b/>
                <w:bCs/>
                <w:sz w:val="24"/>
              </w:rPr>
              <w:t>八</w:t>
            </w:r>
          </w:p>
        </w:tc>
        <w:tc>
          <w:tcPr>
            <w:tcW w:w="8467" w:type="dxa"/>
            <w:vAlign w:val="center"/>
          </w:tcPr>
          <w:p>
            <w:pPr>
              <w:tabs>
                <w:tab w:val="left" w:pos="720"/>
              </w:tabs>
              <w:spacing w:line="360" w:lineRule="auto"/>
              <w:jc w:val="left"/>
              <w:rPr>
                <w:rFonts w:hint="eastAsia" w:ascii="仿宋_GB2312" w:hAnsi="仿宋_GB2312" w:eastAsia="仿宋_GB2312" w:cs="仿宋_GB2312"/>
                <w:b/>
                <w:bCs/>
                <w:sz w:val="24"/>
              </w:rPr>
            </w:pPr>
            <w:r>
              <w:rPr>
                <w:rFonts w:hint="eastAsia" w:ascii="仿宋_GB2312" w:hAnsi="仿宋_GB2312" w:eastAsia="仿宋_GB2312" w:cs="仿宋_GB2312"/>
                <w:b/>
                <w:bCs/>
                <w:sz w:val="24"/>
              </w:rPr>
              <w:t>消防器材</w:t>
            </w:r>
          </w:p>
        </w:tc>
        <w:tc>
          <w:tcPr>
            <w:tcW w:w="665" w:type="dxa"/>
            <w:vAlign w:val="center"/>
          </w:tcPr>
          <w:p>
            <w:pPr>
              <w:tabs>
                <w:tab w:val="left" w:pos="720"/>
              </w:tabs>
              <w:spacing w:line="360" w:lineRule="auto"/>
              <w:jc w:val="center"/>
              <w:rPr>
                <w:rFonts w:hint="eastAsia" w:ascii="仿宋_GB2312" w:hAnsi="仿宋_GB2312" w:eastAsia="仿宋_GB2312" w:cs="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7" w:type="dxa"/>
            <w:vAlign w:val="center"/>
          </w:tcPr>
          <w:p>
            <w:pPr>
              <w:tabs>
                <w:tab w:val="left" w:pos="720"/>
              </w:tabs>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1</w:t>
            </w:r>
          </w:p>
        </w:tc>
        <w:tc>
          <w:tcPr>
            <w:tcW w:w="8467" w:type="dxa"/>
            <w:vAlign w:val="center"/>
          </w:tcPr>
          <w:p>
            <w:pPr>
              <w:tabs>
                <w:tab w:val="left" w:pos="720"/>
              </w:tabs>
              <w:spacing w:line="360" w:lineRule="auto"/>
              <w:jc w:val="left"/>
              <w:rPr>
                <w:rFonts w:hint="eastAsia" w:ascii="仿宋_GB2312" w:hAnsi="仿宋_GB2312" w:eastAsia="仿宋_GB2312" w:cs="仿宋_GB2312"/>
                <w:sz w:val="24"/>
              </w:rPr>
            </w:pPr>
            <w:r>
              <w:rPr>
                <w:rFonts w:hint="eastAsia" w:ascii="仿宋_GB2312" w:hAnsi="仿宋_GB2312" w:eastAsia="仿宋_GB2312" w:cs="仿宋_GB2312"/>
                <w:sz w:val="24"/>
              </w:rPr>
              <w:t>灭火器材气压符合标准、外观完好、填充剂量符合标准；消防水带、盘管质量完好可正常使用。按数量100%比例进行检查。</w:t>
            </w:r>
          </w:p>
        </w:tc>
        <w:tc>
          <w:tcPr>
            <w:tcW w:w="665" w:type="dxa"/>
            <w:vAlign w:val="center"/>
          </w:tcPr>
          <w:p>
            <w:pPr>
              <w:tabs>
                <w:tab w:val="left" w:pos="720"/>
              </w:tabs>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月度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7" w:type="dxa"/>
            <w:vAlign w:val="center"/>
          </w:tcPr>
          <w:p>
            <w:pPr>
              <w:tabs>
                <w:tab w:val="left" w:pos="720"/>
              </w:tabs>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2</w:t>
            </w:r>
          </w:p>
        </w:tc>
        <w:tc>
          <w:tcPr>
            <w:tcW w:w="8467" w:type="dxa"/>
            <w:vAlign w:val="center"/>
          </w:tcPr>
          <w:p>
            <w:pPr>
              <w:tabs>
                <w:tab w:val="left" w:pos="720"/>
              </w:tabs>
              <w:spacing w:line="360" w:lineRule="auto"/>
              <w:jc w:val="left"/>
              <w:rPr>
                <w:rFonts w:hint="eastAsia" w:ascii="仿宋_GB2312" w:hAnsi="仿宋_GB2312" w:eastAsia="仿宋_GB2312" w:cs="仿宋_GB2312"/>
                <w:sz w:val="24"/>
              </w:rPr>
            </w:pPr>
            <w:r>
              <w:rPr>
                <w:rFonts w:hint="eastAsia" w:ascii="仿宋_GB2312" w:hAnsi="仿宋_GB2312" w:eastAsia="仿宋_GB2312" w:cs="仿宋_GB2312"/>
                <w:sz w:val="24"/>
              </w:rPr>
              <w:t>消火栓箱、灭火器箱、微型消防站卫生清扫、清洁，摆放有序，相关标识、使用说明牌清晰完好。按数量100%比例进行维护保养。</w:t>
            </w:r>
          </w:p>
        </w:tc>
        <w:tc>
          <w:tcPr>
            <w:tcW w:w="665" w:type="dxa"/>
            <w:vAlign w:val="center"/>
          </w:tcPr>
          <w:p>
            <w:pPr>
              <w:tabs>
                <w:tab w:val="left" w:pos="720"/>
              </w:tabs>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月度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7" w:type="dxa"/>
            <w:vAlign w:val="center"/>
          </w:tcPr>
          <w:p>
            <w:pPr>
              <w:tabs>
                <w:tab w:val="left" w:pos="720"/>
              </w:tabs>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b/>
                <w:bCs/>
                <w:sz w:val="24"/>
              </w:rPr>
              <w:t>九</w:t>
            </w:r>
          </w:p>
        </w:tc>
        <w:tc>
          <w:tcPr>
            <w:tcW w:w="8467" w:type="dxa"/>
            <w:vAlign w:val="center"/>
          </w:tcPr>
          <w:p>
            <w:pPr>
              <w:tabs>
                <w:tab w:val="left" w:pos="720"/>
              </w:tabs>
              <w:spacing w:line="360" w:lineRule="auto"/>
              <w:jc w:val="left"/>
              <w:rPr>
                <w:rFonts w:hint="eastAsia" w:ascii="仿宋_GB2312" w:hAnsi="仿宋_GB2312" w:eastAsia="仿宋_GB2312" w:cs="仿宋_GB2312"/>
                <w:sz w:val="24"/>
              </w:rPr>
            </w:pPr>
            <w:r>
              <w:rPr>
                <w:rFonts w:hint="eastAsia" w:ascii="仿宋_GB2312" w:hAnsi="仿宋_GB2312" w:eastAsia="仿宋_GB2312" w:cs="仿宋_GB2312"/>
                <w:b/>
                <w:bCs/>
                <w:sz w:val="24"/>
              </w:rPr>
              <w:t>消防供配电设施</w:t>
            </w:r>
          </w:p>
        </w:tc>
        <w:tc>
          <w:tcPr>
            <w:tcW w:w="665" w:type="dxa"/>
            <w:vAlign w:val="center"/>
          </w:tcPr>
          <w:p>
            <w:pPr>
              <w:tabs>
                <w:tab w:val="left" w:pos="720"/>
              </w:tabs>
              <w:spacing w:line="360" w:lineRule="auto"/>
              <w:jc w:val="center"/>
              <w:rPr>
                <w:rFonts w:hint="eastAsia" w:ascii="仿宋_GB2312" w:hAnsi="仿宋_GB2312" w:eastAsia="仿宋_GB2312" w:cs="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7" w:type="dxa"/>
            <w:vAlign w:val="center"/>
          </w:tcPr>
          <w:p>
            <w:pPr>
              <w:tabs>
                <w:tab w:val="left" w:pos="720"/>
              </w:tabs>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1</w:t>
            </w:r>
          </w:p>
        </w:tc>
        <w:tc>
          <w:tcPr>
            <w:tcW w:w="8467" w:type="dxa"/>
            <w:vAlign w:val="center"/>
          </w:tcPr>
          <w:p>
            <w:pPr>
              <w:tabs>
                <w:tab w:val="left" w:pos="720"/>
              </w:tabs>
              <w:spacing w:line="360" w:lineRule="auto"/>
              <w:jc w:val="left"/>
              <w:rPr>
                <w:rFonts w:hint="eastAsia" w:ascii="仿宋_GB2312" w:hAnsi="仿宋_GB2312" w:eastAsia="仿宋_GB2312" w:cs="仿宋_GB2312"/>
                <w:sz w:val="24"/>
              </w:rPr>
            </w:pPr>
            <w:r>
              <w:rPr>
                <w:rFonts w:hint="eastAsia" w:ascii="仿宋_GB2312" w:hAnsi="仿宋_GB2312" w:eastAsia="仿宋_GB2312" w:cs="仿宋_GB2312"/>
                <w:sz w:val="24"/>
              </w:rPr>
              <w:t>每月应至少检查一次配电箱(柜)的运行情况，核对配电箱的控制方式及操作程序是否符合设计要求。</w:t>
            </w:r>
          </w:p>
        </w:tc>
        <w:tc>
          <w:tcPr>
            <w:tcW w:w="665" w:type="dxa"/>
            <w:vAlign w:val="center"/>
          </w:tcPr>
          <w:p>
            <w:pPr>
              <w:tabs>
                <w:tab w:val="left" w:pos="720"/>
              </w:tabs>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月度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2" w:hRule="atLeast"/>
          <w:jc w:val="center"/>
        </w:trPr>
        <w:tc>
          <w:tcPr>
            <w:tcW w:w="627" w:type="dxa"/>
            <w:vAlign w:val="center"/>
          </w:tcPr>
          <w:p>
            <w:pPr>
              <w:tabs>
                <w:tab w:val="left" w:pos="720"/>
              </w:tabs>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2</w:t>
            </w:r>
          </w:p>
        </w:tc>
        <w:tc>
          <w:tcPr>
            <w:tcW w:w="8467" w:type="dxa"/>
            <w:vAlign w:val="center"/>
          </w:tcPr>
          <w:p>
            <w:pPr>
              <w:tabs>
                <w:tab w:val="left" w:pos="720"/>
              </w:tabs>
              <w:spacing w:line="360" w:lineRule="auto"/>
              <w:jc w:val="left"/>
              <w:rPr>
                <w:rFonts w:hint="eastAsia" w:ascii="仿宋_GB2312" w:hAnsi="仿宋_GB2312" w:eastAsia="仿宋_GB2312" w:cs="仿宋_GB2312"/>
                <w:sz w:val="24"/>
              </w:rPr>
            </w:pPr>
            <w:r>
              <w:rPr>
                <w:rFonts w:hint="eastAsia" w:ascii="仿宋_GB2312" w:hAnsi="仿宋_GB2312" w:eastAsia="仿宋_GB2312" w:cs="仿宋_GB2312"/>
                <w:sz w:val="24"/>
              </w:rPr>
              <w:t>应急电源平时应处于“主电”工作状态，仪表、指示灯的显示应正常，开关及控制按钮应齐全；蓄电池应无鼓包、漏液现象，充放电功能正常。</w:t>
            </w:r>
          </w:p>
        </w:tc>
        <w:tc>
          <w:tcPr>
            <w:tcW w:w="665" w:type="dxa"/>
            <w:vAlign w:val="center"/>
          </w:tcPr>
          <w:p>
            <w:pPr>
              <w:tabs>
                <w:tab w:val="left" w:pos="720"/>
              </w:tabs>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月度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7" w:type="dxa"/>
            <w:vAlign w:val="center"/>
          </w:tcPr>
          <w:p>
            <w:pPr>
              <w:tabs>
                <w:tab w:val="left" w:pos="720"/>
              </w:tabs>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b/>
                <w:bCs/>
                <w:sz w:val="24"/>
              </w:rPr>
              <w:t>十</w:t>
            </w:r>
          </w:p>
        </w:tc>
        <w:tc>
          <w:tcPr>
            <w:tcW w:w="8467" w:type="dxa"/>
            <w:vAlign w:val="center"/>
          </w:tcPr>
          <w:p>
            <w:pPr>
              <w:tabs>
                <w:tab w:val="left" w:pos="720"/>
              </w:tabs>
              <w:spacing w:line="360" w:lineRule="auto"/>
              <w:jc w:val="left"/>
              <w:rPr>
                <w:rFonts w:hint="eastAsia" w:ascii="仿宋_GB2312" w:hAnsi="仿宋_GB2312" w:eastAsia="仿宋_GB2312" w:cs="仿宋_GB2312"/>
                <w:sz w:val="24"/>
              </w:rPr>
            </w:pPr>
            <w:r>
              <w:rPr>
                <w:rFonts w:hint="eastAsia" w:ascii="仿宋_GB2312" w:hAnsi="仿宋_GB2312" w:eastAsia="仿宋_GB2312" w:cs="仿宋_GB2312"/>
                <w:b/>
                <w:bCs/>
                <w:sz w:val="24"/>
              </w:rPr>
              <w:t>电气火灾监控系统</w:t>
            </w:r>
          </w:p>
        </w:tc>
        <w:tc>
          <w:tcPr>
            <w:tcW w:w="665" w:type="dxa"/>
            <w:vAlign w:val="center"/>
          </w:tcPr>
          <w:p>
            <w:pPr>
              <w:tabs>
                <w:tab w:val="left" w:pos="720"/>
              </w:tabs>
              <w:spacing w:line="360" w:lineRule="auto"/>
              <w:jc w:val="center"/>
              <w:rPr>
                <w:rFonts w:hint="eastAsia" w:ascii="仿宋_GB2312" w:hAnsi="仿宋_GB2312" w:eastAsia="仿宋_GB2312" w:cs="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7" w:type="dxa"/>
            <w:vAlign w:val="center"/>
          </w:tcPr>
          <w:p>
            <w:pPr>
              <w:tabs>
                <w:tab w:val="left" w:pos="720"/>
              </w:tabs>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1</w:t>
            </w:r>
          </w:p>
        </w:tc>
        <w:tc>
          <w:tcPr>
            <w:tcW w:w="8467" w:type="dxa"/>
            <w:vAlign w:val="center"/>
          </w:tcPr>
          <w:p>
            <w:pPr>
              <w:tabs>
                <w:tab w:val="left" w:pos="720"/>
              </w:tabs>
              <w:spacing w:line="360" w:lineRule="auto"/>
              <w:jc w:val="left"/>
              <w:rPr>
                <w:rFonts w:hint="eastAsia" w:ascii="仿宋_GB2312" w:hAnsi="仿宋_GB2312" w:eastAsia="仿宋_GB2312" w:cs="仿宋_GB2312"/>
                <w:sz w:val="24"/>
              </w:rPr>
            </w:pPr>
            <w:r>
              <w:rPr>
                <w:rFonts w:hint="eastAsia" w:ascii="仿宋_GB2312" w:hAnsi="仿宋_GB2312" w:eastAsia="仿宋_GB2312" w:cs="仿宋_GB2312"/>
                <w:sz w:val="24"/>
              </w:rPr>
              <w:t>电气火灾监控探测器设备外观应完好，紧固件、插接件应无松动。</w:t>
            </w:r>
          </w:p>
        </w:tc>
        <w:tc>
          <w:tcPr>
            <w:tcW w:w="665" w:type="dxa"/>
            <w:vAlign w:val="center"/>
          </w:tcPr>
          <w:p>
            <w:pPr>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月度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7" w:type="dxa"/>
            <w:vAlign w:val="center"/>
          </w:tcPr>
          <w:p>
            <w:pPr>
              <w:tabs>
                <w:tab w:val="left" w:pos="720"/>
              </w:tabs>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2</w:t>
            </w:r>
          </w:p>
        </w:tc>
        <w:tc>
          <w:tcPr>
            <w:tcW w:w="8467" w:type="dxa"/>
            <w:vAlign w:val="center"/>
          </w:tcPr>
          <w:p>
            <w:pPr>
              <w:tabs>
                <w:tab w:val="left" w:pos="720"/>
              </w:tabs>
              <w:spacing w:line="360" w:lineRule="auto"/>
              <w:jc w:val="left"/>
              <w:rPr>
                <w:rFonts w:hint="eastAsia" w:ascii="仿宋_GB2312" w:hAnsi="仿宋_GB2312" w:eastAsia="仿宋_GB2312" w:cs="仿宋_GB2312"/>
                <w:b/>
                <w:bCs/>
                <w:sz w:val="24"/>
              </w:rPr>
            </w:pPr>
            <w:r>
              <w:rPr>
                <w:rFonts w:hint="eastAsia" w:ascii="仿宋_GB2312" w:hAnsi="仿宋_GB2312" w:eastAsia="仿宋_GB2312" w:cs="仿宋_GB2312"/>
                <w:sz w:val="24"/>
              </w:rPr>
              <w:t>控制器主电源供电应正常；指示灯、显示屏、按钮、标签应正常；钥匙、开关等应置于正常位置；系统应设定在安全工作状态。触发自检键，对面板上所有的指示灯、显示器和音响器件进行功能自检。</w:t>
            </w:r>
          </w:p>
        </w:tc>
        <w:tc>
          <w:tcPr>
            <w:tcW w:w="665" w:type="dxa"/>
            <w:vAlign w:val="center"/>
          </w:tcPr>
          <w:p>
            <w:pPr>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月度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7" w:type="dxa"/>
            <w:vAlign w:val="center"/>
          </w:tcPr>
          <w:p>
            <w:pPr>
              <w:tabs>
                <w:tab w:val="left" w:pos="720"/>
              </w:tabs>
              <w:spacing w:line="360" w:lineRule="auto"/>
              <w:jc w:val="center"/>
              <w:rPr>
                <w:rFonts w:hint="eastAsia" w:ascii="仿宋_GB2312" w:hAnsi="仿宋_GB2312" w:eastAsia="仿宋_GB2312" w:cs="仿宋_GB2312"/>
                <w:b/>
                <w:bCs/>
                <w:sz w:val="24"/>
              </w:rPr>
            </w:pPr>
            <w:r>
              <w:rPr>
                <w:rFonts w:hint="eastAsia" w:ascii="仿宋_GB2312" w:hAnsi="仿宋_GB2312" w:eastAsia="仿宋_GB2312" w:cs="仿宋_GB2312"/>
                <w:b/>
                <w:bCs/>
                <w:sz w:val="24"/>
              </w:rPr>
              <w:t>十一</w:t>
            </w:r>
          </w:p>
        </w:tc>
        <w:tc>
          <w:tcPr>
            <w:tcW w:w="8467" w:type="dxa"/>
            <w:vAlign w:val="center"/>
          </w:tcPr>
          <w:p>
            <w:pPr>
              <w:tabs>
                <w:tab w:val="left" w:pos="720"/>
              </w:tabs>
              <w:spacing w:line="360" w:lineRule="auto"/>
              <w:rPr>
                <w:rFonts w:hint="eastAsia" w:ascii="仿宋_GB2312" w:hAnsi="仿宋_GB2312" w:eastAsia="仿宋_GB2312" w:cs="仿宋_GB2312"/>
                <w:b/>
                <w:bCs/>
                <w:sz w:val="24"/>
              </w:rPr>
            </w:pPr>
            <w:r>
              <w:rPr>
                <w:rFonts w:hint="eastAsia" w:ascii="仿宋_GB2312" w:hAnsi="仿宋_GB2312" w:eastAsia="仿宋_GB2312" w:cs="仿宋_GB2312"/>
                <w:b/>
                <w:bCs/>
                <w:sz w:val="24"/>
              </w:rPr>
              <w:t>防火分隔设施</w:t>
            </w:r>
          </w:p>
        </w:tc>
        <w:tc>
          <w:tcPr>
            <w:tcW w:w="665" w:type="dxa"/>
            <w:vAlign w:val="center"/>
          </w:tcPr>
          <w:p>
            <w:pPr>
              <w:tabs>
                <w:tab w:val="left" w:pos="720"/>
              </w:tabs>
              <w:spacing w:line="360" w:lineRule="auto"/>
              <w:jc w:val="center"/>
              <w:rPr>
                <w:rFonts w:hint="eastAsia" w:ascii="仿宋_GB2312" w:hAnsi="仿宋_GB2312" w:eastAsia="仿宋_GB2312" w:cs="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7" w:type="dxa"/>
            <w:vAlign w:val="center"/>
          </w:tcPr>
          <w:p>
            <w:pPr>
              <w:tabs>
                <w:tab w:val="left" w:pos="720"/>
              </w:tabs>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1</w:t>
            </w:r>
          </w:p>
        </w:tc>
        <w:tc>
          <w:tcPr>
            <w:tcW w:w="8467" w:type="dxa"/>
            <w:vAlign w:val="center"/>
          </w:tcPr>
          <w:p>
            <w:pPr>
              <w:tabs>
                <w:tab w:val="left" w:pos="720"/>
              </w:tabs>
              <w:spacing w:line="360" w:lineRule="auto"/>
              <w:jc w:val="left"/>
              <w:rPr>
                <w:rFonts w:hint="eastAsia" w:ascii="仿宋_GB2312" w:hAnsi="仿宋_GB2312" w:eastAsia="仿宋_GB2312" w:cs="仿宋_GB2312"/>
                <w:sz w:val="24"/>
              </w:rPr>
            </w:pPr>
            <w:r>
              <w:rPr>
                <w:rFonts w:hint="eastAsia" w:ascii="仿宋_GB2312" w:hAnsi="仿宋_GB2312" w:eastAsia="仿宋_GB2312" w:cs="仿宋_GB2312"/>
                <w:sz w:val="24"/>
              </w:rPr>
              <w:t>防火门的门框、门扇表面应无明显凹凸、擦痕等缺陷；闭门器、顺序器、锁具的外观不应有明显损坏；防火门上的合页、插销等五金配件应齐全完好；所有组件应固定牢固、无松动。常闭防火门应在关闭状态，且关闭严密；防火闭门器的固定应牢固；带有子口的双扇或多扇木质防火门应能按顺序关闭。用于疏散通道的木质防火门，不应装锁和插栓，更不能锁闭。检查常开式防火门，清除妨碍启闭的物品。</w:t>
            </w:r>
          </w:p>
        </w:tc>
        <w:tc>
          <w:tcPr>
            <w:tcW w:w="665" w:type="dxa"/>
            <w:vAlign w:val="center"/>
          </w:tcPr>
          <w:p>
            <w:pPr>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月度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7" w:type="dxa"/>
            <w:vAlign w:val="center"/>
          </w:tcPr>
          <w:p>
            <w:pPr>
              <w:tabs>
                <w:tab w:val="left" w:pos="720"/>
              </w:tabs>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2</w:t>
            </w:r>
          </w:p>
        </w:tc>
        <w:tc>
          <w:tcPr>
            <w:tcW w:w="8467" w:type="dxa"/>
            <w:vAlign w:val="center"/>
          </w:tcPr>
          <w:p>
            <w:pPr>
              <w:tabs>
                <w:tab w:val="left" w:pos="720"/>
              </w:tabs>
              <w:spacing w:line="360" w:lineRule="auto"/>
              <w:jc w:val="left"/>
              <w:rPr>
                <w:rFonts w:hint="eastAsia" w:ascii="仿宋_GB2312" w:hAnsi="仿宋_GB2312" w:eastAsia="仿宋_GB2312" w:cs="仿宋_GB2312"/>
                <w:sz w:val="24"/>
              </w:rPr>
            </w:pPr>
            <w:r>
              <w:rPr>
                <w:rFonts w:hint="eastAsia" w:ascii="仿宋_GB2312" w:hAnsi="仿宋_GB2312" w:eastAsia="仿宋_GB2312" w:cs="仿宋_GB2312"/>
                <w:sz w:val="24"/>
              </w:rPr>
              <w:t>防火卷帘的外观应完整，防火卷帘下及两侧各 0. 5m 范围内严禁堆放物品。控制箱供电应正常，指示灯状态应正常，无故障报警声响；手动控制按钮盒应完好。</w:t>
            </w:r>
          </w:p>
        </w:tc>
        <w:tc>
          <w:tcPr>
            <w:tcW w:w="665" w:type="dxa"/>
            <w:vAlign w:val="center"/>
          </w:tcPr>
          <w:p>
            <w:pPr>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月度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7" w:type="dxa"/>
            <w:vAlign w:val="center"/>
          </w:tcPr>
          <w:p>
            <w:pPr>
              <w:tabs>
                <w:tab w:val="left" w:pos="720"/>
              </w:tabs>
              <w:spacing w:line="360" w:lineRule="auto"/>
              <w:jc w:val="center"/>
              <w:rPr>
                <w:rFonts w:hint="eastAsia" w:ascii="仿宋_GB2312" w:hAnsi="仿宋_GB2312" w:eastAsia="仿宋_GB2312" w:cs="仿宋_GB2312"/>
                <w:b/>
                <w:bCs/>
                <w:sz w:val="24"/>
              </w:rPr>
            </w:pPr>
            <w:r>
              <w:rPr>
                <w:rFonts w:hint="eastAsia" w:ascii="仿宋_GB2312" w:hAnsi="仿宋_GB2312" w:eastAsia="仿宋_GB2312" w:cs="仿宋_GB2312"/>
                <w:b/>
                <w:bCs/>
                <w:sz w:val="24"/>
              </w:rPr>
              <w:t>十二</w:t>
            </w:r>
          </w:p>
        </w:tc>
        <w:tc>
          <w:tcPr>
            <w:tcW w:w="8467" w:type="dxa"/>
            <w:vAlign w:val="center"/>
          </w:tcPr>
          <w:p>
            <w:pPr>
              <w:tabs>
                <w:tab w:val="left" w:pos="720"/>
              </w:tabs>
              <w:spacing w:line="360" w:lineRule="auto"/>
              <w:jc w:val="left"/>
              <w:rPr>
                <w:rFonts w:hint="eastAsia" w:ascii="仿宋_GB2312" w:hAnsi="仿宋_GB2312" w:eastAsia="仿宋_GB2312" w:cs="仿宋_GB2312"/>
                <w:b/>
                <w:bCs/>
                <w:sz w:val="24"/>
              </w:rPr>
            </w:pPr>
            <w:r>
              <w:rPr>
                <w:rFonts w:hint="eastAsia" w:ascii="仿宋_GB2312" w:hAnsi="仿宋_GB2312" w:eastAsia="仿宋_GB2312" w:cs="仿宋_GB2312"/>
                <w:b/>
                <w:bCs/>
                <w:sz w:val="24"/>
              </w:rPr>
              <w:t>消防系统维保及检测报告</w:t>
            </w:r>
          </w:p>
        </w:tc>
        <w:tc>
          <w:tcPr>
            <w:tcW w:w="665" w:type="dxa"/>
            <w:vAlign w:val="center"/>
          </w:tcPr>
          <w:p>
            <w:pPr>
              <w:tabs>
                <w:tab w:val="left" w:pos="720"/>
              </w:tabs>
              <w:spacing w:line="360" w:lineRule="auto"/>
              <w:jc w:val="center"/>
              <w:rPr>
                <w:rFonts w:hint="eastAsia" w:ascii="仿宋_GB2312" w:hAnsi="仿宋_GB2312" w:eastAsia="仿宋_GB2312" w:cs="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7" w:type="dxa"/>
            <w:vAlign w:val="center"/>
          </w:tcPr>
          <w:p>
            <w:pPr>
              <w:tabs>
                <w:tab w:val="left" w:pos="720"/>
              </w:tabs>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1</w:t>
            </w:r>
          </w:p>
        </w:tc>
        <w:tc>
          <w:tcPr>
            <w:tcW w:w="8467" w:type="dxa"/>
            <w:vAlign w:val="center"/>
          </w:tcPr>
          <w:p>
            <w:pPr>
              <w:tabs>
                <w:tab w:val="left" w:pos="720"/>
              </w:tabs>
              <w:spacing w:line="360" w:lineRule="auto"/>
              <w:jc w:val="left"/>
              <w:rPr>
                <w:rFonts w:hint="eastAsia" w:ascii="仿宋_GB2312" w:hAnsi="仿宋_GB2312" w:eastAsia="仿宋_GB2312" w:cs="仿宋_GB2312"/>
                <w:sz w:val="24"/>
              </w:rPr>
            </w:pPr>
            <w:r>
              <w:rPr>
                <w:rFonts w:hint="eastAsia" w:ascii="仿宋_GB2312" w:hAnsi="仿宋_GB2312" w:eastAsia="仿宋_GB2312" w:cs="仿宋_GB2312"/>
                <w:sz w:val="24"/>
              </w:rPr>
              <w:t>按照消防管理要求，开展消防系统设备设施检查及联动检查调试工作，出具月度度维保报告。</w:t>
            </w:r>
          </w:p>
        </w:tc>
        <w:tc>
          <w:tcPr>
            <w:tcW w:w="665" w:type="dxa"/>
            <w:vAlign w:val="center"/>
          </w:tcPr>
          <w:p>
            <w:pPr>
              <w:tabs>
                <w:tab w:val="left" w:pos="720"/>
              </w:tabs>
              <w:spacing w:line="360" w:lineRule="auto"/>
              <w:jc w:val="center"/>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年度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27" w:type="dxa"/>
            <w:vAlign w:val="center"/>
          </w:tcPr>
          <w:p>
            <w:pPr>
              <w:tabs>
                <w:tab w:val="left" w:pos="720"/>
              </w:tabs>
              <w:spacing w:line="360" w:lineRule="auto"/>
              <w:jc w:val="center"/>
              <w:rPr>
                <w:rFonts w:hint="eastAsia" w:ascii="仿宋_GB2312" w:hAnsi="仿宋_GB2312" w:eastAsia="仿宋_GB2312" w:cs="仿宋_GB2312"/>
                <w:sz w:val="24"/>
              </w:rPr>
            </w:pPr>
            <w:r>
              <w:rPr>
                <w:rFonts w:hint="eastAsia" w:ascii="仿宋_GB2312" w:hAnsi="仿宋_GB2312" w:eastAsia="仿宋_GB2312" w:cs="仿宋_GB2312"/>
                <w:sz w:val="24"/>
              </w:rPr>
              <w:t>2</w:t>
            </w:r>
          </w:p>
        </w:tc>
        <w:tc>
          <w:tcPr>
            <w:tcW w:w="8467" w:type="dxa"/>
            <w:vAlign w:val="center"/>
          </w:tcPr>
          <w:p>
            <w:pPr>
              <w:tabs>
                <w:tab w:val="left" w:pos="720"/>
              </w:tabs>
              <w:spacing w:line="360" w:lineRule="auto"/>
              <w:jc w:val="left"/>
              <w:rPr>
                <w:rFonts w:hint="eastAsia" w:ascii="仿宋_GB2312" w:hAnsi="仿宋_GB2312" w:eastAsia="仿宋_GB2312" w:cs="仿宋_GB2312"/>
                <w:sz w:val="24"/>
                <w:highlight w:val="none"/>
              </w:rPr>
            </w:pPr>
            <w:r>
              <w:rPr>
                <w:rFonts w:hint="eastAsia" w:ascii="仿宋_GB2312" w:hAnsi="仿宋_GB2312" w:eastAsia="仿宋_GB2312" w:cs="仿宋_GB2312"/>
                <w:sz w:val="24"/>
                <w:highlight w:val="none"/>
              </w:rPr>
              <w:t>按消防管理规定要求，由投标方开展检测工作，并出具年度检测报告。</w:t>
            </w:r>
          </w:p>
        </w:tc>
        <w:tc>
          <w:tcPr>
            <w:tcW w:w="665" w:type="dxa"/>
            <w:vAlign w:val="center"/>
          </w:tcPr>
          <w:p>
            <w:pPr>
              <w:tabs>
                <w:tab w:val="left" w:pos="720"/>
              </w:tabs>
              <w:spacing w:line="360" w:lineRule="auto"/>
              <w:jc w:val="center"/>
              <w:rPr>
                <w:rFonts w:hint="eastAsia" w:ascii="仿宋_GB2312" w:hAnsi="仿宋_GB2312" w:eastAsia="仿宋_GB2312" w:cs="仿宋_GB2312"/>
                <w:sz w:val="22"/>
                <w:szCs w:val="22"/>
              </w:rPr>
            </w:pPr>
            <w:r>
              <w:rPr>
                <w:rFonts w:hint="eastAsia" w:ascii="仿宋_GB2312" w:hAnsi="仿宋_GB2312" w:eastAsia="仿宋_GB2312" w:cs="仿宋_GB2312"/>
                <w:sz w:val="22"/>
                <w:szCs w:val="22"/>
              </w:rPr>
              <w:t>年度</w:t>
            </w:r>
          </w:p>
        </w:tc>
      </w:tr>
    </w:tbl>
    <w:p>
      <w:pPr>
        <w:rPr>
          <w:rFonts w:hint="eastAsia" w:ascii="仿宋_GB2312" w:hAnsi="仿宋_GB2312" w:eastAsia="仿宋_GB2312" w:cs="仿宋_GB2312"/>
          <w:b/>
          <w:bCs/>
          <w:sz w:val="28"/>
          <w:szCs w:val="28"/>
        </w:rPr>
      </w:pPr>
      <w:bookmarkStart w:id="21" w:name="_Toc30395_WPSOffice_Level1"/>
      <w:bookmarkStart w:id="22" w:name="_Toc29645_WPSOffice_Level1"/>
      <w:bookmarkStart w:id="23" w:name="_Toc16988_WPSOffice_Level1"/>
      <w:bookmarkStart w:id="24" w:name="_Toc19740_WPSOffice_Level1"/>
      <w:r>
        <w:rPr>
          <w:rFonts w:hint="eastAsia" w:ascii="仿宋_GB2312" w:hAnsi="仿宋_GB2312" w:eastAsia="仿宋_GB2312" w:cs="仿宋_GB2312"/>
          <w:b/>
          <w:bCs/>
          <w:sz w:val="28"/>
          <w:szCs w:val="28"/>
        </w:rPr>
        <w:br w:type="page"/>
      </w:r>
    </w:p>
    <w:p>
      <w:pPr>
        <w:keepNext/>
        <w:widowControl/>
        <w:overflowPunct w:val="0"/>
        <w:autoSpaceDE w:val="0"/>
        <w:autoSpaceDN w:val="0"/>
        <w:adjustRightInd w:val="0"/>
        <w:spacing w:before="60" w:after="60" w:line="360" w:lineRule="auto"/>
        <w:ind w:firstLine="562" w:firstLineChars="200"/>
        <w:jc w:val="left"/>
        <w:textAlignment w:val="baseline"/>
        <w:rPr>
          <w:rFonts w:hint="eastAsia" w:ascii="楷体_GB2312" w:hAnsi="楷体_GB2312" w:eastAsia="楷体_GB2312" w:cs="楷体_GB2312"/>
          <w:b/>
          <w:bCs/>
          <w:sz w:val="28"/>
          <w:szCs w:val="28"/>
        </w:rPr>
      </w:pPr>
      <w:r>
        <w:rPr>
          <w:rFonts w:hint="eastAsia" w:ascii="楷体_GB2312" w:hAnsi="楷体_GB2312" w:eastAsia="楷体_GB2312" w:cs="楷体_GB2312"/>
          <w:b/>
          <w:bCs/>
          <w:sz w:val="28"/>
          <w:szCs w:val="28"/>
        </w:rPr>
        <w:t>（三）相关记录及存档</w:t>
      </w:r>
      <w:bookmarkEnd w:id="21"/>
      <w:bookmarkEnd w:id="22"/>
      <w:bookmarkEnd w:id="23"/>
      <w:bookmarkEnd w:id="24"/>
    </w:p>
    <w:p>
      <w:pPr>
        <w:tabs>
          <w:tab w:val="left" w:pos="7920"/>
        </w:tabs>
        <w:adjustRightInd w:val="0"/>
        <w:snapToGrid w:val="0"/>
        <w:spacing w:line="360" w:lineRule="auto"/>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bCs/>
          <w:sz w:val="28"/>
          <w:szCs w:val="28"/>
        </w:rPr>
        <w:t>投标方应按属地消防管理部门要求编制及印刷各类别维修、保养记录表，并将相关材料及时报送至属地消防管理部门。所报送的材料应同时交招标方审核备案。</w:t>
      </w:r>
    </w:p>
    <w:p>
      <w:pPr>
        <w:keepNext/>
        <w:widowControl/>
        <w:overflowPunct w:val="0"/>
        <w:autoSpaceDE w:val="0"/>
        <w:autoSpaceDN w:val="0"/>
        <w:adjustRightInd w:val="0"/>
        <w:spacing w:before="60" w:after="60" w:line="360" w:lineRule="auto"/>
        <w:ind w:firstLine="562" w:firstLineChars="200"/>
        <w:jc w:val="left"/>
        <w:textAlignment w:val="baseline"/>
        <w:rPr>
          <w:rFonts w:hint="eastAsia" w:ascii="楷体_GB2312" w:hAnsi="楷体_GB2312" w:eastAsia="楷体_GB2312" w:cs="楷体_GB2312"/>
          <w:b/>
          <w:bCs/>
          <w:sz w:val="28"/>
          <w:szCs w:val="28"/>
        </w:rPr>
      </w:pPr>
      <w:r>
        <w:rPr>
          <w:rFonts w:hint="eastAsia" w:ascii="楷体_GB2312" w:hAnsi="楷体_GB2312" w:eastAsia="楷体_GB2312" w:cs="楷体_GB2312"/>
          <w:b/>
          <w:bCs/>
          <w:sz w:val="28"/>
          <w:szCs w:val="28"/>
        </w:rPr>
        <w:t>（四）支付结算</w:t>
      </w:r>
    </w:p>
    <w:p>
      <w:pPr>
        <w:tabs>
          <w:tab w:val="left" w:pos="7920"/>
        </w:tabs>
        <w:adjustRightInd w:val="0"/>
        <w:snapToGrid w:val="0"/>
        <w:spacing w:line="360" w:lineRule="auto"/>
        <w:ind w:firstLine="560" w:firstLineChars="200"/>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招标方依据合同规定对服务情况进行考核评价，并于10个工作日内将结算金额和考核情况反馈给投标方。投标方根据反馈情况出具正式增值税专用发票和对应支撑材料，招标方收到发票后60个工作日内完成款项支付。</w:t>
      </w:r>
    </w:p>
    <w:p>
      <w:pPr>
        <w:pStyle w:val="16"/>
        <w:spacing w:line="360" w:lineRule="auto"/>
        <w:ind w:firstLine="560" w:firstLineChars="200"/>
        <w:outlineLvl w:val="0"/>
        <w:rPr>
          <w:rFonts w:hint="eastAsia" w:ascii="黑体" w:hAnsi="黑体" w:eastAsia="黑体" w:cs="黑体"/>
          <w:sz w:val="28"/>
          <w:szCs w:val="28"/>
        </w:rPr>
      </w:pPr>
      <w:bookmarkStart w:id="25" w:name="_Toc9193"/>
      <w:r>
        <w:rPr>
          <w:rFonts w:hint="eastAsia" w:ascii="黑体" w:hAnsi="黑体" w:eastAsia="黑体" w:cs="黑体"/>
          <w:sz w:val="28"/>
          <w:szCs w:val="28"/>
          <w:lang w:val="en-US" w:eastAsia="zh-CN"/>
        </w:rPr>
        <w:t>七</w:t>
      </w:r>
      <w:r>
        <w:rPr>
          <w:rFonts w:hint="eastAsia" w:ascii="黑体" w:hAnsi="黑体" w:eastAsia="黑体" w:cs="黑体"/>
          <w:sz w:val="28"/>
          <w:szCs w:val="28"/>
        </w:rPr>
        <w:t>、服务人员要求</w:t>
      </w:r>
      <w:bookmarkEnd w:id="25"/>
    </w:p>
    <w:p>
      <w:pPr>
        <w:tabs>
          <w:tab w:val="left" w:pos="7920"/>
        </w:tabs>
        <w:adjustRightInd w:val="0"/>
        <w:snapToGrid w:val="0"/>
        <w:spacing w:line="360" w:lineRule="auto"/>
        <w:ind w:firstLine="560" w:firstLineChars="200"/>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投标方提供的服务队伍应符合本项目消防维保及检测的技术要求，现场作业人员需持有消防管理部门或人社部门颁发的作业证件以及消防维保过程中需要的其他资格证件（如高空作业证等），负责人需持有消防管理部门规定的证件并具有在《维保报告》、《检测报告》签字的资格。现场人员需为受委托方正式聘用员工，提供社保关系证明提交委托方备案。</w:t>
      </w:r>
    </w:p>
    <w:p>
      <w:pPr>
        <w:pStyle w:val="16"/>
        <w:spacing w:line="360" w:lineRule="auto"/>
        <w:ind w:firstLine="560" w:firstLineChars="200"/>
        <w:outlineLvl w:val="0"/>
        <w:rPr>
          <w:rFonts w:hint="eastAsia" w:ascii="黑体" w:hAnsi="黑体" w:eastAsia="黑体" w:cs="黑体"/>
          <w:sz w:val="28"/>
          <w:szCs w:val="28"/>
        </w:rPr>
      </w:pPr>
      <w:bookmarkStart w:id="26" w:name="_Toc2107"/>
      <w:bookmarkStart w:id="27" w:name="_Toc5379"/>
      <w:r>
        <w:rPr>
          <w:rFonts w:hint="eastAsia" w:ascii="黑体" w:hAnsi="黑体" w:eastAsia="黑体" w:cs="黑体"/>
          <w:sz w:val="28"/>
          <w:szCs w:val="28"/>
          <w:lang w:val="en-US" w:eastAsia="zh-CN"/>
        </w:rPr>
        <w:t>八</w:t>
      </w:r>
      <w:r>
        <w:rPr>
          <w:rFonts w:hint="eastAsia" w:ascii="黑体" w:hAnsi="黑体" w:eastAsia="黑体" w:cs="黑体"/>
          <w:sz w:val="28"/>
          <w:szCs w:val="28"/>
        </w:rPr>
        <w:t>、服务衔接与要求</w:t>
      </w:r>
      <w:bookmarkEnd w:id="26"/>
      <w:bookmarkEnd w:id="27"/>
    </w:p>
    <w:p>
      <w:pPr>
        <w:tabs>
          <w:tab w:val="left" w:pos="7920"/>
        </w:tabs>
        <w:adjustRightInd w:val="0"/>
        <w:snapToGrid w:val="0"/>
        <w:spacing w:line="360" w:lineRule="auto"/>
        <w:ind w:firstLine="560" w:firstLineChars="200"/>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中标单位接到中标通知后，应及时与招标方沟通，了解相关情况，尽快做好接管设施设备维保服务交接前的交底。消防维保计划、消防维保报告。</w:t>
      </w:r>
    </w:p>
    <w:p>
      <w:pPr>
        <w:pStyle w:val="16"/>
        <w:spacing w:line="360" w:lineRule="auto"/>
        <w:ind w:firstLine="560" w:firstLineChars="200"/>
        <w:outlineLvl w:val="0"/>
        <w:rPr>
          <w:rFonts w:hint="eastAsia" w:ascii="黑体" w:hAnsi="黑体" w:eastAsia="黑体" w:cs="黑体"/>
          <w:sz w:val="28"/>
          <w:szCs w:val="28"/>
        </w:rPr>
      </w:pPr>
      <w:bookmarkStart w:id="28" w:name="_Toc25861"/>
      <w:r>
        <w:rPr>
          <w:rFonts w:hint="eastAsia" w:ascii="黑体" w:hAnsi="黑体" w:eastAsia="黑体" w:cs="黑体"/>
          <w:sz w:val="28"/>
          <w:szCs w:val="28"/>
          <w:lang w:val="en-US" w:eastAsia="zh-CN"/>
        </w:rPr>
        <w:t>九</w:t>
      </w:r>
      <w:r>
        <w:rPr>
          <w:rFonts w:hint="eastAsia" w:ascii="黑体" w:hAnsi="黑体" w:eastAsia="黑体" w:cs="黑体"/>
          <w:sz w:val="28"/>
          <w:szCs w:val="28"/>
        </w:rPr>
        <w:t>、考核评价</w:t>
      </w:r>
      <w:bookmarkEnd w:id="28"/>
    </w:p>
    <w:p>
      <w:pPr>
        <w:tabs>
          <w:tab w:val="left" w:pos="7920"/>
        </w:tabs>
        <w:adjustRightInd w:val="0"/>
        <w:snapToGrid w:val="0"/>
        <w:spacing w:line="360" w:lineRule="auto"/>
        <w:ind w:firstLine="560" w:firstLineChars="200"/>
        <w:rPr>
          <w:rFonts w:hint="eastAsia" w:ascii="仿宋_GB2312" w:hAnsi="仿宋_GB2312" w:eastAsia="仿宋_GB2312" w:cs="仿宋_GB2312"/>
          <w:bCs/>
          <w:sz w:val="28"/>
          <w:szCs w:val="28"/>
        </w:rPr>
      </w:pPr>
      <w:r>
        <w:rPr>
          <w:rFonts w:hint="eastAsia" w:ascii="仿宋_GB2312" w:hAnsi="仿宋_GB2312" w:eastAsia="仿宋_GB2312" w:cs="仿宋_GB2312"/>
          <w:bCs/>
          <w:sz w:val="28"/>
          <w:szCs w:val="28"/>
        </w:rPr>
        <w:t>招标方按照《消防系统设施维修保养及检测项目质量考核标准》对维保服务质量考核评定。如因投标方管理不善或失误，给招标方造成不良影响或重大经济损失、对投标方服务质量考核累计不合格达3次或服务不符合本技术规范书约定、在收到招标方的书面通知后10日内未整改或累计发生3次，招标方有权终止合同并由投标方承担相应的经济赔偿责任。</w:t>
      </w:r>
      <w:bookmarkStart w:id="29" w:name="_Toc4799_WPSOffice_Level1"/>
      <w:bookmarkStart w:id="30" w:name="_Toc23845"/>
      <w:bookmarkStart w:id="31" w:name="_Toc8929_WPSOffice_Level1"/>
    </w:p>
    <w:p>
      <w:pPr>
        <w:rPr>
          <w:rFonts w:hint="eastAsia" w:ascii="仿宋_GB2312" w:hAnsi="仿宋_GB2312" w:eastAsia="仿宋_GB2312" w:cs="仿宋_GB2312"/>
          <w:b/>
          <w:sz w:val="28"/>
          <w:szCs w:val="28"/>
        </w:rPr>
      </w:pPr>
      <w:r>
        <w:rPr>
          <w:rFonts w:hint="eastAsia" w:ascii="仿宋_GB2312" w:hAnsi="仿宋_GB2312" w:eastAsia="仿宋_GB2312" w:cs="仿宋_GB2312"/>
          <w:b/>
          <w:sz w:val="28"/>
          <w:szCs w:val="28"/>
        </w:rPr>
        <w:br w:type="page"/>
      </w:r>
    </w:p>
    <w:p>
      <w:pPr>
        <w:tabs>
          <w:tab w:val="left" w:pos="7920"/>
        </w:tabs>
        <w:adjustRightInd w:val="0"/>
        <w:snapToGrid w:val="0"/>
        <w:spacing w:line="360" w:lineRule="auto"/>
        <w:ind w:firstLine="482" w:firstLineChars="200"/>
        <w:jc w:val="center"/>
        <w:rPr>
          <w:rFonts w:hint="eastAsia" w:ascii="仿宋_GB2312" w:hAnsi="仿宋_GB2312" w:eastAsia="仿宋_GB2312" w:cs="仿宋_GB2312"/>
          <w:b/>
          <w:sz w:val="24"/>
        </w:rPr>
      </w:pPr>
      <w:r>
        <w:rPr>
          <w:rFonts w:hint="eastAsia" w:ascii="仿宋_GB2312" w:hAnsi="仿宋_GB2312" w:eastAsia="仿宋_GB2312" w:cs="仿宋_GB2312"/>
          <w:b/>
          <w:sz w:val="24"/>
        </w:rPr>
        <w:t>消防系统设施维修保养及检测项目质量考核标准</w:t>
      </w:r>
      <w:bookmarkEnd w:id="29"/>
      <w:bookmarkEnd w:id="30"/>
      <w:bookmarkEnd w:id="31"/>
    </w:p>
    <w:tbl>
      <w:tblPr>
        <w:tblStyle w:val="11"/>
        <w:tblW w:w="10070" w:type="dxa"/>
        <w:tblInd w:w="-72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4"/>
        <w:gridCol w:w="826"/>
        <w:gridCol w:w="4094"/>
        <w:gridCol w:w="666"/>
        <w:gridCol w:w="1267"/>
        <w:gridCol w:w="21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6" w:hRule="atLeast"/>
        </w:trPr>
        <w:tc>
          <w:tcPr>
            <w:tcW w:w="1084" w:type="dxa"/>
            <w:vAlign w:val="center"/>
          </w:tcPr>
          <w:p>
            <w:pPr>
              <w:spacing w:line="360" w:lineRule="auto"/>
              <w:jc w:val="center"/>
              <w:rPr>
                <w:rFonts w:hint="eastAsia" w:ascii="仿宋_GB2312" w:hAnsi="仿宋_GB2312" w:eastAsia="仿宋_GB2312" w:cs="仿宋_GB2312"/>
                <w:b/>
                <w:bCs/>
                <w:sz w:val="18"/>
                <w:szCs w:val="18"/>
              </w:rPr>
            </w:pPr>
            <w:r>
              <w:rPr>
                <w:rFonts w:hint="eastAsia" w:ascii="仿宋_GB2312" w:hAnsi="仿宋_GB2312" w:eastAsia="仿宋_GB2312" w:cs="仿宋_GB2312"/>
                <w:b/>
                <w:bCs/>
                <w:sz w:val="18"/>
                <w:szCs w:val="18"/>
              </w:rPr>
              <w:t>考核项目</w:t>
            </w:r>
          </w:p>
        </w:tc>
        <w:tc>
          <w:tcPr>
            <w:tcW w:w="4920" w:type="dxa"/>
            <w:gridSpan w:val="2"/>
            <w:vAlign w:val="center"/>
          </w:tcPr>
          <w:p>
            <w:pPr>
              <w:spacing w:line="360" w:lineRule="auto"/>
              <w:jc w:val="center"/>
              <w:rPr>
                <w:rFonts w:hint="eastAsia" w:ascii="仿宋_GB2312" w:hAnsi="仿宋_GB2312" w:eastAsia="仿宋_GB2312" w:cs="仿宋_GB2312"/>
                <w:b/>
                <w:bCs/>
                <w:sz w:val="18"/>
                <w:szCs w:val="18"/>
              </w:rPr>
            </w:pPr>
            <w:r>
              <w:rPr>
                <w:rFonts w:hint="eastAsia" w:ascii="仿宋_GB2312" w:hAnsi="仿宋_GB2312" w:eastAsia="仿宋_GB2312" w:cs="仿宋_GB2312"/>
                <w:b/>
                <w:bCs/>
                <w:sz w:val="18"/>
                <w:szCs w:val="18"/>
              </w:rPr>
              <w:t>考核内容</w:t>
            </w:r>
          </w:p>
        </w:tc>
        <w:tc>
          <w:tcPr>
            <w:tcW w:w="666" w:type="dxa"/>
            <w:vAlign w:val="center"/>
          </w:tcPr>
          <w:p>
            <w:pPr>
              <w:spacing w:line="360" w:lineRule="auto"/>
              <w:jc w:val="center"/>
              <w:rPr>
                <w:rFonts w:hint="eastAsia" w:ascii="仿宋_GB2312" w:hAnsi="仿宋_GB2312" w:eastAsia="仿宋_GB2312" w:cs="仿宋_GB2312"/>
                <w:b/>
                <w:bCs/>
                <w:sz w:val="18"/>
                <w:szCs w:val="18"/>
              </w:rPr>
            </w:pPr>
            <w:r>
              <w:rPr>
                <w:rFonts w:hint="eastAsia" w:ascii="仿宋_GB2312" w:hAnsi="仿宋_GB2312" w:eastAsia="仿宋_GB2312" w:cs="仿宋_GB2312"/>
                <w:b/>
                <w:bCs/>
                <w:sz w:val="18"/>
                <w:szCs w:val="18"/>
              </w:rPr>
              <w:t>分值</w:t>
            </w:r>
          </w:p>
        </w:tc>
        <w:tc>
          <w:tcPr>
            <w:tcW w:w="1267" w:type="dxa"/>
            <w:vAlign w:val="center"/>
          </w:tcPr>
          <w:p>
            <w:pPr>
              <w:spacing w:line="360" w:lineRule="auto"/>
              <w:jc w:val="center"/>
              <w:rPr>
                <w:rFonts w:hint="eastAsia" w:ascii="仿宋_GB2312" w:hAnsi="仿宋_GB2312" w:eastAsia="仿宋_GB2312" w:cs="仿宋_GB2312"/>
                <w:b/>
                <w:bCs/>
                <w:sz w:val="18"/>
                <w:szCs w:val="18"/>
              </w:rPr>
            </w:pPr>
            <w:r>
              <w:rPr>
                <w:rFonts w:hint="eastAsia" w:ascii="仿宋_GB2312" w:hAnsi="仿宋_GB2312" w:eastAsia="仿宋_GB2312" w:cs="仿宋_GB2312"/>
                <w:b/>
                <w:bCs/>
                <w:sz w:val="18"/>
                <w:szCs w:val="18"/>
              </w:rPr>
              <w:t>检查方法</w:t>
            </w:r>
          </w:p>
        </w:tc>
        <w:tc>
          <w:tcPr>
            <w:tcW w:w="2133" w:type="dxa"/>
            <w:vAlign w:val="center"/>
          </w:tcPr>
          <w:p>
            <w:pPr>
              <w:spacing w:line="360" w:lineRule="auto"/>
              <w:jc w:val="center"/>
              <w:rPr>
                <w:rFonts w:hint="eastAsia" w:ascii="仿宋_GB2312" w:hAnsi="仿宋_GB2312" w:eastAsia="仿宋_GB2312" w:cs="仿宋_GB2312"/>
                <w:b/>
                <w:bCs/>
                <w:sz w:val="18"/>
                <w:szCs w:val="18"/>
              </w:rPr>
            </w:pPr>
            <w:r>
              <w:rPr>
                <w:rFonts w:hint="eastAsia" w:ascii="仿宋_GB2312" w:hAnsi="仿宋_GB2312" w:eastAsia="仿宋_GB2312" w:cs="仿宋_GB2312"/>
                <w:b/>
                <w:bCs/>
                <w:sz w:val="18"/>
                <w:szCs w:val="18"/>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9" w:hRule="atLeast"/>
        </w:trPr>
        <w:tc>
          <w:tcPr>
            <w:tcW w:w="1084" w:type="dxa"/>
            <w:vMerge w:val="restart"/>
            <w:vAlign w:val="center"/>
          </w:tcPr>
          <w:p>
            <w:pPr>
              <w:spacing w:line="360" w:lineRule="auto"/>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直接扣款</w:t>
            </w:r>
          </w:p>
        </w:tc>
        <w:tc>
          <w:tcPr>
            <w:tcW w:w="4920" w:type="dxa"/>
            <w:gridSpan w:val="2"/>
            <w:vAlign w:val="center"/>
          </w:tcPr>
          <w:p>
            <w:pPr>
              <w:spacing w:line="360" w:lineRule="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1.I级故障：系统出现告警（故障、火警），影响局部（独立空间或办公室）运行安全。2小时内到达现场；4小时内采取应急措施恢复系统运行,消除告警；24小时内故障处理完毕。</w:t>
            </w:r>
          </w:p>
        </w:tc>
        <w:tc>
          <w:tcPr>
            <w:tcW w:w="666" w:type="dxa"/>
            <w:vAlign w:val="center"/>
          </w:tcPr>
          <w:p>
            <w:pPr>
              <w:spacing w:line="360" w:lineRule="auto"/>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w:t>
            </w:r>
          </w:p>
        </w:tc>
        <w:tc>
          <w:tcPr>
            <w:tcW w:w="1267" w:type="dxa"/>
            <w:vAlign w:val="center"/>
          </w:tcPr>
          <w:p>
            <w:pPr>
              <w:spacing w:line="360" w:lineRule="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1.现场跟进</w:t>
            </w:r>
          </w:p>
          <w:p>
            <w:pPr>
              <w:spacing w:line="360" w:lineRule="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2.设备检查</w:t>
            </w:r>
          </w:p>
          <w:p>
            <w:pPr>
              <w:spacing w:line="360" w:lineRule="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3.查询记录</w:t>
            </w:r>
          </w:p>
        </w:tc>
        <w:tc>
          <w:tcPr>
            <w:tcW w:w="2133" w:type="dxa"/>
            <w:vAlign w:val="center"/>
          </w:tcPr>
          <w:p>
            <w:pPr>
              <w:spacing w:line="360" w:lineRule="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按合同违约条款扣款比例，在当期服务费中直接扣款800元/次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3" w:hRule="atLeast"/>
        </w:trPr>
        <w:tc>
          <w:tcPr>
            <w:tcW w:w="1084" w:type="dxa"/>
            <w:vMerge w:val="continue"/>
            <w:vAlign w:val="center"/>
          </w:tcPr>
          <w:p>
            <w:pPr>
              <w:spacing w:line="360" w:lineRule="auto"/>
              <w:jc w:val="center"/>
              <w:rPr>
                <w:rFonts w:hint="eastAsia" w:ascii="仿宋_GB2312" w:hAnsi="仿宋_GB2312" w:eastAsia="仿宋_GB2312" w:cs="仿宋_GB2312"/>
                <w:sz w:val="18"/>
                <w:szCs w:val="18"/>
              </w:rPr>
            </w:pPr>
          </w:p>
        </w:tc>
        <w:tc>
          <w:tcPr>
            <w:tcW w:w="4920" w:type="dxa"/>
            <w:gridSpan w:val="2"/>
            <w:vAlign w:val="center"/>
          </w:tcPr>
          <w:p>
            <w:pPr>
              <w:spacing w:line="360" w:lineRule="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2.II级故障：出现部分设施告警，影响区域（楼层或防区）运行安全。系统出现部分设施故障，影响系统区域运行,1小时内到达现场；4小时内采取应急措施恢复设施运行，消除告警；12小时内完成合同内清单设施更换，恢复设备运行。</w:t>
            </w:r>
          </w:p>
        </w:tc>
        <w:tc>
          <w:tcPr>
            <w:tcW w:w="666" w:type="dxa"/>
            <w:vAlign w:val="center"/>
          </w:tcPr>
          <w:p>
            <w:pPr>
              <w:spacing w:line="360" w:lineRule="auto"/>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w:t>
            </w:r>
          </w:p>
        </w:tc>
        <w:tc>
          <w:tcPr>
            <w:tcW w:w="1267" w:type="dxa"/>
            <w:vAlign w:val="center"/>
          </w:tcPr>
          <w:p>
            <w:pPr>
              <w:spacing w:line="360" w:lineRule="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1.现场跟进</w:t>
            </w:r>
          </w:p>
          <w:p>
            <w:pPr>
              <w:spacing w:line="360" w:lineRule="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2.设备检查</w:t>
            </w:r>
          </w:p>
          <w:p>
            <w:pPr>
              <w:spacing w:line="360" w:lineRule="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3.查询记录</w:t>
            </w:r>
          </w:p>
        </w:tc>
        <w:tc>
          <w:tcPr>
            <w:tcW w:w="2133" w:type="dxa"/>
            <w:vAlign w:val="center"/>
          </w:tcPr>
          <w:p>
            <w:pPr>
              <w:spacing w:line="360" w:lineRule="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按合同违约条款扣款比例，在当期服务费中直接扣款900元/次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84" w:type="dxa"/>
            <w:vMerge w:val="continue"/>
            <w:vAlign w:val="center"/>
          </w:tcPr>
          <w:p>
            <w:pPr>
              <w:spacing w:line="360" w:lineRule="auto"/>
              <w:jc w:val="center"/>
              <w:rPr>
                <w:rFonts w:hint="eastAsia" w:ascii="仿宋_GB2312" w:hAnsi="仿宋_GB2312" w:eastAsia="仿宋_GB2312" w:cs="仿宋_GB2312"/>
                <w:sz w:val="18"/>
                <w:szCs w:val="18"/>
              </w:rPr>
            </w:pPr>
          </w:p>
        </w:tc>
        <w:tc>
          <w:tcPr>
            <w:tcW w:w="4920" w:type="dxa"/>
            <w:gridSpan w:val="2"/>
            <w:vAlign w:val="center"/>
          </w:tcPr>
          <w:p>
            <w:pPr>
              <w:spacing w:line="360" w:lineRule="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3.III级故障：系统故障、停止运行。1小时内到达现场；4小时内采取应急措施恢复系统运行；8小时内完成故障排查恢复设备运行。</w:t>
            </w:r>
          </w:p>
        </w:tc>
        <w:tc>
          <w:tcPr>
            <w:tcW w:w="666" w:type="dxa"/>
            <w:vAlign w:val="center"/>
          </w:tcPr>
          <w:p>
            <w:pPr>
              <w:spacing w:line="360" w:lineRule="auto"/>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w:t>
            </w:r>
          </w:p>
        </w:tc>
        <w:tc>
          <w:tcPr>
            <w:tcW w:w="1267" w:type="dxa"/>
            <w:vAlign w:val="center"/>
          </w:tcPr>
          <w:p>
            <w:pPr>
              <w:spacing w:line="360" w:lineRule="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1.现场跟进2.设备检查3.查询记录</w:t>
            </w:r>
          </w:p>
        </w:tc>
        <w:tc>
          <w:tcPr>
            <w:tcW w:w="2133" w:type="dxa"/>
            <w:vAlign w:val="center"/>
          </w:tcPr>
          <w:p>
            <w:pPr>
              <w:spacing w:line="360" w:lineRule="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按合同违约条款扣款比例，在当期服务费中直接扣款1000元/次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2" w:hRule="atLeast"/>
        </w:trPr>
        <w:tc>
          <w:tcPr>
            <w:tcW w:w="1084" w:type="dxa"/>
            <w:vMerge w:val="continue"/>
            <w:vAlign w:val="center"/>
          </w:tcPr>
          <w:p>
            <w:pPr>
              <w:spacing w:line="360" w:lineRule="auto"/>
              <w:jc w:val="center"/>
              <w:rPr>
                <w:rFonts w:hint="eastAsia" w:ascii="仿宋_GB2312" w:hAnsi="仿宋_GB2312" w:eastAsia="仿宋_GB2312" w:cs="仿宋_GB2312"/>
                <w:sz w:val="18"/>
                <w:szCs w:val="18"/>
              </w:rPr>
            </w:pPr>
          </w:p>
        </w:tc>
        <w:tc>
          <w:tcPr>
            <w:tcW w:w="4920" w:type="dxa"/>
            <w:gridSpan w:val="2"/>
            <w:vAlign w:val="center"/>
          </w:tcPr>
          <w:p>
            <w:pPr>
              <w:spacing w:line="360" w:lineRule="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4.每月未在规定时间内向消防网站上传维保报告。</w:t>
            </w:r>
          </w:p>
        </w:tc>
        <w:tc>
          <w:tcPr>
            <w:tcW w:w="666" w:type="dxa"/>
            <w:vAlign w:val="center"/>
          </w:tcPr>
          <w:p>
            <w:pPr>
              <w:spacing w:line="360" w:lineRule="auto"/>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w:t>
            </w:r>
          </w:p>
        </w:tc>
        <w:tc>
          <w:tcPr>
            <w:tcW w:w="1267" w:type="dxa"/>
            <w:vAlign w:val="center"/>
          </w:tcPr>
          <w:p>
            <w:pPr>
              <w:spacing w:line="360" w:lineRule="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网站抽查</w:t>
            </w:r>
          </w:p>
        </w:tc>
        <w:tc>
          <w:tcPr>
            <w:tcW w:w="2133" w:type="dxa"/>
            <w:vAlign w:val="center"/>
          </w:tcPr>
          <w:p>
            <w:pPr>
              <w:spacing w:line="360" w:lineRule="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网站检查，单次扣款1000元。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trPr>
        <w:tc>
          <w:tcPr>
            <w:tcW w:w="1084" w:type="dxa"/>
            <w:vMerge w:val="continue"/>
            <w:vAlign w:val="center"/>
          </w:tcPr>
          <w:p>
            <w:pPr>
              <w:spacing w:line="360" w:lineRule="auto"/>
              <w:jc w:val="center"/>
              <w:rPr>
                <w:rFonts w:hint="eastAsia" w:ascii="仿宋_GB2312" w:hAnsi="仿宋_GB2312" w:eastAsia="仿宋_GB2312" w:cs="仿宋_GB2312"/>
                <w:sz w:val="18"/>
                <w:szCs w:val="18"/>
              </w:rPr>
            </w:pPr>
          </w:p>
        </w:tc>
        <w:tc>
          <w:tcPr>
            <w:tcW w:w="4920" w:type="dxa"/>
            <w:gridSpan w:val="2"/>
            <w:vAlign w:val="center"/>
          </w:tcPr>
          <w:p>
            <w:pPr>
              <w:spacing w:line="360" w:lineRule="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5.在合同期内未按规定完成检测及向消防网站上传检测报告。</w:t>
            </w:r>
          </w:p>
        </w:tc>
        <w:tc>
          <w:tcPr>
            <w:tcW w:w="666" w:type="dxa"/>
            <w:vAlign w:val="center"/>
          </w:tcPr>
          <w:p>
            <w:pPr>
              <w:spacing w:line="360" w:lineRule="auto"/>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w:t>
            </w:r>
          </w:p>
        </w:tc>
        <w:tc>
          <w:tcPr>
            <w:tcW w:w="1267" w:type="dxa"/>
            <w:vAlign w:val="center"/>
          </w:tcPr>
          <w:p>
            <w:pPr>
              <w:spacing w:line="360" w:lineRule="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网站查看</w:t>
            </w:r>
          </w:p>
        </w:tc>
        <w:tc>
          <w:tcPr>
            <w:tcW w:w="2133" w:type="dxa"/>
            <w:vAlign w:val="center"/>
          </w:tcPr>
          <w:p>
            <w:pPr>
              <w:spacing w:line="360" w:lineRule="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网站检查，合同总价扣款20%比例。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trPr>
        <w:tc>
          <w:tcPr>
            <w:tcW w:w="1084" w:type="dxa"/>
            <w:vMerge w:val="continue"/>
            <w:vAlign w:val="center"/>
          </w:tcPr>
          <w:p>
            <w:pPr>
              <w:spacing w:line="360" w:lineRule="auto"/>
              <w:jc w:val="center"/>
              <w:rPr>
                <w:rFonts w:hint="eastAsia" w:ascii="仿宋_GB2312" w:hAnsi="仿宋_GB2312" w:eastAsia="仿宋_GB2312" w:cs="仿宋_GB2312"/>
                <w:sz w:val="18"/>
                <w:szCs w:val="18"/>
              </w:rPr>
            </w:pPr>
          </w:p>
        </w:tc>
        <w:tc>
          <w:tcPr>
            <w:tcW w:w="4920" w:type="dxa"/>
            <w:gridSpan w:val="2"/>
            <w:vAlign w:val="center"/>
          </w:tcPr>
          <w:p>
            <w:pPr>
              <w:spacing w:line="360" w:lineRule="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6.消防管理部门“双随机一公开”检查（一般为检查前1小时内通知）时未安排人员到现场配合，导致招标方受到消防主管部门行政处罚。</w:t>
            </w:r>
          </w:p>
        </w:tc>
        <w:tc>
          <w:tcPr>
            <w:tcW w:w="666" w:type="dxa"/>
            <w:vAlign w:val="center"/>
          </w:tcPr>
          <w:p>
            <w:pPr>
              <w:spacing w:line="360" w:lineRule="auto"/>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w:t>
            </w:r>
          </w:p>
        </w:tc>
        <w:tc>
          <w:tcPr>
            <w:tcW w:w="1267" w:type="dxa"/>
            <w:vAlign w:val="center"/>
          </w:tcPr>
          <w:p>
            <w:pPr>
              <w:spacing w:line="360" w:lineRule="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行政处罚文件</w:t>
            </w:r>
          </w:p>
        </w:tc>
        <w:tc>
          <w:tcPr>
            <w:tcW w:w="2133" w:type="dxa"/>
            <w:vAlign w:val="center"/>
          </w:tcPr>
          <w:p>
            <w:pPr>
              <w:spacing w:line="360" w:lineRule="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合同总价扣款10%比例，被处于行政罚款的，罚款由投标方承担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4" w:hRule="atLeast"/>
        </w:trPr>
        <w:tc>
          <w:tcPr>
            <w:tcW w:w="1084" w:type="dxa"/>
            <w:vMerge w:val="restart"/>
            <w:vAlign w:val="center"/>
          </w:tcPr>
          <w:p>
            <w:pPr>
              <w:spacing w:line="360" w:lineRule="auto"/>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维保质量</w:t>
            </w:r>
          </w:p>
        </w:tc>
        <w:tc>
          <w:tcPr>
            <w:tcW w:w="4920" w:type="dxa"/>
            <w:gridSpan w:val="2"/>
            <w:vAlign w:val="center"/>
          </w:tcPr>
          <w:p>
            <w:pPr>
              <w:spacing w:line="360" w:lineRule="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1.每月在约定时间内提交计划、总结及维保报告。维保计划内容全面、完整，维保记录表格真实有效，能反映事情的本质和处理结果。</w:t>
            </w:r>
          </w:p>
        </w:tc>
        <w:tc>
          <w:tcPr>
            <w:tcW w:w="666" w:type="dxa"/>
            <w:vAlign w:val="center"/>
          </w:tcPr>
          <w:p>
            <w:pPr>
              <w:spacing w:line="360" w:lineRule="auto"/>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5</w:t>
            </w:r>
          </w:p>
        </w:tc>
        <w:tc>
          <w:tcPr>
            <w:tcW w:w="1267" w:type="dxa"/>
            <w:vAlign w:val="center"/>
          </w:tcPr>
          <w:p>
            <w:pPr>
              <w:spacing w:line="360" w:lineRule="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1.检查资料</w:t>
            </w:r>
          </w:p>
        </w:tc>
        <w:tc>
          <w:tcPr>
            <w:tcW w:w="2133" w:type="dxa"/>
            <w:vAlign w:val="center"/>
          </w:tcPr>
          <w:p>
            <w:pPr>
              <w:spacing w:line="360" w:lineRule="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不符合要求，-3分/次，5分扣完为止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1084" w:type="dxa"/>
            <w:vMerge w:val="continue"/>
            <w:vAlign w:val="center"/>
          </w:tcPr>
          <w:p>
            <w:pPr>
              <w:spacing w:line="360" w:lineRule="auto"/>
              <w:jc w:val="center"/>
              <w:rPr>
                <w:rFonts w:hint="eastAsia" w:ascii="仿宋_GB2312" w:hAnsi="仿宋_GB2312" w:eastAsia="仿宋_GB2312" w:cs="仿宋_GB2312"/>
                <w:sz w:val="18"/>
                <w:szCs w:val="18"/>
              </w:rPr>
            </w:pPr>
          </w:p>
        </w:tc>
        <w:tc>
          <w:tcPr>
            <w:tcW w:w="4920" w:type="dxa"/>
            <w:gridSpan w:val="2"/>
            <w:vAlign w:val="center"/>
          </w:tcPr>
          <w:p>
            <w:pPr>
              <w:spacing w:line="360" w:lineRule="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2.根据计划按时抵达现场开展维保工作，且维护项目达到计划既定目标，无保养缺项或比例不足情况发生。</w:t>
            </w:r>
          </w:p>
        </w:tc>
        <w:tc>
          <w:tcPr>
            <w:tcW w:w="666" w:type="dxa"/>
            <w:vAlign w:val="center"/>
          </w:tcPr>
          <w:p>
            <w:pPr>
              <w:spacing w:line="360" w:lineRule="auto"/>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5</w:t>
            </w:r>
          </w:p>
        </w:tc>
        <w:tc>
          <w:tcPr>
            <w:tcW w:w="1267" w:type="dxa"/>
            <w:vAlign w:val="center"/>
          </w:tcPr>
          <w:p>
            <w:pPr>
              <w:spacing w:line="360" w:lineRule="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1.检查资料</w:t>
            </w:r>
          </w:p>
          <w:p>
            <w:pPr>
              <w:spacing w:line="360" w:lineRule="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2.现场跟进</w:t>
            </w:r>
          </w:p>
        </w:tc>
        <w:tc>
          <w:tcPr>
            <w:tcW w:w="2133" w:type="dxa"/>
            <w:vAlign w:val="center"/>
          </w:tcPr>
          <w:p>
            <w:pPr>
              <w:spacing w:line="360" w:lineRule="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不符合要求，-2分/次，5分扣完为止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2" w:hRule="atLeast"/>
        </w:trPr>
        <w:tc>
          <w:tcPr>
            <w:tcW w:w="1084" w:type="dxa"/>
            <w:vMerge w:val="continue"/>
            <w:vAlign w:val="center"/>
          </w:tcPr>
          <w:p>
            <w:pPr>
              <w:spacing w:line="360" w:lineRule="auto"/>
              <w:jc w:val="center"/>
              <w:rPr>
                <w:rFonts w:hint="eastAsia" w:ascii="仿宋_GB2312" w:hAnsi="仿宋_GB2312" w:eastAsia="仿宋_GB2312" w:cs="仿宋_GB2312"/>
                <w:sz w:val="18"/>
                <w:szCs w:val="18"/>
              </w:rPr>
            </w:pPr>
          </w:p>
        </w:tc>
        <w:tc>
          <w:tcPr>
            <w:tcW w:w="4920" w:type="dxa"/>
            <w:gridSpan w:val="2"/>
            <w:vAlign w:val="center"/>
          </w:tcPr>
          <w:p>
            <w:pPr>
              <w:spacing w:line="360" w:lineRule="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3.按规定在政府消防网站配合招标方填报相关消防数据或资料。</w:t>
            </w:r>
          </w:p>
        </w:tc>
        <w:tc>
          <w:tcPr>
            <w:tcW w:w="666" w:type="dxa"/>
            <w:vAlign w:val="center"/>
          </w:tcPr>
          <w:p>
            <w:pPr>
              <w:spacing w:line="360" w:lineRule="auto"/>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5</w:t>
            </w:r>
          </w:p>
        </w:tc>
        <w:tc>
          <w:tcPr>
            <w:tcW w:w="1267" w:type="dxa"/>
            <w:vAlign w:val="center"/>
          </w:tcPr>
          <w:p>
            <w:pPr>
              <w:spacing w:line="360" w:lineRule="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1.检查网站</w:t>
            </w:r>
          </w:p>
          <w:p>
            <w:pPr>
              <w:spacing w:line="360" w:lineRule="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2.回访</w:t>
            </w:r>
          </w:p>
        </w:tc>
        <w:tc>
          <w:tcPr>
            <w:tcW w:w="2133" w:type="dxa"/>
            <w:vAlign w:val="center"/>
          </w:tcPr>
          <w:p>
            <w:pPr>
              <w:spacing w:line="360" w:lineRule="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不符合要求，-5分/次，5分扣完为止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trPr>
        <w:tc>
          <w:tcPr>
            <w:tcW w:w="1084" w:type="dxa"/>
            <w:vMerge w:val="continue"/>
            <w:vAlign w:val="center"/>
          </w:tcPr>
          <w:p>
            <w:pPr>
              <w:spacing w:line="360" w:lineRule="auto"/>
              <w:jc w:val="center"/>
              <w:rPr>
                <w:rFonts w:hint="eastAsia" w:ascii="仿宋_GB2312" w:hAnsi="仿宋_GB2312" w:eastAsia="仿宋_GB2312" w:cs="仿宋_GB2312"/>
                <w:sz w:val="18"/>
                <w:szCs w:val="18"/>
              </w:rPr>
            </w:pPr>
          </w:p>
        </w:tc>
        <w:tc>
          <w:tcPr>
            <w:tcW w:w="4920" w:type="dxa"/>
            <w:gridSpan w:val="2"/>
            <w:vAlign w:val="center"/>
          </w:tcPr>
          <w:p>
            <w:pPr>
              <w:spacing w:line="360" w:lineRule="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4.例行维护保养记录资料不全或不符合要求。</w:t>
            </w:r>
          </w:p>
        </w:tc>
        <w:tc>
          <w:tcPr>
            <w:tcW w:w="666" w:type="dxa"/>
            <w:vAlign w:val="center"/>
          </w:tcPr>
          <w:p>
            <w:pPr>
              <w:spacing w:line="360" w:lineRule="auto"/>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5</w:t>
            </w:r>
          </w:p>
        </w:tc>
        <w:tc>
          <w:tcPr>
            <w:tcW w:w="1267" w:type="dxa"/>
            <w:vAlign w:val="center"/>
          </w:tcPr>
          <w:p>
            <w:pPr>
              <w:spacing w:line="360" w:lineRule="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1.检查资料</w:t>
            </w:r>
          </w:p>
        </w:tc>
        <w:tc>
          <w:tcPr>
            <w:tcW w:w="2133" w:type="dxa"/>
            <w:vAlign w:val="center"/>
          </w:tcPr>
          <w:p>
            <w:pPr>
              <w:spacing w:line="360" w:lineRule="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不符合要求，-2分/次，5分扣完为止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trPr>
        <w:tc>
          <w:tcPr>
            <w:tcW w:w="1084" w:type="dxa"/>
            <w:vMerge w:val="continue"/>
            <w:vAlign w:val="center"/>
          </w:tcPr>
          <w:p>
            <w:pPr>
              <w:spacing w:line="360" w:lineRule="auto"/>
              <w:jc w:val="center"/>
              <w:rPr>
                <w:rFonts w:hint="eastAsia" w:ascii="仿宋_GB2312" w:hAnsi="仿宋_GB2312" w:eastAsia="仿宋_GB2312" w:cs="仿宋_GB2312"/>
                <w:sz w:val="18"/>
                <w:szCs w:val="18"/>
              </w:rPr>
            </w:pPr>
          </w:p>
        </w:tc>
        <w:tc>
          <w:tcPr>
            <w:tcW w:w="826" w:type="dxa"/>
            <w:vMerge w:val="restart"/>
            <w:vAlign w:val="center"/>
          </w:tcPr>
          <w:p>
            <w:pPr>
              <w:spacing w:line="360" w:lineRule="auto"/>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5.消防水系统</w:t>
            </w:r>
          </w:p>
        </w:tc>
        <w:tc>
          <w:tcPr>
            <w:tcW w:w="4094" w:type="dxa"/>
            <w:vAlign w:val="center"/>
          </w:tcPr>
          <w:p>
            <w:pPr>
              <w:spacing w:line="360" w:lineRule="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检查湿式报警阀及组件，无损坏、标识完整正确，动作灵敏，运行正常，压力表显示正常，水压正常。</w:t>
            </w:r>
          </w:p>
        </w:tc>
        <w:tc>
          <w:tcPr>
            <w:tcW w:w="666" w:type="dxa"/>
            <w:vMerge w:val="restart"/>
            <w:vAlign w:val="center"/>
          </w:tcPr>
          <w:p>
            <w:pPr>
              <w:spacing w:line="360" w:lineRule="auto"/>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10</w:t>
            </w:r>
          </w:p>
        </w:tc>
        <w:tc>
          <w:tcPr>
            <w:tcW w:w="1267" w:type="dxa"/>
            <w:vMerge w:val="restart"/>
            <w:vAlign w:val="center"/>
          </w:tcPr>
          <w:p>
            <w:pPr>
              <w:spacing w:line="360" w:lineRule="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1.测试</w:t>
            </w:r>
          </w:p>
          <w:p>
            <w:pPr>
              <w:spacing w:line="360" w:lineRule="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2.观察</w:t>
            </w:r>
          </w:p>
          <w:p>
            <w:pPr>
              <w:spacing w:line="360" w:lineRule="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3.查看记录</w:t>
            </w:r>
          </w:p>
        </w:tc>
        <w:tc>
          <w:tcPr>
            <w:tcW w:w="2133" w:type="dxa"/>
            <w:vMerge w:val="restart"/>
            <w:vAlign w:val="center"/>
          </w:tcPr>
          <w:p>
            <w:pPr>
              <w:spacing w:line="360" w:lineRule="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不符合要求，-2分/次，10分扣完为止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trPr>
        <w:tc>
          <w:tcPr>
            <w:tcW w:w="1084" w:type="dxa"/>
            <w:vMerge w:val="continue"/>
            <w:vAlign w:val="center"/>
          </w:tcPr>
          <w:p>
            <w:pPr>
              <w:spacing w:line="360" w:lineRule="auto"/>
              <w:jc w:val="center"/>
              <w:rPr>
                <w:rFonts w:hint="eastAsia" w:ascii="仿宋_GB2312" w:hAnsi="仿宋_GB2312" w:eastAsia="仿宋_GB2312" w:cs="仿宋_GB2312"/>
                <w:sz w:val="18"/>
                <w:szCs w:val="18"/>
              </w:rPr>
            </w:pPr>
          </w:p>
        </w:tc>
        <w:tc>
          <w:tcPr>
            <w:tcW w:w="826" w:type="dxa"/>
            <w:vMerge w:val="continue"/>
            <w:vAlign w:val="center"/>
          </w:tcPr>
          <w:p>
            <w:pPr>
              <w:spacing w:line="360" w:lineRule="auto"/>
              <w:jc w:val="center"/>
              <w:rPr>
                <w:rFonts w:hint="eastAsia" w:ascii="仿宋_GB2312" w:hAnsi="仿宋_GB2312" w:eastAsia="仿宋_GB2312" w:cs="仿宋_GB2312"/>
                <w:sz w:val="18"/>
                <w:szCs w:val="18"/>
              </w:rPr>
            </w:pPr>
          </w:p>
        </w:tc>
        <w:tc>
          <w:tcPr>
            <w:tcW w:w="4094" w:type="dxa"/>
            <w:vAlign w:val="center"/>
          </w:tcPr>
          <w:p>
            <w:pPr>
              <w:spacing w:line="360" w:lineRule="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检查水流指示器有否损坏，内部接点及功能是否正常，水流指示器在排水操作时有否火警信号</w:t>
            </w:r>
          </w:p>
        </w:tc>
        <w:tc>
          <w:tcPr>
            <w:tcW w:w="666" w:type="dxa"/>
            <w:vMerge w:val="continue"/>
            <w:vAlign w:val="center"/>
          </w:tcPr>
          <w:p>
            <w:pPr>
              <w:spacing w:line="360" w:lineRule="auto"/>
              <w:jc w:val="center"/>
              <w:rPr>
                <w:rFonts w:hint="eastAsia" w:ascii="仿宋_GB2312" w:hAnsi="仿宋_GB2312" w:eastAsia="仿宋_GB2312" w:cs="仿宋_GB2312"/>
                <w:sz w:val="18"/>
                <w:szCs w:val="18"/>
              </w:rPr>
            </w:pPr>
          </w:p>
        </w:tc>
        <w:tc>
          <w:tcPr>
            <w:tcW w:w="1267" w:type="dxa"/>
            <w:vMerge w:val="continue"/>
            <w:vAlign w:val="center"/>
          </w:tcPr>
          <w:p>
            <w:pPr>
              <w:spacing w:line="360" w:lineRule="auto"/>
              <w:rPr>
                <w:rFonts w:hint="eastAsia" w:ascii="仿宋_GB2312" w:hAnsi="仿宋_GB2312" w:eastAsia="仿宋_GB2312" w:cs="仿宋_GB2312"/>
                <w:sz w:val="18"/>
                <w:szCs w:val="18"/>
              </w:rPr>
            </w:pPr>
          </w:p>
        </w:tc>
        <w:tc>
          <w:tcPr>
            <w:tcW w:w="2133" w:type="dxa"/>
            <w:vMerge w:val="continue"/>
            <w:vAlign w:val="center"/>
          </w:tcPr>
          <w:p>
            <w:pPr>
              <w:spacing w:line="360" w:lineRule="auto"/>
              <w:rPr>
                <w:rFonts w:hint="eastAsia" w:ascii="仿宋_GB2312" w:hAnsi="仿宋_GB2312" w:eastAsia="仿宋_GB2312" w:cs="仿宋_GB2312"/>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2" w:hRule="atLeast"/>
        </w:trPr>
        <w:tc>
          <w:tcPr>
            <w:tcW w:w="1084" w:type="dxa"/>
            <w:vMerge w:val="continue"/>
            <w:vAlign w:val="center"/>
          </w:tcPr>
          <w:p>
            <w:pPr>
              <w:spacing w:line="360" w:lineRule="auto"/>
              <w:jc w:val="center"/>
              <w:rPr>
                <w:rFonts w:hint="eastAsia" w:ascii="仿宋_GB2312" w:hAnsi="仿宋_GB2312" w:eastAsia="仿宋_GB2312" w:cs="仿宋_GB2312"/>
                <w:sz w:val="18"/>
                <w:szCs w:val="18"/>
              </w:rPr>
            </w:pPr>
          </w:p>
        </w:tc>
        <w:tc>
          <w:tcPr>
            <w:tcW w:w="826" w:type="dxa"/>
            <w:vMerge w:val="continue"/>
            <w:vAlign w:val="center"/>
          </w:tcPr>
          <w:p>
            <w:pPr>
              <w:spacing w:line="360" w:lineRule="auto"/>
              <w:jc w:val="center"/>
              <w:rPr>
                <w:rFonts w:hint="eastAsia" w:ascii="仿宋_GB2312" w:hAnsi="仿宋_GB2312" w:eastAsia="仿宋_GB2312" w:cs="仿宋_GB2312"/>
                <w:sz w:val="18"/>
                <w:szCs w:val="18"/>
              </w:rPr>
            </w:pPr>
          </w:p>
        </w:tc>
        <w:tc>
          <w:tcPr>
            <w:tcW w:w="4094" w:type="dxa"/>
            <w:vAlign w:val="center"/>
          </w:tcPr>
          <w:p>
            <w:pPr>
              <w:spacing w:line="360" w:lineRule="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检查各压力表外表清洁、显示正常、清晰，螺丝无松动</w:t>
            </w:r>
          </w:p>
        </w:tc>
        <w:tc>
          <w:tcPr>
            <w:tcW w:w="666" w:type="dxa"/>
            <w:vMerge w:val="continue"/>
            <w:vAlign w:val="center"/>
          </w:tcPr>
          <w:p>
            <w:pPr>
              <w:spacing w:line="360" w:lineRule="auto"/>
              <w:jc w:val="center"/>
              <w:rPr>
                <w:rFonts w:hint="eastAsia" w:ascii="仿宋_GB2312" w:hAnsi="仿宋_GB2312" w:eastAsia="仿宋_GB2312" w:cs="仿宋_GB2312"/>
                <w:sz w:val="18"/>
                <w:szCs w:val="18"/>
              </w:rPr>
            </w:pPr>
          </w:p>
        </w:tc>
        <w:tc>
          <w:tcPr>
            <w:tcW w:w="1267" w:type="dxa"/>
            <w:vMerge w:val="continue"/>
            <w:vAlign w:val="center"/>
          </w:tcPr>
          <w:p>
            <w:pPr>
              <w:spacing w:line="360" w:lineRule="auto"/>
              <w:rPr>
                <w:rFonts w:hint="eastAsia" w:ascii="仿宋_GB2312" w:hAnsi="仿宋_GB2312" w:eastAsia="仿宋_GB2312" w:cs="仿宋_GB2312"/>
                <w:sz w:val="18"/>
                <w:szCs w:val="18"/>
              </w:rPr>
            </w:pPr>
          </w:p>
        </w:tc>
        <w:tc>
          <w:tcPr>
            <w:tcW w:w="2133" w:type="dxa"/>
            <w:vMerge w:val="continue"/>
            <w:vAlign w:val="center"/>
          </w:tcPr>
          <w:p>
            <w:pPr>
              <w:spacing w:line="360" w:lineRule="auto"/>
              <w:rPr>
                <w:rFonts w:hint="eastAsia" w:ascii="仿宋_GB2312" w:hAnsi="仿宋_GB2312" w:eastAsia="仿宋_GB2312" w:cs="仿宋_GB2312"/>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trPr>
        <w:tc>
          <w:tcPr>
            <w:tcW w:w="1084" w:type="dxa"/>
            <w:vMerge w:val="continue"/>
            <w:vAlign w:val="center"/>
          </w:tcPr>
          <w:p>
            <w:pPr>
              <w:spacing w:line="360" w:lineRule="auto"/>
              <w:jc w:val="center"/>
              <w:rPr>
                <w:rFonts w:hint="eastAsia" w:ascii="仿宋_GB2312" w:hAnsi="仿宋_GB2312" w:eastAsia="仿宋_GB2312" w:cs="仿宋_GB2312"/>
                <w:sz w:val="18"/>
                <w:szCs w:val="18"/>
              </w:rPr>
            </w:pPr>
          </w:p>
        </w:tc>
        <w:tc>
          <w:tcPr>
            <w:tcW w:w="826" w:type="dxa"/>
            <w:vMerge w:val="continue"/>
            <w:vAlign w:val="center"/>
          </w:tcPr>
          <w:p>
            <w:pPr>
              <w:spacing w:line="360" w:lineRule="auto"/>
              <w:jc w:val="center"/>
              <w:rPr>
                <w:rFonts w:hint="eastAsia" w:ascii="仿宋_GB2312" w:hAnsi="仿宋_GB2312" w:eastAsia="仿宋_GB2312" w:cs="仿宋_GB2312"/>
                <w:sz w:val="18"/>
                <w:szCs w:val="18"/>
              </w:rPr>
            </w:pPr>
          </w:p>
        </w:tc>
        <w:tc>
          <w:tcPr>
            <w:tcW w:w="4094" w:type="dxa"/>
            <w:vAlign w:val="center"/>
          </w:tcPr>
          <w:p>
            <w:pPr>
              <w:spacing w:line="360" w:lineRule="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阀门灵活，关闭密封，明杆闸阀的阀杆应加油</w:t>
            </w:r>
          </w:p>
        </w:tc>
        <w:tc>
          <w:tcPr>
            <w:tcW w:w="666" w:type="dxa"/>
            <w:vMerge w:val="continue"/>
            <w:vAlign w:val="center"/>
          </w:tcPr>
          <w:p>
            <w:pPr>
              <w:spacing w:line="360" w:lineRule="auto"/>
              <w:jc w:val="center"/>
              <w:rPr>
                <w:rFonts w:hint="eastAsia" w:ascii="仿宋_GB2312" w:hAnsi="仿宋_GB2312" w:eastAsia="仿宋_GB2312" w:cs="仿宋_GB2312"/>
                <w:sz w:val="18"/>
                <w:szCs w:val="18"/>
              </w:rPr>
            </w:pPr>
          </w:p>
        </w:tc>
        <w:tc>
          <w:tcPr>
            <w:tcW w:w="1267" w:type="dxa"/>
            <w:vMerge w:val="continue"/>
            <w:vAlign w:val="center"/>
          </w:tcPr>
          <w:p>
            <w:pPr>
              <w:spacing w:line="360" w:lineRule="auto"/>
              <w:rPr>
                <w:rFonts w:hint="eastAsia" w:ascii="仿宋_GB2312" w:hAnsi="仿宋_GB2312" w:eastAsia="仿宋_GB2312" w:cs="仿宋_GB2312"/>
                <w:sz w:val="18"/>
                <w:szCs w:val="18"/>
              </w:rPr>
            </w:pPr>
          </w:p>
        </w:tc>
        <w:tc>
          <w:tcPr>
            <w:tcW w:w="2133" w:type="dxa"/>
            <w:vMerge w:val="continue"/>
            <w:vAlign w:val="center"/>
          </w:tcPr>
          <w:p>
            <w:pPr>
              <w:spacing w:line="360" w:lineRule="auto"/>
              <w:rPr>
                <w:rFonts w:hint="eastAsia" w:ascii="仿宋_GB2312" w:hAnsi="仿宋_GB2312" w:eastAsia="仿宋_GB2312" w:cs="仿宋_GB2312"/>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trPr>
        <w:tc>
          <w:tcPr>
            <w:tcW w:w="1084" w:type="dxa"/>
            <w:vMerge w:val="continue"/>
            <w:vAlign w:val="center"/>
          </w:tcPr>
          <w:p>
            <w:pPr>
              <w:spacing w:line="360" w:lineRule="auto"/>
              <w:jc w:val="center"/>
              <w:rPr>
                <w:rFonts w:hint="eastAsia" w:ascii="仿宋_GB2312" w:hAnsi="仿宋_GB2312" w:eastAsia="仿宋_GB2312" w:cs="仿宋_GB2312"/>
                <w:sz w:val="18"/>
                <w:szCs w:val="18"/>
              </w:rPr>
            </w:pPr>
          </w:p>
        </w:tc>
        <w:tc>
          <w:tcPr>
            <w:tcW w:w="826" w:type="dxa"/>
            <w:vMerge w:val="continue"/>
            <w:vAlign w:val="center"/>
          </w:tcPr>
          <w:p>
            <w:pPr>
              <w:spacing w:line="360" w:lineRule="auto"/>
              <w:jc w:val="center"/>
              <w:rPr>
                <w:rFonts w:hint="eastAsia" w:ascii="仿宋_GB2312" w:hAnsi="仿宋_GB2312" w:eastAsia="仿宋_GB2312" w:cs="仿宋_GB2312"/>
                <w:sz w:val="18"/>
                <w:szCs w:val="18"/>
              </w:rPr>
            </w:pPr>
          </w:p>
        </w:tc>
        <w:tc>
          <w:tcPr>
            <w:tcW w:w="4094" w:type="dxa"/>
            <w:vAlign w:val="center"/>
          </w:tcPr>
          <w:p>
            <w:pPr>
              <w:spacing w:line="360" w:lineRule="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消防水泵、控制箱及组件接线牢固，控制箱整洁，水泵转动灵活，运行无异响，电动机试运行30分钟，温升在正常范围，水泵轴封无渗漏，控制信号准确，无错误信号。</w:t>
            </w:r>
          </w:p>
        </w:tc>
        <w:tc>
          <w:tcPr>
            <w:tcW w:w="666" w:type="dxa"/>
            <w:vMerge w:val="continue"/>
            <w:vAlign w:val="center"/>
          </w:tcPr>
          <w:p>
            <w:pPr>
              <w:spacing w:line="360" w:lineRule="auto"/>
              <w:jc w:val="center"/>
              <w:rPr>
                <w:rFonts w:hint="eastAsia" w:ascii="仿宋_GB2312" w:hAnsi="仿宋_GB2312" w:eastAsia="仿宋_GB2312" w:cs="仿宋_GB2312"/>
                <w:sz w:val="18"/>
                <w:szCs w:val="18"/>
              </w:rPr>
            </w:pPr>
          </w:p>
        </w:tc>
        <w:tc>
          <w:tcPr>
            <w:tcW w:w="1267" w:type="dxa"/>
            <w:vMerge w:val="continue"/>
            <w:vAlign w:val="center"/>
          </w:tcPr>
          <w:p>
            <w:pPr>
              <w:spacing w:line="360" w:lineRule="auto"/>
              <w:rPr>
                <w:rFonts w:hint="eastAsia" w:ascii="仿宋_GB2312" w:hAnsi="仿宋_GB2312" w:eastAsia="仿宋_GB2312" w:cs="仿宋_GB2312"/>
                <w:sz w:val="18"/>
                <w:szCs w:val="18"/>
              </w:rPr>
            </w:pPr>
          </w:p>
        </w:tc>
        <w:tc>
          <w:tcPr>
            <w:tcW w:w="2133" w:type="dxa"/>
            <w:vMerge w:val="continue"/>
            <w:vAlign w:val="center"/>
          </w:tcPr>
          <w:p>
            <w:pPr>
              <w:spacing w:line="360" w:lineRule="auto"/>
              <w:rPr>
                <w:rFonts w:hint="eastAsia" w:ascii="仿宋_GB2312" w:hAnsi="仿宋_GB2312" w:eastAsia="仿宋_GB2312" w:cs="仿宋_GB2312"/>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trPr>
        <w:tc>
          <w:tcPr>
            <w:tcW w:w="1084" w:type="dxa"/>
            <w:vMerge w:val="continue"/>
            <w:vAlign w:val="center"/>
          </w:tcPr>
          <w:p>
            <w:pPr>
              <w:spacing w:line="360" w:lineRule="auto"/>
              <w:jc w:val="center"/>
              <w:rPr>
                <w:rFonts w:hint="eastAsia" w:ascii="仿宋_GB2312" w:hAnsi="仿宋_GB2312" w:eastAsia="仿宋_GB2312" w:cs="仿宋_GB2312"/>
                <w:sz w:val="18"/>
                <w:szCs w:val="18"/>
              </w:rPr>
            </w:pPr>
          </w:p>
        </w:tc>
        <w:tc>
          <w:tcPr>
            <w:tcW w:w="826" w:type="dxa"/>
            <w:vMerge w:val="continue"/>
            <w:vAlign w:val="center"/>
          </w:tcPr>
          <w:p>
            <w:pPr>
              <w:spacing w:line="360" w:lineRule="auto"/>
              <w:jc w:val="center"/>
              <w:rPr>
                <w:rFonts w:hint="eastAsia" w:ascii="仿宋_GB2312" w:hAnsi="仿宋_GB2312" w:eastAsia="仿宋_GB2312" w:cs="仿宋_GB2312"/>
                <w:sz w:val="18"/>
                <w:szCs w:val="18"/>
              </w:rPr>
            </w:pPr>
          </w:p>
        </w:tc>
        <w:tc>
          <w:tcPr>
            <w:tcW w:w="4094" w:type="dxa"/>
            <w:vAlign w:val="center"/>
          </w:tcPr>
          <w:p>
            <w:pPr>
              <w:spacing w:line="360" w:lineRule="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消防栓对最不利点消火栓进行放水试验，检查官网压力</w:t>
            </w:r>
          </w:p>
        </w:tc>
        <w:tc>
          <w:tcPr>
            <w:tcW w:w="666" w:type="dxa"/>
            <w:vMerge w:val="continue"/>
            <w:vAlign w:val="center"/>
          </w:tcPr>
          <w:p>
            <w:pPr>
              <w:spacing w:line="360" w:lineRule="auto"/>
              <w:jc w:val="center"/>
              <w:rPr>
                <w:rFonts w:hint="eastAsia" w:ascii="仿宋_GB2312" w:hAnsi="仿宋_GB2312" w:eastAsia="仿宋_GB2312" w:cs="仿宋_GB2312"/>
                <w:sz w:val="18"/>
                <w:szCs w:val="18"/>
              </w:rPr>
            </w:pPr>
          </w:p>
        </w:tc>
        <w:tc>
          <w:tcPr>
            <w:tcW w:w="1267" w:type="dxa"/>
            <w:vMerge w:val="continue"/>
            <w:vAlign w:val="center"/>
          </w:tcPr>
          <w:p>
            <w:pPr>
              <w:spacing w:line="360" w:lineRule="auto"/>
              <w:rPr>
                <w:rFonts w:hint="eastAsia" w:ascii="仿宋_GB2312" w:hAnsi="仿宋_GB2312" w:eastAsia="仿宋_GB2312" w:cs="仿宋_GB2312"/>
                <w:sz w:val="18"/>
                <w:szCs w:val="18"/>
              </w:rPr>
            </w:pPr>
          </w:p>
        </w:tc>
        <w:tc>
          <w:tcPr>
            <w:tcW w:w="2133" w:type="dxa"/>
            <w:vMerge w:val="continue"/>
            <w:vAlign w:val="center"/>
          </w:tcPr>
          <w:p>
            <w:pPr>
              <w:spacing w:line="360" w:lineRule="auto"/>
              <w:rPr>
                <w:rFonts w:hint="eastAsia" w:ascii="仿宋_GB2312" w:hAnsi="仿宋_GB2312" w:eastAsia="仿宋_GB2312" w:cs="仿宋_GB2312"/>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3" w:hRule="atLeast"/>
        </w:trPr>
        <w:tc>
          <w:tcPr>
            <w:tcW w:w="1084" w:type="dxa"/>
            <w:vMerge w:val="continue"/>
            <w:vAlign w:val="center"/>
          </w:tcPr>
          <w:p>
            <w:pPr>
              <w:spacing w:line="360" w:lineRule="auto"/>
              <w:jc w:val="center"/>
              <w:rPr>
                <w:rFonts w:hint="eastAsia" w:ascii="仿宋_GB2312" w:hAnsi="仿宋_GB2312" w:eastAsia="仿宋_GB2312" w:cs="仿宋_GB2312"/>
                <w:sz w:val="18"/>
                <w:szCs w:val="18"/>
              </w:rPr>
            </w:pPr>
          </w:p>
        </w:tc>
        <w:tc>
          <w:tcPr>
            <w:tcW w:w="826" w:type="dxa"/>
            <w:vMerge w:val="continue"/>
            <w:vAlign w:val="center"/>
          </w:tcPr>
          <w:p>
            <w:pPr>
              <w:spacing w:line="360" w:lineRule="auto"/>
              <w:jc w:val="center"/>
              <w:rPr>
                <w:rFonts w:hint="eastAsia" w:ascii="仿宋_GB2312" w:hAnsi="仿宋_GB2312" w:eastAsia="仿宋_GB2312" w:cs="仿宋_GB2312"/>
                <w:sz w:val="18"/>
                <w:szCs w:val="18"/>
              </w:rPr>
            </w:pPr>
          </w:p>
        </w:tc>
        <w:tc>
          <w:tcPr>
            <w:tcW w:w="4094" w:type="dxa"/>
            <w:vAlign w:val="center"/>
          </w:tcPr>
          <w:p>
            <w:pPr>
              <w:spacing w:line="360" w:lineRule="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控制箱内主供电线路接线头压接良好、色标清晰、绝缘良好无烧焦现象</w:t>
            </w:r>
          </w:p>
        </w:tc>
        <w:tc>
          <w:tcPr>
            <w:tcW w:w="666" w:type="dxa"/>
            <w:vMerge w:val="continue"/>
            <w:vAlign w:val="center"/>
          </w:tcPr>
          <w:p>
            <w:pPr>
              <w:spacing w:line="360" w:lineRule="auto"/>
              <w:jc w:val="center"/>
              <w:rPr>
                <w:rFonts w:hint="eastAsia" w:ascii="仿宋_GB2312" w:hAnsi="仿宋_GB2312" w:eastAsia="仿宋_GB2312" w:cs="仿宋_GB2312"/>
                <w:sz w:val="18"/>
                <w:szCs w:val="18"/>
              </w:rPr>
            </w:pPr>
          </w:p>
        </w:tc>
        <w:tc>
          <w:tcPr>
            <w:tcW w:w="1267" w:type="dxa"/>
            <w:vMerge w:val="continue"/>
            <w:vAlign w:val="center"/>
          </w:tcPr>
          <w:p>
            <w:pPr>
              <w:spacing w:line="360" w:lineRule="auto"/>
              <w:rPr>
                <w:rFonts w:hint="eastAsia" w:ascii="仿宋_GB2312" w:hAnsi="仿宋_GB2312" w:eastAsia="仿宋_GB2312" w:cs="仿宋_GB2312"/>
                <w:sz w:val="18"/>
                <w:szCs w:val="18"/>
              </w:rPr>
            </w:pPr>
          </w:p>
        </w:tc>
        <w:tc>
          <w:tcPr>
            <w:tcW w:w="2133" w:type="dxa"/>
            <w:vMerge w:val="continue"/>
            <w:vAlign w:val="center"/>
          </w:tcPr>
          <w:p>
            <w:pPr>
              <w:spacing w:line="360" w:lineRule="auto"/>
              <w:rPr>
                <w:rFonts w:hint="eastAsia" w:ascii="仿宋_GB2312" w:hAnsi="仿宋_GB2312" w:eastAsia="仿宋_GB2312" w:cs="仿宋_GB2312"/>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trPr>
        <w:tc>
          <w:tcPr>
            <w:tcW w:w="1084" w:type="dxa"/>
            <w:vMerge w:val="continue"/>
            <w:vAlign w:val="center"/>
          </w:tcPr>
          <w:p>
            <w:pPr>
              <w:spacing w:line="360" w:lineRule="auto"/>
              <w:jc w:val="center"/>
              <w:rPr>
                <w:rFonts w:hint="eastAsia" w:ascii="仿宋_GB2312" w:hAnsi="仿宋_GB2312" w:eastAsia="仿宋_GB2312" w:cs="仿宋_GB2312"/>
                <w:sz w:val="18"/>
                <w:szCs w:val="18"/>
              </w:rPr>
            </w:pPr>
          </w:p>
        </w:tc>
        <w:tc>
          <w:tcPr>
            <w:tcW w:w="826" w:type="dxa"/>
            <w:vMerge w:val="restart"/>
            <w:vAlign w:val="center"/>
          </w:tcPr>
          <w:p>
            <w:pPr>
              <w:spacing w:line="360" w:lineRule="auto"/>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6.消防联动主机</w:t>
            </w:r>
          </w:p>
        </w:tc>
        <w:tc>
          <w:tcPr>
            <w:tcW w:w="4094" w:type="dxa"/>
            <w:vAlign w:val="center"/>
          </w:tcPr>
          <w:p>
            <w:pPr>
              <w:spacing w:line="360" w:lineRule="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消防主机（含电器火灾监控）自动联动控制正常，消防分区联动正常，广播系统正常。</w:t>
            </w:r>
          </w:p>
        </w:tc>
        <w:tc>
          <w:tcPr>
            <w:tcW w:w="666" w:type="dxa"/>
            <w:vMerge w:val="restart"/>
            <w:vAlign w:val="center"/>
          </w:tcPr>
          <w:p>
            <w:pPr>
              <w:spacing w:line="360" w:lineRule="auto"/>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5</w:t>
            </w:r>
          </w:p>
        </w:tc>
        <w:tc>
          <w:tcPr>
            <w:tcW w:w="1267" w:type="dxa"/>
            <w:vMerge w:val="restart"/>
            <w:vAlign w:val="center"/>
          </w:tcPr>
          <w:p>
            <w:pPr>
              <w:spacing w:line="360" w:lineRule="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1.测试</w:t>
            </w:r>
          </w:p>
          <w:p>
            <w:pPr>
              <w:spacing w:line="360" w:lineRule="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2.观察</w:t>
            </w:r>
          </w:p>
          <w:p>
            <w:pPr>
              <w:spacing w:line="360" w:lineRule="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3.查看记录</w:t>
            </w:r>
          </w:p>
        </w:tc>
        <w:tc>
          <w:tcPr>
            <w:tcW w:w="2133" w:type="dxa"/>
            <w:vMerge w:val="restart"/>
            <w:vAlign w:val="center"/>
          </w:tcPr>
          <w:p>
            <w:pPr>
              <w:spacing w:line="360" w:lineRule="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不符合要求，-1分/次，10分扣完为止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trPr>
        <w:tc>
          <w:tcPr>
            <w:tcW w:w="1084" w:type="dxa"/>
            <w:vMerge w:val="continue"/>
            <w:vAlign w:val="center"/>
          </w:tcPr>
          <w:p>
            <w:pPr>
              <w:spacing w:line="360" w:lineRule="auto"/>
              <w:jc w:val="center"/>
              <w:rPr>
                <w:rFonts w:hint="eastAsia" w:ascii="仿宋_GB2312" w:hAnsi="仿宋_GB2312" w:eastAsia="仿宋_GB2312" w:cs="仿宋_GB2312"/>
                <w:sz w:val="18"/>
                <w:szCs w:val="18"/>
              </w:rPr>
            </w:pPr>
          </w:p>
        </w:tc>
        <w:tc>
          <w:tcPr>
            <w:tcW w:w="826" w:type="dxa"/>
            <w:vMerge w:val="continue"/>
            <w:vAlign w:val="center"/>
          </w:tcPr>
          <w:p>
            <w:pPr>
              <w:spacing w:line="360" w:lineRule="auto"/>
              <w:jc w:val="center"/>
              <w:rPr>
                <w:rFonts w:hint="eastAsia" w:ascii="仿宋_GB2312" w:hAnsi="仿宋_GB2312" w:eastAsia="仿宋_GB2312" w:cs="仿宋_GB2312"/>
                <w:sz w:val="18"/>
                <w:szCs w:val="18"/>
              </w:rPr>
            </w:pPr>
          </w:p>
        </w:tc>
        <w:tc>
          <w:tcPr>
            <w:tcW w:w="4094" w:type="dxa"/>
            <w:vAlign w:val="center"/>
          </w:tcPr>
          <w:p>
            <w:pPr>
              <w:spacing w:line="360" w:lineRule="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故障信息超时未解决</w:t>
            </w:r>
          </w:p>
        </w:tc>
        <w:tc>
          <w:tcPr>
            <w:tcW w:w="666" w:type="dxa"/>
            <w:vMerge w:val="continue"/>
            <w:vAlign w:val="center"/>
          </w:tcPr>
          <w:p>
            <w:pPr>
              <w:spacing w:line="360" w:lineRule="auto"/>
              <w:jc w:val="center"/>
              <w:rPr>
                <w:rFonts w:hint="eastAsia" w:ascii="仿宋_GB2312" w:hAnsi="仿宋_GB2312" w:eastAsia="仿宋_GB2312" w:cs="仿宋_GB2312"/>
                <w:sz w:val="18"/>
                <w:szCs w:val="18"/>
              </w:rPr>
            </w:pPr>
          </w:p>
        </w:tc>
        <w:tc>
          <w:tcPr>
            <w:tcW w:w="1267" w:type="dxa"/>
            <w:vMerge w:val="continue"/>
            <w:vAlign w:val="center"/>
          </w:tcPr>
          <w:p>
            <w:pPr>
              <w:spacing w:line="360" w:lineRule="auto"/>
              <w:rPr>
                <w:rFonts w:hint="eastAsia" w:ascii="仿宋_GB2312" w:hAnsi="仿宋_GB2312" w:eastAsia="仿宋_GB2312" w:cs="仿宋_GB2312"/>
                <w:sz w:val="18"/>
                <w:szCs w:val="18"/>
              </w:rPr>
            </w:pPr>
          </w:p>
        </w:tc>
        <w:tc>
          <w:tcPr>
            <w:tcW w:w="2133" w:type="dxa"/>
            <w:vMerge w:val="continue"/>
            <w:vAlign w:val="center"/>
          </w:tcPr>
          <w:p>
            <w:pPr>
              <w:spacing w:line="360" w:lineRule="auto"/>
              <w:rPr>
                <w:rFonts w:hint="eastAsia" w:ascii="仿宋_GB2312" w:hAnsi="仿宋_GB2312" w:eastAsia="仿宋_GB2312" w:cs="仿宋_GB2312"/>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trPr>
        <w:tc>
          <w:tcPr>
            <w:tcW w:w="1084" w:type="dxa"/>
            <w:vMerge w:val="continue"/>
            <w:vAlign w:val="center"/>
          </w:tcPr>
          <w:p>
            <w:pPr>
              <w:spacing w:line="360" w:lineRule="auto"/>
              <w:jc w:val="center"/>
              <w:rPr>
                <w:rFonts w:hint="eastAsia" w:ascii="仿宋_GB2312" w:hAnsi="仿宋_GB2312" w:eastAsia="仿宋_GB2312" w:cs="仿宋_GB2312"/>
                <w:sz w:val="18"/>
                <w:szCs w:val="18"/>
              </w:rPr>
            </w:pPr>
          </w:p>
        </w:tc>
        <w:tc>
          <w:tcPr>
            <w:tcW w:w="826" w:type="dxa"/>
            <w:vMerge w:val="continue"/>
            <w:vAlign w:val="center"/>
          </w:tcPr>
          <w:p>
            <w:pPr>
              <w:spacing w:line="360" w:lineRule="auto"/>
              <w:jc w:val="center"/>
              <w:rPr>
                <w:rFonts w:hint="eastAsia" w:ascii="仿宋_GB2312" w:hAnsi="仿宋_GB2312" w:eastAsia="仿宋_GB2312" w:cs="仿宋_GB2312"/>
                <w:sz w:val="18"/>
                <w:szCs w:val="18"/>
              </w:rPr>
            </w:pPr>
          </w:p>
        </w:tc>
        <w:tc>
          <w:tcPr>
            <w:tcW w:w="4094" w:type="dxa"/>
            <w:vAlign w:val="center"/>
          </w:tcPr>
          <w:p>
            <w:pPr>
              <w:spacing w:line="360" w:lineRule="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报警模块自巡检正常，反馈信号位置准确</w:t>
            </w:r>
          </w:p>
        </w:tc>
        <w:tc>
          <w:tcPr>
            <w:tcW w:w="666" w:type="dxa"/>
            <w:vMerge w:val="continue"/>
            <w:vAlign w:val="center"/>
          </w:tcPr>
          <w:p>
            <w:pPr>
              <w:spacing w:line="360" w:lineRule="auto"/>
              <w:jc w:val="center"/>
              <w:rPr>
                <w:rFonts w:hint="eastAsia" w:ascii="仿宋_GB2312" w:hAnsi="仿宋_GB2312" w:eastAsia="仿宋_GB2312" w:cs="仿宋_GB2312"/>
                <w:sz w:val="18"/>
                <w:szCs w:val="18"/>
              </w:rPr>
            </w:pPr>
          </w:p>
        </w:tc>
        <w:tc>
          <w:tcPr>
            <w:tcW w:w="1267" w:type="dxa"/>
            <w:vMerge w:val="continue"/>
            <w:vAlign w:val="center"/>
          </w:tcPr>
          <w:p>
            <w:pPr>
              <w:spacing w:line="360" w:lineRule="auto"/>
              <w:rPr>
                <w:rFonts w:hint="eastAsia" w:ascii="仿宋_GB2312" w:hAnsi="仿宋_GB2312" w:eastAsia="仿宋_GB2312" w:cs="仿宋_GB2312"/>
                <w:sz w:val="18"/>
                <w:szCs w:val="18"/>
              </w:rPr>
            </w:pPr>
          </w:p>
        </w:tc>
        <w:tc>
          <w:tcPr>
            <w:tcW w:w="2133" w:type="dxa"/>
            <w:vMerge w:val="continue"/>
            <w:vAlign w:val="center"/>
          </w:tcPr>
          <w:p>
            <w:pPr>
              <w:spacing w:line="360" w:lineRule="auto"/>
              <w:rPr>
                <w:rFonts w:hint="eastAsia" w:ascii="仿宋_GB2312" w:hAnsi="仿宋_GB2312" w:eastAsia="仿宋_GB2312" w:cs="仿宋_GB2312"/>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084" w:type="dxa"/>
            <w:vMerge w:val="continue"/>
            <w:vAlign w:val="center"/>
          </w:tcPr>
          <w:p>
            <w:pPr>
              <w:spacing w:line="360" w:lineRule="auto"/>
              <w:jc w:val="center"/>
              <w:rPr>
                <w:rFonts w:hint="eastAsia" w:ascii="仿宋_GB2312" w:hAnsi="仿宋_GB2312" w:eastAsia="仿宋_GB2312" w:cs="仿宋_GB2312"/>
                <w:sz w:val="18"/>
                <w:szCs w:val="18"/>
              </w:rPr>
            </w:pPr>
          </w:p>
        </w:tc>
        <w:tc>
          <w:tcPr>
            <w:tcW w:w="826" w:type="dxa"/>
            <w:vAlign w:val="center"/>
          </w:tcPr>
          <w:p>
            <w:pPr>
              <w:spacing w:line="360" w:lineRule="auto"/>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7.送风及排烟系统</w:t>
            </w:r>
          </w:p>
        </w:tc>
        <w:tc>
          <w:tcPr>
            <w:tcW w:w="4094" w:type="dxa"/>
            <w:vAlign w:val="center"/>
          </w:tcPr>
          <w:p>
            <w:pPr>
              <w:spacing w:line="360" w:lineRule="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风机电流检测，电机及电源线绝缘性能</w:t>
            </w:r>
          </w:p>
        </w:tc>
        <w:tc>
          <w:tcPr>
            <w:tcW w:w="666" w:type="dxa"/>
            <w:vAlign w:val="center"/>
          </w:tcPr>
          <w:p>
            <w:pPr>
              <w:spacing w:line="360" w:lineRule="auto"/>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5</w:t>
            </w:r>
          </w:p>
        </w:tc>
        <w:tc>
          <w:tcPr>
            <w:tcW w:w="1267" w:type="dxa"/>
            <w:vAlign w:val="center"/>
          </w:tcPr>
          <w:p>
            <w:pPr>
              <w:pStyle w:val="16"/>
              <w:spacing w:line="360" w:lineRule="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1.测试</w:t>
            </w:r>
          </w:p>
          <w:p>
            <w:pPr>
              <w:pStyle w:val="16"/>
              <w:spacing w:line="360" w:lineRule="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2.观察</w:t>
            </w:r>
          </w:p>
          <w:p>
            <w:pPr>
              <w:pStyle w:val="16"/>
              <w:spacing w:line="360" w:lineRule="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3.查看记录</w:t>
            </w:r>
          </w:p>
        </w:tc>
        <w:tc>
          <w:tcPr>
            <w:tcW w:w="2133" w:type="dxa"/>
            <w:vAlign w:val="center"/>
          </w:tcPr>
          <w:p>
            <w:pPr>
              <w:spacing w:line="360" w:lineRule="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不符合要求，-2分/次，5分扣完为止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atLeast"/>
        </w:trPr>
        <w:tc>
          <w:tcPr>
            <w:tcW w:w="1084" w:type="dxa"/>
            <w:vMerge w:val="continue"/>
            <w:vAlign w:val="center"/>
          </w:tcPr>
          <w:p>
            <w:pPr>
              <w:spacing w:line="360" w:lineRule="auto"/>
              <w:jc w:val="center"/>
              <w:rPr>
                <w:rFonts w:hint="eastAsia" w:ascii="仿宋_GB2312" w:hAnsi="仿宋_GB2312" w:eastAsia="仿宋_GB2312" w:cs="仿宋_GB2312"/>
                <w:sz w:val="18"/>
                <w:szCs w:val="18"/>
              </w:rPr>
            </w:pPr>
          </w:p>
        </w:tc>
        <w:tc>
          <w:tcPr>
            <w:tcW w:w="826" w:type="dxa"/>
            <w:vAlign w:val="center"/>
          </w:tcPr>
          <w:p>
            <w:pPr>
              <w:spacing w:line="360" w:lineRule="auto"/>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8.消防气体控制系统</w:t>
            </w:r>
          </w:p>
        </w:tc>
        <w:tc>
          <w:tcPr>
            <w:tcW w:w="4094" w:type="dxa"/>
            <w:vAlign w:val="center"/>
          </w:tcPr>
          <w:p>
            <w:pPr>
              <w:spacing w:line="360" w:lineRule="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区域控制主机运行正常，联动正常，局部感应报警器工作正常。压力启动瓶、灭火气体瓶压力正常，药剂在保质期内。定期进行检查无遗漏</w:t>
            </w:r>
          </w:p>
        </w:tc>
        <w:tc>
          <w:tcPr>
            <w:tcW w:w="666" w:type="dxa"/>
            <w:vAlign w:val="center"/>
          </w:tcPr>
          <w:p>
            <w:pPr>
              <w:spacing w:line="360" w:lineRule="auto"/>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5</w:t>
            </w:r>
          </w:p>
        </w:tc>
        <w:tc>
          <w:tcPr>
            <w:tcW w:w="1267" w:type="dxa"/>
            <w:vAlign w:val="center"/>
          </w:tcPr>
          <w:p>
            <w:pPr>
              <w:pStyle w:val="16"/>
              <w:spacing w:line="360" w:lineRule="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1.测试</w:t>
            </w:r>
          </w:p>
          <w:p>
            <w:pPr>
              <w:pStyle w:val="16"/>
              <w:spacing w:line="360" w:lineRule="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2.观察</w:t>
            </w:r>
          </w:p>
          <w:p>
            <w:pPr>
              <w:pStyle w:val="16"/>
              <w:spacing w:line="360" w:lineRule="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3.查看记录</w:t>
            </w:r>
          </w:p>
        </w:tc>
        <w:tc>
          <w:tcPr>
            <w:tcW w:w="2133" w:type="dxa"/>
            <w:vAlign w:val="center"/>
          </w:tcPr>
          <w:p>
            <w:pPr>
              <w:spacing w:line="360" w:lineRule="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不符合要求，-2分/次，5分扣完为止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5" w:hRule="atLeast"/>
        </w:trPr>
        <w:tc>
          <w:tcPr>
            <w:tcW w:w="1084" w:type="dxa"/>
            <w:vMerge w:val="continue"/>
            <w:vAlign w:val="center"/>
          </w:tcPr>
          <w:p>
            <w:pPr>
              <w:spacing w:line="360" w:lineRule="auto"/>
              <w:jc w:val="center"/>
              <w:rPr>
                <w:rFonts w:hint="eastAsia" w:ascii="仿宋_GB2312" w:hAnsi="仿宋_GB2312" w:eastAsia="仿宋_GB2312" w:cs="仿宋_GB2312"/>
                <w:sz w:val="18"/>
                <w:szCs w:val="18"/>
              </w:rPr>
            </w:pPr>
          </w:p>
        </w:tc>
        <w:tc>
          <w:tcPr>
            <w:tcW w:w="826" w:type="dxa"/>
            <w:vAlign w:val="center"/>
          </w:tcPr>
          <w:p>
            <w:pPr>
              <w:spacing w:line="360" w:lineRule="auto"/>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9.疏散指示与应急照明</w:t>
            </w:r>
          </w:p>
        </w:tc>
        <w:tc>
          <w:tcPr>
            <w:tcW w:w="4094" w:type="dxa"/>
            <w:vAlign w:val="center"/>
          </w:tcPr>
          <w:p>
            <w:pPr>
              <w:spacing w:line="360" w:lineRule="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清洁、检查标示字体完整度，方向指示正确，符合国标，满足人员紧急疏散指示要求</w:t>
            </w:r>
          </w:p>
        </w:tc>
        <w:tc>
          <w:tcPr>
            <w:tcW w:w="666" w:type="dxa"/>
            <w:vAlign w:val="center"/>
          </w:tcPr>
          <w:p>
            <w:pPr>
              <w:spacing w:line="360" w:lineRule="auto"/>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5</w:t>
            </w:r>
          </w:p>
        </w:tc>
        <w:tc>
          <w:tcPr>
            <w:tcW w:w="1267" w:type="dxa"/>
            <w:vAlign w:val="center"/>
          </w:tcPr>
          <w:p>
            <w:pPr>
              <w:pStyle w:val="16"/>
              <w:spacing w:line="360" w:lineRule="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1.测试</w:t>
            </w:r>
          </w:p>
          <w:p>
            <w:pPr>
              <w:pStyle w:val="16"/>
              <w:spacing w:line="360" w:lineRule="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2.观察</w:t>
            </w:r>
          </w:p>
          <w:p>
            <w:pPr>
              <w:pStyle w:val="16"/>
              <w:spacing w:line="360" w:lineRule="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3.查看记录</w:t>
            </w:r>
          </w:p>
        </w:tc>
        <w:tc>
          <w:tcPr>
            <w:tcW w:w="2133" w:type="dxa"/>
            <w:vAlign w:val="center"/>
          </w:tcPr>
          <w:p>
            <w:pPr>
              <w:spacing w:line="360" w:lineRule="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不符合要求，-2分/次，5分扣完为止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trPr>
        <w:tc>
          <w:tcPr>
            <w:tcW w:w="1084" w:type="dxa"/>
            <w:vAlign w:val="center"/>
          </w:tcPr>
          <w:p>
            <w:pPr>
              <w:spacing w:line="360" w:lineRule="auto"/>
              <w:jc w:val="center"/>
              <w:rPr>
                <w:rFonts w:hint="eastAsia" w:ascii="仿宋_GB2312" w:hAnsi="仿宋_GB2312" w:eastAsia="仿宋_GB2312" w:cs="仿宋_GB2312"/>
                <w:sz w:val="18"/>
                <w:szCs w:val="18"/>
              </w:rPr>
            </w:pPr>
          </w:p>
        </w:tc>
        <w:tc>
          <w:tcPr>
            <w:tcW w:w="826" w:type="dxa"/>
            <w:vAlign w:val="center"/>
          </w:tcPr>
          <w:p>
            <w:pPr>
              <w:spacing w:line="360" w:lineRule="auto"/>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10.厨房油烟灭火</w:t>
            </w:r>
          </w:p>
        </w:tc>
        <w:tc>
          <w:tcPr>
            <w:tcW w:w="4094" w:type="dxa"/>
            <w:vAlign w:val="center"/>
          </w:tcPr>
          <w:p>
            <w:pPr>
              <w:spacing w:line="360" w:lineRule="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清洁、检查标示字体完整度，喷头无油污，符合国家相关标准</w:t>
            </w:r>
          </w:p>
        </w:tc>
        <w:tc>
          <w:tcPr>
            <w:tcW w:w="666" w:type="dxa"/>
            <w:vAlign w:val="center"/>
          </w:tcPr>
          <w:p>
            <w:pPr>
              <w:spacing w:line="360" w:lineRule="auto"/>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5</w:t>
            </w:r>
          </w:p>
        </w:tc>
        <w:tc>
          <w:tcPr>
            <w:tcW w:w="1267" w:type="dxa"/>
            <w:vAlign w:val="center"/>
          </w:tcPr>
          <w:p>
            <w:pPr>
              <w:pStyle w:val="16"/>
              <w:spacing w:line="360" w:lineRule="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1.测试</w:t>
            </w:r>
          </w:p>
          <w:p>
            <w:pPr>
              <w:pStyle w:val="16"/>
              <w:spacing w:line="360" w:lineRule="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2.观察</w:t>
            </w:r>
          </w:p>
          <w:p>
            <w:pPr>
              <w:pStyle w:val="16"/>
              <w:spacing w:line="360" w:lineRule="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3.查看记录</w:t>
            </w:r>
          </w:p>
        </w:tc>
        <w:tc>
          <w:tcPr>
            <w:tcW w:w="2133" w:type="dxa"/>
            <w:vAlign w:val="center"/>
          </w:tcPr>
          <w:p>
            <w:pPr>
              <w:spacing w:line="360" w:lineRule="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不符合要求，-2分/次，5分扣完为止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trPr>
        <w:tc>
          <w:tcPr>
            <w:tcW w:w="1084" w:type="dxa"/>
            <w:vMerge w:val="restart"/>
            <w:vAlign w:val="center"/>
          </w:tcPr>
          <w:p>
            <w:pPr>
              <w:spacing w:line="360" w:lineRule="auto"/>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安全文明施工</w:t>
            </w:r>
          </w:p>
        </w:tc>
        <w:tc>
          <w:tcPr>
            <w:tcW w:w="4920" w:type="dxa"/>
            <w:gridSpan w:val="2"/>
            <w:vAlign w:val="center"/>
          </w:tcPr>
          <w:p>
            <w:pPr>
              <w:spacing w:line="360" w:lineRule="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1.维保操作现场整洁，有围挡措施，不影响正常办公。</w:t>
            </w:r>
          </w:p>
        </w:tc>
        <w:tc>
          <w:tcPr>
            <w:tcW w:w="666" w:type="dxa"/>
            <w:vMerge w:val="restart"/>
            <w:vAlign w:val="center"/>
          </w:tcPr>
          <w:p>
            <w:pPr>
              <w:spacing w:line="360" w:lineRule="auto"/>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5</w:t>
            </w:r>
          </w:p>
        </w:tc>
        <w:tc>
          <w:tcPr>
            <w:tcW w:w="1267" w:type="dxa"/>
            <w:vMerge w:val="restart"/>
            <w:vAlign w:val="center"/>
          </w:tcPr>
          <w:p>
            <w:pPr>
              <w:pStyle w:val="16"/>
              <w:spacing w:line="360" w:lineRule="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1.测试</w:t>
            </w:r>
          </w:p>
          <w:p>
            <w:pPr>
              <w:pStyle w:val="16"/>
              <w:spacing w:line="360" w:lineRule="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2.观察</w:t>
            </w:r>
          </w:p>
          <w:p>
            <w:pPr>
              <w:pStyle w:val="16"/>
              <w:spacing w:line="360" w:lineRule="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3.查看记录</w:t>
            </w:r>
          </w:p>
        </w:tc>
        <w:tc>
          <w:tcPr>
            <w:tcW w:w="2133" w:type="dxa"/>
            <w:vMerge w:val="restart"/>
            <w:vAlign w:val="center"/>
          </w:tcPr>
          <w:p>
            <w:pPr>
              <w:spacing w:line="360" w:lineRule="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不符合要求，-2分/次，5分扣完为止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trPr>
        <w:tc>
          <w:tcPr>
            <w:tcW w:w="1084" w:type="dxa"/>
            <w:vMerge w:val="continue"/>
            <w:vAlign w:val="center"/>
          </w:tcPr>
          <w:p>
            <w:pPr>
              <w:spacing w:line="360" w:lineRule="auto"/>
              <w:jc w:val="center"/>
              <w:rPr>
                <w:rFonts w:hint="eastAsia" w:ascii="仿宋_GB2312" w:hAnsi="仿宋_GB2312" w:eastAsia="仿宋_GB2312" w:cs="仿宋_GB2312"/>
                <w:sz w:val="18"/>
                <w:szCs w:val="18"/>
              </w:rPr>
            </w:pPr>
          </w:p>
        </w:tc>
        <w:tc>
          <w:tcPr>
            <w:tcW w:w="4920" w:type="dxa"/>
            <w:gridSpan w:val="2"/>
            <w:vAlign w:val="center"/>
          </w:tcPr>
          <w:p>
            <w:pPr>
              <w:spacing w:line="360" w:lineRule="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2.遵守安全操作规程，有必要的安全措施，无安全事故发生。</w:t>
            </w:r>
          </w:p>
        </w:tc>
        <w:tc>
          <w:tcPr>
            <w:tcW w:w="666" w:type="dxa"/>
            <w:vMerge w:val="continue"/>
            <w:vAlign w:val="center"/>
          </w:tcPr>
          <w:p>
            <w:pPr>
              <w:spacing w:line="360" w:lineRule="auto"/>
              <w:jc w:val="center"/>
              <w:rPr>
                <w:rFonts w:hint="eastAsia" w:ascii="仿宋_GB2312" w:hAnsi="仿宋_GB2312" w:eastAsia="仿宋_GB2312" w:cs="仿宋_GB2312"/>
                <w:sz w:val="18"/>
                <w:szCs w:val="18"/>
              </w:rPr>
            </w:pPr>
          </w:p>
        </w:tc>
        <w:tc>
          <w:tcPr>
            <w:tcW w:w="1267" w:type="dxa"/>
            <w:vMerge w:val="continue"/>
            <w:vAlign w:val="center"/>
          </w:tcPr>
          <w:p>
            <w:pPr>
              <w:spacing w:line="360" w:lineRule="auto"/>
              <w:rPr>
                <w:rFonts w:hint="eastAsia" w:ascii="仿宋_GB2312" w:hAnsi="仿宋_GB2312" w:eastAsia="仿宋_GB2312" w:cs="仿宋_GB2312"/>
                <w:sz w:val="18"/>
                <w:szCs w:val="18"/>
              </w:rPr>
            </w:pPr>
          </w:p>
        </w:tc>
        <w:tc>
          <w:tcPr>
            <w:tcW w:w="2133" w:type="dxa"/>
            <w:vMerge w:val="continue"/>
            <w:vAlign w:val="center"/>
          </w:tcPr>
          <w:p>
            <w:pPr>
              <w:spacing w:line="360" w:lineRule="auto"/>
              <w:rPr>
                <w:rFonts w:hint="eastAsia" w:ascii="仿宋_GB2312" w:hAnsi="仿宋_GB2312" w:eastAsia="仿宋_GB2312" w:cs="仿宋_GB2312"/>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trPr>
        <w:tc>
          <w:tcPr>
            <w:tcW w:w="1084" w:type="dxa"/>
            <w:vMerge w:val="continue"/>
            <w:vAlign w:val="center"/>
          </w:tcPr>
          <w:p>
            <w:pPr>
              <w:spacing w:line="360" w:lineRule="auto"/>
              <w:jc w:val="center"/>
              <w:rPr>
                <w:rFonts w:hint="eastAsia" w:ascii="仿宋_GB2312" w:hAnsi="仿宋_GB2312" w:eastAsia="仿宋_GB2312" w:cs="仿宋_GB2312"/>
                <w:sz w:val="18"/>
                <w:szCs w:val="18"/>
              </w:rPr>
            </w:pPr>
          </w:p>
        </w:tc>
        <w:tc>
          <w:tcPr>
            <w:tcW w:w="4920" w:type="dxa"/>
            <w:gridSpan w:val="2"/>
            <w:vAlign w:val="center"/>
          </w:tcPr>
          <w:p>
            <w:pPr>
              <w:spacing w:line="360" w:lineRule="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3.现场维护作业人员未按规定统一着工装。</w:t>
            </w:r>
          </w:p>
        </w:tc>
        <w:tc>
          <w:tcPr>
            <w:tcW w:w="666" w:type="dxa"/>
            <w:vMerge w:val="continue"/>
            <w:vAlign w:val="center"/>
          </w:tcPr>
          <w:p>
            <w:pPr>
              <w:spacing w:line="360" w:lineRule="auto"/>
              <w:jc w:val="center"/>
              <w:rPr>
                <w:rFonts w:hint="eastAsia" w:ascii="仿宋_GB2312" w:hAnsi="仿宋_GB2312" w:eastAsia="仿宋_GB2312" w:cs="仿宋_GB2312"/>
                <w:sz w:val="18"/>
                <w:szCs w:val="18"/>
              </w:rPr>
            </w:pPr>
          </w:p>
        </w:tc>
        <w:tc>
          <w:tcPr>
            <w:tcW w:w="1267" w:type="dxa"/>
            <w:vMerge w:val="continue"/>
            <w:vAlign w:val="center"/>
          </w:tcPr>
          <w:p>
            <w:pPr>
              <w:spacing w:line="360" w:lineRule="auto"/>
              <w:rPr>
                <w:rFonts w:hint="eastAsia" w:ascii="仿宋_GB2312" w:hAnsi="仿宋_GB2312" w:eastAsia="仿宋_GB2312" w:cs="仿宋_GB2312"/>
                <w:sz w:val="18"/>
                <w:szCs w:val="18"/>
              </w:rPr>
            </w:pPr>
          </w:p>
        </w:tc>
        <w:tc>
          <w:tcPr>
            <w:tcW w:w="2133" w:type="dxa"/>
            <w:vMerge w:val="continue"/>
            <w:vAlign w:val="center"/>
          </w:tcPr>
          <w:p>
            <w:pPr>
              <w:spacing w:line="360" w:lineRule="auto"/>
              <w:rPr>
                <w:rFonts w:hint="eastAsia" w:ascii="仿宋_GB2312" w:hAnsi="仿宋_GB2312" w:eastAsia="仿宋_GB2312" w:cs="仿宋_GB2312"/>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trPr>
        <w:tc>
          <w:tcPr>
            <w:tcW w:w="1084" w:type="dxa"/>
            <w:vMerge w:val="restart"/>
            <w:vAlign w:val="center"/>
          </w:tcPr>
          <w:p>
            <w:pPr>
              <w:spacing w:line="360" w:lineRule="auto"/>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人员资质及培训</w:t>
            </w:r>
          </w:p>
        </w:tc>
        <w:tc>
          <w:tcPr>
            <w:tcW w:w="4920" w:type="dxa"/>
            <w:gridSpan w:val="2"/>
            <w:vAlign w:val="center"/>
          </w:tcPr>
          <w:p>
            <w:pPr>
              <w:spacing w:line="360" w:lineRule="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1.现场维保人员资质符合要求，无无故临时调用人员情况发生，作业人员技术及经验满足现场需求。</w:t>
            </w:r>
          </w:p>
        </w:tc>
        <w:tc>
          <w:tcPr>
            <w:tcW w:w="666" w:type="dxa"/>
            <w:vMerge w:val="restart"/>
            <w:vAlign w:val="center"/>
          </w:tcPr>
          <w:p>
            <w:pPr>
              <w:spacing w:line="360" w:lineRule="auto"/>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10</w:t>
            </w:r>
          </w:p>
        </w:tc>
        <w:tc>
          <w:tcPr>
            <w:tcW w:w="1267" w:type="dxa"/>
            <w:vMerge w:val="restart"/>
            <w:vAlign w:val="center"/>
          </w:tcPr>
          <w:p>
            <w:pPr>
              <w:spacing w:line="360" w:lineRule="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1.证件查验</w:t>
            </w:r>
          </w:p>
          <w:p>
            <w:pPr>
              <w:spacing w:line="360" w:lineRule="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2.技术跟进</w:t>
            </w:r>
          </w:p>
        </w:tc>
        <w:tc>
          <w:tcPr>
            <w:tcW w:w="2133" w:type="dxa"/>
            <w:vMerge w:val="restart"/>
            <w:vAlign w:val="center"/>
          </w:tcPr>
          <w:p>
            <w:pPr>
              <w:spacing w:line="360" w:lineRule="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不符合要求，-3分/次，10分扣完为止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1084" w:type="dxa"/>
            <w:vMerge w:val="continue"/>
            <w:vAlign w:val="center"/>
          </w:tcPr>
          <w:p>
            <w:pPr>
              <w:spacing w:line="360" w:lineRule="auto"/>
              <w:jc w:val="center"/>
              <w:rPr>
                <w:rFonts w:hint="eastAsia" w:ascii="仿宋_GB2312" w:hAnsi="仿宋_GB2312" w:eastAsia="仿宋_GB2312" w:cs="仿宋_GB2312"/>
                <w:sz w:val="18"/>
                <w:szCs w:val="18"/>
              </w:rPr>
            </w:pPr>
          </w:p>
        </w:tc>
        <w:tc>
          <w:tcPr>
            <w:tcW w:w="4920" w:type="dxa"/>
            <w:gridSpan w:val="2"/>
            <w:vAlign w:val="center"/>
          </w:tcPr>
          <w:p>
            <w:pPr>
              <w:spacing w:line="360" w:lineRule="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2.结合现场按培训计划对招标方现场看守设备人员进行专业培训</w:t>
            </w:r>
          </w:p>
        </w:tc>
        <w:tc>
          <w:tcPr>
            <w:tcW w:w="666" w:type="dxa"/>
            <w:vMerge w:val="continue"/>
            <w:vAlign w:val="center"/>
          </w:tcPr>
          <w:p>
            <w:pPr>
              <w:spacing w:line="360" w:lineRule="auto"/>
              <w:jc w:val="center"/>
              <w:rPr>
                <w:rFonts w:hint="eastAsia" w:ascii="仿宋_GB2312" w:hAnsi="仿宋_GB2312" w:eastAsia="仿宋_GB2312" w:cs="仿宋_GB2312"/>
                <w:sz w:val="18"/>
                <w:szCs w:val="18"/>
              </w:rPr>
            </w:pPr>
          </w:p>
        </w:tc>
        <w:tc>
          <w:tcPr>
            <w:tcW w:w="1267" w:type="dxa"/>
            <w:vMerge w:val="continue"/>
            <w:vAlign w:val="center"/>
          </w:tcPr>
          <w:p>
            <w:pPr>
              <w:spacing w:line="360" w:lineRule="auto"/>
              <w:rPr>
                <w:rFonts w:hint="eastAsia" w:ascii="仿宋_GB2312" w:hAnsi="仿宋_GB2312" w:eastAsia="仿宋_GB2312" w:cs="仿宋_GB2312"/>
                <w:sz w:val="18"/>
                <w:szCs w:val="18"/>
              </w:rPr>
            </w:pPr>
          </w:p>
        </w:tc>
        <w:tc>
          <w:tcPr>
            <w:tcW w:w="2133" w:type="dxa"/>
            <w:vMerge w:val="continue"/>
            <w:vAlign w:val="center"/>
          </w:tcPr>
          <w:p>
            <w:pPr>
              <w:spacing w:line="360" w:lineRule="auto"/>
              <w:rPr>
                <w:rFonts w:hint="eastAsia" w:ascii="仿宋_GB2312" w:hAnsi="仿宋_GB2312" w:eastAsia="仿宋_GB2312" w:cs="仿宋_GB2312"/>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6" w:hRule="atLeast"/>
        </w:trPr>
        <w:tc>
          <w:tcPr>
            <w:tcW w:w="1084" w:type="dxa"/>
            <w:vMerge w:val="restart"/>
            <w:vAlign w:val="center"/>
          </w:tcPr>
          <w:p>
            <w:pPr>
              <w:spacing w:line="360" w:lineRule="auto"/>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材料及</w:t>
            </w:r>
          </w:p>
          <w:p>
            <w:pPr>
              <w:spacing w:line="360" w:lineRule="auto"/>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工具</w:t>
            </w:r>
          </w:p>
        </w:tc>
        <w:tc>
          <w:tcPr>
            <w:tcW w:w="4920" w:type="dxa"/>
            <w:gridSpan w:val="2"/>
            <w:vAlign w:val="center"/>
          </w:tcPr>
          <w:p>
            <w:pPr>
              <w:spacing w:line="360" w:lineRule="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1.备用材料、工具按约定存放在现场现场</w:t>
            </w:r>
          </w:p>
        </w:tc>
        <w:tc>
          <w:tcPr>
            <w:tcW w:w="666" w:type="dxa"/>
            <w:vMerge w:val="restart"/>
            <w:vAlign w:val="center"/>
          </w:tcPr>
          <w:p>
            <w:pPr>
              <w:spacing w:line="360" w:lineRule="auto"/>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5</w:t>
            </w:r>
          </w:p>
        </w:tc>
        <w:tc>
          <w:tcPr>
            <w:tcW w:w="1267" w:type="dxa"/>
            <w:vMerge w:val="restart"/>
            <w:vAlign w:val="center"/>
          </w:tcPr>
          <w:p>
            <w:pPr>
              <w:spacing w:line="360" w:lineRule="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1.盘点</w:t>
            </w:r>
          </w:p>
          <w:p>
            <w:pPr>
              <w:spacing w:line="360" w:lineRule="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2.检查</w:t>
            </w:r>
          </w:p>
        </w:tc>
        <w:tc>
          <w:tcPr>
            <w:tcW w:w="2133" w:type="dxa"/>
            <w:vMerge w:val="restart"/>
            <w:vAlign w:val="center"/>
          </w:tcPr>
          <w:p>
            <w:pPr>
              <w:spacing w:line="360" w:lineRule="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不符合要求，-2分/次，5分扣完为止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 w:hRule="atLeast"/>
        </w:trPr>
        <w:tc>
          <w:tcPr>
            <w:tcW w:w="1084" w:type="dxa"/>
            <w:vMerge w:val="continue"/>
            <w:vAlign w:val="center"/>
          </w:tcPr>
          <w:p>
            <w:pPr>
              <w:spacing w:line="360" w:lineRule="auto"/>
              <w:jc w:val="center"/>
              <w:rPr>
                <w:rFonts w:hint="eastAsia" w:ascii="仿宋_GB2312" w:hAnsi="仿宋_GB2312" w:eastAsia="仿宋_GB2312" w:cs="仿宋_GB2312"/>
                <w:sz w:val="18"/>
                <w:szCs w:val="18"/>
              </w:rPr>
            </w:pPr>
          </w:p>
        </w:tc>
        <w:tc>
          <w:tcPr>
            <w:tcW w:w="4920" w:type="dxa"/>
            <w:gridSpan w:val="2"/>
            <w:vAlign w:val="center"/>
          </w:tcPr>
          <w:p>
            <w:pPr>
              <w:spacing w:line="360" w:lineRule="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2.备用材料满足日常小修使用品项及用量</w:t>
            </w:r>
          </w:p>
        </w:tc>
        <w:tc>
          <w:tcPr>
            <w:tcW w:w="666" w:type="dxa"/>
            <w:vMerge w:val="continue"/>
            <w:vAlign w:val="center"/>
          </w:tcPr>
          <w:p>
            <w:pPr>
              <w:spacing w:line="360" w:lineRule="auto"/>
              <w:jc w:val="center"/>
              <w:rPr>
                <w:rFonts w:hint="eastAsia" w:ascii="仿宋_GB2312" w:hAnsi="仿宋_GB2312" w:eastAsia="仿宋_GB2312" w:cs="仿宋_GB2312"/>
                <w:sz w:val="18"/>
                <w:szCs w:val="18"/>
              </w:rPr>
            </w:pPr>
          </w:p>
        </w:tc>
        <w:tc>
          <w:tcPr>
            <w:tcW w:w="1267" w:type="dxa"/>
            <w:vMerge w:val="continue"/>
            <w:vAlign w:val="center"/>
          </w:tcPr>
          <w:p>
            <w:pPr>
              <w:pStyle w:val="16"/>
              <w:spacing w:line="360" w:lineRule="auto"/>
              <w:rPr>
                <w:rFonts w:hint="eastAsia" w:ascii="仿宋_GB2312" w:hAnsi="仿宋_GB2312" w:eastAsia="仿宋_GB2312" w:cs="仿宋_GB2312"/>
                <w:sz w:val="18"/>
                <w:szCs w:val="18"/>
              </w:rPr>
            </w:pPr>
          </w:p>
        </w:tc>
        <w:tc>
          <w:tcPr>
            <w:tcW w:w="2133" w:type="dxa"/>
            <w:vMerge w:val="continue"/>
            <w:vAlign w:val="center"/>
          </w:tcPr>
          <w:p>
            <w:pPr>
              <w:spacing w:line="360" w:lineRule="auto"/>
              <w:rPr>
                <w:rFonts w:hint="eastAsia" w:ascii="仿宋_GB2312" w:hAnsi="仿宋_GB2312" w:eastAsia="仿宋_GB2312" w:cs="仿宋_GB2312"/>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trPr>
        <w:tc>
          <w:tcPr>
            <w:tcW w:w="1084" w:type="dxa"/>
            <w:vMerge w:val="restart"/>
            <w:vAlign w:val="center"/>
          </w:tcPr>
          <w:p>
            <w:pPr>
              <w:spacing w:line="360" w:lineRule="auto"/>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专业指导辅助</w:t>
            </w:r>
          </w:p>
        </w:tc>
        <w:tc>
          <w:tcPr>
            <w:tcW w:w="4920" w:type="dxa"/>
            <w:gridSpan w:val="2"/>
            <w:vAlign w:val="center"/>
          </w:tcPr>
          <w:p>
            <w:pPr>
              <w:spacing w:line="360" w:lineRule="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1.未能发现消防安全隐患，或发现隐患未能及时报告招标方提醒整改。</w:t>
            </w:r>
          </w:p>
        </w:tc>
        <w:tc>
          <w:tcPr>
            <w:tcW w:w="666" w:type="dxa"/>
            <w:vAlign w:val="center"/>
          </w:tcPr>
          <w:p>
            <w:pPr>
              <w:spacing w:line="360" w:lineRule="auto"/>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10</w:t>
            </w:r>
          </w:p>
        </w:tc>
        <w:tc>
          <w:tcPr>
            <w:tcW w:w="1267" w:type="dxa"/>
            <w:vAlign w:val="center"/>
          </w:tcPr>
          <w:p>
            <w:pPr>
              <w:spacing w:line="360" w:lineRule="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1.现场检查</w:t>
            </w:r>
          </w:p>
          <w:p>
            <w:pPr>
              <w:spacing w:line="360" w:lineRule="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2.核对资料</w:t>
            </w:r>
          </w:p>
        </w:tc>
        <w:tc>
          <w:tcPr>
            <w:tcW w:w="2133" w:type="dxa"/>
            <w:vAlign w:val="center"/>
          </w:tcPr>
          <w:p>
            <w:pPr>
              <w:spacing w:line="360" w:lineRule="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不符合要求，-3分/次，10分扣完为止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trPr>
        <w:tc>
          <w:tcPr>
            <w:tcW w:w="1084" w:type="dxa"/>
            <w:vMerge w:val="continue"/>
            <w:vAlign w:val="center"/>
          </w:tcPr>
          <w:p>
            <w:pPr>
              <w:spacing w:line="360" w:lineRule="auto"/>
              <w:jc w:val="center"/>
              <w:rPr>
                <w:rFonts w:hint="eastAsia" w:ascii="仿宋_GB2312" w:hAnsi="仿宋_GB2312" w:eastAsia="仿宋_GB2312" w:cs="仿宋_GB2312"/>
                <w:sz w:val="18"/>
                <w:szCs w:val="18"/>
              </w:rPr>
            </w:pPr>
          </w:p>
        </w:tc>
        <w:tc>
          <w:tcPr>
            <w:tcW w:w="4920" w:type="dxa"/>
            <w:gridSpan w:val="2"/>
            <w:vAlign w:val="center"/>
          </w:tcPr>
          <w:p>
            <w:pPr>
              <w:spacing w:line="360" w:lineRule="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2.未能及时了解国家、地方消防管理部门下发的最新消防安全规范并向招标方通报。</w:t>
            </w:r>
          </w:p>
        </w:tc>
        <w:tc>
          <w:tcPr>
            <w:tcW w:w="666" w:type="dxa"/>
            <w:vAlign w:val="center"/>
          </w:tcPr>
          <w:p>
            <w:pPr>
              <w:spacing w:line="360" w:lineRule="auto"/>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10</w:t>
            </w:r>
          </w:p>
        </w:tc>
        <w:tc>
          <w:tcPr>
            <w:tcW w:w="1267" w:type="dxa"/>
            <w:vAlign w:val="center"/>
          </w:tcPr>
          <w:p>
            <w:pPr>
              <w:spacing w:line="360" w:lineRule="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1.社会了解</w:t>
            </w:r>
          </w:p>
        </w:tc>
        <w:tc>
          <w:tcPr>
            <w:tcW w:w="2133" w:type="dxa"/>
            <w:vAlign w:val="center"/>
          </w:tcPr>
          <w:p>
            <w:pPr>
              <w:spacing w:line="360" w:lineRule="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不符合要求，-5分/次，10分扣完为止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6" w:hRule="atLeast"/>
        </w:trPr>
        <w:tc>
          <w:tcPr>
            <w:tcW w:w="1084" w:type="dxa"/>
            <w:vMerge w:val="restart"/>
            <w:vAlign w:val="center"/>
          </w:tcPr>
          <w:p>
            <w:pPr>
              <w:spacing w:line="360" w:lineRule="auto"/>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其他</w:t>
            </w:r>
          </w:p>
        </w:tc>
        <w:tc>
          <w:tcPr>
            <w:tcW w:w="4920" w:type="dxa"/>
            <w:gridSpan w:val="2"/>
          </w:tcPr>
          <w:p>
            <w:pPr>
              <w:spacing w:line="360" w:lineRule="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1.不严格遵守招标方管理、不服从招标方合理工作安排。</w:t>
            </w:r>
          </w:p>
        </w:tc>
        <w:tc>
          <w:tcPr>
            <w:tcW w:w="666" w:type="dxa"/>
            <w:vMerge w:val="restart"/>
            <w:vAlign w:val="center"/>
          </w:tcPr>
          <w:p>
            <w:pPr>
              <w:spacing w:line="360" w:lineRule="auto"/>
              <w:jc w:val="center"/>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10</w:t>
            </w:r>
          </w:p>
        </w:tc>
        <w:tc>
          <w:tcPr>
            <w:tcW w:w="1267" w:type="dxa"/>
            <w:vMerge w:val="restart"/>
            <w:vAlign w:val="center"/>
          </w:tcPr>
          <w:p>
            <w:pPr>
              <w:spacing w:line="360" w:lineRule="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1.检查记录</w:t>
            </w:r>
          </w:p>
          <w:p>
            <w:pPr>
              <w:spacing w:line="360" w:lineRule="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2.现场了解</w:t>
            </w:r>
          </w:p>
        </w:tc>
        <w:tc>
          <w:tcPr>
            <w:tcW w:w="2133" w:type="dxa"/>
            <w:vMerge w:val="restart"/>
            <w:vAlign w:val="center"/>
          </w:tcPr>
          <w:p>
            <w:pPr>
              <w:spacing w:line="360" w:lineRule="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不符合要求，-5分/次，10分扣完为止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2" w:hRule="atLeast"/>
        </w:trPr>
        <w:tc>
          <w:tcPr>
            <w:tcW w:w="1084" w:type="dxa"/>
            <w:vMerge w:val="continue"/>
            <w:vAlign w:val="center"/>
          </w:tcPr>
          <w:p>
            <w:pPr>
              <w:spacing w:line="360" w:lineRule="auto"/>
              <w:jc w:val="center"/>
              <w:rPr>
                <w:rFonts w:hint="eastAsia" w:ascii="仿宋_GB2312" w:hAnsi="仿宋_GB2312" w:eastAsia="仿宋_GB2312" w:cs="仿宋_GB2312"/>
                <w:sz w:val="18"/>
                <w:szCs w:val="18"/>
              </w:rPr>
            </w:pPr>
          </w:p>
        </w:tc>
        <w:tc>
          <w:tcPr>
            <w:tcW w:w="4920" w:type="dxa"/>
            <w:gridSpan w:val="2"/>
          </w:tcPr>
          <w:p>
            <w:pPr>
              <w:spacing w:line="360" w:lineRule="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2.现场维保作业发生客户有效投诉。</w:t>
            </w:r>
          </w:p>
        </w:tc>
        <w:tc>
          <w:tcPr>
            <w:tcW w:w="666" w:type="dxa"/>
            <w:vMerge w:val="continue"/>
            <w:vAlign w:val="center"/>
          </w:tcPr>
          <w:p>
            <w:pPr>
              <w:spacing w:line="360" w:lineRule="auto"/>
              <w:jc w:val="center"/>
              <w:rPr>
                <w:rFonts w:hint="eastAsia" w:ascii="仿宋_GB2312" w:hAnsi="仿宋_GB2312" w:eastAsia="仿宋_GB2312" w:cs="仿宋_GB2312"/>
                <w:sz w:val="18"/>
                <w:szCs w:val="18"/>
              </w:rPr>
            </w:pPr>
          </w:p>
        </w:tc>
        <w:tc>
          <w:tcPr>
            <w:tcW w:w="1267" w:type="dxa"/>
            <w:vMerge w:val="continue"/>
          </w:tcPr>
          <w:p>
            <w:pPr>
              <w:spacing w:line="360" w:lineRule="auto"/>
              <w:rPr>
                <w:rFonts w:hint="eastAsia" w:ascii="仿宋_GB2312" w:hAnsi="仿宋_GB2312" w:eastAsia="仿宋_GB2312" w:cs="仿宋_GB2312"/>
                <w:sz w:val="18"/>
                <w:szCs w:val="18"/>
              </w:rPr>
            </w:pPr>
          </w:p>
        </w:tc>
        <w:tc>
          <w:tcPr>
            <w:tcW w:w="2133" w:type="dxa"/>
            <w:vMerge w:val="continue"/>
          </w:tcPr>
          <w:p>
            <w:pPr>
              <w:spacing w:line="360" w:lineRule="auto"/>
              <w:rPr>
                <w:rFonts w:hint="eastAsia" w:ascii="仿宋_GB2312" w:hAnsi="仿宋_GB2312" w:eastAsia="仿宋_GB2312" w:cs="仿宋_GB2312"/>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9" w:hRule="atLeast"/>
        </w:trPr>
        <w:tc>
          <w:tcPr>
            <w:tcW w:w="1084" w:type="dxa"/>
            <w:vMerge w:val="continue"/>
            <w:vAlign w:val="center"/>
          </w:tcPr>
          <w:p>
            <w:pPr>
              <w:spacing w:line="360" w:lineRule="auto"/>
              <w:jc w:val="center"/>
              <w:rPr>
                <w:rFonts w:hint="eastAsia" w:ascii="仿宋_GB2312" w:hAnsi="仿宋_GB2312" w:eastAsia="仿宋_GB2312" w:cs="仿宋_GB2312"/>
                <w:sz w:val="18"/>
                <w:szCs w:val="18"/>
              </w:rPr>
            </w:pPr>
          </w:p>
        </w:tc>
        <w:tc>
          <w:tcPr>
            <w:tcW w:w="4920" w:type="dxa"/>
            <w:gridSpan w:val="2"/>
          </w:tcPr>
          <w:p>
            <w:pPr>
              <w:spacing w:line="360" w:lineRule="auto"/>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3.对国家和地方的专项工作不予配合支持完成</w:t>
            </w:r>
          </w:p>
        </w:tc>
        <w:tc>
          <w:tcPr>
            <w:tcW w:w="666" w:type="dxa"/>
            <w:vMerge w:val="continue"/>
            <w:vAlign w:val="center"/>
          </w:tcPr>
          <w:p>
            <w:pPr>
              <w:spacing w:line="360" w:lineRule="auto"/>
              <w:jc w:val="center"/>
              <w:rPr>
                <w:rFonts w:hint="eastAsia" w:ascii="仿宋_GB2312" w:hAnsi="仿宋_GB2312" w:eastAsia="仿宋_GB2312" w:cs="仿宋_GB2312"/>
                <w:sz w:val="18"/>
                <w:szCs w:val="18"/>
              </w:rPr>
            </w:pPr>
          </w:p>
        </w:tc>
        <w:tc>
          <w:tcPr>
            <w:tcW w:w="1267" w:type="dxa"/>
            <w:vMerge w:val="continue"/>
          </w:tcPr>
          <w:p>
            <w:pPr>
              <w:spacing w:line="360" w:lineRule="auto"/>
              <w:rPr>
                <w:rFonts w:hint="eastAsia" w:ascii="仿宋_GB2312" w:hAnsi="仿宋_GB2312" w:eastAsia="仿宋_GB2312" w:cs="仿宋_GB2312"/>
                <w:sz w:val="18"/>
                <w:szCs w:val="18"/>
              </w:rPr>
            </w:pPr>
          </w:p>
        </w:tc>
        <w:tc>
          <w:tcPr>
            <w:tcW w:w="2133" w:type="dxa"/>
            <w:vMerge w:val="continue"/>
          </w:tcPr>
          <w:p>
            <w:pPr>
              <w:spacing w:line="360" w:lineRule="auto"/>
              <w:rPr>
                <w:rFonts w:hint="eastAsia" w:ascii="仿宋_GB2312" w:hAnsi="仿宋_GB2312" w:eastAsia="仿宋_GB2312" w:cs="仿宋_GB2312"/>
                <w:sz w:val="18"/>
                <w:szCs w:val="18"/>
              </w:rPr>
            </w:pPr>
          </w:p>
        </w:tc>
      </w:tr>
    </w:tbl>
    <w:p>
      <w:pPr>
        <w:spacing w:line="360" w:lineRule="auto"/>
        <w:ind w:firstLine="480" w:firstLineChars="200"/>
        <w:rPr>
          <w:rFonts w:hint="eastAsia" w:asciiTheme="minorEastAsia" w:hAnsiTheme="minorEastAsia" w:eastAsiaTheme="minorEastAsia" w:cstheme="minorEastAsia"/>
          <w:sz w:val="24"/>
        </w:rPr>
      </w:pPr>
      <w:bookmarkStart w:id="32" w:name="_Toc6984_WPSOffice_Level1"/>
      <w:bookmarkStart w:id="33" w:name="_Toc14662_WPSOffice_Level1"/>
      <w:bookmarkStart w:id="34" w:name="_Toc14635_WPSOffice_Level1"/>
    </w:p>
    <w:p>
      <w:pPr>
        <w:spacing w:line="360" w:lineRule="auto"/>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考核说明：</w:t>
      </w:r>
      <w:bookmarkEnd w:id="32"/>
      <w:bookmarkEnd w:id="33"/>
    </w:p>
    <w:p>
      <w:pPr>
        <w:spacing w:line="360" w:lineRule="auto"/>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1.此表考核内容作为合同付款依据之一。</w:t>
      </w:r>
    </w:p>
    <w:p>
      <w:pPr>
        <w:spacing w:line="360" w:lineRule="auto"/>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2.每次考核分为90分为合格（含），不予折合扣款；在80（含）-90分区间内，每分折合扣款100元；在70（含）-80分区间内，每分折合扣款200元。每月对投标方进行1次考核，计算考核得分和扣款金额，每6个月对考核情况进行汇总。</w:t>
      </w:r>
    </w:p>
    <w:p>
      <w:pPr>
        <w:spacing w:line="360" w:lineRule="auto"/>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3.此表由招标方依据合同约定与考核项目对投标方进行考核。</w:t>
      </w:r>
    </w:p>
    <w:p>
      <w:pPr>
        <w:spacing w:line="360" w:lineRule="auto"/>
        <w:ind w:firstLine="560" w:firstLineChars="200"/>
        <w:rPr>
          <w:rFonts w:hint="eastAsia" w:ascii="仿宋_GB2312" w:hAnsi="仿宋_GB2312" w:eastAsia="仿宋_GB2312" w:cs="仿宋_GB2312"/>
          <w:sz w:val="28"/>
          <w:szCs w:val="28"/>
        </w:rPr>
      </w:pPr>
      <w:r>
        <w:rPr>
          <w:rFonts w:hint="eastAsia" w:ascii="仿宋_GB2312" w:hAnsi="仿宋_GB2312" w:eastAsia="仿宋_GB2312" w:cs="仿宋_GB2312"/>
          <w:sz w:val="28"/>
          <w:szCs w:val="28"/>
        </w:rPr>
        <w:t>4.</w:t>
      </w:r>
      <w:r>
        <w:rPr>
          <w:rFonts w:hint="eastAsia" w:ascii="仿宋_GB2312" w:hAnsi="仿宋_GB2312" w:eastAsia="仿宋_GB2312" w:cs="仿宋_GB2312"/>
          <w:bCs/>
          <w:sz w:val="28"/>
          <w:szCs w:val="28"/>
        </w:rPr>
        <w:t>如因投标方管理不善或失误，给招标方造成不良影响或重大经济损失、对投标方服务质量考核累计不合格达3次或服务不符合本技术规范书约定、在收到招标方的书面通知后10日内未整改或累计发生3次，招标方有权终止合同并由投标方承担相应的经济赔偿责任。</w:t>
      </w:r>
    </w:p>
    <w:bookmarkEnd w:id="34"/>
    <w:p>
      <w:pPr>
        <w:keepNext/>
        <w:widowControl/>
        <w:overflowPunct w:val="0"/>
        <w:autoSpaceDE w:val="0"/>
        <w:autoSpaceDN w:val="0"/>
        <w:adjustRightInd w:val="0"/>
        <w:spacing w:before="60" w:after="60" w:line="360" w:lineRule="auto"/>
        <w:ind w:firstLine="560" w:firstLineChars="200"/>
        <w:jc w:val="left"/>
        <w:textAlignment w:val="baseline"/>
        <w:outlineLvl w:val="0"/>
        <w:rPr>
          <w:rFonts w:hint="eastAsia" w:ascii="仿宋_GB2312" w:hAnsi="仿宋_GB2312" w:eastAsia="仿宋_GB2312" w:cs="仿宋_GB2312"/>
          <w:sz w:val="28"/>
          <w:szCs w:val="28"/>
        </w:rPr>
      </w:pPr>
      <w:bookmarkStart w:id="35" w:name="_Toc18609_WPSOffice_Level1"/>
      <w:bookmarkStart w:id="36" w:name="_Toc4129_WPSOffice_Level1"/>
      <w:bookmarkStart w:id="37" w:name="_Toc24962_WPSOffice_Level1"/>
      <w:bookmarkStart w:id="38" w:name="_Toc23818_WPSOffice_Level1"/>
      <w:bookmarkStart w:id="39" w:name="_Toc22588"/>
      <w:r>
        <w:rPr>
          <w:rFonts w:hint="eastAsia" w:ascii="仿宋_GB2312" w:hAnsi="仿宋_GB2312" w:eastAsia="仿宋_GB2312" w:cs="仿宋_GB2312"/>
          <w:sz w:val="28"/>
          <w:szCs w:val="28"/>
        </w:rPr>
        <w:t>十一、相关文件</w:t>
      </w:r>
      <w:bookmarkEnd w:id="35"/>
      <w:bookmarkEnd w:id="36"/>
      <w:bookmarkEnd w:id="37"/>
      <w:bookmarkEnd w:id="38"/>
      <w:bookmarkEnd w:id="39"/>
    </w:p>
    <w:p>
      <w:pPr>
        <w:spacing w:line="360" w:lineRule="auto"/>
        <w:ind w:firstLine="560" w:firstLineChars="200"/>
        <w:rPr>
          <w:rFonts w:hint="eastAsia" w:ascii="仿宋_GB2312" w:hAnsi="仿宋_GB2312" w:eastAsia="仿宋_GB2312" w:cs="仿宋_GB2312"/>
          <w:sz w:val="28"/>
          <w:szCs w:val="28"/>
        </w:rPr>
      </w:pPr>
      <w:bookmarkStart w:id="40" w:name="_Toc462"/>
      <w:r>
        <w:rPr>
          <w:rFonts w:hint="eastAsia" w:ascii="仿宋_GB2312" w:hAnsi="仿宋_GB2312" w:eastAsia="仿宋_GB2312" w:cs="仿宋_GB2312"/>
          <w:sz w:val="28"/>
          <w:szCs w:val="28"/>
        </w:rPr>
        <w:t>1、附录1：投标方负责更换维修故障或损坏消防设备设施或零部件清单</w:t>
      </w:r>
      <w:bookmarkStart w:id="41" w:name="_GoBack"/>
      <w:bookmarkEnd w:id="41"/>
    </w:p>
    <w:p>
      <w:pPr>
        <w:pStyle w:val="2"/>
        <w:rPr>
          <w:rFonts w:hint="eastAsia" w:ascii="仿宋_GB2312" w:hAnsi="仿宋_GB2312" w:eastAsia="仿宋_GB2312" w:cs="仿宋_GB2312"/>
          <w:sz w:val="28"/>
          <w:szCs w:val="28"/>
        </w:rPr>
      </w:pPr>
    </w:p>
    <w:p>
      <w:pPr>
        <w:rPr>
          <w:rFonts w:hint="eastAsia" w:ascii="仿宋_GB2312" w:hAnsi="仿宋_GB2312" w:eastAsia="仿宋_GB2312" w:cs="仿宋_GB2312"/>
          <w:b/>
          <w:bCs/>
          <w:kern w:val="0"/>
          <w:sz w:val="32"/>
          <w:szCs w:val="32"/>
        </w:rPr>
      </w:pPr>
      <w:r>
        <w:rPr>
          <w:rFonts w:hint="eastAsia" w:ascii="仿宋_GB2312" w:hAnsi="仿宋_GB2312" w:eastAsia="仿宋_GB2312" w:cs="仿宋_GB2312"/>
          <w:b/>
          <w:bCs/>
          <w:kern w:val="0"/>
          <w:sz w:val="32"/>
          <w:szCs w:val="32"/>
        </w:rPr>
        <w:br w:type="page"/>
      </w:r>
    </w:p>
    <w:p>
      <w:pPr>
        <w:keepNext/>
        <w:keepLines/>
        <w:adjustRightInd w:val="0"/>
        <w:snapToGrid w:val="0"/>
        <w:jc w:val="center"/>
        <w:rPr>
          <w:rFonts w:hint="eastAsia" w:ascii="宋体" w:hAnsi="宋体" w:cs="宋体"/>
          <w:kern w:val="0"/>
          <w:sz w:val="28"/>
          <w:szCs w:val="28"/>
        </w:rPr>
      </w:pPr>
      <w:r>
        <w:rPr>
          <w:rFonts w:hint="eastAsia" w:ascii="宋体" w:hAnsi="宋体" w:cs="宋体"/>
          <w:b/>
          <w:bCs/>
          <w:kern w:val="0"/>
          <w:sz w:val="28"/>
          <w:szCs w:val="28"/>
        </w:rPr>
        <w:t>附录1：投标方负责更换维修故障或损坏消防设备设施或零部件清单</w:t>
      </w:r>
      <w:bookmarkEnd w:id="40"/>
      <w:r>
        <w:rPr>
          <w:rFonts w:hint="eastAsia" w:ascii="宋体" w:hAnsi="宋体" w:cs="宋体"/>
          <w:b/>
          <w:bCs/>
          <w:kern w:val="0"/>
          <w:sz w:val="28"/>
          <w:szCs w:val="28"/>
        </w:rPr>
        <w:t>（报价应包含相应服务费）</w:t>
      </w:r>
    </w:p>
    <w:tbl>
      <w:tblPr>
        <w:tblStyle w:val="11"/>
        <w:tblpPr w:leftFromText="180" w:rightFromText="180" w:vertAnchor="text" w:horzAnchor="page" w:tblpX="1675" w:tblpY="176"/>
        <w:tblOverlap w:val="never"/>
        <w:tblW w:w="516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0"/>
        <w:gridCol w:w="2728"/>
        <w:gridCol w:w="3069"/>
        <w:gridCol w:w="736"/>
        <w:gridCol w:w="13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517" w:type="pct"/>
            <w:vAlign w:val="center"/>
          </w:tcPr>
          <w:p>
            <w:pPr>
              <w:widowControl/>
              <w:jc w:val="center"/>
              <w:textAlignment w:val="center"/>
              <w:rPr>
                <w:rFonts w:hint="eastAsia" w:ascii="宋体" w:hAnsi="宋体" w:cs="宋体"/>
                <w:sz w:val="20"/>
                <w:szCs w:val="20"/>
              </w:rPr>
            </w:pPr>
            <w:r>
              <w:rPr>
                <w:rFonts w:hint="eastAsia" w:ascii="宋体" w:hAnsi="宋体" w:cs="宋体"/>
                <w:kern w:val="0"/>
                <w:sz w:val="20"/>
                <w:szCs w:val="20"/>
                <w:lang w:bidi="ar"/>
              </w:rPr>
              <w:t>序号</w:t>
            </w:r>
          </w:p>
        </w:tc>
        <w:tc>
          <w:tcPr>
            <w:tcW w:w="1550" w:type="pct"/>
            <w:vAlign w:val="center"/>
          </w:tcPr>
          <w:p>
            <w:pPr>
              <w:widowControl/>
              <w:jc w:val="center"/>
              <w:textAlignment w:val="center"/>
              <w:rPr>
                <w:rFonts w:hint="eastAsia" w:ascii="宋体" w:hAnsi="宋体" w:cs="宋体"/>
                <w:sz w:val="20"/>
                <w:szCs w:val="20"/>
              </w:rPr>
            </w:pPr>
            <w:r>
              <w:rPr>
                <w:rFonts w:hint="eastAsia" w:ascii="宋体" w:hAnsi="宋体" w:cs="宋体"/>
                <w:kern w:val="0"/>
                <w:sz w:val="20"/>
                <w:szCs w:val="20"/>
                <w:lang w:bidi="ar"/>
              </w:rPr>
              <w:t>设备设施名称</w:t>
            </w:r>
          </w:p>
        </w:tc>
        <w:tc>
          <w:tcPr>
            <w:tcW w:w="1744" w:type="pct"/>
            <w:vAlign w:val="center"/>
          </w:tcPr>
          <w:p>
            <w:pPr>
              <w:widowControl/>
              <w:jc w:val="center"/>
              <w:textAlignment w:val="top"/>
              <w:rPr>
                <w:rFonts w:hint="eastAsia" w:ascii="宋体" w:hAnsi="宋体" w:cs="宋体"/>
                <w:sz w:val="20"/>
                <w:szCs w:val="20"/>
              </w:rPr>
            </w:pPr>
            <w:r>
              <w:rPr>
                <w:rFonts w:hint="eastAsia" w:ascii="宋体" w:hAnsi="宋体" w:cs="宋体"/>
                <w:kern w:val="0"/>
                <w:sz w:val="20"/>
                <w:szCs w:val="20"/>
                <w:lang w:bidi="ar"/>
              </w:rPr>
              <w:t>规格型号</w:t>
            </w:r>
          </w:p>
        </w:tc>
        <w:tc>
          <w:tcPr>
            <w:tcW w:w="418" w:type="pct"/>
            <w:vAlign w:val="center"/>
          </w:tcPr>
          <w:p>
            <w:pPr>
              <w:widowControl/>
              <w:jc w:val="center"/>
              <w:textAlignment w:val="top"/>
              <w:rPr>
                <w:rFonts w:hint="eastAsia" w:ascii="宋体" w:hAnsi="宋体" w:cs="宋体"/>
                <w:sz w:val="20"/>
                <w:szCs w:val="20"/>
              </w:rPr>
            </w:pPr>
            <w:r>
              <w:rPr>
                <w:rFonts w:hint="eastAsia" w:ascii="宋体" w:hAnsi="宋体" w:cs="宋体"/>
                <w:sz w:val="20"/>
                <w:szCs w:val="20"/>
              </w:rPr>
              <w:t>单位</w:t>
            </w:r>
          </w:p>
        </w:tc>
        <w:tc>
          <w:tcPr>
            <w:tcW w:w="768" w:type="pct"/>
            <w:vAlign w:val="center"/>
          </w:tcPr>
          <w:p>
            <w:pPr>
              <w:widowControl/>
              <w:jc w:val="center"/>
              <w:textAlignment w:val="top"/>
              <w:rPr>
                <w:rFonts w:hint="eastAsia" w:ascii="宋体" w:hAnsi="宋体" w:cs="宋体"/>
                <w:kern w:val="0"/>
                <w:sz w:val="20"/>
                <w:szCs w:val="20"/>
                <w:lang w:bidi="ar"/>
              </w:rPr>
            </w:pPr>
            <w:r>
              <w:rPr>
                <w:rFonts w:hint="eastAsia" w:ascii="宋体" w:hAnsi="宋体" w:cs="宋体"/>
                <w:kern w:val="0"/>
                <w:sz w:val="20"/>
                <w:szCs w:val="20"/>
                <w:lang w:bidi="ar"/>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6" w:hRule="atLeast"/>
        </w:trPr>
        <w:tc>
          <w:tcPr>
            <w:tcW w:w="517" w:type="pct"/>
            <w:vAlign w:val="center"/>
          </w:tcPr>
          <w:p>
            <w:pPr>
              <w:numPr>
                <w:ilvl w:val="0"/>
                <w:numId w:val="1"/>
              </w:numPr>
              <w:jc w:val="center"/>
              <w:rPr>
                <w:rFonts w:hint="eastAsia" w:ascii="宋体" w:hAnsi="宋体" w:cs="宋体"/>
                <w:sz w:val="20"/>
                <w:szCs w:val="20"/>
              </w:rPr>
            </w:pPr>
          </w:p>
        </w:tc>
        <w:tc>
          <w:tcPr>
            <w:tcW w:w="1550" w:type="pct"/>
            <w:vAlign w:val="center"/>
          </w:tcPr>
          <w:p>
            <w:pPr>
              <w:widowControl/>
              <w:jc w:val="left"/>
              <w:textAlignment w:val="center"/>
              <w:rPr>
                <w:rFonts w:hint="eastAsia" w:ascii="宋体" w:hAnsi="宋体" w:cs="宋体"/>
                <w:sz w:val="20"/>
                <w:szCs w:val="20"/>
              </w:rPr>
            </w:pPr>
            <w:r>
              <w:rPr>
                <w:rFonts w:hint="eastAsia" w:ascii="宋体" w:hAnsi="宋体" w:cs="宋体"/>
                <w:kern w:val="0"/>
                <w:sz w:val="20"/>
                <w:szCs w:val="20"/>
                <w:lang w:bidi="ar"/>
              </w:rPr>
              <w:t>手提式干粉灭火器</w:t>
            </w:r>
          </w:p>
        </w:tc>
        <w:tc>
          <w:tcPr>
            <w:tcW w:w="1744" w:type="pct"/>
            <w:vAlign w:val="center"/>
          </w:tcPr>
          <w:p>
            <w:pPr>
              <w:widowControl/>
              <w:jc w:val="center"/>
              <w:textAlignment w:val="center"/>
              <w:rPr>
                <w:rFonts w:hint="eastAsia" w:ascii="宋体" w:hAnsi="宋体" w:cs="宋体"/>
                <w:sz w:val="20"/>
                <w:szCs w:val="20"/>
              </w:rPr>
            </w:pPr>
            <w:r>
              <w:rPr>
                <w:rFonts w:hint="eastAsia" w:ascii="宋体" w:hAnsi="宋体" w:cs="宋体"/>
                <w:kern w:val="0"/>
                <w:sz w:val="20"/>
                <w:szCs w:val="20"/>
                <w:lang w:bidi="ar"/>
              </w:rPr>
              <w:t>MFZ/ABC 4型</w:t>
            </w:r>
          </w:p>
        </w:tc>
        <w:tc>
          <w:tcPr>
            <w:tcW w:w="418" w:type="pct"/>
            <w:vAlign w:val="center"/>
          </w:tcPr>
          <w:p>
            <w:pPr>
              <w:jc w:val="center"/>
              <w:rPr>
                <w:rFonts w:hint="eastAsia" w:ascii="宋体" w:hAnsi="宋体" w:cs="宋体"/>
                <w:sz w:val="20"/>
                <w:szCs w:val="20"/>
              </w:rPr>
            </w:pPr>
            <w:r>
              <w:rPr>
                <w:rFonts w:hint="eastAsia" w:ascii="宋体" w:hAnsi="宋体" w:cs="宋体"/>
                <w:sz w:val="20"/>
                <w:szCs w:val="20"/>
              </w:rPr>
              <w:t>瓶</w:t>
            </w:r>
          </w:p>
        </w:tc>
        <w:tc>
          <w:tcPr>
            <w:tcW w:w="768" w:type="pct"/>
            <w:vAlign w:val="center"/>
          </w:tcPr>
          <w:p>
            <w:pPr>
              <w:jc w:val="center"/>
              <w:rPr>
                <w:rFonts w:hint="eastAsia" w:ascii="宋体" w:hAnsi="宋体" w:cs="宋体"/>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17" w:type="pct"/>
            <w:vAlign w:val="center"/>
          </w:tcPr>
          <w:p>
            <w:pPr>
              <w:numPr>
                <w:ilvl w:val="0"/>
                <w:numId w:val="1"/>
              </w:numPr>
              <w:jc w:val="center"/>
              <w:rPr>
                <w:rFonts w:hint="eastAsia" w:ascii="宋体" w:hAnsi="宋体" w:cs="宋体"/>
                <w:sz w:val="20"/>
                <w:szCs w:val="20"/>
              </w:rPr>
            </w:pPr>
          </w:p>
        </w:tc>
        <w:tc>
          <w:tcPr>
            <w:tcW w:w="1550" w:type="pct"/>
            <w:vAlign w:val="center"/>
          </w:tcPr>
          <w:p>
            <w:pPr>
              <w:widowControl/>
              <w:jc w:val="left"/>
              <w:textAlignment w:val="center"/>
              <w:rPr>
                <w:rFonts w:hint="eastAsia" w:ascii="宋体" w:hAnsi="宋体" w:cs="宋体"/>
                <w:sz w:val="20"/>
                <w:szCs w:val="20"/>
              </w:rPr>
            </w:pPr>
            <w:r>
              <w:rPr>
                <w:rFonts w:hint="eastAsia" w:ascii="宋体" w:hAnsi="宋体" w:cs="宋体"/>
                <w:kern w:val="0"/>
                <w:sz w:val="20"/>
                <w:szCs w:val="20"/>
                <w:lang w:bidi="ar"/>
              </w:rPr>
              <w:t>消防栓栓头</w:t>
            </w:r>
          </w:p>
        </w:tc>
        <w:tc>
          <w:tcPr>
            <w:tcW w:w="1744" w:type="pct"/>
            <w:vAlign w:val="center"/>
          </w:tcPr>
          <w:p>
            <w:pPr>
              <w:widowControl/>
              <w:jc w:val="center"/>
              <w:textAlignment w:val="center"/>
              <w:rPr>
                <w:rFonts w:hint="eastAsia" w:ascii="宋体" w:hAnsi="宋体" w:cs="宋体"/>
                <w:sz w:val="20"/>
                <w:szCs w:val="20"/>
              </w:rPr>
            </w:pPr>
            <w:r>
              <w:rPr>
                <w:rFonts w:hint="eastAsia" w:ascii="宋体" w:hAnsi="宋体" w:cs="宋体"/>
                <w:kern w:val="0"/>
                <w:sz w:val="20"/>
                <w:szCs w:val="20"/>
                <w:lang w:bidi="ar"/>
              </w:rPr>
              <w:t>SNI65</w:t>
            </w:r>
          </w:p>
        </w:tc>
        <w:tc>
          <w:tcPr>
            <w:tcW w:w="418" w:type="pct"/>
            <w:vAlign w:val="center"/>
          </w:tcPr>
          <w:p>
            <w:pPr>
              <w:jc w:val="center"/>
              <w:rPr>
                <w:rFonts w:hint="eastAsia" w:ascii="宋体" w:hAnsi="宋体" w:cs="宋体"/>
                <w:sz w:val="20"/>
                <w:szCs w:val="20"/>
              </w:rPr>
            </w:pPr>
            <w:r>
              <w:rPr>
                <w:rFonts w:hint="eastAsia" w:ascii="宋体" w:hAnsi="宋体" w:cs="宋体"/>
                <w:sz w:val="20"/>
                <w:szCs w:val="20"/>
              </w:rPr>
              <w:t>个</w:t>
            </w:r>
          </w:p>
        </w:tc>
        <w:tc>
          <w:tcPr>
            <w:tcW w:w="768" w:type="pct"/>
            <w:vAlign w:val="center"/>
          </w:tcPr>
          <w:p>
            <w:pPr>
              <w:jc w:val="center"/>
              <w:rPr>
                <w:rFonts w:hint="eastAsia" w:ascii="宋体" w:hAnsi="宋体" w:cs="宋体"/>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17" w:type="pct"/>
            <w:vMerge w:val="restart"/>
            <w:vAlign w:val="center"/>
          </w:tcPr>
          <w:p>
            <w:pPr>
              <w:numPr>
                <w:ilvl w:val="0"/>
                <w:numId w:val="1"/>
              </w:numPr>
              <w:jc w:val="center"/>
              <w:rPr>
                <w:rFonts w:hint="eastAsia" w:ascii="宋体" w:hAnsi="宋体" w:cs="宋体"/>
                <w:sz w:val="20"/>
                <w:szCs w:val="20"/>
              </w:rPr>
            </w:pPr>
          </w:p>
        </w:tc>
        <w:tc>
          <w:tcPr>
            <w:tcW w:w="1550" w:type="pct"/>
            <w:vMerge w:val="restart"/>
            <w:vAlign w:val="center"/>
          </w:tcPr>
          <w:p>
            <w:pPr>
              <w:widowControl/>
              <w:jc w:val="left"/>
              <w:textAlignment w:val="center"/>
              <w:rPr>
                <w:rFonts w:hint="eastAsia" w:ascii="宋体" w:hAnsi="宋体" w:cs="宋体"/>
                <w:sz w:val="20"/>
                <w:szCs w:val="20"/>
              </w:rPr>
            </w:pPr>
            <w:r>
              <w:rPr>
                <w:rFonts w:hint="eastAsia" w:ascii="宋体" w:hAnsi="宋体" w:cs="宋体"/>
                <w:sz w:val="20"/>
                <w:szCs w:val="20"/>
              </w:rPr>
              <w:t>室外消火栓</w:t>
            </w:r>
          </w:p>
        </w:tc>
        <w:tc>
          <w:tcPr>
            <w:tcW w:w="1744" w:type="pct"/>
            <w:vAlign w:val="center"/>
          </w:tcPr>
          <w:p>
            <w:pPr>
              <w:widowControl/>
              <w:jc w:val="center"/>
              <w:textAlignment w:val="center"/>
              <w:rPr>
                <w:rFonts w:hint="eastAsia" w:ascii="宋体" w:hAnsi="宋体" w:cs="宋体"/>
                <w:sz w:val="20"/>
                <w:szCs w:val="20"/>
              </w:rPr>
            </w:pPr>
            <w:r>
              <w:rPr>
                <w:rFonts w:hint="eastAsia" w:ascii="宋体" w:hAnsi="宋体" w:cs="宋体"/>
                <w:sz w:val="20"/>
                <w:szCs w:val="20"/>
              </w:rPr>
              <w:t>DN100</w:t>
            </w:r>
          </w:p>
        </w:tc>
        <w:tc>
          <w:tcPr>
            <w:tcW w:w="418" w:type="pct"/>
            <w:vAlign w:val="center"/>
          </w:tcPr>
          <w:p>
            <w:pPr>
              <w:jc w:val="center"/>
              <w:rPr>
                <w:rFonts w:hint="eastAsia" w:ascii="宋体" w:hAnsi="宋体" w:cs="宋体"/>
                <w:sz w:val="20"/>
                <w:szCs w:val="20"/>
              </w:rPr>
            </w:pPr>
            <w:r>
              <w:rPr>
                <w:rFonts w:hint="eastAsia" w:ascii="宋体" w:hAnsi="宋体" w:cs="宋体"/>
                <w:sz w:val="20"/>
                <w:szCs w:val="20"/>
              </w:rPr>
              <w:t>套</w:t>
            </w:r>
          </w:p>
        </w:tc>
        <w:tc>
          <w:tcPr>
            <w:tcW w:w="768" w:type="pct"/>
            <w:vAlign w:val="center"/>
          </w:tcPr>
          <w:p>
            <w:pPr>
              <w:jc w:val="center"/>
              <w:rPr>
                <w:rFonts w:hint="eastAsia" w:ascii="宋体" w:hAnsi="宋体" w:cs="宋体"/>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6" w:hRule="atLeast"/>
        </w:trPr>
        <w:tc>
          <w:tcPr>
            <w:tcW w:w="517" w:type="pct"/>
            <w:vMerge w:val="continue"/>
            <w:vAlign w:val="center"/>
          </w:tcPr>
          <w:p>
            <w:pPr>
              <w:tabs>
                <w:tab w:val="left" w:pos="420"/>
              </w:tabs>
              <w:ind w:left="420" w:hanging="420"/>
              <w:jc w:val="center"/>
              <w:rPr>
                <w:rFonts w:hint="eastAsia" w:ascii="宋体" w:hAnsi="宋体" w:cs="宋体"/>
                <w:sz w:val="20"/>
                <w:szCs w:val="20"/>
              </w:rPr>
            </w:pPr>
          </w:p>
        </w:tc>
        <w:tc>
          <w:tcPr>
            <w:tcW w:w="1550" w:type="pct"/>
            <w:vMerge w:val="continue"/>
            <w:vAlign w:val="center"/>
          </w:tcPr>
          <w:p>
            <w:pPr>
              <w:widowControl/>
              <w:jc w:val="left"/>
              <w:textAlignment w:val="center"/>
              <w:rPr>
                <w:rFonts w:hint="eastAsia" w:ascii="宋体" w:hAnsi="宋体" w:cs="宋体"/>
                <w:sz w:val="20"/>
                <w:szCs w:val="20"/>
              </w:rPr>
            </w:pPr>
          </w:p>
        </w:tc>
        <w:tc>
          <w:tcPr>
            <w:tcW w:w="1744" w:type="pct"/>
            <w:vAlign w:val="center"/>
          </w:tcPr>
          <w:p>
            <w:pPr>
              <w:widowControl/>
              <w:jc w:val="center"/>
              <w:textAlignment w:val="center"/>
              <w:rPr>
                <w:rFonts w:hint="eastAsia" w:ascii="宋体" w:hAnsi="宋体" w:cs="宋体"/>
                <w:sz w:val="20"/>
                <w:szCs w:val="20"/>
              </w:rPr>
            </w:pPr>
            <w:r>
              <w:rPr>
                <w:rFonts w:hint="eastAsia" w:ascii="宋体" w:hAnsi="宋体" w:cs="宋体"/>
                <w:sz w:val="20"/>
                <w:szCs w:val="20"/>
              </w:rPr>
              <w:t>DN150</w:t>
            </w:r>
          </w:p>
        </w:tc>
        <w:tc>
          <w:tcPr>
            <w:tcW w:w="418" w:type="pct"/>
            <w:vAlign w:val="center"/>
          </w:tcPr>
          <w:p>
            <w:pPr>
              <w:jc w:val="center"/>
              <w:rPr>
                <w:rFonts w:hint="eastAsia" w:ascii="宋体" w:hAnsi="宋体" w:cs="宋体"/>
                <w:sz w:val="20"/>
                <w:szCs w:val="20"/>
              </w:rPr>
            </w:pPr>
            <w:r>
              <w:rPr>
                <w:rFonts w:hint="eastAsia" w:ascii="宋体" w:hAnsi="宋体" w:cs="宋体"/>
                <w:sz w:val="20"/>
                <w:szCs w:val="20"/>
              </w:rPr>
              <w:t>套</w:t>
            </w:r>
          </w:p>
        </w:tc>
        <w:tc>
          <w:tcPr>
            <w:tcW w:w="768" w:type="pct"/>
            <w:vAlign w:val="center"/>
          </w:tcPr>
          <w:p>
            <w:pPr>
              <w:jc w:val="center"/>
              <w:rPr>
                <w:rFonts w:hint="eastAsia" w:ascii="宋体" w:hAnsi="宋体" w:cs="宋体"/>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2" w:hRule="atLeast"/>
        </w:trPr>
        <w:tc>
          <w:tcPr>
            <w:tcW w:w="517" w:type="pct"/>
            <w:vAlign w:val="center"/>
          </w:tcPr>
          <w:p>
            <w:pPr>
              <w:numPr>
                <w:ilvl w:val="0"/>
                <w:numId w:val="1"/>
              </w:numPr>
              <w:jc w:val="center"/>
              <w:rPr>
                <w:rFonts w:hint="eastAsia" w:ascii="宋体" w:hAnsi="宋体" w:cs="宋体"/>
                <w:sz w:val="20"/>
                <w:szCs w:val="20"/>
              </w:rPr>
            </w:pPr>
          </w:p>
        </w:tc>
        <w:tc>
          <w:tcPr>
            <w:tcW w:w="1550" w:type="pct"/>
            <w:vAlign w:val="center"/>
          </w:tcPr>
          <w:p>
            <w:pPr>
              <w:widowControl/>
              <w:jc w:val="left"/>
              <w:textAlignment w:val="center"/>
              <w:rPr>
                <w:rFonts w:hint="eastAsia" w:ascii="宋体" w:hAnsi="宋体" w:cs="宋体"/>
                <w:sz w:val="20"/>
                <w:szCs w:val="20"/>
              </w:rPr>
            </w:pPr>
            <w:r>
              <w:rPr>
                <w:rFonts w:hint="eastAsia" w:ascii="宋体" w:hAnsi="宋体" w:cs="宋体"/>
                <w:kern w:val="0"/>
                <w:sz w:val="20"/>
                <w:szCs w:val="20"/>
                <w:lang w:bidi="ar"/>
              </w:rPr>
              <w:t>消防水带</w:t>
            </w:r>
          </w:p>
        </w:tc>
        <w:tc>
          <w:tcPr>
            <w:tcW w:w="1744" w:type="pct"/>
            <w:vAlign w:val="center"/>
          </w:tcPr>
          <w:p>
            <w:pPr>
              <w:widowControl/>
              <w:jc w:val="center"/>
              <w:textAlignment w:val="center"/>
              <w:rPr>
                <w:rFonts w:hint="eastAsia" w:ascii="宋体" w:hAnsi="宋体" w:cs="宋体"/>
                <w:sz w:val="20"/>
                <w:szCs w:val="20"/>
              </w:rPr>
            </w:pPr>
            <w:r>
              <w:rPr>
                <w:rFonts w:hint="eastAsia" w:ascii="宋体" w:hAnsi="宋体" w:cs="宋体"/>
                <w:kern w:val="0"/>
                <w:sz w:val="20"/>
                <w:szCs w:val="20"/>
                <w:lang w:bidi="ar"/>
              </w:rPr>
              <w:t>8-65-20</w:t>
            </w:r>
          </w:p>
        </w:tc>
        <w:tc>
          <w:tcPr>
            <w:tcW w:w="418" w:type="pct"/>
            <w:vAlign w:val="center"/>
          </w:tcPr>
          <w:p>
            <w:pPr>
              <w:jc w:val="center"/>
              <w:rPr>
                <w:rFonts w:hint="eastAsia" w:ascii="宋体" w:hAnsi="宋体" w:cs="宋体"/>
                <w:sz w:val="20"/>
                <w:szCs w:val="20"/>
              </w:rPr>
            </w:pPr>
            <w:r>
              <w:rPr>
                <w:rFonts w:hint="eastAsia" w:ascii="宋体" w:hAnsi="宋体" w:cs="宋体"/>
                <w:sz w:val="20"/>
                <w:szCs w:val="20"/>
              </w:rPr>
              <w:t>条</w:t>
            </w:r>
          </w:p>
        </w:tc>
        <w:tc>
          <w:tcPr>
            <w:tcW w:w="768" w:type="pct"/>
            <w:vAlign w:val="center"/>
          </w:tcPr>
          <w:p>
            <w:pPr>
              <w:jc w:val="center"/>
              <w:rPr>
                <w:rFonts w:hint="eastAsia" w:ascii="宋体" w:hAnsi="宋体" w:cs="宋体"/>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 w:hRule="atLeast"/>
        </w:trPr>
        <w:tc>
          <w:tcPr>
            <w:tcW w:w="517" w:type="pct"/>
            <w:vAlign w:val="center"/>
          </w:tcPr>
          <w:p>
            <w:pPr>
              <w:numPr>
                <w:ilvl w:val="0"/>
                <w:numId w:val="1"/>
              </w:numPr>
              <w:jc w:val="center"/>
              <w:rPr>
                <w:rFonts w:hint="eastAsia" w:ascii="宋体" w:hAnsi="宋体" w:cs="宋体"/>
                <w:sz w:val="20"/>
                <w:szCs w:val="20"/>
              </w:rPr>
            </w:pPr>
          </w:p>
        </w:tc>
        <w:tc>
          <w:tcPr>
            <w:tcW w:w="1550" w:type="pct"/>
            <w:vAlign w:val="center"/>
          </w:tcPr>
          <w:p>
            <w:pPr>
              <w:widowControl/>
              <w:jc w:val="left"/>
              <w:textAlignment w:val="center"/>
              <w:rPr>
                <w:rFonts w:hint="eastAsia" w:ascii="宋体" w:hAnsi="宋体" w:cs="宋体"/>
                <w:sz w:val="20"/>
                <w:szCs w:val="20"/>
              </w:rPr>
            </w:pPr>
            <w:r>
              <w:rPr>
                <w:rFonts w:hint="eastAsia" w:ascii="宋体" w:hAnsi="宋体" w:cs="宋体"/>
                <w:kern w:val="0"/>
                <w:sz w:val="20"/>
                <w:szCs w:val="20"/>
                <w:lang w:bidi="ar"/>
              </w:rPr>
              <w:t>安全出口标示牌</w:t>
            </w:r>
          </w:p>
        </w:tc>
        <w:tc>
          <w:tcPr>
            <w:tcW w:w="1744" w:type="pct"/>
            <w:vAlign w:val="center"/>
          </w:tcPr>
          <w:p>
            <w:pPr>
              <w:widowControl/>
              <w:jc w:val="center"/>
              <w:textAlignment w:val="center"/>
              <w:rPr>
                <w:rFonts w:hint="eastAsia" w:ascii="宋体" w:hAnsi="宋体" w:cs="宋体"/>
                <w:sz w:val="20"/>
                <w:szCs w:val="20"/>
              </w:rPr>
            </w:pPr>
            <w:r>
              <w:rPr>
                <w:rFonts w:hint="eastAsia" w:ascii="宋体" w:hAnsi="宋体" w:cs="宋体"/>
                <w:kern w:val="0"/>
                <w:sz w:val="20"/>
                <w:szCs w:val="20"/>
                <w:lang w:bidi="ar"/>
              </w:rPr>
              <w:t>TYJD-BZ-60</w:t>
            </w:r>
          </w:p>
        </w:tc>
        <w:tc>
          <w:tcPr>
            <w:tcW w:w="418" w:type="pct"/>
            <w:vAlign w:val="center"/>
          </w:tcPr>
          <w:p>
            <w:pPr>
              <w:jc w:val="center"/>
              <w:rPr>
                <w:rFonts w:hint="eastAsia" w:ascii="宋体" w:hAnsi="宋体" w:cs="宋体"/>
                <w:sz w:val="20"/>
                <w:szCs w:val="20"/>
              </w:rPr>
            </w:pPr>
            <w:r>
              <w:rPr>
                <w:rFonts w:hint="eastAsia" w:ascii="宋体" w:hAnsi="宋体" w:cs="宋体"/>
                <w:sz w:val="20"/>
                <w:szCs w:val="20"/>
              </w:rPr>
              <w:t>套</w:t>
            </w:r>
          </w:p>
        </w:tc>
        <w:tc>
          <w:tcPr>
            <w:tcW w:w="768" w:type="pct"/>
            <w:vAlign w:val="center"/>
          </w:tcPr>
          <w:p>
            <w:pPr>
              <w:jc w:val="center"/>
              <w:rPr>
                <w:rFonts w:hint="eastAsia" w:ascii="宋体" w:hAnsi="宋体" w:cs="宋体"/>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9" w:hRule="atLeast"/>
        </w:trPr>
        <w:tc>
          <w:tcPr>
            <w:tcW w:w="517" w:type="pct"/>
            <w:vAlign w:val="center"/>
          </w:tcPr>
          <w:p>
            <w:pPr>
              <w:numPr>
                <w:ilvl w:val="0"/>
                <w:numId w:val="1"/>
              </w:numPr>
              <w:jc w:val="center"/>
              <w:rPr>
                <w:rFonts w:hint="eastAsia" w:ascii="宋体" w:hAnsi="宋体" w:cs="宋体"/>
                <w:sz w:val="20"/>
                <w:szCs w:val="20"/>
              </w:rPr>
            </w:pPr>
          </w:p>
        </w:tc>
        <w:tc>
          <w:tcPr>
            <w:tcW w:w="1550" w:type="pct"/>
            <w:vAlign w:val="center"/>
          </w:tcPr>
          <w:p>
            <w:pPr>
              <w:widowControl/>
              <w:jc w:val="left"/>
              <w:textAlignment w:val="center"/>
              <w:rPr>
                <w:rFonts w:hint="eastAsia" w:ascii="宋体" w:hAnsi="宋体" w:cs="宋体"/>
                <w:sz w:val="20"/>
                <w:szCs w:val="20"/>
              </w:rPr>
            </w:pPr>
            <w:r>
              <w:rPr>
                <w:rFonts w:hint="eastAsia" w:ascii="宋体" w:hAnsi="宋体" w:cs="宋体"/>
                <w:kern w:val="0"/>
                <w:sz w:val="20"/>
                <w:szCs w:val="20"/>
                <w:lang w:bidi="ar"/>
              </w:rPr>
              <w:t>喷淋头</w:t>
            </w:r>
          </w:p>
        </w:tc>
        <w:tc>
          <w:tcPr>
            <w:tcW w:w="1744" w:type="pct"/>
            <w:vAlign w:val="center"/>
          </w:tcPr>
          <w:p>
            <w:pPr>
              <w:widowControl/>
              <w:jc w:val="center"/>
              <w:textAlignment w:val="center"/>
              <w:rPr>
                <w:rFonts w:hint="eastAsia" w:ascii="宋体" w:hAnsi="宋体" w:cs="宋体"/>
                <w:sz w:val="20"/>
                <w:szCs w:val="20"/>
              </w:rPr>
            </w:pPr>
            <w:r>
              <w:rPr>
                <w:rFonts w:hint="eastAsia" w:ascii="宋体" w:hAnsi="宋体" w:cs="宋体"/>
                <w:kern w:val="0"/>
                <w:sz w:val="20"/>
                <w:szCs w:val="20"/>
                <w:lang w:bidi="ar"/>
              </w:rPr>
              <w:t>ALDT-ZSTX15-68℃</w:t>
            </w:r>
          </w:p>
        </w:tc>
        <w:tc>
          <w:tcPr>
            <w:tcW w:w="418" w:type="pct"/>
            <w:vAlign w:val="center"/>
          </w:tcPr>
          <w:p>
            <w:pPr>
              <w:jc w:val="center"/>
              <w:rPr>
                <w:rFonts w:hint="eastAsia" w:ascii="宋体" w:hAnsi="宋体" w:cs="宋体"/>
                <w:sz w:val="20"/>
                <w:szCs w:val="20"/>
              </w:rPr>
            </w:pPr>
            <w:r>
              <w:rPr>
                <w:rFonts w:hint="eastAsia" w:ascii="宋体" w:hAnsi="宋体" w:cs="宋体"/>
                <w:sz w:val="20"/>
                <w:szCs w:val="20"/>
              </w:rPr>
              <w:t>个</w:t>
            </w:r>
          </w:p>
        </w:tc>
        <w:tc>
          <w:tcPr>
            <w:tcW w:w="768" w:type="pct"/>
            <w:vAlign w:val="center"/>
          </w:tcPr>
          <w:p>
            <w:pPr>
              <w:jc w:val="center"/>
              <w:rPr>
                <w:rFonts w:hint="eastAsia" w:ascii="宋体" w:hAnsi="宋体" w:cs="宋体"/>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2" w:hRule="atLeast"/>
        </w:trPr>
        <w:tc>
          <w:tcPr>
            <w:tcW w:w="517" w:type="pct"/>
            <w:vAlign w:val="center"/>
          </w:tcPr>
          <w:p>
            <w:pPr>
              <w:numPr>
                <w:ilvl w:val="0"/>
                <w:numId w:val="1"/>
              </w:numPr>
              <w:jc w:val="center"/>
              <w:rPr>
                <w:rFonts w:hint="eastAsia" w:ascii="宋体" w:hAnsi="宋体" w:cs="宋体"/>
                <w:sz w:val="20"/>
                <w:szCs w:val="20"/>
              </w:rPr>
            </w:pPr>
          </w:p>
        </w:tc>
        <w:tc>
          <w:tcPr>
            <w:tcW w:w="1550" w:type="pct"/>
            <w:vAlign w:val="center"/>
          </w:tcPr>
          <w:p>
            <w:pPr>
              <w:widowControl/>
              <w:jc w:val="left"/>
              <w:textAlignment w:val="center"/>
              <w:rPr>
                <w:rFonts w:hint="eastAsia" w:ascii="宋体" w:hAnsi="宋体" w:cs="宋体"/>
                <w:sz w:val="20"/>
                <w:szCs w:val="20"/>
              </w:rPr>
            </w:pPr>
            <w:r>
              <w:rPr>
                <w:rFonts w:hint="eastAsia" w:ascii="宋体" w:hAnsi="宋体" w:cs="宋体"/>
                <w:kern w:val="0"/>
                <w:sz w:val="20"/>
                <w:szCs w:val="20"/>
                <w:lang w:bidi="ar"/>
              </w:rPr>
              <w:t>声光报警器</w:t>
            </w:r>
          </w:p>
        </w:tc>
        <w:tc>
          <w:tcPr>
            <w:tcW w:w="1744" w:type="pct"/>
            <w:vAlign w:val="center"/>
          </w:tcPr>
          <w:p>
            <w:pPr>
              <w:widowControl/>
              <w:jc w:val="center"/>
              <w:textAlignment w:val="center"/>
              <w:rPr>
                <w:rFonts w:hint="eastAsia" w:ascii="宋体" w:hAnsi="宋体" w:cs="宋体"/>
                <w:sz w:val="20"/>
                <w:szCs w:val="20"/>
              </w:rPr>
            </w:pPr>
            <w:r>
              <w:rPr>
                <w:rFonts w:hint="eastAsia" w:ascii="宋体" w:hAnsi="宋体" w:cs="宋体"/>
                <w:kern w:val="0"/>
                <w:sz w:val="20"/>
                <w:szCs w:val="20"/>
                <w:lang w:bidi="ar"/>
              </w:rPr>
              <w:t>TX3300</w:t>
            </w:r>
          </w:p>
        </w:tc>
        <w:tc>
          <w:tcPr>
            <w:tcW w:w="418" w:type="pct"/>
            <w:vAlign w:val="center"/>
          </w:tcPr>
          <w:p>
            <w:pPr>
              <w:jc w:val="center"/>
              <w:rPr>
                <w:rFonts w:hint="eastAsia" w:ascii="宋体" w:hAnsi="宋体" w:cs="宋体"/>
                <w:sz w:val="20"/>
                <w:szCs w:val="20"/>
              </w:rPr>
            </w:pPr>
            <w:r>
              <w:rPr>
                <w:rFonts w:hint="eastAsia" w:ascii="宋体" w:hAnsi="宋体" w:cs="宋体"/>
                <w:sz w:val="20"/>
                <w:szCs w:val="20"/>
              </w:rPr>
              <w:t>个</w:t>
            </w:r>
          </w:p>
        </w:tc>
        <w:tc>
          <w:tcPr>
            <w:tcW w:w="768" w:type="pct"/>
            <w:vAlign w:val="center"/>
          </w:tcPr>
          <w:p>
            <w:pPr>
              <w:jc w:val="center"/>
              <w:rPr>
                <w:rFonts w:hint="eastAsia" w:ascii="宋体" w:hAnsi="宋体" w:cs="宋体"/>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 w:hRule="atLeast"/>
        </w:trPr>
        <w:tc>
          <w:tcPr>
            <w:tcW w:w="517" w:type="pct"/>
            <w:vAlign w:val="center"/>
          </w:tcPr>
          <w:p>
            <w:pPr>
              <w:numPr>
                <w:ilvl w:val="0"/>
                <w:numId w:val="1"/>
              </w:numPr>
              <w:jc w:val="center"/>
              <w:rPr>
                <w:rFonts w:hint="eastAsia" w:ascii="宋体" w:hAnsi="宋体" w:cs="宋体"/>
                <w:sz w:val="20"/>
                <w:szCs w:val="20"/>
              </w:rPr>
            </w:pPr>
          </w:p>
        </w:tc>
        <w:tc>
          <w:tcPr>
            <w:tcW w:w="1550" w:type="pct"/>
            <w:vAlign w:val="center"/>
          </w:tcPr>
          <w:p>
            <w:pPr>
              <w:widowControl/>
              <w:jc w:val="left"/>
              <w:textAlignment w:val="center"/>
              <w:rPr>
                <w:rFonts w:hint="eastAsia" w:ascii="宋体" w:hAnsi="宋体" w:cs="宋体"/>
                <w:sz w:val="20"/>
                <w:szCs w:val="20"/>
              </w:rPr>
            </w:pPr>
            <w:r>
              <w:rPr>
                <w:rFonts w:hint="eastAsia" w:ascii="宋体" w:hAnsi="宋体" w:cs="宋体"/>
                <w:kern w:val="0"/>
                <w:sz w:val="20"/>
                <w:szCs w:val="20"/>
                <w:lang w:bidi="ar"/>
              </w:rPr>
              <w:t>手动火灾报警按钮</w:t>
            </w:r>
          </w:p>
        </w:tc>
        <w:tc>
          <w:tcPr>
            <w:tcW w:w="1744" w:type="pct"/>
            <w:vAlign w:val="center"/>
          </w:tcPr>
          <w:p>
            <w:pPr>
              <w:widowControl/>
              <w:jc w:val="center"/>
              <w:textAlignment w:val="center"/>
              <w:rPr>
                <w:rFonts w:hint="eastAsia" w:ascii="宋体" w:hAnsi="宋体" w:cs="宋体"/>
                <w:sz w:val="20"/>
                <w:szCs w:val="20"/>
              </w:rPr>
            </w:pPr>
            <w:r>
              <w:rPr>
                <w:rFonts w:hint="eastAsia" w:ascii="宋体" w:hAnsi="宋体" w:cs="宋体"/>
                <w:kern w:val="0"/>
                <w:sz w:val="20"/>
                <w:szCs w:val="20"/>
                <w:lang w:bidi="ar"/>
              </w:rPr>
              <w:t>J-SJP-N-LA1705</w:t>
            </w:r>
          </w:p>
        </w:tc>
        <w:tc>
          <w:tcPr>
            <w:tcW w:w="418" w:type="pct"/>
            <w:vAlign w:val="center"/>
          </w:tcPr>
          <w:p>
            <w:pPr>
              <w:jc w:val="center"/>
              <w:rPr>
                <w:rFonts w:hint="eastAsia" w:ascii="宋体" w:hAnsi="宋体" w:cs="宋体"/>
                <w:sz w:val="20"/>
                <w:szCs w:val="20"/>
              </w:rPr>
            </w:pPr>
            <w:r>
              <w:rPr>
                <w:rFonts w:hint="eastAsia" w:ascii="宋体" w:hAnsi="宋体" w:cs="宋体"/>
                <w:sz w:val="20"/>
                <w:szCs w:val="20"/>
              </w:rPr>
              <w:t>个</w:t>
            </w:r>
          </w:p>
        </w:tc>
        <w:tc>
          <w:tcPr>
            <w:tcW w:w="768" w:type="pct"/>
            <w:vAlign w:val="center"/>
          </w:tcPr>
          <w:p>
            <w:pPr>
              <w:jc w:val="center"/>
              <w:rPr>
                <w:rFonts w:hint="eastAsia" w:ascii="宋体" w:hAnsi="宋体" w:cs="宋体"/>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517" w:type="pct"/>
            <w:vAlign w:val="center"/>
          </w:tcPr>
          <w:p>
            <w:pPr>
              <w:numPr>
                <w:ilvl w:val="0"/>
                <w:numId w:val="1"/>
              </w:numPr>
              <w:jc w:val="center"/>
              <w:rPr>
                <w:rFonts w:hint="eastAsia" w:ascii="宋体" w:hAnsi="宋体" w:cs="宋体"/>
                <w:sz w:val="20"/>
                <w:szCs w:val="20"/>
              </w:rPr>
            </w:pPr>
          </w:p>
        </w:tc>
        <w:tc>
          <w:tcPr>
            <w:tcW w:w="1550" w:type="pct"/>
            <w:vAlign w:val="center"/>
          </w:tcPr>
          <w:p>
            <w:pPr>
              <w:widowControl/>
              <w:jc w:val="left"/>
              <w:textAlignment w:val="center"/>
              <w:rPr>
                <w:rFonts w:hint="eastAsia" w:ascii="宋体" w:hAnsi="宋体" w:cs="宋体"/>
                <w:sz w:val="20"/>
                <w:szCs w:val="20"/>
              </w:rPr>
            </w:pPr>
            <w:r>
              <w:rPr>
                <w:rFonts w:hint="eastAsia" w:ascii="宋体" w:hAnsi="宋体" w:cs="宋体"/>
                <w:kern w:val="0"/>
                <w:sz w:val="20"/>
                <w:szCs w:val="20"/>
                <w:lang w:bidi="ar"/>
              </w:rPr>
              <w:t>烟感探测器</w:t>
            </w:r>
          </w:p>
        </w:tc>
        <w:tc>
          <w:tcPr>
            <w:tcW w:w="1744" w:type="pct"/>
            <w:vAlign w:val="center"/>
          </w:tcPr>
          <w:p>
            <w:pPr>
              <w:widowControl/>
              <w:jc w:val="center"/>
              <w:textAlignment w:val="center"/>
              <w:rPr>
                <w:rFonts w:hint="eastAsia" w:ascii="宋体" w:hAnsi="宋体" w:cs="宋体"/>
                <w:sz w:val="20"/>
                <w:szCs w:val="20"/>
              </w:rPr>
            </w:pPr>
            <w:r>
              <w:rPr>
                <w:rFonts w:hint="eastAsia" w:ascii="宋体" w:hAnsi="宋体" w:cs="宋体"/>
                <w:kern w:val="0"/>
                <w:sz w:val="20"/>
                <w:szCs w:val="20"/>
                <w:lang w:bidi="ar"/>
              </w:rPr>
              <w:t>JTY-GM-LA1550A</w:t>
            </w:r>
          </w:p>
        </w:tc>
        <w:tc>
          <w:tcPr>
            <w:tcW w:w="418" w:type="pct"/>
            <w:vAlign w:val="center"/>
          </w:tcPr>
          <w:p>
            <w:pPr>
              <w:jc w:val="center"/>
              <w:rPr>
                <w:rFonts w:hint="eastAsia" w:ascii="宋体" w:hAnsi="宋体" w:cs="宋体"/>
                <w:sz w:val="20"/>
                <w:szCs w:val="20"/>
              </w:rPr>
            </w:pPr>
            <w:r>
              <w:rPr>
                <w:rFonts w:hint="eastAsia" w:ascii="宋体" w:hAnsi="宋体" w:cs="宋体"/>
                <w:sz w:val="20"/>
                <w:szCs w:val="20"/>
              </w:rPr>
              <w:t>个</w:t>
            </w:r>
          </w:p>
        </w:tc>
        <w:tc>
          <w:tcPr>
            <w:tcW w:w="768" w:type="pct"/>
            <w:vAlign w:val="center"/>
          </w:tcPr>
          <w:p>
            <w:pPr>
              <w:jc w:val="center"/>
              <w:rPr>
                <w:rFonts w:hint="eastAsia" w:ascii="宋体" w:hAnsi="宋体" w:cs="宋体"/>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517" w:type="pct"/>
            <w:vAlign w:val="center"/>
          </w:tcPr>
          <w:p>
            <w:pPr>
              <w:numPr>
                <w:ilvl w:val="0"/>
                <w:numId w:val="1"/>
              </w:numPr>
              <w:jc w:val="center"/>
              <w:rPr>
                <w:rFonts w:hint="eastAsia" w:ascii="宋体" w:hAnsi="宋体" w:cs="宋体"/>
                <w:sz w:val="20"/>
                <w:szCs w:val="20"/>
              </w:rPr>
            </w:pPr>
          </w:p>
        </w:tc>
        <w:tc>
          <w:tcPr>
            <w:tcW w:w="1550" w:type="pct"/>
            <w:vAlign w:val="center"/>
          </w:tcPr>
          <w:p>
            <w:pPr>
              <w:widowControl/>
              <w:jc w:val="left"/>
              <w:textAlignment w:val="center"/>
              <w:rPr>
                <w:rFonts w:hint="eastAsia" w:ascii="宋体" w:hAnsi="宋体" w:cs="宋体"/>
                <w:sz w:val="20"/>
                <w:szCs w:val="20"/>
              </w:rPr>
            </w:pPr>
            <w:r>
              <w:rPr>
                <w:rFonts w:hint="eastAsia" w:ascii="宋体" w:hAnsi="宋体" w:cs="宋体"/>
                <w:kern w:val="0"/>
                <w:sz w:val="20"/>
                <w:szCs w:val="20"/>
                <w:lang w:bidi="ar"/>
              </w:rPr>
              <w:t>温感探测器</w:t>
            </w:r>
          </w:p>
        </w:tc>
        <w:tc>
          <w:tcPr>
            <w:tcW w:w="1744" w:type="pct"/>
            <w:vAlign w:val="center"/>
          </w:tcPr>
          <w:p>
            <w:pPr>
              <w:widowControl/>
              <w:jc w:val="center"/>
              <w:textAlignment w:val="center"/>
              <w:rPr>
                <w:rFonts w:hint="eastAsia" w:ascii="宋体" w:hAnsi="宋体" w:cs="宋体"/>
                <w:sz w:val="20"/>
                <w:szCs w:val="20"/>
              </w:rPr>
            </w:pPr>
            <w:r>
              <w:rPr>
                <w:rFonts w:hint="eastAsia" w:ascii="宋体" w:hAnsi="宋体" w:cs="宋体"/>
                <w:kern w:val="0"/>
                <w:sz w:val="20"/>
                <w:szCs w:val="20"/>
                <w:lang w:bidi="ar"/>
              </w:rPr>
              <w:t>TTW-ZDM-LA1400A</w:t>
            </w:r>
          </w:p>
        </w:tc>
        <w:tc>
          <w:tcPr>
            <w:tcW w:w="418" w:type="pct"/>
            <w:vAlign w:val="center"/>
          </w:tcPr>
          <w:p>
            <w:pPr>
              <w:jc w:val="center"/>
              <w:rPr>
                <w:rFonts w:hint="eastAsia" w:ascii="宋体" w:hAnsi="宋体" w:cs="宋体"/>
                <w:sz w:val="20"/>
                <w:szCs w:val="20"/>
              </w:rPr>
            </w:pPr>
            <w:r>
              <w:rPr>
                <w:rFonts w:hint="eastAsia" w:ascii="宋体" w:hAnsi="宋体" w:cs="宋体"/>
                <w:sz w:val="20"/>
                <w:szCs w:val="20"/>
              </w:rPr>
              <w:t>个</w:t>
            </w:r>
          </w:p>
        </w:tc>
        <w:tc>
          <w:tcPr>
            <w:tcW w:w="768" w:type="pct"/>
            <w:vAlign w:val="center"/>
          </w:tcPr>
          <w:p>
            <w:pPr>
              <w:jc w:val="center"/>
              <w:rPr>
                <w:rFonts w:hint="eastAsia" w:ascii="宋体" w:hAnsi="宋体" w:cs="宋体"/>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 w:hRule="atLeast"/>
        </w:trPr>
        <w:tc>
          <w:tcPr>
            <w:tcW w:w="517" w:type="pct"/>
            <w:vAlign w:val="center"/>
          </w:tcPr>
          <w:p>
            <w:pPr>
              <w:numPr>
                <w:ilvl w:val="0"/>
                <w:numId w:val="1"/>
              </w:numPr>
              <w:jc w:val="center"/>
              <w:rPr>
                <w:rFonts w:hint="eastAsia" w:ascii="宋体" w:hAnsi="宋体" w:cs="宋体"/>
                <w:sz w:val="20"/>
                <w:szCs w:val="20"/>
              </w:rPr>
            </w:pPr>
          </w:p>
        </w:tc>
        <w:tc>
          <w:tcPr>
            <w:tcW w:w="1550" w:type="pct"/>
            <w:vAlign w:val="center"/>
          </w:tcPr>
          <w:p>
            <w:pPr>
              <w:widowControl/>
              <w:jc w:val="left"/>
              <w:textAlignment w:val="center"/>
              <w:rPr>
                <w:rFonts w:hint="eastAsia" w:ascii="宋体" w:hAnsi="宋体" w:cs="宋体"/>
                <w:kern w:val="0"/>
                <w:sz w:val="20"/>
                <w:szCs w:val="20"/>
                <w:lang w:bidi="ar"/>
              </w:rPr>
            </w:pPr>
            <w:r>
              <w:rPr>
                <w:rFonts w:hint="eastAsia" w:ascii="宋体" w:hAnsi="宋体" w:cs="宋体"/>
                <w:kern w:val="0"/>
                <w:sz w:val="20"/>
                <w:szCs w:val="20"/>
                <w:lang w:bidi="ar"/>
              </w:rPr>
              <w:t>火警电话分机</w:t>
            </w:r>
          </w:p>
        </w:tc>
        <w:tc>
          <w:tcPr>
            <w:tcW w:w="1744" w:type="pct"/>
            <w:vAlign w:val="center"/>
          </w:tcPr>
          <w:p>
            <w:pPr>
              <w:widowControl/>
              <w:jc w:val="center"/>
              <w:textAlignment w:val="center"/>
              <w:rPr>
                <w:rFonts w:hint="eastAsia" w:ascii="宋体" w:hAnsi="宋体" w:cs="宋体"/>
                <w:kern w:val="0"/>
                <w:sz w:val="20"/>
                <w:szCs w:val="20"/>
                <w:lang w:bidi="ar"/>
              </w:rPr>
            </w:pPr>
            <w:r>
              <w:rPr>
                <w:rFonts w:hint="eastAsia" w:ascii="宋体" w:hAnsi="宋体" w:cs="宋体"/>
                <w:kern w:val="0"/>
                <w:sz w:val="20"/>
                <w:szCs w:val="20"/>
                <w:lang w:bidi="ar"/>
              </w:rPr>
              <w:t>HY5716</w:t>
            </w:r>
          </w:p>
        </w:tc>
        <w:tc>
          <w:tcPr>
            <w:tcW w:w="418" w:type="pct"/>
            <w:vAlign w:val="center"/>
          </w:tcPr>
          <w:p>
            <w:pPr>
              <w:jc w:val="center"/>
              <w:rPr>
                <w:rFonts w:hint="eastAsia" w:ascii="宋体" w:hAnsi="宋体" w:cs="宋体"/>
                <w:sz w:val="20"/>
                <w:szCs w:val="20"/>
              </w:rPr>
            </w:pPr>
            <w:r>
              <w:rPr>
                <w:rFonts w:hint="eastAsia" w:ascii="宋体" w:hAnsi="宋体" w:cs="宋体"/>
                <w:sz w:val="20"/>
                <w:szCs w:val="20"/>
              </w:rPr>
              <w:t>个</w:t>
            </w:r>
          </w:p>
        </w:tc>
        <w:tc>
          <w:tcPr>
            <w:tcW w:w="768" w:type="pct"/>
            <w:vAlign w:val="center"/>
          </w:tcPr>
          <w:p>
            <w:pPr>
              <w:jc w:val="center"/>
              <w:rPr>
                <w:rFonts w:hint="eastAsia" w:ascii="宋体" w:hAnsi="宋体" w:cs="宋体"/>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517" w:type="pct"/>
            <w:vAlign w:val="center"/>
          </w:tcPr>
          <w:p>
            <w:pPr>
              <w:numPr>
                <w:ilvl w:val="0"/>
                <w:numId w:val="1"/>
              </w:numPr>
              <w:jc w:val="center"/>
              <w:rPr>
                <w:rFonts w:hint="eastAsia" w:ascii="宋体" w:hAnsi="宋体" w:cs="宋体"/>
                <w:sz w:val="20"/>
                <w:szCs w:val="20"/>
              </w:rPr>
            </w:pPr>
          </w:p>
        </w:tc>
        <w:tc>
          <w:tcPr>
            <w:tcW w:w="1550" w:type="pct"/>
            <w:vAlign w:val="center"/>
          </w:tcPr>
          <w:p>
            <w:pPr>
              <w:widowControl/>
              <w:jc w:val="left"/>
              <w:textAlignment w:val="center"/>
              <w:rPr>
                <w:rFonts w:hint="eastAsia" w:ascii="宋体" w:hAnsi="宋体" w:cs="宋体"/>
                <w:kern w:val="0"/>
                <w:sz w:val="20"/>
                <w:szCs w:val="20"/>
                <w:lang w:bidi="ar"/>
              </w:rPr>
            </w:pPr>
            <w:r>
              <w:rPr>
                <w:rFonts w:hint="eastAsia" w:ascii="宋体" w:hAnsi="宋体" w:cs="宋体"/>
                <w:kern w:val="0"/>
                <w:sz w:val="20"/>
                <w:szCs w:val="20"/>
                <w:lang w:bidi="ar"/>
              </w:rPr>
              <w:t>输入输出模块</w:t>
            </w:r>
          </w:p>
        </w:tc>
        <w:tc>
          <w:tcPr>
            <w:tcW w:w="1744" w:type="pct"/>
            <w:vAlign w:val="center"/>
          </w:tcPr>
          <w:p>
            <w:pPr>
              <w:widowControl/>
              <w:jc w:val="center"/>
              <w:textAlignment w:val="center"/>
              <w:rPr>
                <w:rFonts w:hint="eastAsia" w:ascii="宋体" w:hAnsi="宋体" w:cs="宋体"/>
                <w:kern w:val="0"/>
                <w:sz w:val="20"/>
                <w:szCs w:val="20"/>
                <w:lang w:bidi="ar"/>
              </w:rPr>
            </w:pPr>
            <w:r>
              <w:rPr>
                <w:rFonts w:hint="eastAsia" w:ascii="宋体" w:hAnsi="宋体" w:cs="宋体"/>
                <w:kern w:val="0"/>
                <w:sz w:val="20"/>
                <w:szCs w:val="20"/>
                <w:lang w:bidi="ar"/>
              </w:rPr>
              <w:t>TX3214C</w:t>
            </w:r>
          </w:p>
        </w:tc>
        <w:tc>
          <w:tcPr>
            <w:tcW w:w="418" w:type="pct"/>
            <w:vAlign w:val="center"/>
          </w:tcPr>
          <w:p>
            <w:pPr>
              <w:jc w:val="center"/>
              <w:rPr>
                <w:rFonts w:hint="eastAsia" w:ascii="宋体" w:hAnsi="宋体" w:cs="宋体"/>
                <w:sz w:val="20"/>
                <w:szCs w:val="20"/>
              </w:rPr>
            </w:pPr>
            <w:r>
              <w:rPr>
                <w:rFonts w:hint="eastAsia" w:ascii="宋体" w:hAnsi="宋体" w:cs="宋体"/>
                <w:sz w:val="20"/>
                <w:szCs w:val="20"/>
              </w:rPr>
              <w:t>个</w:t>
            </w:r>
          </w:p>
        </w:tc>
        <w:tc>
          <w:tcPr>
            <w:tcW w:w="768" w:type="pct"/>
            <w:vAlign w:val="center"/>
          </w:tcPr>
          <w:p>
            <w:pPr>
              <w:jc w:val="center"/>
              <w:rPr>
                <w:rFonts w:hint="eastAsia" w:ascii="宋体" w:hAnsi="宋体" w:cs="宋体"/>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 w:hRule="atLeast"/>
        </w:trPr>
        <w:tc>
          <w:tcPr>
            <w:tcW w:w="517" w:type="pct"/>
            <w:vAlign w:val="center"/>
          </w:tcPr>
          <w:p>
            <w:pPr>
              <w:numPr>
                <w:ilvl w:val="0"/>
                <w:numId w:val="1"/>
              </w:numPr>
              <w:jc w:val="center"/>
              <w:rPr>
                <w:rFonts w:hint="eastAsia" w:ascii="宋体" w:hAnsi="宋体" w:cs="宋体"/>
                <w:sz w:val="20"/>
                <w:szCs w:val="20"/>
              </w:rPr>
            </w:pPr>
          </w:p>
        </w:tc>
        <w:tc>
          <w:tcPr>
            <w:tcW w:w="1550" w:type="pct"/>
            <w:vAlign w:val="center"/>
          </w:tcPr>
          <w:p>
            <w:pPr>
              <w:widowControl/>
              <w:jc w:val="left"/>
              <w:textAlignment w:val="center"/>
              <w:rPr>
                <w:rFonts w:hint="eastAsia" w:ascii="宋体" w:hAnsi="宋体" w:cs="宋体"/>
                <w:kern w:val="0"/>
                <w:sz w:val="20"/>
                <w:szCs w:val="20"/>
                <w:lang w:bidi="ar"/>
              </w:rPr>
            </w:pPr>
            <w:r>
              <w:rPr>
                <w:rFonts w:hint="eastAsia" w:ascii="宋体" w:hAnsi="宋体" w:cs="宋体"/>
                <w:kern w:val="0"/>
                <w:sz w:val="20"/>
                <w:szCs w:val="20"/>
                <w:lang w:bidi="ar"/>
              </w:rPr>
              <w:t>输入模块</w:t>
            </w:r>
          </w:p>
        </w:tc>
        <w:tc>
          <w:tcPr>
            <w:tcW w:w="1744" w:type="pct"/>
            <w:vAlign w:val="center"/>
          </w:tcPr>
          <w:p>
            <w:pPr>
              <w:widowControl/>
              <w:jc w:val="center"/>
              <w:textAlignment w:val="center"/>
              <w:rPr>
                <w:rFonts w:hint="eastAsia" w:ascii="宋体" w:hAnsi="宋体" w:cs="宋体"/>
                <w:kern w:val="0"/>
                <w:sz w:val="20"/>
                <w:szCs w:val="20"/>
                <w:lang w:bidi="ar"/>
              </w:rPr>
            </w:pPr>
            <w:r>
              <w:rPr>
                <w:rFonts w:hint="eastAsia" w:ascii="宋体" w:hAnsi="宋体" w:cs="宋体"/>
                <w:kern w:val="0"/>
                <w:sz w:val="20"/>
                <w:szCs w:val="20"/>
                <w:lang w:bidi="ar"/>
              </w:rPr>
              <w:t>TX3200A</w:t>
            </w:r>
          </w:p>
        </w:tc>
        <w:tc>
          <w:tcPr>
            <w:tcW w:w="418" w:type="pct"/>
            <w:vAlign w:val="center"/>
          </w:tcPr>
          <w:p>
            <w:pPr>
              <w:jc w:val="center"/>
              <w:rPr>
                <w:rFonts w:hint="eastAsia" w:ascii="宋体" w:hAnsi="宋体" w:cs="宋体"/>
                <w:sz w:val="20"/>
                <w:szCs w:val="20"/>
              </w:rPr>
            </w:pPr>
            <w:r>
              <w:rPr>
                <w:rFonts w:hint="eastAsia" w:ascii="宋体" w:hAnsi="宋体" w:cs="宋体"/>
                <w:sz w:val="20"/>
                <w:szCs w:val="20"/>
              </w:rPr>
              <w:t>个</w:t>
            </w:r>
          </w:p>
        </w:tc>
        <w:tc>
          <w:tcPr>
            <w:tcW w:w="768" w:type="pct"/>
            <w:vAlign w:val="center"/>
          </w:tcPr>
          <w:p>
            <w:pPr>
              <w:jc w:val="center"/>
              <w:rPr>
                <w:rFonts w:hint="eastAsia" w:ascii="宋体" w:hAnsi="宋体" w:cs="宋体"/>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17" w:type="pct"/>
            <w:vAlign w:val="center"/>
          </w:tcPr>
          <w:p>
            <w:pPr>
              <w:numPr>
                <w:ilvl w:val="0"/>
                <w:numId w:val="1"/>
              </w:numPr>
              <w:jc w:val="center"/>
              <w:rPr>
                <w:rFonts w:hint="eastAsia" w:ascii="宋体" w:hAnsi="宋体" w:cs="宋体"/>
                <w:sz w:val="20"/>
                <w:szCs w:val="20"/>
              </w:rPr>
            </w:pPr>
          </w:p>
        </w:tc>
        <w:tc>
          <w:tcPr>
            <w:tcW w:w="1550" w:type="pct"/>
            <w:vAlign w:val="center"/>
          </w:tcPr>
          <w:p>
            <w:pPr>
              <w:widowControl/>
              <w:jc w:val="left"/>
              <w:textAlignment w:val="center"/>
              <w:rPr>
                <w:rFonts w:hint="eastAsia" w:ascii="宋体" w:hAnsi="宋体" w:cs="宋体"/>
                <w:kern w:val="0"/>
                <w:sz w:val="20"/>
                <w:szCs w:val="20"/>
                <w:lang w:bidi="ar"/>
              </w:rPr>
            </w:pPr>
            <w:r>
              <w:rPr>
                <w:rFonts w:hint="eastAsia" w:ascii="宋体" w:hAnsi="宋体" w:cs="宋体"/>
                <w:kern w:val="0"/>
                <w:sz w:val="20"/>
                <w:szCs w:val="20"/>
                <w:lang w:bidi="ar"/>
              </w:rPr>
              <w:t>隔离模块TX3214C</w:t>
            </w:r>
          </w:p>
        </w:tc>
        <w:tc>
          <w:tcPr>
            <w:tcW w:w="1744" w:type="pct"/>
            <w:vAlign w:val="center"/>
          </w:tcPr>
          <w:p>
            <w:pPr>
              <w:widowControl/>
              <w:jc w:val="center"/>
              <w:textAlignment w:val="center"/>
              <w:rPr>
                <w:rFonts w:hint="eastAsia" w:ascii="宋体" w:hAnsi="宋体" w:cs="宋体"/>
                <w:kern w:val="0"/>
                <w:sz w:val="20"/>
                <w:szCs w:val="20"/>
                <w:lang w:bidi="ar"/>
              </w:rPr>
            </w:pPr>
            <w:r>
              <w:rPr>
                <w:rFonts w:hint="eastAsia" w:ascii="宋体" w:hAnsi="宋体" w:cs="宋体"/>
                <w:kern w:val="0"/>
                <w:sz w:val="20"/>
                <w:szCs w:val="20"/>
                <w:lang w:bidi="ar"/>
              </w:rPr>
              <w:t>TX3219</w:t>
            </w:r>
          </w:p>
        </w:tc>
        <w:tc>
          <w:tcPr>
            <w:tcW w:w="418" w:type="pct"/>
            <w:vAlign w:val="center"/>
          </w:tcPr>
          <w:p>
            <w:pPr>
              <w:jc w:val="center"/>
              <w:rPr>
                <w:rFonts w:hint="eastAsia" w:ascii="宋体" w:hAnsi="宋体" w:cs="宋体"/>
                <w:sz w:val="20"/>
                <w:szCs w:val="20"/>
              </w:rPr>
            </w:pPr>
            <w:r>
              <w:rPr>
                <w:rFonts w:hint="eastAsia" w:ascii="宋体" w:hAnsi="宋体" w:cs="宋体"/>
                <w:sz w:val="20"/>
                <w:szCs w:val="20"/>
              </w:rPr>
              <w:t>个</w:t>
            </w:r>
          </w:p>
        </w:tc>
        <w:tc>
          <w:tcPr>
            <w:tcW w:w="768" w:type="pct"/>
            <w:vAlign w:val="center"/>
          </w:tcPr>
          <w:p>
            <w:pPr>
              <w:jc w:val="center"/>
              <w:rPr>
                <w:rFonts w:hint="eastAsia" w:ascii="宋体" w:hAnsi="宋体" w:cs="宋体"/>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 w:hRule="atLeast"/>
        </w:trPr>
        <w:tc>
          <w:tcPr>
            <w:tcW w:w="517" w:type="pct"/>
            <w:vAlign w:val="center"/>
          </w:tcPr>
          <w:p>
            <w:pPr>
              <w:numPr>
                <w:ilvl w:val="0"/>
                <w:numId w:val="1"/>
              </w:numPr>
              <w:jc w:val="center"/>
              <w:rPr>
                <w:rFonts w:hint="eastAsia" w:ascii="宋体" w:hAnsi="宋体" w:cs="宋体"/>
                <w:sz w:val="20"/>
                <w:szCs w:val="20"/>
              </w:rPr>
            </w:pPr>
          </w:p>
        </w:tc>
        <w:tc>
          <w:tcPr>
            <w:tcW w:w="1550" w:type="pct"/>
            <w:vAlign w:val="center"/>
          </w:tcPr>
          <w:p>
            <w:pPr>
              <w:widowControl/>
              <w:jc w:val="left"/>
              <w:textAlignment w:val="center"/>
              <w:rPr>
                <w:rFonts w:hint="eastAsia" w:ascii="宋体" w:hAnsi="宋体" w:cs="宋体"/>
                <w:sz w:val="20"/>
                <w:szCs w:val="20"/>
              </w:rPr>
            </w:pPr>
            <w:r>
              <w:rPr>
                <w:rFonts w:hint="eastAsia" w:ascii="宋体" w:hAnsi="宋体" w:cs="宋体"/>
                <w:kern w:val="0"/>
                <w:sz w:val="20"/>
                <w:szCs w:val="20"/>
                <w:lang w:bidi="ar"/>
              </w:rPr>
              <w:t>消防广播</w:t>
            </w:r>
          </w:p>
        </w:tc>
        <w:tc>
          <w:tcPr>
            <w:tcW w:w="1744" w:type="pct"/>
            <w:vAlign w:val="center"/>
          </w:tcPr>
          <w:p>
            <w:pPr>
              <w:widowControl/>
              <w:jc w:val="center"/>
              <w:textAlignment w:val="center"/>
              <w:rPr>
                <w:rFonts w:hint="eastAsia" w:ascii="宋体" w:hAnsi="宋体" w:cs="宋体"/>
                <w:sz w:val="20"/>
                <w:szCs w:val="20"/>
              </w:rPr>
            </w:pPr>
            <w:r>
              <w:rPr>
                <w:rFonts w:hint="eastAsia" w:ascii="宋体" w:hAnsi="宋体" w:cs="宋体"/>
                <w:kern w:val="0"/>
                <w:sz w:val="20"/>
                <w:szCs w:val="20"/>
                <w:lang w:bidi="ar"/>
              </w:rPr>
              <w:t>YD131-8</w:t>
            </w:r>
          </w:p>
        </w:tc>
        <w:tc>
          <w:tcPr>
            <w:tcW w:w="418" w:type="pct"/>
            <w:vAlign w:val="center"/>
          </w:tcPr>
          <w:p>
            <w:pPr>
              <w:jc w:val="center"/>
              <w:rPr>
                <w:rFonts w:hint="eastAsia" w:ascii="宋体" w:hAnsi="宋体" w:cs="宋体"/>
                <w:sz w:val="20"/>
                <w:szCs w:val="20"/>
              </w:rPr>
            </w:pPr>
            <w:r>
              <w:rPr>
                <w:rFonts w:hint="eastAsia" w:ascii="宋体" w:hAnsi="宋体" w:cs="宋体"/>
                <w:sz w:val="20"/>
                <w:szCs w:val="20"/>
              </w:rPr>
              <w:t>个</w:t>
            </w:r>
          </w:p>
        </w:tc>
        <w:tc>
          <w:tcPr>
            <w:tcW w:w="768" w:type="pct"/>
            <w:vAlign w:val="center"/>
          </w:tcPr>
          <w:p>
            <w:pPr>
              <w:jc w:val="center"/>
              <w:rPr>
                <w:rFonts w:hint="eastAsia" w:ascii="宋体" w:hAnsi="宋体" w:cs="宋体"/>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17" w:type="pct"/>
            <w:vAlign w:val="center"/>
          </w:tcPr>
          <w:p>
            <w:pPr>
              <w:numPr>
                <w:ilvl w:val="0"/>
                <w:numId w:val="1"/>
              </w:numPr>
              <w:jc w:val="center"/>
              <w:rPr>
                <w:rFonts w:hint="eastAsia" w:ascii="宋体" w:hAnsi="宋体" w:cs="宋体"/>
                <w:sz w:val="20"/>
                <w:szCs w:val="20"/>
              </w:rPr>
            </w:pPr>
          </w:p>
        </w:tc>
        <w:tc>
          <w:tcPr>
            <w:tcW w:w="1550" w:type="pct"/>
            <w:vAlign w:val="center"/>
          </w:tcPr>
          <w:p>
            <w:pPr>
              <w:widowControl/>
              <w:jc w:val="left"/>
              <w:textAlignment w:val="center"/>
              <w:rPr>
                <w:rFonts w:hint="eastAsia" w:ascii="宋体" w:hAnsi="宋体" w:cs="宋体"/>
                <w:sz w:val="20"/>
                <w:szCs w:val="20"/>
              </w:rPr>
            </w:pPr>
            <w:r>
              <w:rPr>
                <w:rFonts w:hint="eastAsia" w:ascii="宋体" w:hAnsi="宋体" w:cs="宋体"/>
                <w:kern w:val="0"/>
                <w:sz w:val="20"/>
                <w:szCs w:val="20"/>
                <w:lang w:bidi="ar"/>
              </w:rPr>
              <w:t>排烟风口</w:t>
            </w:r>
          </w:p>
        </w:tc>
        <w:tc>
          <w:tcPr>
            <w:tcW w:w="1744" w:type="pct"/>
            <w:vAlign w:val="center"/>
          </w:tcPr>
          <w:p>
            <w:pPr>
              <w:widowControl/>
              <w:jc w:val="center"/>
              <w:textAlignment w:val="center"/>
              <w:rPr>
                <w:rFonts w:hint="eastAsia" w:ascii="宋体" w:hAnsi="宋体" w:cs="宋体"/>
                <w:sz w:val="20"/>
                <w:szCs w:val="20"/>
              </w:rPr>
            </w:pPr>
            <w:r>
              <w:rPr>
                <w:rFonts w:hint="eastAsia" w:ascii="宋体" w:hAnsi="宋体" w:cs="宋体"/>
                <w:kern w:val="0"/>
                <w:sz w:val="20"/>
                <w:szCs w:val="20"/>
                <w:lang w:bidi="ar"/>
              </w:rPr>
              <w:t>XGZ/HWF-9</w:t>
            </w:r>
          </w:p>
        </w:tc>
        <w:tc>
          <w:tcPr>
            <w:tcW w:w="418" w:type="pct"/>
            <w:vAlign w:val="center"/>
          </w:tcPr>
          <w:p>
            <w:pPr>
              <w:jc w:val="center"/>
              <w:rPr>
                <w:rFonts w:hint="eastAsia" w:ascii="宋体" w:hAnsi="宋体" w:cs="宋体"/>
                <w:sz w:val="20"/>
                <w:szCs w:val="20"/>
              </w:rPr>
            </w:pPr>
            <w:r>
              <w:rPr>
                <w:rFonts w:hint="eastAsia" w:ascii="宋体" w:hAnsi="宋体" w:cs="宋体"/>
                <w:sz w:val="20"/>
                <w:szCs w:val="20"/>
              </w:rPr>
              <w:t>个</w:t>
            </w:r>
          </w:p>
        </w:tc>
        <w:tc>
          <w:tcPr>
            <w:tcW w:w="768" w:type="pct"/>
            <w:vAlign w:val="center"/>
          </w:tcPr>
          <w:p>
            <w:pPr>
              <w:jc w:val="center"/>
              <w:rPr>
                <w:rFonts w:hint="eastAsia" w:ascii="宋体" w:hAnsi="宋体" w:cs="宋体"/>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17" w:type="pct"/>
            <w:vAlign w:val="center"/>
          </w:tcPr>
          <w:p>
            <w:pPr>
              <w:numPr>
                <w:ilvl w:val="0"/>
                <w:numId w:val="1"/>
              </w:numPr>
              <w:jc w:val="center"/>
              <w:rPr>
                <w:rFonts w:hint="eastAsia" w:ascii="宋体" w:hAnsi="宋体" w:cs="宋体"/>
                <w:sz w:val="20"/>
                <w:szCs w:val="20"/>
              </w:rPr>
            </w:pPr>
          </w:p>
        </w:tc>
        <w:tc>
          <w:tcPr>
            <w:tcW w:w="1550" w:type="pct"/>
            <w:vAlign w:val="center"/>
          </w:tcPr>
          <w:p>
            <w:pPr>
              <w:widowControl/>
              <w:jc w:val="left"/>
              <w:textAlignment w:val="center"/>
              <w:rPr>
                <w:rFonts w:hint="eastAsia" w:ascii="宋体" w:hAnsi="宋体" w:cs="宋体"/>
                <w:sz w:val="20"/>
                <w:szCs w:val="20"/>
              </w:rPr>
            </w:pPr>
            <w:r>
              <w:rPr>
                <w:rFonts w:hint="eastAsia" w:ascii="宋体" w:hAnsi="宋体" w:cs="宋体"/>
                <w:kern w:val="0"/>
                <w:sz w:val="20"/>
                <w:szCs w:val="20"/>
                <w:lang w:bidi="ar"/>
              </w:rPr>
              <w:t>末端试水球阀</w:t>
            </w:r>
          </w:p>
        </w:tc>
        <w:tc>
          <w:tcPr>
            <w:tcW w:w="1744" w:type="pct"/>
            <w:vAlign w:val="center"/>
          </w:tcPr>
          <w:p>
            <w:pPr>
              <w:widowControl/>
              <w:jc w:val="center"/>
              <w:textAlignment w:val="center"/>
              <w:rPr>
                <w:rFonts w:hint="eastAsia" w:ascii="宋体" w:hAnsi="宋体" w:cs="宋体"/>
                <w:sz w:val="20"/>
                <w:szCs w:val="20"/>
              </w:rPr>
            </w:pPr>
            <w:r>
              <w:rPr>
                <w:rFonts w:hint="eastAsia" w:ascii="宋体" w:hAnsi="宋体" w:cs="宋体"/>
                <w:kern w:val="0"/>
                <w:sz w:val="20"/>
                <w:szCs w:val="20"/>
                <w:lang w:bidi="ar"/>
              </w:rPr>
              <w:t>DN25</w:t>
            </w:r>
          </w:p>
        </w:tc>
        <w:tc>
          <w:tcPr>
            <w:tcW w:w="418" w:type="pct"/>
            <w:vAlign w:val="center"/>
          </w:tcPr>
          <w:p>
            <w:pPr>
              <w:jc w:val="center"/>
              <w:rPr>
                <w:rFonts w:hint="eastAsia" w:ascii="宋体" w:hAnsi="宋体" w:cs="宋体"/>
                <w:sz w:val="20"/>
                <w:szCs w:val="20"/>
              </w:rPr>
            </w:pPr>
            <w:r>
              <w:rPr>
                <w:rFonts w:hint="eastAsia" w:ascii="宋体" w:hAnsi="宋体" w:cs="宋体"/>
                <w:sz w:val="20"/>
                <w:szCs w:val="20"/>
              </w:rPr>
              <w:t>个</w:t>
            </w:r>
          </w:p>
        </w:tc>
        <w:tc>
          <w:tcPr>
            <w:tcW w:w="768" w:type="pct"/>
            <w:vAlign w:val="center"/>
          </w:tcPr>
          <w:p>
            <w:pPr>
              <w:jc w:val="center"/>
              <w:rPr>
                <w:rFonts w:hint="eastAsia" w:ascii="宋体" w:hAnsi="宋体" w:cs="宋体"/>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4" w:hRule="atLeast"/>
        </w:trPr>
        <w:tc>
          <w:tcPr>
            <w:tcW w:w="517" w:type="pct"/>
            <w:vAlign w:val="center"/>
          </w:tcPr>
          <w:p>
            <w:pPr>
              <w:numPr>
                <w:ilvl w:val="0"/>
                <w:numId w:val="1"/>
              </w:numPr>
              <w:jc w:val="center"/>
              <w:rPr>
                <w:rFonts w:hint="eastAsia" w:ascii="宋体" w:hAnsi="宋体" w:cs="宋体"/>
                <w:sz w:val="20"/>
                <w:szCs w:val="20"/>
              </w:rPr>
            </w:pPr>
          </w:p>
        </w:tc>
        <w:tc>
          <w:tcPr>
            <w:tcW w:w="1550" w:type="pct"/>
            <w:vAlign w:val="center"/>
          </w:tcPr>
          <w:p>
            <w:pPr>
              <w:widowControl/>
              <w:jc w:val="left"/>
              <w:textAlignment w:val="center"/>
              <w:rPr>
                <w:rFonts w:hint="eastAsia" w:ascii="宋体" w:hAnsi="宋体" w:cs="宋体"/>
                <w:sz w:val="20"/>
                <w:szCs w:val="20"/>
              </w:rPr>
            </w:pPr>
            <w:r>
              <w:rPr>
                <w:rFonts w:hint="eastAsia" w:ascii="宋体" w:hAnsi="宋体" w:cs="宋体"/>
                <w:kern w:val="0"/>
                <w:sz w:val="20"/>
                <w:szCs w:val="20"/>
                <w:lang w:bidi="ar"/>
              </w:rPr>
              <w:t>推车式干粉灭火器</w:t>
            </w:r>
          </w:p>
        </w:tc>
        <w:tc>
          <w:tcPr>
            <w:tcW w:w="1744" w:type="pct"/>
            <w:vAlign w:val="center"/>
          </w:tcPr>
          <w:p>
            <w:pPr>
              <w:widowControl/>
              <w:jc w:val="center"/>
              <w:textAlignment w:val="center"/>
              <w:rPr>
                <w:rFonts w:hint="eastAsia" w:ascii="宋体" w:hAnsi="宋体" w:cs="宋体"/>
                <w:sz w:val="20"/>
                <w:szCs w:val="20"/>
              </w:rPr>
            </w:pPr>
            <w:r>
              <w:rPr>
                <w:rFonts w:hint="eastAsia" w:ascii="宋体" w:hAnsi="宋体" w:cs="宋体"/>
                <w:kern w:val="0"/>
                <w:sz w:val="20"/>
                <w:szCs w:val="20"/>
                <w:lang w:bidi="ar"/>
              </w:rPr>
              <w:t>MFTZ/ABC50</w:t>
            </w:r>
          </w:p>
        </w:tc>
        <w:tc>
          <w:tcPr>
            <w:tcW w:w="418" w:type="pct"/>
            <w:vAlign w:val="center"/>
          </w:tcPr>
          <w:p>
            <w:pPr>
              <w:jc w:val="center"/>
              <w:rPr>
                <w:rFonts w:hint="eastAsia" w:ascii="宋体" w:hAnsi="宋体" w:cs="宋体"/>
                <w:sz w:val="20"/>
                <w:szCs w:val="20"/>
              </w:rPr>
            </w:pPr>
            <w:r>
              <w:rPr>
                <w:rFonts w:hint="eastAsia" w:ascii="宋体" w:hAnsi="宋体" w:cs="宋体"/>
                <w:sz w:val="20"/>
                <w:szCs w:val="20"/>
              </w:rPr>
              <w:t>台</w:t>
            </w:r>
          </w:p>
        </w:tc>
        <w:tc>
          <w:tcPr>
            <w:tcW w:w="768" w:type="pct"/>
            <w:vAlign w:val="center"/>
          </w:tcPr>
          <w:p>
            <w:pPr>
              <w:jc w:val="center"/>
              <w:rPr>
                <w:rFonts w:hint="eastAsia" w:ascii="宋体" w:hAnsi="宋体" w:cs="宋体"/>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17" w:type="pct"/>
            <w:vAlign w:val="center"/>
          </w:tcPr>
          <w:p>
            <w:pPr>
              <w:numPr>
                <w:ilvl w:val="0"/>
                <w:numId w:val="1"/>
              </w:numPr>
              <w:jc w:val="center"/>
              <w:rPr>
                <w:rFonts w:hint="eastAsia" w:ascii="宋体" w:hAnsi="宋体" w:cs="宋体"/>
                <w:sz w:val="20"/>
                <w:szCs w:val="20"/>
              </w:rPr>
            </w:pPr>
          </w:p>
        </w:tc>
        <w:tc>
          <w:tcPr>
            <w:tcW w:w="1550" w:type="pct"/>
            <w:vAlign w:val="center"/>
          </w:tcPr>
          <w:p>
            <w:pPr>
              <w:widowControl/>
              <w:jc w:val="left"/>
              <w:textAlignment w:val="center"/>
              <w:rPr>
                <w:rFonts w:hint="eastAsia" w:ascii="宋体" w:hAnsi="宋体" w:cs="宋体"/>
                <w:sz w:val="20"/>
                <w:szCs w:val="20"/>
              </w:rPr>
            </w:pPr>
            <w:r>
              <w:rPr>
                <w:rFonts w:hint="eastAsia" w:ascii="宋体" w:hAnsi="宋体" w:cs="宋体"/>
                <w:kern w:val="0"/>
                <w:sz w:val="20"/>
                <w:szCs w:val="20"/>
                <w:lang w:bidi="ar"/>
              </w:rPr>
              <w:t>防火卷帘门</w:t>
            </w:r>
          </w:p>
        </w:tc>
        <w:tc>
          <w:tcPr>
            <w:tcW w:w="1744" w:type="pct"/>
            <w:vAlign w:val="center"/>
          </w:tcPr>
          <w:p>
            <w:pPr>
              <w:widowControl/>
              <w:jc w:val="center"/>
              <w:textAlignment w:val="center"/>
              <w:rPr>
                <w:rFonts w:hint="eastAsia" w:ascii="宋体" w:hAnsi="宋体" w:cs="宋体"/>
                <w:sz w:val="20"/>
                <w:szCs w:val="20"/>
              </w:rPr>
            </w:pPr>
            <w:r>
              <w:rPr>
                <w:rFonts w:hint="eastAsia" w:ascii="宋体" w:hAnsi="宋体" w:cs="宋体"/>
                <w:kern w:val="0"/>
                <w:sz w:val="20"/>
                <w:szCs w:val="20"/>
                <w:lang w:bidi="ar"/>
              </w:rPr>
              <w:t>205X96</w:t>
            </w:r>
          </w:p>
        </w:tc>
        <w:tc>
          <w:tcPr>
            <w:tcW w:w="418" w:type="pct"/>
            <w:vAlign w:val="center"/>
          </w:tcPr>
          <w:p>
            <w:pPr>
              <w:jc w:val="center"/>
              <w:rPr>
                <w:rFonts w:hint="eastAsia" w:ascii="宋体" w:hAnsi="宋体" w:cs="宋体"/>
                <w:sz w:val="20"/>
                <w:szCs w:val="20"/>
                <w:vertAlign w:val="superscript"/>
              </w:rPr>
            </w:pPr>
            <w:r>
              <w:rPr>
                <w:rFonts w:hint="eastAsia" w:ascii="宋体" w:hAnsi="宋体" w:cs="宋体"/>
                <w:sz w:val="20"/>
                <w:szCs w:val="20"/>
              </w:rPr>
              <w:t>M</w:t>
            </w:r>
            <w:r>
              <w:rPr>
                <w:rFonts w:hint="eastAsia" w:ascii="宋体" w:hAnsi="宋体" w:cs="宋体"/>
                <w:sz w:val="20"/>
                <w:szCs w:val="20"/>
                <w:vertAlign w:val="superscript"/>
              </w:rPr>
              <w:t>2</w:t>
            </w:r>
          </w:p>
        </w:tc>
        <w:tc>
          <w:tcPr>
            <w:tcW w:w="768" w:type="pct"/>
            <w:vAlign w:val="center"/>
          </w:tcPr>
          <w:p>
            <w:pPr>
              <w:jc w:val="center"/>
              <w:rPr>
                <w:rFonts w:hint="eastAsia" w:ascii="宋体" w:hAnsi="宋体" w:cs="宋体"/>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517" w:type="pct"/>
            <w:vAlign w:val="center"/>
          </w:tcPr>
          <w:p>
            <w:pPr>
              <w:numPr>
                <w:ilvl w:val="0"/>
                <w:numId w:val="1"/>
              </w:numPr>
              <w:jc w:val="center"/>
              <w:rPr>
                <w:rFonts w:hint="eastAsia" w:ascii="宋体" w:hAnsi="宋体" w:cs="宋体"/>
                <w:sz w:val="20"/>
                <w:szCs w:val="20"/>
              </w:rPr>
            </w:pPr>
          </w:p>
        </w:tc>
        <w:tc>
          <w:tcPr>
            <w:tcW w:w="1550" w:type="pct"/>
            <w:vAlign w:val="center"/>
          </w:tcPr>
          <w:p>
            <w:pPr>
              <w:widowControl/>
              <w:jc w:val="left"/>
              <w:textAlignment w:val="center"/>
              <w:rPr>
                <w:rFonts w:hint="eastAsia" w:ascii="宋体" w:hAnsi="宋体" w:cs="宋体"/>
                <w:sz w:val="20"/>
                <w:szCs w:val="20"/>
              </w:rPr>
            </w:pPr>
            <w:r>
              <w:rPr>
                <w:rFonts w:hint="eastAsia" w:ascii="宋体" w:hAnsi="宋体" w:cs="宋体"/>
                <w:kern w:val="0"/>
                <w:sz w:val="20"/>
                <w:szCs w:val="20"/>
                <w:lang w:bidi="ar"/>
              </w:rPr>
              <w:t>应急灯</w:t>
            </w:r>
          </w:p>
        </w:tc>
        <w:tc>
          <w:tcPr>
            <w:tcW w:w="1744" w:type="pct"/>
            <w:vAlign w:val="center"/>
          </w:tcPr>
          <w:p>
            <w:pPr>
              <w:widowControl/>
              <w:jc w:val="center"/>
              <w:textAlignment w:val="center"/>
              <w:rPr>
                <w:rFonts w:hint="eastAsia" w:ascii="宋体" w:hAnsi="宋体" w:cs="宋体"/>
                <w:sz w:val="20"/>
                <w:szCs w:val="20"/>
              </w:rPr>
            </w:pPr>
            <w:r>
              <w:rPr>
                <w:rFonts w:hint="eastAsia" w:ascii="宋体" w:hAnsi="宋体" w:cs="宋体"/>
                <w:kern w:val="0"/>
                <w:sz w:val="20"/>
                <w:szCs w:val="20"/>
                <w:lang w:bidi="ar"/>
              </w:rPr>
              <w:t>——</w:t>
            </w:r>
          </w:p>
        </w:tc>
        <w:tc>
          <w:tcPr>
            <w:tcW w:w="418" w:type="pct"/>
            <w:vAlign w:val="center"/>
          </w:tcPr>
          <w:p>
            <w:pPr>
              <w:jc w:val="center"/>
              <w:rPr>
                <w:rFonts w:hint="eastAsia" w:ascii="宋体" w:hAnsi="宋体" w:cs="宋体"/>
                <w:sz w:val="20"/>
                <w:szCs w:val="20"/>
              </w:rPr>
            </w:pPr>
            <w:r>
              <w:rPr>
                <w:rFonts w:hint="eastAsia" w:ascii="宋体" w:hAnsi="宋体" w:cs="宋体"/>
                <w:sz w:val="20"/>
                <w:szCs w:val="20"/>
              </w:rPr>
              <w:t>盏</w:t>
            </w:r>
          </w:p>
        </w:tc>
        <w:tc>
          <w:tcPr>
            <w:tcW w:w="768" w:type="pct"/>
            <w:vAlign w:val="center"/>
          </w:tcPr>
          <w:p>
            <w:pPr>
              <w:jc w:val="center"/>
              <w:rPr>
                <w:rFonts w:hint="eastAsia" w:ascii="宋体" w:hAnsi="宋体" w:cs="宋体"/>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17" w:type="pct"/>
            <w:vAlign w:val="center"/>
          </w:tcPr>
          <w:p>
            <w:pPr>
              <w:numPr>
                <w:ilvl w:val="0"/>
                <w:numId w:val="1"/>
              </w:numPr>
              <w:jc w:val="center"/>
              <w:rPr>
                <w:rFonts w:hint="eastAsia" w:ascii="宋体" w:hAnsi="宋体" w:cs="宋体"/>
                <w:sz w:val="20"/>
                <w:szCs w:val="20"/>
              </w:rPr>
            </w:pPr>
          </w:p>
        </w:tc>
        <w:tc>
          <w:tcPr>
            <w:tcW w:w="1550" w:type="pct"/>
            <w:vAlign w:val="center"/>
          </w:tcPr>
          <w:p>
            <w:pPr>
              <w:widowControl/>
              <w:jc w:val="left"/>
              <w:textAlignment w:val="center"/>
              <w:rPr>
                <w:rFonts w:hint="eastAsia" w:ascii="宋体" w:hAnsi="宋体" w:cs="宋体"/>
                <w:kern w:val="0"/>
                <w:sz w:val="20"/>
                <w:szCs w:val="20"/>
                <w:lang w:bidi="ar"/>
              </w:rPr>
            </w:pPr>
            <w:r>
              <w:rPr>
                <w:rFonts w:hint="eastAsia" w:ascii="宋体" w:hAnsi="宋体" w:cs="宋体"/>
                <w:kern w:val="0"/>
                <w:sz w:val="20"/>
                <w:szCs w:val="20"/>
                <w:lang w:bidi="ar"/>
              </w:rPr>
              <w:t>疏散指示牌</w:t>
            </w:r>
          </w:p>
        </w:tc>
        <w:tc>
          <w:tcPr>
            <w:tcW w:w="1744" w:type="pct"/>
            <w:vAlign w:val="center"/>
          </w:tcPr>
          <w:p>
            <w:pPr>
              <w:widowControl/>
              <w:jc w:val="center"/>
              <w:textAlignment w:val="center"/>
              <w:rPr>
                <w:rFonts w:hint="eastAsia" w:ascii="宋体" w:hAnsi="宋体" w:cs="宋体"/>
                <w:kern w:val="0"/>
                <w:sz w:val="20"/>
                <w:szCs w:val="20"/>
                <w:lang w:bidi="ar"/>
              </w:rPr>
            </w:pPr>
            <w:r>
              <w:rPr>
                <w:rFonts w:hint="eastAsia" w:ascii="宋体" w:hAnsi="宋体" w:cs="宋体"/>
                <w:kern w:val="0"/>
                <w:sz w:val="20"/>
                <w:szCs w:val="20"/>
                <w:lang w:bidi="ar"/>
              </w:rPr>
              <w:t>——</w:t>
            </w:r>
          </w:p>
        </w:tc>
        <w:tc>
          <w:tcPr>
            <w:tcW w:w="418" w:type="pct"/>
            <w:vAlign w:val="center"/>
          </w:tcPr>
          <w:p>
            <w:pPr>
              <w:jc w:val="center"/>
              <w:rPr>
                <w:rFonts w:hint="eastAsia" w:ascii="宋体" w:hAnsi="宋体" w:cs="宋体"/>
                <w:sz w:val="20"/>
                <w:szCs w:val="20"/>
              </w:rPr>
            </w:pPr>
            <w:r>
              <w:rPr>
                <w:rFonts w:hint="eastAsia" w:ascii="宋体" w:hAnsi="宋体" w:cs="宋体"/>
                <w:sz w:val="20"/>
                <w:szCs w:val="20"/>
              </w:rPr>
              <w:t>块</w:t>
            </w:r>
          </w:p>
        </w:tc>
        <w:tc>
          <w:tcPr>
            <w:tcW w:w="768" w:type="pct"/>
            <w:vAlign w:val="center"/>
          </w:tcPr>
          <w:p>
            <w:pPr>
              <w:jc w:val="center"/>
              <w:rPr>
                <w:rFonts w:hint="eastAsia" w:ascii="宋体" w:hAnsi="宋体" w:cs="宋体"/>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17" w:type="pct"/>
            <w:vAlign w:val="center"/>
          </w:tcPr>
          <w:p>
            <w:pPr>
              <w:numPr>
                <w:ilvl w:val="0"/>
                <w:numId w:val="1"/>
              </w:numPr>
              <w:jc w:val="center"/>
              <w:rPr>
                <w:rFonts w:hint="eastAsia" w:ascii="宋体" w:hAnsi="宋体" w:cs="宋体"/>
                <w:sz w:val="20"/>
                <w:szCs w:val="20"/>
              </w:rPr>
            </w:pPr>
          </w:p>
        </w:tc>
        <w:tc>
          <w:tcPr>
            <w:tcW w:w="1550" w:type="pct"/>
            <w:vAlign w:val="center"/>
          </w:tcPr>
          <w:p>
            <w:pPr>
              <w:widowControl/>
              <w:jc w:val="left"/>
              <w:textAlignment w:val="center"/>
              <w:rPr>
                <w:rFonts w:hint="eastAsia" w:ascii="宋体" w:hAnsi="宋体" w:cs="宋体"/>
                <w:kern w:val="0"/>
                <w:sz w:val="20"/>
                <w:szCs w:val="20"/>
                <w:lang w:bidi="ar"/>
              </w:rPr>
            </w:pPr>
            <w:r>
              <w:rPr>
                <w:rFonts w:hint="eastAsia" w:ascii="宋体" w:hAnsi="宋体" w:cs="宋体"/>
                <w:kern w:val="0"/>
                <w:sz w:val="20"/>
                <w:szCs w:val="20"/>
                <w:lang w:bidi="ar"/>
              </w:rPr>
              <w:t>安全出口指示牌</w:t>
            </w:r>
          </w:p>
        </w:tc>
        <w:tc>
          <w:tcPr>
            <w:tcW w:w="1744" w:type="pct"/>
            <w:vAlign w:val="center"/>
          </w:tcPr>
          <w:p>
            <w:pPr>
              <w:widowControl/>
              <w:jc w:val="center"/>
              <w:textAlignment w:val="center"/>
              <w:rPr>
                <w:rFonts w:hint="eastAsia" w:ascii="宋体" w:hAnsi="宋体" w:cs="宋体"/>
                <w:kern w:val="0"/>
                <w:sz w:val="20"/>
                <w:szCs w:val="20"/>
                <w:lang w:bidi="ar"/>
              </w:rPr>
            </w:pPr>
            <w:r>
              <w:rPr>
                <w:rFonts w:hint="eastAsia" w:ascii="宋体" w:hAnsi="宋体" w:cs="宋体"/>
                <w:kern w:val="0"/>
                <w:sz w:val="20"/>
                <w:szCs w:val="20"/>
                <w:lang w:bidi="ar"/>
              </w:rPr>
              <w:t>——</w:t>
            </w:r>
          </w:p>
        </w:tc>
        <w:tc>
          <w:tcPr>
            <w:tcW w:w="418" w:type="pct"/>
            <w:vAlign w:val="center"/>
          </w:tcPr>
          <w:p>
            <w:pPr>
              <w:jc w:val="center"/>
              <w:rPr>
                <w:rFonts w:hint="eastAsia" w:ascii="宋体" w:hAnsi="宋体" w:cs="宋体"/>
                <w:sz w:val="20"/>
                <w:szCs w:val="20"/>
              </w:rPr>
            </w:pPr>
            <w:r>
              <w:rPr>
                <w:rFonts w:hint="eastAsia" w:ascii="宋体" w:hAnsi="宋体" w:cs="宋体"/>
                <w:sz w:val="20"/>
                <w:szCs w:val="20"/>
              </w:rPr>
              <w:t>块</w:t>
            </w:r>
          </w:p>
        </w:tc>
        <w:tc>
          <w:tcPr>
            <w:tcW w:w="768" w:type="pct"/>
            <w:vAlign w:val="center"/>
          </w:tcPr>
          <w:p>
            <w:pPr>
              <w:jc w:val="center"/>
              <w:rPr>
                <w:rFonts w:hint="eastAsia" w:ascii="宋体" w:hAnsi="宋体" w:cs="宋体"/>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17" w:type="pct"/>
            <w:vAlign w:val="center"/>
          </w:tcPr>
          <w:p>
            <w:pPr>
              <w:numPr>
                <w:ilvl w:val="0"/>
                <w:numId w:val="1"/>
              </w:numPr>
              <w:jc w:val="center"/>
              <w:rPr>
                <w:rFonts w:hint="eastAsia" w:ascii="宋体" w:hAnsi="宋体" w:cs="宋体"/>
                <w:sz w:val="20"/>
                <w:szCs w:val="20"/>
              </w:rPr>
            </w:pPr>
          </w:p>
        </w:tc>
        <w:tc>
          <w:tcPr>
            <w:tcW w:w="1550" w:type="pct"/>
            <w:vAlign w:val="center"/>
          </w:tcPr>
          <w:p>
            <w:pPr>
              <w:widowControl/>
              <w:jc w:val="left"/>
              <w:textAlignment w:val="center"/>
              <w:rPr>
                <w:rFonts w:hint="eastAsia" w:ascii="宋体" w:hAnsi="宋体" w:cs="宋体"/>
                <w:kern w:val="0"/>
                <w:sz w:val="20"/>
                <w:szCs w:val="20"/>
                <w:lang w:bidi="ar"/>
              </w:rPr>
            </w:pPr>
            <w:r>
              <w:rPr>
                <w:rFonts w:hint="eastAsia" w:ascii="宋体" w:hAnsi="宋体" w:cs="宋体"/>
                <w:kern w:val="0"/>
                <w:sz w:val="20"/>
                <w:szCs w:val="20"/>
                <w:lang w:bidi="ar"/>
              </w:rPr>
              <w:t>楼层指示牌</w:t>
            </w:r>
          </w:p>
        </w:tc>
        <w:tc>
          <w:tcPr>
            <w:tcW w:w="1744" w:type="pct"/>
            <w:vAlign w:val="center"/>
          </w:tcPr>
          <w:p>
            <w:pPr>
              <w:widowControl/>
              <w:jc w:val="center"/>
              <w:textAlignment w:val="center"/>
              <w:rPr>
                <w:rFonts w:hint="eastAsia" w:ascii="宋体" w:hAnsi="宋体" w:cs="宋体"/>
                <w:kern w:val="0"/>
                <w:sz w:val="20"/>
                <w:szCs w:val="20"/>
                <w:lang w:bidi="ar"/>
              </w:rPr>
            </w:pPr>
            <w:r>
              <w:rPr>
                <w:rFonts w:hint="eastAsia" w:ascii="宋体" w:hAnsi="宋体" w:cs="宋体"/>
                <w:kern w:val="0"/>
                <w:sz w:val="20"/>
                <w:szCs w:val="20"/>
                <w:lang w:bidi="ar"/>
              </w:rPr>
              <w:t>——</w:t>
            </w:r>
          </w:p>
        </w:tc>
        <w:tc>
          <w:tcPr>
            <w:tcW w:w="418" w:type="pct"/>
            <w:vAlign w:val="center"/>
          </w:tcPr>
          <w:p>
            <w:pPr>
              <w:jc w:val="center"/>
              <w:rPr>
                <w:rFonts w:hint="eastAsia" w:ascii="宋体" w:hAnsi="宋体" w:cs="宋体"/>
                <w:sz w:val="20"/>
                <w:szCs w:val="20"/>
              </w:rPr>
            </w:pPr>
            <w:r>
              <w:rPr>
                <w:rFonts w:hint="eastAsia" w:ascii="宋体" w:hAnsi="宋体" w:cs="宋体"/>
                <w:sz w:val="20"/>
                <w:szCs w:val="20"/>
              </w:rPr>
              <w:t>块</w:t>
            </w:r>
          </w:p>
        </w:tc>
        <w:tc>
          <w:tcPr>
            <w:tcW w:w="768" w:type="pct"/>
            <w:vAlign w:val="center"/>
          </w:tcPr>
          <w:p>
            <w:pPr>
              <w:jc w:val="center"/>
              <w:rPr>
                <w:rFonts w:hint="eastAsia" w:ascii="宋体" w:hAnsi="宋体" w:cs="宋体"/>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17" w:type="pct"/>
            <w:vAlign w:val="center"/>
          </w:tcPr>
          <w:p>
            <w:pPr>
              <w:numPr>
                <w:ilvl w:val="0"/>
                <w:numId w:val="1"/>
              </w:numPr>
              <w:jc w:val="center"/>
              <w:rPr>
                <w:rFonts w:hint="eastAsia" w:ascii="宋体" w:hAnsi="宋体" w:cs="宋体"/>
                <w:sz w:val="20"/>
                <w:szCs w:val="20"/>
              </w:rPr>
            </w:pPr>
          </w:p>
        </w:tc>
        <w:tc>
          <w:tcPr>
            <w:tcW w:w="1550" w:type="pct"/>
            <w:vAlign w:val="center"/>
          </w:tcPr>
          <w:p>
            <w:pPr>
              <w:widowControl/>
              <w:jc w:val="left"/>
              <w:textAlignment w:val="center"/>
              <w:rPr>
                <w:rFonts w:hint="eastAsia" w:ascii="宋体" w:hAnsi="宋体" w:cs="宋体"/>
                <w:kern w:val="0"/>
                <w:sz w:val="20"/>
                <w:szCs w:val="20"/>
                <w:lang w:bidi="ar"/>
              </w:rPr>
            </w:pPr>
            <w:r>
              <w:rPr>
                <w:rFonts w:hint="eastAsia" w:ascii="宋体" w:hAnsi="宋体" w:cs="宋体"/>
                <w:kern w:val="0"/>
                <w:sz w:val="20"/>
                <w:szCs w:val="20"/>
                <w:lang w:bidi="ar"/>
              </w:rPr>
              <w:t>水泵密封件</w:t>
            </w:r>
          </w:p>
        </w:tc>
        <w:tc>
          <w:tcPr>
            <w:tcW w:w="1744" w:type="pct"/>
            <w:vAlign w:val="center"/>
          </w:tcPr>
          <w:p>
            <w:pPr>
              <w:widowControl/>
              <w:jc w:val="center"/>
              <w:textAlignment w:val="center"/>
              <w:rPr>
                <w:rFonts w:hint="eastAsia" w:ascii="宋体" w:hAnsi="宋体" w:cs="宋体"/>
                <w:kern w:val="0"/>
                <w:sz w:val="20"/>
                <w:szCs w:val="20"/>
                <w:lang w:bidi="ar"/>
              </w:rPr>
            </w:pPr>
            <w:r>
              <w:rPr>
                <w:rFonts w:hint="eastAsia" w:ascii="宋体" w:hAnsi="宋体" w:cs="宋体"/>
                <w:kern w:val="0"/>
                <w:sz w:val="20"/>
                <w:szCs w:val="20"/>
                <w:lang w:bidi="ar"/>
              </w:rPr>
              <w:t>——</w:t>
            </w:r>
          </w:p>
        </w:tc>
        <w:tc>
          <w:tcPr>
            <w:tcW w:w="418" w:type="pct"/>
            <w:vAlign w:val="center"/>
          </w:tcPr>
          <w:p>
            <w:pPr>
              <w:jc w:val="center"/>
              <w:rPr>
                <w:rFonts w:hint="eastAsia" w:ascii="宋体" w:hAnsi="宋体" w:cs="宋体"/>
                <w:sz w:val="20"/>
                <w:szCs w:val="20"/>
              </w:rPr>
            </w:pPr>
            <w:r>
              <w:rPr>
                <w:rFonts w:hint="eastAsia" w:ascii="宋体" w:hAnsi="宋体" w:cs="宋体"/>
                <w:sz w:val="20"/>
                <w:szCs w:val="20"/>
              </w:rPr>
              <w:t>套</w:t>
            </w:r>
          </w:p>
        </w:tc>
        <w:tc>
          <w:tcPr>
            <w:tcW w:w="768" w:type="pct"/>
            <w:vAlign w:val="center"/>
          </w:tcPr>
          <w:p>
            <w:pPr>
              <w:jc w:val="center"/>
              <w:rPr>
                <w:rFonts w:hint="eastAsia" w:ascii="宋体" w:hAnsi="宋体" w:cs="宋体"/>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17" w:type="pct"/>
            <w:vMerge w:val="restart"/>
            <w:vAlign w:val="center"/>
          </w:tcPr>
          <w:p>
            <w:pPr>
              <w:numPr>
                <w:ilvl w:val="0"/>
                <w:numId w:val="1"/>
              </w:numPr>
              <w:jc w:val="center"/>
              <w:rPr>
                <w:rFonts w:hint="eastAsia" w:ascii="宋体" w:hAnsi="宋体" w:cs="宋体"/>
                <w:sz w:val="20"/>
                <w:szCs w:val="20"/>
              </w:rPr>
            </w:pPr>
          </w:p>
        </w:tc>
        <w:tc>
          <w:tcPr>
            <w:tcW w:w="1550" w:type="pct"/>
            <w:vMerge w:val="restart"/>
            <w:vAlign w:val="center"/>
          </w:tcPr>
          <w:p>
            <w:pPr>
              <w:widowControl/>
              <w:jc w:val="left"/>
              <w:textAlignment w:val="center"/>
              <w:rPr>
                <w:rFonts w:hint="eastAsia" w:ascii="宋体" w:hAnsi="宋体" w:cs="宋体"/>
                <w:kern w:val="0"/>
                <w:sz w:val="20"/>
                <w:szCs w:val="20"/>
                <w:lang w:bidi="ar"/>
              </w:rPr>
            </w:pPr>
            <w:r>
              <w:rPr>
                <w:rFonts w:hint="eastAsia" w:ascii="宋体" w:hAnsi="宋体" w:cs="宋体"/>
                <w:kern w:val="0"/>
                <w:sz w:val="20"/>
                <w:szCs w:val="20"/>
                <w:lang w:bidi="ar"/>
              </w:rPr>
              <w:t>防火板</w:t>
            </w:r>
          </w:p>
        </w:tc>
        <w:tc>
          <w:tcPr>
            <w:tcW w:w="1744" w:type="pct"/>
            <w:vAlign w:val="center"/>
          </w:tcPr>
          <w:p>
            <w:pPr>
              <w:widowControl/>
              <w:jc w:val="center"/>
              <w:textAlignment w:val="center"/>
              <w:rPr>
                <w:rFonts w:hint="eastAsia" w:ascii="宋体" w:hAnsi="宋体" w:cs="宋体"/>
                <w:kern w:val="0"/>
                <w:sz w:val="20"/>
                <w:szCs w:val="20"/>
                <w:lang w:bidi="ar"/>
              </w:rPr>
            </w:pPr>
            <w:r>
              <w:rPr>
                <w:rFonts w:hint="eastAsia" w:ascii="宋体" w:hAnsi="宋体" w:cs="宋体"/>
                <w:kern w:val="0"/>
                <w:sz w:val="20"/>
                <w:szCs w:val="20"/>
                <w:lang w:bidi="ar"/>
              </w:rPr>
              <w:t>87×96</w:t>
            </w:r>
          </w:p>
        </w:tc>
        <w:tc>
          <w:tcPr>
            <w:tcW w:w="418" w:type="pct"/>
            <w:vAlign w:val="center"/>
          </w:tcPr>
          <w:p>
            <w:pPr>
              <w:jc w:val="center"/>
              <w:rPr>
                <w:rFonts w:hint="eastAsia" w:ascii="宋体" w:hAnsi="宋体" w:cs="宋体"/>
                <w:sz w:val="20"/>
                <w:szCs w:val="20"/>
              </w:rPr>
            </w:pPr>
            <w:r>
              <w:rPr>
                <w:rFonts w:hint="eastAsia" w:ascii="宋体" w:hAnsi="宋体" w:cs="宋体"/>
                <w:sz w:val="20"/>
                <w:szCs w:val="20"/>
              </w:rPr>
              <w:t>块</w:t>
            </w:r>
          </w:p>
        </w:tc>
        <w:tc>
          <w:tcPr>
            <w:tcW w:w="768" w:type="pct"/>
            <w:vAlign w:val="center"/>
          </w:tcPr>
          <w:p>
            <w:pPr>
              <w:jc w:val="center"/>
              <w:rPr>
                <w:rFonts w:hint="eastAsia" w:ascii="宋体" w:hAnsi="宋体" w:cs="宋体"/>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17" w:type="pct"/>
            <w:vMerge w:val="continue"/>
            <w:vAlign w:val="center"/>
          </w:tcPr>
          <w:p>
            <w:pPr>
              <w:tabs>
                <w:tab w:val="left" w:pos="420"/>
              </w:tabs>
              <w:ind w:left="420" w:hanging="420"/>
              <w:jc w:val="center"/>
              <w:rPr>
                <w:rFonts w:hint="eastAsia" w:ascii="宋体" w:hAnsi="宋体" w:cs="宋体"/>
                <w:sz w:val="20"/>
                <w:szCs w:val="20"/>
              </w:rPr>
            </w:pPr>
          </w:p>
        </w:tc>
        <w:tc>
          <w:tcPr>
            <w:tcW w:w="1550" w:type="pct"/>
            <w:vMerge w:val="continue"/>
            <w:vAlign w:val="center"/>
          </w:tcPr>
          <w:p>
            <w:pPr>
              <w:widowControl/>
              <w:jc w:val="left"/>
              <w:textAlignment w:val="center"/>
              <w:rPr>
                <w:rFonts w:hint="eastAsia" w:ascii="宋体" w:hAnsi="宋体" w:cs="宋体"/>
                <w:kern w:val="0"/>
                <w:sz w:val="20"/>
                <w:szCs w:val="20"/>
                <w:lang w:bidi="ar"/>
              </w:rPr>
            </w:pPr>
          </w:p>
        </w:tc>
        <w:tc>
          <w:tcPr>
            <w:tcW w:w="1744" w:type="pct"/>
            <w:vAlign w:val="center"/>
          </w:tcPr>
          <w:p>
            <w:pPr>
              <w:widowControl/>
              <w:jc w:val="center"/>
              <w:textAlignment w:val="center"/>
              <w:rPr>
                <w:rFonts w:hint="eastAsia" w:ascii="宋体" w:hAnsi="宋体" w:cs="宋体"/>
                <w:kern w:val="0"/>
                <w:sz w:val="20"/>
                <w:szCs w:val="20"/>
                <w:lang w:bidi="ar"/>
              </w:rPr>
            </w:pPr>
            <w:r>
              <w:rPr>
                <w:rFonts w:hint="eastAsia" w:ascii="宋体" w:hAnsi="宋体" w:cs="宋体"/>
                <w:kern w:val="0"/>
                <w:sz w:val="20"/>
                <w:szCs w:val="20"/>
                <w:lang w:bidi="ar"/>
              </w:rPr>
              <w:t>87×40</w:t>
            </w:r>
          </w:p>
        </w:tc>
        <w:tc>
          <w:tcPr>
            <w:tcW w:w="418" w:type="pct"/>
            <w:vAlign w:val="center"/>
          </w:tcPr>
          <w:p>
            <w:pPr>
              <w:jc w:val="center"/>
              <w:rPr>
                <w:rFonts w:hint="eastAsia" w:ascii="宋体" w:hAnsi="宋体" w:cs="宋体"/>
                <w:sz w:val="20"/>
                <w:szCs w:val="20"/>
              </w:rPr>
            </w:pPr>
            <w:r>
              <w:rPr>
                <w:rFonts w:hint="eastAsia" w:ascii="宋体" w:hAnsi="宋体" w:cs="宋体"/>
                <w:sz w:val="20"/>
                <w:szCs w:val="20"/>
              </w:rPr>
              <w:t>块</w:t>
            </w:r>
          </w:p>
        </w:tc>
        <w:tc>
          <w:tcPr>
            <w:tcW w:w="768" w:type="pct"/>
            <w:vAlign w:val="center"/>
          </w:tcPr>
          <w:p>
            <w:pPr>
              <w:jc w:val="center"/>
              <w:rPr>
                <w:rFonts w:hint="eastAsia" w:ascii="宋体" w:hAnsi="宋体" w:cs="宋体"/>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17" w:type="pct"/>
            <w:vAlign w:val="center"/>
          </w:tcPr>
          <w:p>
            <w:pPr>
              <w:numPr>
                <w:ilvl w:val="0"/>
                <w:numId w:val="1"/>
              </w:numPr>
              <w:jc w:val="center"/>
              <w:rPr>
                <w:rFonts w:hint="eastAsia" w:ascii="宋体" w:hAnsi="宋体" w:cs="宋体"/>
                <w:sz w:val="20"/>
                <w:szCs w:val="20"/>
              </w:rPr>
            </w:pPr>
          </w:p>
        </w:tc>
        <w:tc>
          <w:tcPr>
            <w:tcW w:w="1550" w:type="pct"/>
            <w:vAlign w:val="center"/>
          </w:tcPr>
          <w:p>
            <w:pPr>
              <w:widowControl/>
              <w:jc w:val="left"/>
              <w:textAlignment w:val="center"/>
              <w:rPr>
                <w:rFonts w:hint="eastAsia" w:ascii="宋体" w:hAnsi="宋体" w:cs="宋体"/>
                <w:sz w:val="20"/>
                <w:szCs w:val="20"/>
              </w:rPr>
            </w:pPr>
            <w:r>
              <w:rPr>
                <w:rFonts w:hint="eastAsia" w:ascii="宋体" w:hAnsi="宋体" w:cs="宋体"/>
                <w:kern w:val="0"/>
                <w:sz w:val="20"/>
                <w:szCs w:val="20"/>
                <w:lang w:bidi="ar"/>
              </w:rPr>
              <w:t>火灾显示盘</w:t>
            </w:r>
          </w:p>
        </w:tc>
        <w:tc>
          <w:tcPr>
            <w:tcW w:w="1744" w:type="pct"/>
            <w:vAlign w:val="center"/>
          </w:tcPr>
          <w:p>
            <w:pPr>
              <w:widowControl/>
              <w:jc w:val="center"/>
              <w:textAlignment w:val="center"/>
              <w:rPr>
                <w:rFonts w:hint="eastAsia" w:ascii="宋体" w:hAnsi="宋体" w:cs="宋体"/>
                <w:sz w:val="20"/>
                <w:szCs w:val="20"/>
              </w:rPr>
            </w:pPr>
            <w:r>
              <w:rPr>
                <w:rFonts w:hint="eastAsia" w:ascii="宋体" w:hAnsi="宋体" w:cs="宋体"/>
                <w:kern w:val="0"/>
                <w:sz w:val="20"/>
                <w:szCs w:val="20"/>
                <w:lang w:bidi="ar"/>
              </w:rPr>
              <w:t>TX3403</w:t>
            </w:r>
          </w:p>
        </w:tc>
        <w:tc>
          <w:tcPr>
            <w:tcW w:w="418" w:type="pct"/>
            <w:vAlign w:val="center"/>
          </w:tcPr>
          <w:p>
            <w:pPr>
              <w:jc w:val="center"/>
              <w:rPr>
                <w:rFonts w:hint="eastAsia" w:ascii="宋体" w:hAnsi="宋体" w:cs="宋体"/>
                <w:sz w:val="20"/>
                <w:szCs w:val="20"/>
              </w:rPr>
            </w:pPr>
            <w:r>
              <w:rPr>
                <w:rFonts w:hint="eastAsia" w:ascii="宋体" w:hAnsi="宋体" w:cs="宋体"/>
                <w:sz w:val="20"/>
                <w:szCs w:val="20"/>
              </w:rPr>
              <w:t>套</w:t>
            </w:r>
          </w:p>
        </w:tc>
        <w:tc>
          <w:tcPr>
            <w:tcW w:w="768" w:type="pct"/>
            <w:vAlign w:val="center"/>
          </w:tcPr>
          <w:p>
            <w:pPr>
              <w:jc w:val="center"/>
              <w:rPr>
                <w:rFonts w:hint="eastAsia" w:ascii="宋体" w:hAnsi="宋体" w:cs="宋体"/>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 w:hRule="atLeast"/>
        </w:trPr>
        <w:tc>
          <w:tcPr>
            <w:tcW w:w="517" w:type="pct"/>
            <w:vAlign w:val="center"/>
          </w:tcPr>
          <w:p>
            <w:pPr>
              <w:numPr>
                <w:ilvl w:val="0"/>
                <w:numId w:val="1"/>
              </w:numPr>
              <w:jc w:val="center"/>
              <w:rPr>
                <w:rFonts w:hint="eastAsia" w:ascii="宋体" w:hAnsi="宋体" w:cs="宋体"/>
                <w:sz w:val="20"/>
                <w:szCs w:val="20"/>
              </w:rPr>
            </w:pPr>
          </w:p>
        </w:tc>
        <w:tc>
          <w:tcPr>
            <w:tcW w:w="1550" w:type="pct"/>
            <w:vAlign w:val="center"/>
          </w:tcPr>
          <w:p>
            <w:pPr>
              <w:widowControl/>
              <w:jc w:val="left"/>
              <w:textAlignment w:val="center"/>
              <w:rPr>
                <w:rFonts w:hint="eastAsia" w:ascii="宋体" w:hAnsi="宋体" w:cs="宋体"/>
                <w:sz w:val="20"/>
                <w:szCs w:val="20"/>
              </w:rPr>
            </w:pPr>
            <w:r>
              <w:rPr>
                <w:rFonts w:hint="eastAsia" w:ascii="宋体" w:hAnsi="宋体" w:cs="宋体"/>
                <w:kern w:val="0"/>
                <w:sz w:val="20"/>
                <w:szCs w:val="20"/>
                <w:lang w:bidi="ar"/>
              </w:rPr>
              <w:t>消防软管卷盘</w:t>
            </w:r>
          </w:p>
        </w:tc>
        <w:tc>
          <w:tcPr>
            <w:tcW w:w="1744" w:type="pct"/>
            <w:vAlign w:val="center"/>
          </w:tcPr>
          <w:p>
            <w:pPr>
              <w:widowControl/>
              <w:jc w:val="center"/>
              <w:textAlignment w:val="center"/>
              <w:rPr>
                <w:rFonts w:hint="eastAsia" w:ascii="宋体" w:hAnsi="宋体" w:cs="宋体"/>
                <w:sz w:val="20"/>
                <w:szCs w:val="20"/>
              </w:rPr>
            </w:pPr>
            <w:r>
              <w:rPr>
                <w:rFonts w:hint="eastAsia" w:ascii="宋体" w:hAnsi="宋体" w:cs="宋体"/>
                <w:kern w:val="0"/>
                <w:sz w:val="20"/>
                <w:szCs w:val="20"/>
                <w:lang w:bidi="ar"/>
              </w:rPr>
              <w:t>JPS0.8-19</w:t>
            </w:r>
          </w:p>
        </w:tc>
        <w:tc>
          <w:tcPr>
            <w:tcW w:w="418" w:type="pct"/>
            <w:vAlign w:val="center"/>
          </w:tcPr>
          <w:p>
            <w:pPr>
              <w:jc w:val="center"/>
              <w:rPr>
                <w:rFonts w:hint="eastAsia" w:ascii="宋体" w:hAnsi="宋体" w:cs="宋体"/>
                <w:sz w:val="20"/>
                <w:szCs w:val="20"/>
              </w:rPr>
            </w:pPr>
            <w:r>
              <w:rPr>
                <w:rFonts w:hint="eastAsia" w:ascii="宋体" w:hAnsi="宋体" w:cs="宋体"/>
                <w:sz w:val="20"/>
                <w:szCs w:val="20"/>
              </w:rPr>
              <w:t>卷</w:t>
            </w:r>
          </w:p>
        </w:tc>
        <w:tc>
          <w:tcPr>
            <w:tcW w:w="768" w:type="pct"/>
            <w:vAlign w:val="center"/>
          </w:tcPr>
          <w:p>
            <w:pPr>
              <w:jc w:val="center"/>
              <w:rPr>
                <w:rFonts w:hint="eastAsia" w:ascii="宋体" w:hAnsi="宋体" w:cs="宋体"/>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17" w:type="pct"/>
            <w:vAlign w:val="center"/>
          </w:tcPr>
          <w:p>
            <w:pPr>
              <w:numPr>
                <w:ilvl w:val="0"/>
                <w:numId w:val="1"/>
              </w:numPr>
              <w:jc w:val="center"/>
              <w:rPr>
                <w:rFonts w:hint="eastAsia" w:ascii="宋体" w:hAnsi="宋体" w:cs="宋体"/>
                <w:sz w:val="20"/>
                <w:szCs w:val="20"/>
              </w:rPr>
            </w:pPr>
          </w:p>
        </w:tc>
        <w:tc>
          <w:tcPr>
            <w:tcW w:w="1550" w:type="pct"/>
            <w:vAlign w:val="center"/>
          </w:tcPr>
          <w:p>
            <w:pPr>
              <w:widowControl/>
              <w:jc w:val="left"/>
              <w:textAlignment w:val="center"/>
              <w:rPr>
                <w:rFonts w:hint="eastAsia" w:ascii="宋体" w:hAnsi="宋体" w:cs="宋体"/>
                <w:sz w:val="20"/>
                <w:szCs w:val="20"/>
              </w:rPr>
            </w:pPr>
            <w:r>
              <w:rPr>
                <w:rFonts w:hint="eastAsia" w:ascii="宋体" w:hAnsi="宋体" w:cs="宋体"/>
                <w:kern w:val="0"/>
                <w:sz w:val="20"/>
                <w:szCs w:val="20"/>
                <w:lang w:bidi="ar"/>
              </w:rPr>
              <w:t>消防栓按钮</w:t>
            </w:r>
          </w:p>
        </w:tc>
        <w:tc>
          <w:tcPr>
            <w:tcW w:w="1744" w:type="pct"/>
            <w:vAlign w:val="center"/>
          </w:tcPr>
          <w:p>
            <w:pPr>
              <w:widowControl/>
              <w:jc w:val="center"/>
              <w:textAlignment w:val="center"/>
              <w:rPr>
                <w:rFonts w:hint="eastAsia" w:ascii="宋体" w:hAnsi="宋体" w:cs="宋体"/>
                <w:sz w:val="20"/>
                <w:szCs w:val="20"/>
              </w:rPr>
            </w:pPr>
            <w:r>
              <w:rPr>
                <w:rFonts w:hint="eastAsia" w:ascii="宋体" w:hAnsi="宋体" w:cs="宋体"/>
                <w:kern w:val="0"/>
                <w:sz w:val="20"/>
                <w:szCs w:val="20"/>
                <w:lang w:bidi="ar"/>
              </w:rPr>
              <w:t>TX3152</w:t>
            </w:r>
          </w:p>
        </w:tc>
        <w:tc>
          <w:tcPr>
            <w:tcW w:w="418" w:type="pct"/>
            <w:vAlign w:val="center"/>
          </w:tcPr>
          <w:p>
            <w:pPr>
              <w:jc w:val="center"/>
              <w:rPr>
                <w:rFonts w:hint="eastAsia" w:ascii="宋体" w:hAnsi="宋体" w:cs="宋体"/>
                <w:sz w:val="20"/>
                <w:szCs w:val="20"/>
              </w:rPr>
            </w:pPr>
            <w:r>
              <w:rPr>
                <w:rFonts w:hint="eastAsia" w:ascii="宋体" w:hAnsi="宋体" w:cs="宋体"/>
                <w:sz w:val="20"/>
                <w:szCs w:val="20"/>
              </w:rPr>
              <w:t>个</w:t>
            </w:r>
          </w:p>
        </w:tc>
        <w:tc>
          <w:tcPr>
            <w:tcW w:w="768" w:type="pct"/>
            <w:vAlign w:val="center"/>
          </w:tcPr>
          <w:p>
            <w:pPr>
              <w:jc w:val="center"/>
              <w:rPr>
                <w:rFonts w:hint="eastAsia" w:ascii="宋体" w:hAnsi="宋体" w:cs="宋体"/>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17" w:type="pct"/>
            <w:vAlign w:val="center"/>
          </w:tcPr>
          <w:p>
            <w:pPr>
              <w:numPr>
                <w:ilvl w:val="0"/>
                <w:numId w:val="1"/>
              </w:numPr>
              <w:jc w:val="center"/>
              <w:rPr>
                <w:rFonts w:hint="eastAsia" w:ascii="宋体" w:hAnsi="宋体" w:cs="宋体"/>
                <w:sz w:val="20"/>
                <w:szCs w:val="20"/>
              </w:rPr>
            </w:pPr>
          </w:p>
        </w:tc>
        <w:tc>
          <w:tcPr>
            <w:tcW w:w="1550" w:type="pct"/>
            <w:vAlign w:val="center"/>
          </w:tcPr>
          <w:p>
            <w:pPr>
              <w:widowControl/>
              <w:jc w:val="left"/>
              <w:textAlignment w:val="center"/>
              <w:rPr>
                <w:rFonts w:hint="eastAsia" w:ascii="宋体" w:hAnsi="宋体" w:cs="宋体"/>
                <w:sz w:val="20"/>
                <w:szCs w:val="20"/>
              </w:rPr>
            </w:pPr>
            <w:r>
              <w:rPr>
                <w:rFonts w:hint="eastAsia" w:ascii="宋体" w:hAnsi="宋体" w:cs="宋体"/>
                <w:kern w:val="0"/>
                <w:sz w:val="20"/>
                <w:szCs w:val="20"/>
                <w:lang w:bidi="ar"/>
              </w:rPr>
              <w:t>水流指示器</w:t>
            </w:r>
          </w:p>
        </w:tc>
        <w:tc>
          <w:tcPr>
            <w:tcW w:w="1744" w:type="pct"/>
            <w:vAlign w:val="center"/>
          </w:tcPr>
          <w:p>
            <w:pPr>
              <w:widowControl/>
              <w:jc w:val="center"/>
              <w:textAlignment w:val="center"/>
              <w:rPr>
                <w:rFonts w:hint="eastAsia" w:ascii="宋体" w:hAnsi="宋体" w:cs="宋体"/>
                <w:sz w:val="20"/>
                <w:szCs w:val="20"/>
              </w:rPr>
            </w:pPr>
            <w:r>
              <w:rPr>
                <w:rFonts w:hint="eastAsia" w:ascii="宋体" w:hAnsi="宋体" w:cs="宋体"/>
                <w:kern w:val="0"/>
                <w:sz w:val="20"/>
                <w:szCs w:val="20"/>
                <w:lang w:bidi="ar"/>
              </w:rPr>
              <w:t>DN125</w:t>
            </w:r>
          </w:p>
        </w:tc>
        <w:tc>
          <w:tcPr>
            <w:tcW w:w="418" w:type="pct"/>
            <w:vAlign w:val="center"/>
          </w:tcPr>
          <w:p>
            <w:pPr>
              <w:jc w:val="center"/>
              <w:rPr>
                <w:rFonts w:hint="eastAsia" w:ascii="宋体" w:hAnsi="宋体" w:cs="宋体"/>
                <w:sz w:val="20"/>
                <w:szCs w:val="20"/>
              </w:rPr>
            </w:pPr>
            <w:r>
              <w:rPr>
                <w:rFonts w:hint="eastAsia" w:ascii="宋体" w:hAnsi="宋体" w:cs="宋体"/>
                <w:sz w:val="20"/>
                <w:szCs w:val="20"/>
              </w:rPr>
              <w:t>个</w:t>
            </w:r>
          </w:p>
        </w:tc>
        <w:tc>
          <w:tcPr>
            <w:tcW w:w="768" w:type="pct"/>
            <w:vAlign w:val="center"/>
          </w:tcPr>
          <w:p>
            <w:pPr>
              <w:jc w:val="center"/>
              <w:rPr>
                <w:rFonts w:hint="eastAsia" w:ascii="宋体" w:hAnsi="宋体" w:cs="宋体"/>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17" w:type="pct"/>
            <w:vAlign w:val="center"/>
          </w:tcPr>
          <w:p>
            <w:pPr>
              <w:numPr>
                <w:ilvl w:val="0"/>
                <w:numId w:val="1"/>
              </w:numPr>
              <w:jc w:val="center"/>
              <w:rPr>
                <w:rFonts w:hint="eastAsia" w:ascii="宋体" w:hAnsi="宋体" w:cs="宋体"/>
                <w:sz w:val="20"/>
                <w:szCs w:val="20"/>
              </w:rPr>
            </w:pPr>
          </w:p>
        </w:tc>
        <w:tc>
          <w:tcPr>
            <w:tcW w:w="1550" w:type="pct"/>
            <w:vAlign w:val="center"/>
          </w:tcPr>
          <w:p>
            <w:pPr>
              <w:widowControl/>
              <w:jc w:val="left"/>
              <w:textAlignment w:val="center"/>
              <w:rPr>
                <w:rFonts w:hint="eastAsia" w:ascii="宋体" w:hAnsi="宋体" w:cs="宋体"/>
                <w:sz w:val="20"/>
                <w:szCs w:val="20"/>
              </w:rPr>
            </w:pPr>
            <w:r>
              <w:rPr>
                <w:rFonts w:hint="eastAsia" w:ascii="宋体" w:hAnsi="宋体" w:cs="宋体"/>
                <w:kern w:val="0"/>
                <w:sz w:val="20"/>
                <w:szCs w:val="20"/>
                <w:lang w:bidi="ar"/>
              </w:rPr>
              <w:t>信号阀</w:t>
            </w:r>
          </w:p>
        </w:tc>
        <w:tc>
          <w:tcPr>
            <w:tcW w:w="1744" w:type="pct"/>
            <w:vAlign w:val="center"/>
          </w:tcPr>
          <w:p>
            <w:pPr>
              <w:widowControl/>
              <w:jc w:val="center"/>
              <w:textAlignment w:val="center"/>
              <w:rPr>
                <w:rFonts w:hint="eastAsia" w:ascii="宋体" w:hAnsi="宋体" w:cs="宋体"/>
                <w:sz w:val="20"/>
                <w:szCs w:val="20"/>
              </w:rPr>
            </w:pPr>
            <w:r>
              <w:rPr>
                <w:rFonts w:hint="eastAsia" w:ascii="宋体" w:hAnsi="宋体" w:cs="宋体"/>
                <w:kern w:val="0"/>
                <w:sz w:val="20"/>
                <w:szCs w:val="20"/>
                <w:lang w:bidi="ar"/>
              </w:rPr>
              <w:t>ZSXF150-D</w:t>
            </w:r>
          </w:p>
        </w:tc>
        <w:tc>
          <w:tcPr>
            <w:tcW w:w="418" w:type="pct"/>
            <w:vAlign w:val="center"/>
          </w:tcPr>
          <w:p>
            <w:pPr>
              <w:jc w:val="center"/>
              <w:rPr>
                <w:rFonts w:hint="eastAsia" w:ascii="宋体" w:hAnsi="宋体" w:cs="宋体"/>
                <w:sz w:val="20"/>
                <w:szCs w:val="20"/>
              </w:rPr>
            </w:pPr>
            <w:r>
              <w:rPr>
                <w:rFonts w:hint="eastAsia" w:ascii="宋体" w:hAnsi="宋体" w:cs="宋体"/>
                <w:sz w:val="20"/>
                <w:szCs w:val="20"/>
              </w:rPr>
              <w:t>个</w:t>
            </w:r>
          </w:p>
        </w:tc>
        <w:tc>
          <w:tcPr>
            <w:tcW w:w="768" w:type="pct"/>
            <w:vAlign w:val="center"/>
          </w:tcPr>
          <w:p>
            <w:pPr>
              <w:jc w:val="center"/>
              <w:rPr>
                <w:rFonts w:hint="eastAsia" w:ascii="宋体" w:hAnsi="宋体" w:cs="宋体"/>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17" w:type="pct"/>
            <w:vAlign w:val="center"/>
          </w:tcPr>
          <w:p>
            <w:pPr>
              <w:numPr>
                <w:ilvl w:val="0"/>
                <w:numId w:val="1"/>
              </w:numPr>
              <w:jc w:val="center"/>
              <w:rPr>
                <w:rFonts w:hint="eastAsia" w:ascii="宋体" w:hAnsi="宋体" w:cs="宋体"/>
                <w:sz w:val="20"/>
                <w:szCs w:val="20"/>
              </w:rPr>
            </w:pPr>
          </w:p>
        </w:tc>
        <w:tc>
          <w:tcPr>
            <w:tcW w:w="1550" w:type="pct"/>
            <w:vAlign w:val="center"/>
          </w:tcPr>
          <w:p>
            <w:pPr>
              <w:widowControl/>
              <w:jc w:val="left"/>
              <w:textAlignment w:val="center"/>
              <w:rPr>
                <w:rFonts w:hint="eastAsia" w:ascii="宋体" w:hAnsi="宋体" w:cs="宋体"/>
                <w:sz w:val="20"/>
                <w:szCs w:val="20"/>
              </w:rPr>
            </w:pPr>
            <w:r>
              <w:rPr>
                <w:rFonts w:hint="eastAsia" w:ascii="宋体" w:hAnsi="宋体" w:cs="宋体"/>
                <w:kern w:val="0"/>
                <w:sz w:val="20"/>
                <w:szCs w:val="20"/>
                <w:lang w:bidi="ar"/>
              </w:rPr>
              <w:t>防火阀</w:t>
            </w:r>
          </w:p>
        </w:tc>
        <w:tc>
          <w:tcPr>
            <w:tcW w:w="1744" w:type="pct"/>
            <w:vAlign w:val="center"/>
          </w:tcPr>
          <w:p>
            <w:pPr>
              <w:widowControl/>
              <w:jc w:val="center"/>
              <w:textAlignment w:val="center"/>
              <w:rPr>
                <w:rFonts w:hint="eastAsia" w:ascii="宋体" w:hAnsi="宋体" w:cs="宋体"/>
                <w:sz w:val="20"/>
                <w:szCs w:val="20"/>
              </w:rPr>
            </w:pPr>
            <w:r>
              <w:rPr>
                <w:rFonts w:hint="eastAsia" w:ascii="宋体" w:hAnsi="宋体" w:cs="宋体"/>
                <w:kern w:val="0"/>
                <w:sz w:val="20"/>
                <w:szCs w:val="20"/>
                <w:lang w:bidi="ar"/>
              </w:rPr>
              <w:t>ZFHF-WSDC-K-24/0.7</w:t>
            </w:r>
          </w:p>
        </w:tc>
        <w:tc>
          <w:tcPr>
            <w:tcW w:w="418" w:type="pct"/>
            <w:vAlign w:val="center"/>
          </w:tcPr>
          <w:p>
            <w:pPr>
              <w:jc w:val="center"/>
              <w:rPr>
                <w:rFonts w:hint="eastAsia" w:ascii="宋体" w:hAnsi="宋体" w:cs="宋体"/>
                <w:sz w:val="20"/>
                <w:szCs w:val="20"/>
              </w:rPr>
            </w:pPr>
            <w:r>
              <w:rPr>
                <w:rFonts w:hint="eastAsia" w:ascii="宋体" w:hAnsi="宋体" w:cs="宋体"/>
                <w:sz w:val="20"/>
                <w:szCs w:val="20"/>
              </w:rPr>
              <w:t>个</w:t>
            </w:r>
          </w:p>
        </w:tc>
        <w:tc>
          <w:tcPr>
            <w:tcW w:w="768" w:type="pct"/>
            <w:vAlign w:val="center"/>
          </w:tcPr>
          <w:p>
            <w:pPr>
              <w:jc w:val="center"/>
              <w:rPr>
                <w:rFonts w:hint="eastAsia" w:ascii="宋体" w:hAnsi="宋体" w:cs="宋体"/>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17" w:type="pct"/>
            <w:vAlign w:val="center"/>
          </w:tcPr>
          <w:p>
            <w:pPr>
              <w:numPr>
                <w:ilvl w:val="0"/>
                <w:numId w:val="1"/>
              </w:numPr>
              <w:jc w:val="center"/>
              <w:rPr>
                <w:rFonts w:hint="eastAsia" w:ascii="宋体" w:hAnsi="宋体" w:cs="宋体"/>
                <w:sz w:val="20"/>
                <w:szCs w:val="20"/>
              </w:rPr>
            </w:pPr>
          </w:p>
        </w:tc>
        <w:tc>
          <w:tcPr>
            <w:tcW w:w="1550" w:type="pct"/>
            <w:vAlign w:val="center"/>
          </w:tcPr>
          <w:p>
            <w:pPr>
              <w:widowControl/>
              <w:jc w:val="left"/>
              <w:textAlignment w:val="center"/>
              <w:rPr>
                <w:rFonts w:hint="eastAsia" w:ascii="宋体" w:hAnsi="宋体" w:cs="宋体"/>
                <w:sz w:val="20"/>
                <w:szCs w:val="20"/>
              </w:rPr>
            </w:pPr>
            <w:r>
              <w:rPr>
                <w:rFonts w:hint="eastAsia" w:ascii="宋体" w:hAnsi="宋体" w:cs="宋体"/>
                <w:kern w:val="0"/>
                <w:sz w:val="20"/>
                <w:szCs w:val="20"/>
                <w:lang w:bidi="ar"/>
              </w:rPr>
              <w:t>风阀</w:t>
            </w:r>
          </w:p>
        </w:tc>
        <w:tc>
          <w:tcPr>
            <w:tcW w:w="1744" w:type="pct"/>
            <w:vAlign w:val="center"/>
          </w:tcPr>
          <w:p>
            <w:pPr>
              <w:widowControl/>
              <w:jc w:val="center"/>
              <w:textAlignment w:val="center"/>
              <w:rPr>
                <w:rFonts w:hint="eastAsia" w:ascii="宋体" w:hAnsi="宋体" w:cs="宋体"/>
                <w:sz w:val="20"/>
                <w:szCs w:val="20"/>
              </w:rPr>
            </w:pPr>
            <w:r>
              <w:rPr>
                <w:rFonts w:hint="eastAsia" w:ascii="宋体" w:hAnsi="宋体" w:cs="宋体"/>
                <w:kern w:val="0"/>
                <w:sz w:val="20"/>
                <w:szCs w:val="20"/>
                <w:lang w:bidi="ar"/>
              </w:rPr>
              <w:t>SFWD</w:t>
            </w:r>
          </w:p>
        </w:tc>
        <w:tc>
          <w:tcPr>
            <w:tcW w:w="418" w:type="pct"/>
            <w:vAlign w:val="center"/>
          </w:tcPr>
          <w:p>
            <w:pPr>
              <w:jc w:val="center"/>
              <w:rPr>
                <w:rFonts w:hint="eastAsia" w:ascii="宋体" w:hAnsi="宋体" w:cs="宋体"/>
                <w:sz w:val="20"/>
                <w:szCs w:val="20"/>
              </w:rPr>
            </w:pPr>
            <w:r>
              <w:rPr>
                <w:rFonts w:hint="eastAsia" w:ascii="宋体" w:hAnsi="宋体" w:cs="宋体"/>
                <w:sz w:val="20"/>
                <w:szCs w:val="20"/>
              </w:rPr>
              <w:t>个</w:t>
            </w:r>
          </w:p>
        </w:tc>
        <w:tc>
          <w:tcPr>
            <w:tcW w:w="768" w:type="pct"/>
            <w:vAlign w:val="center"/>
          </w:tcPr>
          <w:p>
            <w:pPr>
              <w:jc w:val="center"/>
              <w:rPr>
                <w:rFonts w:hint="eastAsia" w:ascii="宋体" w:hAnsi="宋体" w:cs="宋体"/>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 w:hRule="atLeast"/>
        </w:trPr>
        <w:tc>
          <w:tcPr>
            <w:tcW w:w="517" w:type="pct"/>
            <w:vAlign w:val="center"/>
          </w:tcPr>
          <w:p>
            <w:pPr>
              <w:numPr>
                <w:ilvl w:val="0"/>
                <w:numId w:val="1"/>
              </w:numPr>
              <w:jc w:val="center"/>
              <w:rPr>
                <w:rFonts w:hint="eastAsia" w:ascii="宋体" w:hAnsi="宋体" w:cs="宋体"/>
                <w:sz w:val="20"/>
                <w:szCs w:val="20"/>
              </w:rPr>
            </w:pPr>
          </w:p>
        </w:tc>
        <w:tc>
          <w:tcPr>
            <w:tcW w:w="1550" w:type="pct"/>
            <w:vAlign w:val="center"/>
          </w:tcPr>
          <w:p>
            <w:pPr>
              <w:widowControl/>
              <w:jc w:val="left"/>
              <w:textAlignment w:val="center"/>
              <w:rPr>
                <w:rFonts w:hint="eastAsia" w:ascii="宋体" w:hAnsi="宋体" w:cs="宋体"/>
                <w:sz w:val="20"/>
                <w:szCs w:val="20"/>
              </w:rPr>
            </w:pPr>
            <w:r>
              <w:rPr>
                <w:rFonts w:hint="eastAsia" w:ascii="宋体" w:hAnsi="宋体" w:cs="宋体"/>
                <w:kern w:val="0"/>
                <w:sz w:val="20"/>
                <w:szCs w:val="20"/>
                <w:lang w:bidi="ar"/>
              </w:rPr>
              <w:t>紧急启停按钮</w:t>
            </w:r>
          </w:p>
        </w:tc>
        <w:tc>
          <w:tcPr>
            <w:tcW w:w="1744" w:type="pct"/>
            <w:vAlign w:val="center"/>
          </w:tcPr>
          <w:p>
            <w:pPr>
              <w:widowControl/>
              <w:jc w:val="center"/>
              <w:textAlignment w:val="center"/>
              <w:rPr>
                <w:rFonts w:hint="eastAsia" w:ascii="宋体" w:hAnsi="宋体" w:cs="宋体"/>
                <w:sz w:val="20"/>
                <w:szCs w:val="20"/>
              </w:rPr>
            </w:pPr>
            <w:r>
              <w:rPr>
                <w:rFonts w:hint="eastAsia" w:ascii="宋体" w:hAnsi="宋体" w:cs="宋体"/>
                <w:kern w:val="0"/>
                <w:sz w:val="20"/>
                <w:szCs w:val="20"/>
                <w:lang w:bidi="ar"/>
              </w:rPr>
              <w:t>TX3158</w:t>
            </w:r>
          </w:p>
        </w:tc>
        <w:tc>
          <w:tcPr>
            <w:tcW w:w="418" w:type="pct"/>
            <w:vAlign w:val="center"/>
          </w:tcPr>
          <w:p>
            <w:pPr>
              <w:jc w:val="center"/>
              <w:rPr>
                <w:rFonts w:hint="eastAsia" w:ascii="宋体" w:hAnsi="宋体" w:cs="宋体"/>
                <w:sz w:val="20"/>
                <w:szCs w:val="20"/>
              </w:rPr>
            </w:pPr>
            <w:r>
              <w:rPr>
                <w:rFonts w:hint="eastAsia" w:ascii="宋体" w:hAnsi="宋体" w:cs="宋体"/>
                <w:sz w:val="20"/>
                <w:szCs w:val="20"/>
              </w:rPr>
              <w:t>个</w:t>
            </w:r>
          </w:p>
        </w:tc>
        <w:tc>
          <w:tcPr>
            <w:tcW w:w="768" w:type="pct"/>
            <w:vAlign w:val="center"/>
          </w:tcPr>
          <w:p>
            <w:pPr>
              <w:jc w:val="center"/>
              <w:rPr>
                <w:rFonts w:hint="eastAsia" w:ascii="宋体" w:hAnsi="宋体" w:cs="宋体"/>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 w:hRule="atLeast"/>
        </w:trPr>
        <w:tc>
          <w:tcPr>
            <w:tcW w:w="517" w:type="pct"/>
            <w:vAlign w:val="center"/>
          </w:tcPr>
          <w:p>
            <w:pPr>
              <w:numPr>
                <w:ilvl w:val="0"/>
                <w:numId w:val="1"/>
              </w:numPr>
              <w:jc w:val="center"/>
              <w:rPr>
                <w:rFonts w:hint="eastAsia" w:ascii="宋体" w:hAnsi="宋体" w:cs="宋体"/>
                <w:sz w:val="20"/>
                <w:szCs w:val="20"/>
              </w:rPr>
            </w:pPr>
          </w:p>
        </w:tc>
        <w:tc>
          <w:tcPr>
            <w:tcW w:w="1550" w:type="pct"/>
            <w:vAlign w:val="center"/>
          </w:tcPr>
          <w:p>
            <w:pPr>
              <w:widowControl/>
              <w:jc w:val="left"/>
              <w:textAlignment w:val="center"/>
              <w:rPr>
                <w:rFonts w:hint="eastAsia" w:ascii="宋体" w:hAnsi="宋体" w:cs="宋体"/>
                <w:sz w:val="20"/>
                <w:szCs w:val="20"/>
              </w:rPr>
            </w:pPr>
            <w:r>
              <w:rPr>
                <w:rFonts w:hint="eastAsia" w:ascii="宋体" w:hAnsi="宋体" w:cs="宋体"/>
                <w:kern w:val="0"/>
                <w:sz w:val="20"/>
                <w:szCs w:val="20"/>
                <w:lang w:bidi="ar"/>
              </w:rPr>
              <w:t>手提式二氧化碳灭火器</w:t>
            </w:r>
          </w:p>
        </w:tc>
        <w:tc>
          <w:tcPr>
            <w:tcW w:w="1744" w:type="pct"/>
            <w:vAlign w:val="center"/>
          </w:tcPr>
          <w:p>
            <w:pPr>
              <w:widowControl/>
              <w:jc w:val="center"/>
              <w:textAlignment w:val="center"/>
              <w:rPr>
                <w:rFonts w:hint="eastAsia" w:ascii="宋体" w:hAnsi="宋体" w:cs="宋体"/>
                <w:sz w:val="20"/>
                <w:szCs w:val="20"/>
              </w:rPr>
            </w:pPr>
            <w:r>
              <w:rPr>
                <w:rFonts w:hint="eastAsia" w:ascii="宋体" w:hAnsi="宋体" w:cs="宋体"/>
                <w:kern w:val="0"/>
                <w:sz w:val="20"/>
                <w:szCs w:val="20"/>
                <w:lang w:bidi="ar"/>
              </w:rPr>
              <w:t>MT/3</w:t>
            </w:r>
          </w:p>
        </w:tc>
        <w:tc>
          <w:tcPr>
            <w:tcW w:w="418" w:type="pct"/>
            <w:vAlign w:val="center"/>
          </w:tcPr>
          <w:p>
            <w:pPr>
              <w:jc w:val="center"/>
              <w:rPr>
                <w:rFonts w:hint="eastAsia" w:ascii="宋体" w:hAnsi="宋体" w:cs="宋体"/>
                <w:sz w:val="20"/>
                <w:szCs w:val="20"/>
              </w:rPr>
            </w:pPr>
            <w:r>
              <w:rPr>
                <w:rFonts w:hint="eastAsia" w:ascii="宋体" w:hAnsi="宋体" w:cs="宋体"/>
                <w:sz w:val="20"/>
                <w:szCs w:val="20"/>
              </w:rPr>
              <w:t>个</w:t>
            </w:r>
          </w:p>
        </w:tc>
        <w:tc>
          <w:tcPr>
            <w:tcW w:w="768" w:type="pct"/>
            <w:vAlign w:val="center"/>
          </w:tcPr>
          <w:p>
            <w:pPr>
              <w:jc w:val="center"/>
              <w:rPr>
                <w:rFonts w:hint="eastAsia" w:ascii="宋体" w:hAnsi="宋体" w:cs="宋体"/>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 w:hRule="atLeast"/>
        </w:trPr>
        <w:tc>
          <w:tcPr>
            <w:tcW w:w="517" w:type="pct"/>
            <w:vMerge w:val="restart"/>
            <w:vAlign w:val="center"/>
          </w:tcPr>
          <w:p>
            <w:pPr>
              <w:numPr>
                <w:ilvl w:val="0"/>
                <w:numId w:val="1"/>
              </w:numPr>
              <w:jc w:val="center"/>
              <w:rPr>
                <w:rFonts w:hint="eastAsia" w:ascii="宋体" w:hAnsi="宋体" w:cs="宋体"/>
                <w:kern w:val="0"/>
                <w:sz w:val="20"/>
                <w:szCs w:val="20"/>
                <w:lang w:bidi="ar"/>
              </w:rPr>
            </w:pPr>
          </w:p>
        </w:tc>
        <w:tc>
          <w:tcPr>
            <w:tcW w:w="1550" w:type="pct"/>
            <w:vMerge w:val="restart"/>
            <w:vAlign w:val="center"/>
          </w:tcPr>
          <w:p>
            <w:pPr>
              <w:widowControl/>
              <w:jc w:val="left"/>
              <w:textAlignment w:val="center"/>
              <w:rPr>
                <w:rFonts w:hint="eastAsia" w:ascii="宋体" w:hAnsi="宋体" w:cs="宋体"/>
                <w:kern w:val="0"/>
                <w:sz w:val="20"/>
                <w:szCs w:val="20"/>
                <w:lang w:bidi="ar"/>
              </w:rPr>
            </w:pPr>
            <w:r>
              <w:rPr>
                <w:rFonts w:hint="eastAsia" w:ascii="宋体" w:hAnsi="宋体" w:cs="宋体"/>
                <w:kern w:val="0"/>
                <w:sz w:val="20"/>
                <w:szCs w:val="20"/>
                <w:lang w:bidi="ar"/>
              </w:rPr>
              <w:t>闸阀</w:t>
            </w:r>
          </w:p>
        </w:tc>
        <w:tc>
          <w:tcPr>
            <w:tcW w:w="1744" w:type="pct"/>
            <w:vAlign w:val="center"/>
          </w:tcPr>
          <w:p>
            <w:pPr>
              <w:widowControl/>
              <w:jc w:val="center"/>
              <w:textAlignment w:val="center"/>
              <w:rPr>
                <w:rFonts w:hint="eastAsia" w:ascii="宋体" w:hAnsi="宋体" w:cs="宋体"/>
                <w:kern w:val="0"/>
                <w:sz w:val="20"/>
                <w:szCs w:val="20"/>
                <w:lang w:bidi="ar"/>
              </w:rPr>
            </w:pPr>
            <w:r>
              <w:rPr>
                <w:rFonts w:hint="eastAsia" w:ascii="宋体" w:hAnsi="宋体" w:cs="宋体"/>
                <w:kern w:val="0"/>
                <w:sz w:val="20"/>
                <w:szCs w:val="20"/>
                <w:lang w:bidi="ar"/>
              </w:rPr>
              <w:t>DN80</w:t>
            </w:r>
          </w:p>
        </w:tc>
        <w:tc>
          <w:tcPr>
            <w:tcW w:w="418" w:type="pct"/>
            <w:vAlign w:val="center"/>
          </w:tcPr>
          <w:p>
            <w:pPr>
              <w:jc w:val="center"/>
              <w:rPr>
                <w:rFonts w:hint="eastAsia" w:ascii="宋体" w:hAnsi="宋体" w:cs="宋体"/>
                <w:sz w:val="20"/>
                <w:szCs w:val="20"/>
              </w:rPr>
            </w:pPr>
            <w:r>
              <w:rPr>
                <w:rFonts w:hint="eastAsia" w:ascii="宋体" w:hAnsi="宋体" w:cs="宋体"/>
                <w:sz w:val="20"/>
                <w:szCs w:val="20"/>
              </w:rPr>
              <w:t>个</w:t>
            </w:r>
          </w:p>
        </w:tc>
        <w:tc>
          <w:tcPr>
            <w:tcW w:w="768" w:type="pct"/>
            <w:vAlign w:val="center"/>
          </w:tcPr>
          <w:p>
            <w:pPr>
              <w:jc w:val="center"/>
              <w:rPr>
                <w:rFonts w:hint="eastAsia" w:ascii="宋体" w:hAnsi="宋体" w:cs="宋体"/>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17" w:type="pct"/>
            <w:vMerge w:val="continue"/>
            <w:vAlign w:val="center"/>
          </w:tcPr>
          <w:p>
            <w:pPr>
              <w:tabs>
                <w:tab w:val="left" w:pos="420"/>
              </w:tabs>
              <w:ind w:left="420" w:hanging="420"/>
              <w:jc w:val="center"/>
              <w:rPr>
                <w:rFonts w:hint="eastAsia" w:ascii="宋体" w:hAnsi="宋体" w:cs="宋体"/>
                <w:kern w:val="0"/>
                <w:sz w:val="20"/>
                <w:szCs w:val="20"/>
                <w:lang w:bidi="ar"/>
              </w:rPr>
            </w:pPr>
          </w:p>
        </w:tc>
        <w:tc>
          <w:tcPr>
            <w:tcW w:w="1550" w:type="pct"/>
            <w:vMerge w:val="continue"/>
            <w:vAlign w:val="center"/>
          </w:tcPr>
          <w:p>
            <w:pPr>
              <w:widowControl/>
              <w:jc w:val="left"/>
              <w:textAlignment w:val="center"/>
              <w:rPr>
                <w:rFonts w:hint="eastAsia" w:ascii="宋体" w:hAnsi="宋体" w:cs="宋体"/>
                <w:kern w:val="0"/>
                <w:sz w:val="20"/>
                <w:szCs w:val="20"/>
                <w:lang w:bidi="ar"/>
              </w:rPr>
            </w:pPr>
          </w:p>
        </w:tc>
        <w:tc>
          <w:tcPr>
            <w:tcW w:w="1744" w:type="pct"/>
            <w:vAlign w:val="center"/>
          </w:tcPr>
          <w:p>
            <w:pPr>
              <w:widowControl/>
              <w:jc w:val="center"/>
              <w:textAlignment w:val="center"/>
              <w:rPr>
                <w:rFonts w:hint="eastAsia" w:ascii="宋体" w:hAnsi="宋体" w:cs="宋体"/>
                <w:kern w:val="0"/>
                <w:sz w:val="20"/>
                <w:szCs w:val="20"/>
                <w:lang w:bidi="ar"/>
              </w:rPr>
            </w:pPr>
            <w:r>
              <w:rPr>
                <w:rFonts w:hint="eastAsia" w:ascii="宋体" w:hAnsi="宋体" w:cs="宋体"/>
                <w:kern w:val="0"/>
                <w:sz w:val="20"/>
                <w:szCs w:val="20"/>
                <w:lang w:bidi="ar"/>
              </w:rPr>
              <w:t>DN100</w:t>
            </w:r>
          </w:p>
        </w:tc>
        <w:tc>
          <w:tcPr>
            <w:tcW w:w="418" w:type="pct"/>
            <w:vAlign w:val="center"/>
          </w:tcPr>
          <w:p>
            <w:pPr>
              <w:jc w:val="center"/>
              <w:rPr>
                <w:rFonts w:hint="eastAsia" w:ascii="宋体" w:hAnsi="宋体" w:cs="宋体"/>
                <w:sz w:val="20"/>
                <w:szCs w:val="20"/>
              </w:rPr>
            </w:pPr>
            <w:r>
              <w:rPr>
                <w:rFonts w:hint="eastAsia" w:ascii="宋体" w:hAnsi="宋体" w:cs="宋体"/>
                <w:sz w:val="20"/>
                <w:szCs w:val="20"/>
              </w:rPr>
              <w:t>个</w:t>
            </w:r>
          </w:p>
        </w:tc>
        <w:tc>
          <w:tcPr>
            <w:tcW w:w="768" w:type="pct"/>
            <w:vAlign w:val="center"/>
          </w:tcPr>
          <w:p>
            <w:pPr>
              <w:jc w:val="center"/>
              <w:rPr>
                <w:rFonts w:hint="eastAsia" w:ascii="宋体" w:hAnsi="宋体" w:cs="宋体"/>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17" w:type="pct"/>
            <w:vMerge w:val="continue"/>
            <w:vAlign w:val="center"/>
          </w:tcPr>
          <w:p>
            <w:pPr>
              <w:tabs>
                <w:tab w:val="left" w:pos="420"/>
              </w:tabs>
              <w:ind w:left="420" w:hanging="420"/>
              <w:jc w:val="center"/>
              <w:rPr>
                <w:rFonts w:hint="eastAsia" w:ascii="宋体" w:hAnsi="宋体" w:cs="宋体"/>
                <w:kern w:val="0"/>
                <w:sz w:val="20"/>
                <w:szCs w:val="20"/>
                <w:lang w:bidi="ar"/>
              </w:rPr>
            </w:pPr>
          </w:p>
        </w:tc>
        <w:tc>
          <w:tcPr>
            <w:tcW w:w="1550" w:type="pct"/>
            <w:vMerge w:val="continue"/>
            <w:vAlign w:val="center"/>
          </w:tcPr>
          <w:p>
            <w:pPr>
              <w:widowControl/>
              <w:jc w:val="left"/>
              <w:textAlignment w:val="center"/>
              <w:rPr>
                <w:rFonts w:hint="eastAsia" w:ascii="宋体" w:hAnsi="宋体" w:cs="宋体"/>
                <w:kern w:val="0"/>
                <w:sz w:val="20"/>
                <w:szCs w:val="20"/>
                <w:lang w:bidi="ar"/>
              </w:rPr>
            </w:pPr>
          </w:p>
        </w:tc>
        <w:tc>
          <w:tcPr>
            <w:tcW w:w="1744" w:type="pct"/>
            <w:vAlign w:val="center"/>
          </w:tcPr>
          <w:p>
            <w:pPr>
              <w:widowControl/>
              <w:jc w:val="center"/>
              <w:textAlignment w:val="center"/>
              <w:rPr>
                <w:rFonts w:hint="eastAsia" w:ascii="宋体" w:hAnsi="宋体" w:cs="宋体"/>
                <w:kern w:val="0"/>
                <w:sz w:val="20"/>
                <w:szCs w:val="20"/>
                <w:lang w:bidi="ar"/>
              </w:rPr>
            </w:pPr>
            <w:r>
              <w:rPr>
                <w:rFonts w:hint="eastAsia" w:ascii="宋体" w:hAnsi="宋体" w:cs="宋体"/>
                <w:kern w:val="0"/>
                <w:sz w:val="20"/>
                <w:szCs w:val="20"/>
                <w:lang w:bidi="ar"/>
              </w:rPr>
              <w:t>DN150</w:t>
            </w:r>
          </w:p>
        </w:tc>
        <w:tc>
          <w:tcPr>
            <w:tcW w:w="418" w:type="pct"/>
            <w:vAlign w:val="center"/>
          </w:tcPr>
          <w:p>
            <w:pPr>
              <w:jc w:val="center"/>
              <w:rPr>
                <w:rFonts w:hint="eastAsia" w:ascii="宋体" w:hAnsi="宋体" w:cs="宋体"/>
                <w:sz w:val="20"/>
                <w:szCs w:val="20"/>
              </w:rPr>
            </w:pPr>
            <w:r>
              <w:rPr>
                <w:rFonts w:hint="eastAsia" w:ascii="宋体" w:hAnsi="宋体" w:cs="宋体"/>
                <w:sz w:val="20"/>
                <w:szCs w:val="20"/>
              </w:rPr>
              <w:t>个</w:t>
            </w:r>
          </w:p>
        </w:tc>
        <w:tc>
          <w:tcPr>
            <w:tcW w:w="768" w:type="pct"/>
            <w:vAlign w:val="center"/>
          </w:tcPr>
          <w:p>
            <w:pPr>
              <w:jc w:val="center"/>
              <w:rPr>
                <w:rFonts w:hint="eastAsia" w:ascii="宋体" w:hAnsi="宋体" w:cs="宋体"/>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 w:hRule="atLeast"/>
        </w:trPr>
        <w:tc>
          <w:tcPr>
            <w:tcW w:w="517" w:type="pct"/>
            <w:vMerge w:val="restart"/>
            <w:vAlign w:val="center"/>
          </w:tcPr>
          <w:p>
            <w:pPr>
              <w:numPr>
                <w:ilvl w:val="0"/>
                <w:numId w:val="1"/>
              </w:numPr>
              <w:jc w:val="center"/>
              <w:rPr>
                <w:rFonts w:hint="eastAsia" w:ascii="宋体" w:hAnsi="宋体" w:cs="宋体"/>
                <w:kern w:val="0"/>
                <w:sz w:val="20"/>
                <w:szCs w:val="20"/>
                <w:lang w:bidi="ar"/>
              </w:rPr>
            </w:pPr>
          </w:p>
        </w:tc>
        <w:tc>
          <w:tcPr>
            <w:tcW w:w="1550" w:type="pct"/>
            <w:vMerge w:val="restart"/>
            <w:vAlign w:val="center"/>
          </w:tcPr>
          <w:p>
            <w:pPr>
              <w:widowControl/>
              <w:jc w:val="left"/>
              <w:textAlignment w:val="center"/>
              <w:rPr>
                <w:rFonts w:hint="eastAsia" w:ascii="宋体" w:hAnsi="宋体" w:cs="宋体"/>
                <w:kern w:val="0"/>
                <w:sz w:val="20"/>
                <w:szCs w:val="20"/>
                <w:lang w:bidi="ar"/>
              </w:rPr>
            </w:pPr>
            <w:r>
              <w:rPr>
                <w:rFonts w:hint="eastAsia" w:ascii="宋体" w:hAnsi="宋体" w:cs="宋体"/>
                <w:kern w:val="0"/>
                <w:sz w:val="20"/>
                <w:szCs w:val="20"/>
                <w:lang w:bidi="ar"/>
              </w:rPr>
              <w:t>蝶阀</w:t>
            </w:r>
          </w:p>
        </w:tc>
        <w:tc>
          <w:tcPr>
            <w:tcW w:w="1744" w:type="pct"/>
            <w:vAlign w:val="center"/>
          </w:tcPr>
          <w:p>
            <w:pPr>
              <w:widowControl/>
              <w:jc w:val="center"/>
              <w:textAlignment w:val="center"/>
              <w:rPr>
                <w:rFonts w:hint="eastAsia" w:ascii="宋体" w:hAnsi="宋体" w:cs="宋体"/>
                <w:kern w:val="0"/>
                <w:sz w:val="20"/>
                <w:szCs w:val="20"/>
                <w:lang w:bidi="ar"/>
              </w:rPr>
            </w:pPr>
            <w:r>
              <w:rPr>
                <w:rFonts w:hint="eastAsia" w:ascii="宋体" w:hAnsi="宋体" w:cs="宋体"/>
                <w:kern w:val="0"/>
                <w:sz w:val="20"/>
                <w:szCs w:val="20"/>
                <w:lang w:bidi="ar"/>
              </w:rPr>
              <w:t>DN80</w:t>
            </w:r>
          </w:p>
        </w:tc>
        <w:tc>
          <w:tcPr>
            <w:tcW w:w="418" w:type="pct"/>
            <w:vAlign w:val="center"/>
          </w:tcPr>
          <w:p>
            <w:pPr>
              <w:jc w:val="center"/>
              <w:rPr>
                <w:rFonts w:hint="eastAsia" w:ascii="宋体" w:hAnsi="宋体" w:cs="宋体"/>
                <w:sz w:val="20"/>
                <w:szCs w:val="20"/>
              </w:rPr>
            </w:pPr>
            <w:r>
              <w:rPr>
                <w:rFonts w:hint="eastAsia" w:ascii="宋体" w:hAnsi="宋体" w:cs="宋体"/>
                <w:sz w:val="20"/>
                <w:szCs w:val="20"/>
              </w:rPr>
              <w:t>个</w:t>
            </w:r>
          </w:p>
        </w:tc>
        <w:tc>
          <w:tcPr>
            <w:tcW w:w="768" w:type="pct"/>
            <w:vAlign w:val="center"/>
          </w:tcPr>
          <w:p>
            <w:pPr>
              <w:jc w:val="center"/>
              <w:rPr>
                <w:rFonts w:hint="eastAsia" w:ascii="宋体" w:hAnsi="宋体" w:cs="宋体"/>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17" w:type="pct"/>
            <w:vMerge w:val="continue"/>
            <w:vAlign w:val="center"/>
          </w:tcPr>
          <w:p>
            <w:pPr>
              <w:tabs>
                <w:tab w:val="left" w:pos="420"/>
              </w:tabs>
              <w:ind w:left="420" w:hanging="420"/>
              <w:jc w:val="center"/>
              <w:rPr>
                <w:rFonts w:hint="eastAsia" w:ascii="宋体" w:hAnsi="宋体" w:cs="宋体"/>
                <w:kern w:val="0"/>
                <w:sz w:val="20"/>
                <w:szCs w:val="20"/>
                <w:lang w:bidi="ar"/>
              </w:rPr>
            </w:pPr>
          </w:p>
        </w:tc>
        <w:tc>
          <w:tcPr>
            <w:tcW w:w="1550" w:type="pct"/>
            <w:vMerge w:val="continue"/>
            <w:vAlign w:val="center"/>
          </w:tcPr>
          <w:p>
            <w:pPr>
              <w:widowControl/>
              <w:jc w:val="left"/>
              <w:textAlignment w:val="center"/>
              <w:rPr>
                <w:rFonts w:hint="eastAsia" w:ascii="宋体" w:hAnsi="宋体" w:cs="宋体"/>
                <w:kern w:val="0"/>
                <w:sz w:val="20"/>
                <w:szCs w:val="20"/>
                <w:lang w:bidi="ar"/>
              </w:rPr>
            </w:pPr>
          </w:p>
        </w:tc>
        <w:tc>
          <w:tcPr>
            <w:tcW w:w="1744" w:type="pct"/>
            <w:vAlign w:val="center"/>
          </w:tcPr>
          <w:p>
            <w:pPr>
              <w:widowControl/>
              <w:jc w:val="center"/>
              <w:textAlignment w:val="center"/>
              <w:rPr>
                <w:rFonts w:hint="eastAsia" w:ascii="宋体" w:hAnsi="宋体" w:cs="宋体"/>
                <w:kern w:val="0"/>
                <w:sz w:val="20"/>
                <w:szCs w:val="20"/>
                <w:lang w:bidi="ar"/>
              </w:rPr>
            </w:pPr>
            <w:r>
              <w:rPr>
                <w:rFonts w:hint="eastAsia" w:ascii="宋体" w:hAnsi="宋体" w:cs="宋体"/>
                <w:kern w:val="0"/>
                <w:sz w:val="20"/>
                <w:szCs w:val="20"/>
                <w:lang w:bidi="ar"/>
              </w:rPr>
              <w:t>DN100</w:t>
            </w:r>
          </w:p>
        </w:tc>
        <w:tc>
          <w:tcPr>
            <w:tcW w:w="418" w:type="pct"/>
            <w:vAlign w:val="center"/>
          </w:tcPr>
          <w:p>
            <w:pPr>
              <w:jc w:val="center"/>
              <w:rPr>
                <w:rFonts w:hint="eastAsia" w:ascii="宋体" w:hAnsi="宋体" w:cs="宋体"/>
                <w:sz w:val="20"/>
                <w:szCs w:val="20"/>
              </w:rPr>
            </w:pPr>
            <w:r>
              <w:rPr>
                <w:rFonts w:hint="eastAsia" w:ascii="宋体" w:hAnsi="宋体" w:cs="宋体"/>
                <w:sz w:val="20"/>
                <w:szCs w:val="20"/>
              </w:rPr>
              <w:t>个</w:t>
            </w:r>
          </w:p>
        </w:tc>
        <w:tc>
          <w:tcPr>
            <w:tcW w:w="768" w:type="pct"/>
            <w:vAlign w:val="center"/>
          </w:tcPr>
          <w:p>
            <w:pPr>
              <w:jc w:val="center"/>
              <w:rPr>
                <w:rFonts w:hint="eastAsia" w:ascii="宋体" w:hAnsi="宋体" w:cs="宋体"/>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17" w:type="pct"/>
            <w:vMerge w:val="continue"/>
            <w:vAlign w:val="center"/>
          </w:tcPr>
          <w:p>
            <w:pPr>
              <w:tabs>
                <w:tab w:val="left" w:pos="420"/>
              </w:tabs>
              <w:ind w:left="420" w:hanging="420"/>
              <w:jc w:val="center"/>
              <w:rPr>
                <w:rFonts w:hint="eastAsia" w:ascii="宋体" w:hAnsi="宋体" w:cs="宋体"/>
                <w:kern w:val="0"/>
                <w:sz w:val="20"/>
                <w:szCs w:val="20"/>
                <w:lang w:bidi="ar"/>
              </w:rPr>
            </w:pPr>
          </w:p>
        </w:tc>
        <w:tc>
          <w:tcPr>
            <w:tcW w:w="1550" w:type="pct"/>
            <w:vMerge w:val="continue"/>
            <w:vAlign w:val="center"/>
          </w:tcPr>
          <w:p>
            <w:pPr>
              <w:widowControl/>
              <w:jc w:val="left"/>
              <w:textAlignment w:val="center"/>
              <w:rPr>
                <w:rFonts w:hint="eastAsia" w:ascii="宋体" w:hAnsi="宋体" w:cs="宋体"/>
                <w:kern w:val="0"/>
                <w:sz w:val="20"/>
                <w:szCs w:val="20"/>
                <w:lang w:bidi="ar"/>
              </w:rPr>
            </w:pPr>
          </w:p>
        </w:tc>
        <w:tc>
          <w:tcPr>
            <w:tcW w:w="1744" w:type="pct"/>
            <w:vAlign w:val="center"/>
          </w:tcPr>
          <w:p>
            <w:pPr>
              <w:widowControl/>
              <w:jc w:val="center"/>
              <w:textAlignment w:val="center"/>
              <w:rPr>
                <w:rFonts w:hint="eastAsia" w:ascii="宋体" w:hAnsi="宋体" w:cs="宋体"/>
                <w:kern w:val="0"/>
                <w:sz w:val="20"/>
                <w:szCs w:val="20"/>
                <w:lang w:bidi="ar"/>
              </w:rPr>
            </w:pPr>
            <w:r>
              <w:rPr>
                <w:rFonts w:hint="eastAsia" w:ascii="宋体" w:hAnsi="宋体" w:cs="宋体"/>
                <w:kern w:val="0"/>
                <w:sz w:val="20"/>
                <w:szCs w:val="20"/>
                <w:lang w:bidi="ar"/>
              </w:rPr>
              <w:t>DN150</w:t>
            </w:r>
          </w:p>
        </w:tc>
        <w:tc>
          <w:tcPr>
            <w:tcW w:w="418" w:type="pct"/>
            <w:vAlign w:val="center"/>
          </w:tcPr>
          <w:p>
            <w:pPr>
              <w:jc w:val="center"/>
              <w:rPr>
                <w:rFonts w:hint="eastAsia" w:ascii="宋体" w:hAnsi="宋体" w:cs="宋体"/>
                <w:sz w:val="20"/>
                <w:szCs w:val="20"/>
              </w:rPr>
            </w:pPr>
            <w:r>
              <w:rPr>
                <w:rFonts w:hint="eastAsia" w:ascii="宋体" w:hAnsi="宋体" w:cs="宋体"/>
                <w:sz w:val="20"/>
                <w:szCs w:val="20"/>
              </w:rPr>
              <w:t>个</w:t>
            </w:r>
          </w:p>
        </w:tc>
        <w:tc>
          <w:tcPr>
            <w:tcW w:w="768" w:type="pct"/>
            <w:vAlign w:val="center"/>
          </w:tcPr>
          <w:p>
            <w:pPr>
              <w:jc w:val="center"/>
              <w:rPr>
                <w:rFonts w:hint="eastAsia" w:ascii="宋体" w:hAnsi="宋体" w:cs="宋体"/>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17" w:type="pct"/>
            <w:vMerge w:val="restart"/>
            <w:vAlign w:val="center"/>
          </w:tcPr>
          <w:p>
            <w:pPr>
              <w:numPr>
                <w:ilvl w:val="0"/>
                <w:numId w:val="1"/>
              </w:numPr>
              <w:jc w:val="center"/>
              <w:rPr>
                <w:rFonts w:hint="eastAsia" w:ascii="宋体" w:hAnsi="宋体" w:cs="宋体"/>
                <w:kern w:val="0"/>
                <w:sz w:val="20"/>
                <w:szCs w:val="20"/>
                <w:lang w:bidi="ar"/>
              </w:rPr>
            </w:pPr>
          </w:p>
        </w:tc>
        <w:tc>
          <w:tcPr>
            <w:tcW w:w="1550" w:type="pct"/>
            <w:vMerge w:val="restart"/>
            <w:vAlign w:val="center"/>
          </w:tcPr>
          <w:p>
            <w:pPr>
              <w:widowControl/>
              <w:jc w:val="left"/>
              <w:textAlignment w:val="center"/>
              <w:rPr>
                <w:rFonts w:hint="eastAsia" w:ascii="宋体" w:hAnsi="宋体" w:cs="宋体"/>
                <w:kern w:val="0"/>
                <w:sz w:val="20"/>
                <w:szCs w:val="20"/>
                <w:lang w:bidi="ar"/>
              </w:rPr>
            </w:pPr>
            <w:r>
              <w:rPr>
                <w:rFonts w:hint="eastAsia" w:ascii="宋体" w:hAnsi="宋体" w:cs="宋体"/>
                <w:kern w:val="0"/>
                <w:sz w:val="20"/>
                <w:szCs w:val="20"/>
                <w:lang w:bidi="ar"/>
              </w:rPr>
              <w:t>止回阀</w:t>
            </w:r>
          </w:p>
        </w:tc>
        <w:tc>
          <w:tcPr>
            <w:tcW w:w="1744" w:type="pct"/>
            <w:vAlign w:val="center"/>
          </w:tcPr>
          <w:p>
            <w:pPr>
              <w:widowControl/>
              <w:jc w:val="center"/>
              <w:textAlignment w:val="center"/>
              <w:rPr>
                <w:rFonts w:hint="eastAsia" w:ascii="宋体" w:hAnsi="宋体" w:cs="宋体"/>
                <w:kern w:val="0"/>
                <w:sz w:val="20"/>
                <w:szCs w:val="20"/>
                <w:lang w:bidi="ar"/>
              </w:rPr>
            </w:pPr>
            <w:r>
              <w:rPr>
                <w:rFonts w:hint="eastAsia" w:ascii="宋体" w:hAnsi="宋体" w:cs="宋体"/>
                <w:kern w:val="0"/>
                <w:sz w:val="20"/>
                <w:szCs w:val="20"/>
                <w:lang w:bidi="ar"/>
              </w:rPr>
              <w:t>DN80</w:t>
            </w:r>
          </w:p>
        </w:tc>
        <w:tc>
          <w:tcPr>
            <w:tcW w:w="418" w:type="pct"/>
            <w:vAlign w:val="center"/>
          </w:tcPr>
          <w:p>
            <w:pPr>
              <w:jc w:val="center"/>
              <w:rPr>
                <w:rFonts w:hint="eastAsia" w:ascii="宋体" w:hAnsi="宋体" w:cs="宋体"/>
                <w:sz w:val="20"/>
                <w:szCs w:val="20"/>
              </w:rPr>
            </w:pPr>
            <w:r>
              <w:rPr>
                <w:rFonts w:hint="eastAsia" w:ascii="宋体" w:hAnsi="宋体" w:cs="宋体"/>
                <w:sz w:val="20"/>
                <w:szCs w:val="20"/>
              </w:rPr>
              <w:t>个</w:t>
            </w:r>
          </w:p>
        </w:tc>
        <w:tc>
          <w:tcPr>
            <w:tcW w:w="768" w:type="pct"/>
            <w:vAlign w:val="center"/>
          </w:tcPr>
          <w:p>
            <w:pPr>
              <w:jc w:val="center"/>
              <w:rPr>
                <w:rFonts w:hint="eastAsia" w:ascii="宋体" w:hAnsi="宋体" w:cs="宋体"/>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 w:hRule="atLeast"/>
        </w:trPr>
        <w:tc>
          <w:tcPr>
            <w:tcW w:w="517" w:type="pct"/>
            <w:vMerge w:val="continue"/>
            <w:vAlign w:val="center"/>
          </w:tcPr>
          <w:p>
            <w:pPr>
              <w:tabs>
                <w:tab w:val="left" w:pos="420"/>
              </w:tabs>
              <w:ind w:left="420" w:hanging="420"/>
              <w:jc w:val="center"/>
              <w:rPr>
                <w:rFonts w:hint="eastAsia" w:ascii="宋体" w:hAnsi="宋体" w:cs="宋体"/>
                <w:kern w:val="0"/>
                <w:sz w:val="20"/>
                <w:szCs w:val="20"/>
                <w:lang w:bidi="ar"/>
              </w:rPr>
            </w:pPr>
          </w:p>
        </w:tc>
        <w:tc>
          <w:tcPr>
            <w:tcW w:w="1550" w:type="pct"/>
            <w:vMerge w:val="continue"/>
            <w:vAlign w:val="center"/>
          </w:tcPr>
          <w:p>
            <w:pPr>
              <w:widowControl/>
              <w:jc w:val="left"/>
              <w:textAlignment w:val="center"/>
              <w:rPr>
                <w:rFonts w:hint="eastAsia" w:ascii="宋体" w:hAnsi="宋体" w:cs="宋体"/>
                <w:kern w:val="0"/>
                <w:sz w:val="20"/>
                <w:szCs w:val="20"/>
                <w:lang w:bidi="ar"/>
              </w:rPr>
            </w:pPr>
          </w:p>
        </w:tc>
        <w:tc>
          <w:tcPr>
            <w:tcW w:w="1744" w:type="pct"/>
            <w:vAlign w:val="center"/>
          </w:tcPr>
          <w:p>
            <w:pPr>
              <w:widowControl/>
              <w:jc w:val="center"/>
              <w:textAlignment w:val="center"/>
              <w:rPr>
                <w:rFonts w:hint="eastAsia" w:ascii="宋体" w:hAnsi="宋体" w:cs="宋体"/>
                <w:kern w:val="0"/>
                <w:sz w:val="20"/>
                <w:szCs w:val="20"/>
                <w:lang w:bidi="ar"/>
              </w:rPr>
            </w:pPr>
            <w:r>
              <w:rPr>
                <w:rFonts w:hint="eastAsia" w:ascii="宋体" w:hAnsi="宋体" w:cs="宋体"/>
                <w:kern w:val="0"/>
                <w:sz w:val="20"/>
                <w:szCs w:val="20"/>
                <w:lang w:bidi="ar"/>
              </w:rPr>
              <w:t>DN100</w:t>
            </w:r>
          </w:p>
        </w:tc>
        <w:tc>
          <w:tcPr>
            <w:tcW w:w="418" w:type="pct"/>
            <w:vAlign w:val="center"/>
          </w:tcPr>
          <w:p>
            <w:pPr>
              <w:jc w:val="center"/>
              <w:rPr>
                <w:rFonts w:hint="eastAsia" w:ascii="宋体" w:hAnsi="宋体" w:cs="宋体"/>
                <w:sz w:val="20"/>
                <w:szCs w:val="20"/>
              </w:rPr>
            </w:pPr>
            <w:r>
              <w:rPr>
                <w:rFonts w:hint="eastAsia" w:ascii="宋体" w:hAnsi="宋体" w:cs="宋体"/>
                <w:sz w:val="20"/>
                <w:szCs w:val="20"/>
              </w:rPr>
              <w:t>个</w:t>
            </w:r>
          </w:p>
        </w:tc>
        <w:tc>
          <w:tcPr>
            <w:tcW w:w="768" w:type="pct"/>
            <w:vAlign w:val="center"/>
          </w:tcPr>
          <w:p>
            <w:pPr>
              <w:jc w:val="center"/>
              <w:rPr>
                <w:rFonts w:hint="eastAsia" w:ascii="宋体" w:hAnsi="宋体" w:cs="宋体"/>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517" w:type="pct"/>
            <w:vMerge w:val="continue"/>
            <w:vAlign w:val="center"/>
          </w:tcPr>
          <w:p>
            <w:pPr>
              <w:tabs>
                <w:tab w:val="left" w:pos="420"/>
              </w:tabs>
              <w:ind w:left="420" w:hanging="420"/>
              <w:jc w:val="center"/>
              <w:rPr>
                <w:rFonts w:hint="eastAsia" w:ascii="宋体" w:hAnsi="宋体" w:cs="宋体"/>
                <w:kern w:val="0"/>
                <w:sz w:val="20"/>
                <w:szCs w:val="20"/>
                <w:lang w:bidi="ar"/>
              </w:rPr>
            </w:pPr>
          </w:p>
        </w:tc>
        <w:tc>
          <w:tcPr>
            <w:tcW w:w="1550" w:type="pct"/>
            <w:vMerge w:val="continue"/>
            <w:vAlign w:val="center"/>
          </w:tcPr>
          <w:p>
            <w:pPr>
              <w:widowControl/>
              <w:jc w:val="left"/>
              <w:textAlignment w:val="center"/>
              <w:rPr>
                <w:rFonts w:hint="eastAsia" w:ascii="宋体" w:hAnsi="宋体" w:cs="宋体"/>
                <w:kern w:val="0"/>
                <w:sz w:val="20"/>
                <w:szCs w:val="20"/>
                <w:lang w:bidi="ar"/>
              </w:rPr>
            </w:pPr>
          </w:p>
        </w:tc>
        <w:tc>
          <w:tcPr>
            <w:tcW w:w="1744" w:type="pct"/>
            <w:vAlign w:val="center"/>
          </w:tcPr>
          <w:p>
            <w:pPr>
              <w:widowControl/>
              <w:jc w:val="center"/>
              <w:textAlignment w:val="center"/>
              <w:rPr>
                <w:rFonts w:hint="eastAsia" w:ascii="宋体" w:hAnsi="宋体" w:cs="宋体"/>
                <w:kern w:val="0"/>
                <w:sz w:val="20"/>
                <w:szCs w:val="20"/>
                <w:lang w:bidi="ar"/>
              </w:rPr>
            </w:pPr>
            <w:r>
              <w:rPr>
                <w:rFonts w:hint="eastAsia" w:ascii="宋体" w:hAnsi="宋体" w:cs="宋体"/>
                <w:kern w:val="0"/>
                <w:sz w:val="20"/>
                <w:szCs w:val="20"/>
                <w:lang w:bidi="ar"/>
              </w:rPr>
              <w:t>DN150</w:t>
            </w:r>
          </w:p>
        </w:tc>
        <w:tc>
          <w:tcPr>
            <w:tcW w:w="418" w:type="pct"/>
            <w:vAlign w:val="center"/>
          </w:tcPr>
          <w:p>
            <w:pPr>
              <w:jc w:val="center"/>
              <w:rPr>
                <w:rFonts w:hint="eastAsia" w:ascii="宋体" w:hAnsi="宋体" w:cs="宋体"/>
                <w:sz w:val="20"/>
                <w:szCs w:val="20"/>
              </w:rPr>
            </w:pPr>
            <w:r>
              <w:rPr>
                <w:rFonts w:hint="eastAsia" w:ascii="宋体" w:hAnsi="宋体" w:cs="宋体"/>
                <w:sz w:val="20"/>
                <w:szCs w:val="20"/>
              </w:rPr>
              <w:t>个</w:t>
            </w:r>
          </w:p>
        </w:tc>
        <w:tc>
          <w:tcPr>
            <w:tcW w:w="768" w:type="pct"/>
            <w:vAlign w:val="center"/>
          </w:tcPr>
          <w:p>
            <w:pPr>
              <w:jc w:val="center"/>
              <w:rPr>
                <w:rFonts w:hint="eastAsia" w:ascii="宋体" w:hAnsi="宋体" w:cs="宋体"/>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 w:hRule="atLeast"/>
        </w:trPr>
        <w:tc>
          <w:tcPr>
            <w:tcW w:w="517" w:type="pct"/>
            <w:vAlign w:val="center"/>
          </w:tcPr>
          <w:p>
            <w:pPr>
              <w:numPr>
                <w:ilvl w:val="0"/>
                <w:numId w:val="1"/>
              </w:numPr>
              <w:jc w:val="center"/>
              <w:rPr>
                <w:rFonts w:hint="eastAsia" w:ascii="宋体" w:hAnsi="宋体" w:cs="宋体"/>
                <w:kern w:val="0"/>
                <w:sz w:val="20"/>
                <w:szCs w:val="20"/>
                <w:lang w:bidi="ar"/>
              </w:rPr>
            </w:pPr>
          </w:p>
        </w:tc>
        <w:tc>
          <w:tcPr>
            <w:tcW w:w="1550" w:type="pct"/>
            <w:vAlign w:val="center"/>
          </w:tcPr>
          <w:p>
            <w:pPr>
              <w:widowControl/>
              <w:jc w:val="left"/>
              <w:textAlignment w:val="center"/>
              <w:rPr>
                <w:rFonts w:hint="eastAsia" w:ascii="宋体" w:hAnsi="宋体" w:cs="宋体"/>
                <w:kern w:val="0"/>
                <w:sz w:val="20"/>
                <w:szCs w:val="20"/>
                <w:lang w:bidi="ar"/>
              </w:rPr>
            </w:pPr>
            <w:r>
              <w:rPr>
                <w:rFonts w:hint="eastAsia" w:ascii="宋体" w:hAnsi="宋体" w:cs="宋体"/>
                <w:kern w:val="0"/>
                <w:sz w:val="20"/>
                <w:szCs w:val="20"/>
                <w:lang w:bidi="ar"/>
              </w:rPr>
              <w:t>微阻缓闭止回阀</w:t>
            </w:r>
          </w:p>
        </w:tc>
        <w:tc>
          <w:tcPr>
            <w:tcW w:w="1744" w:type="pct"/>
            <w:vAlign w:val="center"/>
          </w:tcPr>
          <w:p>
            <w:pPr>
              <w:widowControl/>
              <w:jc w:val="center"/>
              <w:textAlignment w:val="center"/>
              <w:rPr>
                <w:rFonts w:hint="eastAsia" w:ascii="宋体" w:hAnsi="宋体" w:cs="宋体"/>
                <w:kern w:val="0"/>
                <w:sz w:val="20"/>
                <w:szCs w:val="20"/>
                <w:lang w:bidi="ar"/>
              </w:rPr>
            </w:pPr>
            <w:r>
              <w:rPr>
                <w:rFonts w:hint="eastAsia" w:ascii="宋体" w:hAnsi="宋体" w:cs="宋体"/>
                <w:kern w:val="0"/>
                <w:sz w:val="20"/>
                <w:szCs w:val="20"/>
                <w:lang w:bidi="ar"/>
              </w:rPr>
              <w:t>DN150</w:t>
            </w:r>
          </w:p>
        </w:tc>
        <w:tc>
          <w:tcPr>
            <w:tcW w:w="418" w:type="pct"/>
            <w:vAlign w:val="center"/>
          </w:tcPr>
          <w:p>
            <w:pPr>
              <w:jc w:val="center"/>
              <w:rPr>
                <w:rFonts w:hint="eastAsia" w:ascii="宋体" w:hAnsi="宋体" w:cs="宋体"/>
                <w:sz w:val="20"/>
                <w:szCs w:val="20"/>
              </w:rPr>
            </w:pPr>
            <w:r>
              <w:rPr>
                <w:rFonts w:hint="eastAsia" w:ascii="宋体" w:hAnsi="宋体" w:cs="宋体"/>
                <w:sz w:val="20"/>
                <w:szCs w:val="20"/>
              </w:rPr>
              <w:t>个</w:t>
            </w:r>
          </w:p>
        </w:tc>
        <w:tc>
          <w:tcPr>
            <w:tcW w:w="768" w:type="pct"/>
            <w:vAlign w:val="center"/>
          </w:tcPr>
          <w:p>
            <w:pPr>
              <w:jc w:val="center"/>
              <w:rPr>
                <w:rFonts w:hint="eastAsia" w:ascii="宋体" w:hAnsi="宋体" w:cs="宋体"/>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517" w:type="pct"/>
            <w:vMerge w:val="restart"/>
            <w:vAlign w:val="center"/>
          </w:tcPr>
          <w:p>
            <w:pPr>
              <w:numPr>
                <w:ilvl w:val="0"/>
                <w:numId w:val="1"/>
              </w:numPr>
              <w:jc w:val="center"/>
              <w:rPr>
                <w:rFonts w:hint="eastAsia" w:ascii="宋体" w:hAnsi="宋体" w:cs="宋体"/>
                <w:kern w:val="0"/>
                <w:sz w:val="20"/>
                <w:szCs w:val="20"/>
                <w:lang w:bidi="ar"/>
              </w:rPr>
            </w:pPr>
          </w:p>
        </w:tc>
        <w:tc>
          <w:tcPr>
            <w:tcW w:w="1550" w:type="pct"/>
            <w:vMerge w:val="restart"/>
            <w:vAlign w:val="center"/>
          </w:tcPr>
          <w:p>
            <w:pPr>
              <w:widowControl/>
              <w:jc w:val="left"/>
              <w:textAlignment w:val="center"/>
              <w:rPr>
                <w:rFonts w:hint="eastAsia" w:ascii="宋体" w:hAnsi="宋体" w:cs="宋体"/>
                <w:kern w:val="0"/>
                <w:sz w:val="20"/>
                <w:szCs w:val="20"/>
                <w:lang w:bidi="ar"/>
              </w:rPr>
            </w:pPr>
            <w:r>
              <w:rPr>
                <w:rFonts w:hint="eastAsia" w:ascii="宋体" w:hAnsi="宋体" w:cs="宋体"/>
                <w:kern w:val="0"/>
                <w:sz w:val="20"/>
                <w:szCs w:val="20"/>
                <w:lang w:bidi="ar"/>
              </w:rPr>
              <w:t>橡胶软接头</w:t>
            </w:r>
          </w:p>
        </w:tc>
        <w:tc>
          <w:tcPr>
            <w:tcW w:w="1744" w:type="pct"/>
            <w:vAlign w:val="center"/>
          </w:tcPr>
          <w:p>
            <w:pPr>
              <w:widowControl/>
              <w:jc w:val="center"/>
              <w:textAlignment w:val="center"/>
              <w:rPr>
                <w:rFonts w:hint="eastAsia" w:ascii="宋体" w:hAnsi="宋体" w:cs="宋体"/>
                <w:kern w:val="0"/>
                <w:sz w:val="20"/>
                <w:szCs w:val="20"/>
                <w:lang w:bidi="ar"/>
              </w:rPr>
            </w:pPr>
            <w:r>
              <w:rPr>
                <w:rFonts w:hint="eastAsia" w:ascii="宋体" w:hAnsi="宋体" w:cs="宋体"/>
                <w:kern w:val="0"/>
                <w:sz w:val="20"/>
                <w:szCs w:val="20"/>
                <w:lang w:bidi="ar"/>
              </w:rPr>
              <w:t>DN80</w:t>
            </w:r>
          </w:p>
        </w:tc>
        <w:tc>
          <w:tcPr>
            <w:tcW w:w="418" w:type="pct"/>
            <w:vAlign w:val="center"/>
          </w:tcPr>
          <w:p>
            <w:pPr>
              <w:jc w:val="center"/>
              <w:rPr>
                <w:rFonts w:hint="eastAsia" w:ascii="宋体" w:hAnsi="宋体" w:cs="宋体"/>
                <w:sz w:val="20"/>
                <w:szCs w:val="20"/>
              </w:rPr>
            </w:pPr>
            <w:r>
              <w:rPr>
                <w:rFonts w:hint="eastAsia" w:ascii="宋体" w:hAnsi="宋体" w:cs="宋体"/>
                <w:sz w:val="20"/>
                <w:szCs w:val="20"/>
              </w:rPr>
              <w:t>个</w:t>
            </w:r>
          </w:p>
        </w:tc>
        <w:tc>
          <w:tcPr>
            <w:tcW w:w="768" w:type="pct"/>
            <w:vAlign w:val="center"/>
          </w:tcPr>
          <w:p>
            <w:pPr>
              <w:jc w:val="center"/>
              <w:rPr>
                <w:rFonts w:hint="eastAsia" w:ascii="宋体" w:hAnsi="宋体" w:cs="宋体"/>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 w:hRule="atLeast"/>
        </w:trPr>
        <w:tc>
          <w:tcPr>
            <w:tcW w:w="517" w:type="pct"/>
            <w:vMerge w:val="continue"/>
            <w:vAlign w:val="center"/>
          </w:tcPr>
          <w:p>
            <w:pPr>
              <w:tabs>
                <w:tab w:val="left" w:pos="420"/>
              </w:tabs>
              <w:ind w:left="420" w:hanging="420"/>
              <w:jc w:val="center"/>
              <w:rPr>
                <w:rFonts w:hint="eastAsia" w:ascii="宋体" w:hAnsi="宋体" w:cs="宋体"/>
                <w:kern w:val="0"/>
                <w:sz w:val="20"/>
                <w:szCs w:val="20"/>
                <w:lang w:bidi="ar"/>
              </w:rPr>
            </w:pPr>
          </w:p>
        </w:tc>
        <w:tc>
          <w:tcPr>
            <w:tcW w:w="1550" w:type="pct"/>
            <w:vMerge w:val="continue"/>
            <w:vAlign w:val="center"/>
          </w:tcPr>
          <w:p>
            <w:pPr>
              <w:widowControl/>
              <w:jc w:val="left"/>
              <w:textAlignment w:val="center"/>
              <w:rPr>
                <w:rFonts w:hint="eastAsia" w:ascii="宋体" w:hAnsi="宋体" w:cs="宋体"/>
                <w:kern w:val="0"/>
                <w:sz w:val="20"/>
                <w:szCs w:val="20"/>
                <w:lang w:bidi="ar"/>
              </w:rPr>
            </w:pPr>
          </w:p>
        </w:tc>
        <w:tc>
          <w:tcPr>
            <w:tcW w:w="1744" w:type="pct"/>
            <w:vAlign w:val="center"/>
          </w:tcPr>
          <w:p>
            <w:pPr>
              <w:widowControl/>
              <w:jc w:val="center"/>
              <w:textAlignment w:val="center"/>
              <w:rPr>
                <w:rFonts w:hint="eastAsia" w:ascii="宋体" w:hAnsi="宋体" w:cs="宋体"/>
                <w:kern w:val="0"/>
                <w:sz w:val="20"/>
                <w:szCs w:val="20"/>
                <w:lang w:bidi="ar"/>
              </w:rPr>
            </w:pPr>
            <w:r>
              <w:rPr>
                <w:rFonts w:hint="eastAsia" w:ascii="宋体" w:hAnsi="宋体" w:cs="宋体"/>
                <w:kern w:val="0"/>
                <w:sz w:val="20"/>
                <w:szCs w:val="20"/>
                <w:lang w:bidi="ar"/>
              </w:rPr>
              <w:t>DN100</w:t>
            </w:r>
          </w:p>
        </w:tc>
        <w:tc>
          <w:tcPr>
            <w:tcW w:w="418" w:type="pct"/>
            <w:vAlign w:val="center"/>
          </w:tcPr>
          <w:p>
            <w:pPr>
              <w:jc w:val="center"/>
              <w:rPr>
                <w:rFonts w:hint="eastAsia" w:ascii="宋体" w:hAnsi="宋体" w:cs="宋体"/>
                <w:sz w:val="20"/>
                <w:szCs w:val="20"/>
              </w:rPr>
            </w:pPr>
            <w:r>
              <w:rPr>
                <w:rFonts w:hint="eastAsia" w:ascii="宋体" w:hAnsi="宋体" w:cs="宋体"/>
                <w:sz w:val="20"/>
                <w:szCs w:val="20"/>
              </w:rPr>
              <w:t>个</w:t>
            </w:r>
          </w:p>
        </w:tc>
        <w:tc>
          <w:tcPr>
            <w:tcW w:w="768" w:type="pct"/>
            <w:vAlign w:val="center"/>
          </w:tcPr>
          <w:p>
            <w:pPr>
              <w:jc w:val="center"/>
              <w:rPr>
                <w:rFonts w:hint="eastAsia" w:ascii="宋体" w:hAnsi="宋体" w:cs="宋体"/>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17" w:type="pct"/>
            <w:vMerge w:val="continue"/>
            <w:vAlign w:val="center"/>
          </w:tcPr>
          <w:p>
            <w:pPr>
              <w:tabs>
                <w:tab w:val="left" w:pos="420"/>
              </w:tabs>
              <w:ind w:left="420" w:hanging="420"/>
              <w:jc w:val="center"/>
              <w:rPr>
                <w:rFonts w:hint="eastAsia" w:ascii="宋体" w:hAnsi="宋体" w:cs="宋体"/>
                <w:kern w:val="0"/>
                <w:sz w:val="20"/>
                <w:szCs w:val="20"/>
                <w:lang w:bidi="ar"/>
              </w:rPr>
            </w:pPr>
          </w:p>
        </w:tc>
        <w:tc>
          <w:tcPr>
            <w:tcW w:w="1550" w:type="pct"/>
            <w:vMerge w:val="continue"/>
            <w:vAlign w:val="center"/>
          </w:tcPr>
          <w:p>
            <w:pPr>
              <w:widowControl/>
              <w:jc w:val="left"/>
              <w:textAlignment w:val="center"/>
              <w:rPr>
                <w:rFonts w:hint="eastAsia" w:ascii="宋体" w:hAnsi="宋体" w:cs="宋体"/>
                <w:kern w:val="0"/>
                <w:sz w:val="20"/>
                <w:szCs w:val="20"/>
                <w:lang w:bidi="ar"/>
              </w:rPr>
            </w:pPr>
          </w:p>
        </w:tc>
        <w:tc>
          <w:tcPr>
            <w:tcW w:w="1744" w:type="pct"/>
            <w:vAlign w:val="center"/>
          </w:tcPr>
          <w:p>
            <w:pPr>
              <w:widowControl/>
              <w:jc w:val="center"/>
              <w:textAlignment w:val="center"/>
              <w:rPr>
                <w:rFonts w:hint="eastAsia" w:ascii="宋体" w:hAnsi="宋体" w:cs="宋体"/>
                <w:kern w:val="0"/>
                <w:sz w:val="20"/>
                <w:szCs w:val="20"/>
                <w:lang w:bidi="ar"/>
              </w:rPr>
            </w:pPr>
            <w:r>
              <w:rPr>
                <w:rFonts w:hint="eastAsia" w:ascii="宋体" w:hAnsi="宋体" w:cs="宋体"/>
                <w:kern w:val="0"/>
                <w:sz w:val="20"/>
                <w:szCs w:val="20"/>
                <w:lang w:bidi="ar"/>
              </w:rPr>
              <w:t>DN150</w:t>
            </w:r>
          </w:p>
        </w:tc>
        <w:tc>
          <w:tcPr>
            <w:tcW w:w="418" w:type="pct"/>
            <w:vAlign w:val="center"/>
          </w:tcPr>
          <w:p>
            <w:pPr>
              <w:jc w:val="center"/>
              <w:rPr>
                <w:rFonts w:hint="eastAsia" w:ascii="宋体" w:hAnsi="宋体" w:cs="宋体"/>
                <w:sz w:val="20"/>
                <w:szCs w:val="20"/>
              </w:rPr>
            </w:pPr>
            <w:r>
              <w:rPr>
                <w:rFonts w:hint="eastAsia" w:ascii="宋体" w:hAnsi="宋体" w:cs="宋体"/>
                <w:sz w:val="20"/>
                <w:szCs w:val="20"/>
              </w:rPr>
              <w:t>个</w:t>
            </w:r>
          </w:p>
        </w:tc>
        <w:tc>
          <w:tcPr>
            <w:tcW w:w="768" w:type="pct"/>
            <w:vAlign w:val="center"/>
          </w:tcPr>
          <w:p>
            <w:pPr>
              <w:jc w:val="center"/>
              <w:rPr>
                <w:rFonts w:hint="eastAsia" w:ascii="宋体" w:hAnsi="宋体" w:cs="宋体"/>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 w:hRule="atLeast"/>
        </w:trPr>
        <w:tc>
          <w:tcPr>
            <w:tcW w:w="517" w:type="pct"/>
            <w:vAlign w:val="center"/>
          </w:tcPr>
          <w:p>
            <w:pPr>
              <w:numPr>
                <w:ilvl w:val="0"/>
                <w:numId w:val="1"/>
              </w:numPr>
              <w:jc w:val="center"/>
              <w:rPr>
                <w:rFonts w:hint="eastAsia" w:ascii="宋体" w:hAnsi="宋体" w:cs="宋体"/>
                <w:kern w:val="0"/>
                <w:sz w:val="20"/>
                <w:szCs w:val="20"/>
                <w:lang w:bidi="ar"/>
              </w:rPr>
            </w:pPr>
          </w:p>
        </w:tc>
        <w:tc>
          <w:tcPr>
            <w:tcW w:w="1550" w:type="pct"/>
            <w:vAlign w:val="center"/>
          </w:tcPr>
          <w:p>
            <w:pPr>
              <w:widowControl/>
              <w:jc w:val="left"/>
              <w:textAlignment w:val="center"/>
              <w:rPr>
                <w:rFonts w:hint="eastAsia" w:ascii="宋体" w:hAnsi="宋体" w:cs="宋体"/>
                <w:kern w:val="0"/>
                <w:sz w:val="20"/>
                <w:szCs w:val="20"/>
                <w:lang w:bidi="ar"/>
              </w:rPr>
            </w:pPr>
            <w:r>
              <w:rPr>
                <w:rFonts w:hint="eastAsia" w:ascii="宋体" w:hAnsi="宋体" w:cs="宋体"/>
                <w:kern w:val="0"/>
                <w:sz w:val="20"/>
                <w:szCs w:val="20"/>
                <w:lang w:bidi="ar"/>
              </w:rPr>
              <w:t>闭门器</w:t>
            </w:r>
          </w:p>
        </w:tc>
        <w:tc>
          <w:tcPr>
            <w:tcW w:w="1744" w:type="pct"/>
            <w:vAlign w:val="center"/>
          </w:tcPr>
          <w:p>
            <w:pPr>
              <w:widowControl/>
              <w:jc w:val="center"/>
              <w:textAlignment w:val="center"/>
              <w:rPr>
                <w:rFonts w:hint="eastAsia" w:ascii="宋体" w:hAnsi="宋体" w:cs="宋体"/>
                <w:kern w:val="0"/>
                <w:sz w:val="20"/>
                <w:szCs w:val="20"/>
                <w:lang w:bidi="ar"/>
              </w:rPr>
            </w:pPr>
            <w:r>
              <w:rPr>
                <w:rFonts w:hint="eastAsia" w:ascii="宋体" w:hAnsi="宋体" w:cs="宋体"/>
                <w:kern w:val="0"/>
                <w:sz w:val="20"/>
                <w:szCs w:val="20"/>
                <w:lang w:bidi="ar"/>
              </w:rPr>
              <w:t>395X485</w:t>
            </w:r>
          </w:p>
        </w:tc>
        <w:tc>
          <w:tcPr>
            <w:tcW w:w="418" w:type="pct"/>
            <w:vAlign w:val="center"/>
          </w:tcPr>
          <w:p>
            <w:pPr>
              <w:jc w:val="center"/>
              <w:rPr>
                <w:rFonts w:hint="eastAsia" w:ascii="宋体" w:hAnsi="宋体" w:cs="宋体"/>
                <w:sz w:val="20"/>
                <w:szCs w:val="20"/>
              </w:rPr>
            </w:pPr>
            <w:r>
              <w:rPr>
                <w:rFonts w:hint="eastAsia" w:ascii="宋体" w:hAnsi="宋体" w:cs="宋体"/>
                <w:sz w:val="20"/>
                <w:szCs w:val="20"/>
              </w:rPr>
              <w:t>套</w:t>
            </w:r>
          </w:p>
        </w:tc>
        <w:tc>
          <w:tcPr>
            <w:tcW w:w="768" w:type="pct"/>
            <w:vAlign w:val="center"/>
          </w:tcPr>
          <w:p>
            <w:pPr>
              <w:jc w:val="center"/>
              <w:rPr>
                <w:rFonts w:hint="eastAsia" w:ascii="宋体" w:hAnsi="宋体" w:cs="宋体"/>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17" w:type="pct"/>
            <w:vAlign w:val="center"/>
          </w:tcPr>
          <w:p>
            <w:pPr>
              <w:numPr>
                <w:ilvl w:val="0"/>
                <w:numId w:val="1"/>
              </w:numPr>
              <w:jc w:val="center"/>
              <w:rPr>
                <w:rFonts w:hint="eastAsia" w:ascii="宋体" w:hAnsi="宋体" w:cs="宋体"/>
                <w:kern w:val="0"/>
                <w:sz w:val="20"/>
                <w:szCs w:val="20"/>
                <w:lang w:bidi="ar"/>
              </w:rPr>
            </w:pPr>
          </w:p>
        </w:tc>
        <w:tc>
          <w:tcPr>
            <w:tcW w:w="1550" w:type="pct"/>
            <w:vAlign w:val="center"/>
          </w:tcPr>
          <w:p>
            <w:pPr>
              <w:widowControl/>
              <w:jc w:val="left"/>
              <w:textAlignment w:val="center"/>
              <w:rPr>
                <w:rFonts w:hint="eastAsia" w:ascii="宋体" w:hAnsi="宋体" w:cs="宋体"/>
                <w:kern w:val="0"/>
                <w:sz w:val="20"/>
                <w:szCs w:val="20"/>
                <w:lang w:bidi="ar"/>
              </w:rPr>
            </w:pPr>
            <w:r>
              <w:rPr>
                <w:rFonts w:hint="eastAsia" w:ascii="宋体" w:hAnsi="宋体" w:cs="宋体"/>
                <w:kern w:val="0"/>
                <w:sz w:val="20"/>
                <w:szCs w:val="20"/>
                <w:lang w:bidi="ar"/>
              </w:rPr>
              <w:t>顺序器</w:t>
            </w:r>
          </w:p>
        </w:tc>
        <w:tc>
          <w:tcPr>
            <w:tcW w:w="1744" w:type="pct"/>
            <w:vAlign w:val="center"/>
          </w:tcPr>
          <w:p>
            <w:pPr>
              <w:widowControl/>
              <w:jc w:val="center"/>
              <w:textAlignment w:val="center"/>
              <w:rPr>
                <w:rFonts w:hint="eastAsia" w:ascii="宋体" w:hAnsi="宋体" w:cs="宋体"/>
                <w:kern w:val="0"/>
                <w:sz w:val="20"/>
                <w:szCs w:val="20"/>
                <w:lang w:bidi="ar"/>
              </w:rPr>
            </w:pPr>
            <w:r>
              <w:rPr>
                <w:rFonts w:hint="eastAsia" w:ascii="宋体" w:hAnsi="宋体" w:cs="宋体"/>
                <w:kern w:val="0"/>
                <w:sz w:val="20"/>
                <w:szCs w:val="20"/>
                <w:lang w:bidi="ar"/>
              </w:rPr>
              <w:t>835X432</w:t>
            </w:r>
          </w:p>
        </w:tc>
        <w:tc>
          <w:tcPr>
            <w:tcW w:w="418" w:type="pct"/>
            <w:vAlign w:val="center"/>
          </w:tcPr>
          <w:p>
            <w:pPr>
              <w:jc w:val="center"/>
              <w:rPr>
                <w:rFonts w:hint="eastAsia" w:ascii="宋体" w:hAnsi="宋体" w:cs="宋体"/>
                <w:sz w:val="20"/>
                <w:szCs w:val="20"/>
              </w:rPr>
            </w:pPr>
            <w:r>
              <w:rPr>
                <w:rFonts w:hint="eastAsia" w:ascii="宋体" w:hAnsi="宋体" w:cs="宋体"/>
                <w:sz w:val="20"/>
                <w:szCs w:val="20"/>
              </w:rPr>
              <w:t>套</w:t>
            </w:r>
          </w:p>
        </w:tc>
        <w:tc>
          <w:tcPr>
            <w:tcW w:w="768" w:type="pct"/>
            <w:vAlign w:val="center"/>
          </w:tcPr>
          <w:p>
            <w:pPr>
              <w:jc w:val="center"/>
              <w:rPr>
                <w:rFonts w:hint="eastAsia" w:ascii="宋体" w:hAnsi="宋体" w:cs="宋体"/>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 w:hRule="atLeast"/>
        </w:trPr>
        <w:tc>
          <w:tcPr>
            <w:tcW w:w="517" w:type="pct"/>
            <w:vAlign w:val="center"/>
          </w:tcPr>
          <w:p>
            <w:pPr>
              <w:numPr>
                <w:ilvl w:val="0"/>
                <w:numId w:val="1"/>
              </w:numPr>
              <w:jc w:val="center"/>
              <w:rPr>
                <w:rFonts w:hint="eastAsia" w:ascii="宋体" w:hAnsi="宋体" w:cs="宋体"/>
                <w:kern w:val="0"/>
                <w:sz w:val="20"/>
                <w:szCs w:val="20"/>
                <w:lang w:bidi="ar"/>
              </w:rPr>
            </w:pPr>
          </w:p>
        </w:tc>
        <w:tc>
          <w:tcPr>
            <w:tcW w:w="1550" w:type="pct"/>
            <w:vAlign w:val="center"/>
          </w:tcPr>
          <w:p>
            <w:pPr>
              <w:widowControl/>
              <w:jc w:val="left"/>
              <w:textAlignment w:val="center"/>
              <w:rPr>
                <w:rFonts w:hint="eastAsia" w:ascii="宋体" w:hAnsi="宋体" w:cs="宋体"/>
                <w:kern w:val="0"/>
                <w:sz w:val="20"/>
                <w:szCs w:val="20"/>
                <w:lang w:bidi="ar"/>
              </w:rPr>
            </w:pPr>
            <w:r>
              <w:rPr>
                <w:rFonts w:hint="eastAsia" w:ascii="宋体" w:hAnsi="宋体" w:cs="宋体"/>
                <w:kern w:val="0"/>
                <w:sz w:val="20"/>
                <w:szCs w:val="20"/>
                <w:lang w:bidi="ar"/>
              </w:rPr>
              <w:t>稳压泵密封件</w:t>
            </w:r>
          </w:p>
        </w:tc>
        <w:tc>
          <w:tcPr>
            <w:tcW w:w="1744" w:type="pct"/>
            <w:vAlign w:val="center"/>
          </w:tcPr>
          <w:p>
            <w:pPr>
              <w:widowControl/>
              <w:jc w:val="center"/>
              <w:textAlignment w:val="center"/>
              <w:rPr>
                <w:rFonts w:hint="eastAsia" w:ascii="宋体" w:hAnsi="宋体" w:cs="宋体"/>
                <w:kern w:val="0"/>
                <w:sz w:val="20"/>
                <w:szCs w:val="20"/>
                <w:lang w:bidi="ar"/>
              </w:rPr>
            </w:pPr>
            <w:r>
              <w:rPr>
                <w:rFonts w:hint="eastAsia" w:ascii="宋体" w:hAnsi="宋体" w:cs="宋体"/>
                <w:kern w:val="0"/>
                <w:sz w:val="20"/>
                <w:szCs w:val="20"/>
                <w:lang w:bidi="ar"/>
              </w:rPr>
              <w:t>BZ</w:t>
            </w:r>
          </w:p>
        </w:tc>
        <w:tc>
          <w:tcPr>
            <w:tcW w:w="418" w:type="pct"/>
            <w:vAlign w:val="center"/>
          </w:tcPr>
          <w:p>
            <w:pPr>
              <w:jc w:val="center"/>
              <w:rPr>
                <w:rFonts w:hint="eastAsia" w:ascii="宋体" w:hAnsi="宋体" w:cs="宋体"/>
                <w:sz w:val="20"/>
                <w:szCs w:val="20"/>
              </w:rPr>
            </w:pPr>
            <w:r>
              <w:rPr>
                <w:rFonts w:hint="eastAsia" w:ascii="宋体" w:hAnsi="宋体" w:cs="宋体"/>
                <w:sz w:val="20"/>
                <w:szCs w:val="20"/>
              </w:rPr>
              <w:t>套</w:t>
            </w:r>
          </w:p>
        </w:tc>
        <w:tc>
          <w:tcPr>
            <w:tcW w:w="768" w:type="pct"/>
            <w:vAlign w:val="center"/>
          </w:tcPr>
          <w:p>
            <w:pPr>
              <w:jc w:val="center"/>
              <w:rPr>
                <w:rFonts w:hint="eastAsia" w:ascii="宋体" w:hAnsi="宋体" w:cs="宋体"/>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517" w:type="pct"/>
            <w:vAlign w:val="center"/>
          </w:tcPr>
          <w:p>
            <w:pPr>
              <w:numPr>
                <w:ilvl w:val="0"/>
                <w:numId w:val="1"/>
              </w:numPr>
              <w:jc w:val="center"/>
              <w:rPr>
                <w:rFonts w:hint="eastAsia" w:ascii="宋体" w:hAnsi="宋体" w:cs="宋体"/>
                <w:kern w:val="0"/>
                <w:sz w:val="20"/>
                <w:szCs w:val="20"/>
                <w:lang w:bidi="ar"/>
              </w:rPr>
            </w:pPr>
          </w:p>
        </w:tc>
        <w:tc>
          <w:tcPr>
            <w:tcW w:w="1550" w:type="pct"/>
            <w:vAlign w:val="center"/>
          </w:tcPr>
          <w:p>
            <w:pPr>
              <w:widowControl/>
              <w:jc w:val="left"/>
              <w:textAlignment w:val="center"/>
              <w:rPr>
                <w:rFonts w:hint="eastAsia" w:ascii="宋体" w:hAnsi="宋体" w:cs="宋体"/>
                <w:kern w:val="0"/>
                <w:sz w:val="20"/>
                <w:szCs w:val="20"/>
                <w:lang w:bidi="ar"/>
              </w:rPr>
            </w:pPr>
            <w:r>
              <w:rPr>
                <w:rFonts w:hint="eastAsia" w:ascii="宋体" w:hAnsi="宋体" w:cs="宋体"/>
                <w:kern w:val="0"/>
                <w:sz w:val="20"/>
                <w:szCs w:val="20"/>
                <w:lang w:bidi="ar"/>
              </w:rPr>
              <w:t>消防水泵密封件</w:t>
            </w:r>
          </w:p>
        </w:tc>
        <w:tc>
          <w:tcPr>
            <w:tcW w:w="1744" w:type="pct"/>
            <w:vAlign w:val="center"/>
          </w:tcPr>
          <w:p>
            <w:pPr>
              <w:widowControl/>
              <w:jc w:val="center"/>
              <w:textAlignment w:val="center"/>
              <w:rPr>
                <w:rFonts w:hint="eastAsia" w:ascii="宋体" w:hAnsi="宋体" w:cs="宋体"/>
                <w:kern w:val="0"/>
                <w:sz w:val="20"/>
                <w:szCs w:val="20"/>
                <w:lang w:bidi="ar"/>
              </w:rPr>
            </w:pPr>
            <w:r>
              <w:rPr>
                <w:rFonts w:hint="eastAsia" w:ascii="宋体" w:hAnsi="宋体" w:cs="宋体"/>
                <w:kern w:val="0"/>
                <w:sz w:val="20"/>
                <w:szCs w:val="20"/>
                <w:lang w:bidi="ar"/>
              </w:rPr>
              <w:t>BZ</w:t>
            </w:r>
          </w:p>
        </w:tc>
        <w:tc>
          <w:tcPr>
            <w:tcW w:w="418" w:type="pct"/>
            <w:vAlign w:val="center"/>
          </w:tcPr>
          <w:p>
            <w:pPr>
              <w:jc w:val="center"/>
              <w:rPr>
                <w:rFonts w:hint="eastAsia" w:ascii="宋体" w:hAnsi="宋体" w:cs="宋体"/>
                <w:sz w:val="20"/>
                <w:szCs w:val="20"/>
              </w:rPr>
            </w:pPr>
            <w:r>
              <w:rPr>
                <w:rFonts w:hint="eastAsia" w:ascii="宋体" w:hAnsi="宋体" w:cs="宋体"/>
                <w:sz w:val="20"/>
                <w:szCs w:val="20"/>
              </w:rPr>
              <w:t>套</w:t>
            </w:r>
          </w:p>
        </w:tc>
        <w:tc>
          <w:tcPr>
            <w:tcW w:w="768" w:type="pct"/>
            <w:vAlign w:val="center"/>
          </w:tcPr>
          <w:p>
            <w:pPr>
              <w:jc w:val="center"/>
              <w:rPr>
                <w:rFonts w:hint="eastAsia" w:ascii="宋体" w:hAnsi="宋体" w:cs="宋体"/>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 w:hRule="atLeast"/>
        </w:trPr>
        <w:tc>
          <w:tcPr>
            <w:tcW w:w="517" w:type="pct"/>
            <w:vAlign w:val="center"/>
          </w:tcPr>
          <w:p>
            <w:pPr>
              <w:numPr>
                <w:ilvl w:val="0"/>
                <w:numId w:val="1"/>
              </w:numPr>
              <w:jc w:val="center"/>
              <w:rPr>
                <w:rFonts w:hint="eastAsia" w:ascii="宋体" w:hAnsi="宋体" w:cs="宋体"/>
                <w:kern w:val="0"/>
                <w:sz w:val="20"/>
                <w:szCs w:val="20"/>
                <w:lang w:bidi="ar"/>
              </w:rPr>
            </w:pPr>
          </w:p>
        </w:tc>
        <w:tc>
          <w:tcPr>
            <w:tcW w:w="1550" w:type="pct"/>
            <w:vAlign w:val="center"/>
          </w:tcPr>
          <w:p>
            <w:pPr>
              <w:widowControl/>
              <w:jc w:val="left"/>
              <w:textAlignment w:val="center"/>
              <w:rPr>
                <w:rFonts w:hint="eastAsia" w:ascii="宋体" w:hAnsi="宋体" w:cs="宋体"/>
                <w:kern w:val="0"/>
                <w:sz w:val="20"/>
                <w:szCs w:val="20"/>
                <w:lang w:bidi="ar"/>
              </w:rPr>
            </w:pPr>
            <w:r>
              <w:rPr>
                <w:rFonts w:hint="eastAsia" w:ascii="宋体" w:hAnsi="宋体" w:cs="宋体"/>
                <w:kern w:val="0"/>
                <w:sz w:val="20"/>
                <w:szCs w:val="20"/>
                <w:lang w:bidi="ar"/>
              </w:rPr>
              <w:t>过滤式消防自救呼吸器</w:t>
            </w:r>
          </w:p>
        </w:tc>
        <w:tc>
          <w:tcPr>
            <w:tcW w:w="1744" w:type="pct"/>
            <w:vAlign w:val="center"/>
          </w:tcPr>
          <w:p>
            <w:pPr>
              <w:widowControl/>
              <w:jc w:val="center"/>
              <w:textAlignment w:val="center"/>
              <w:rPr>
                <w:rFonts w:hint="eastAsia" w:ascii="宋体" w:hAnsi="宋体" w:cs="宋体"/>
                <w:kern w:val="0"/>
                <w:sz w:val="20"/>
                <w:szCs w:val="20"/>
                <w:lang w:bidi="ar"/>
              </w:rPr>
            </w:pPr>
            <w:r>
              <w:rPr>
                <w:rFonts w:hint="eastAsia" w:ascii="宋体" w:hAnsi="宋体" w:cs="宋体"/>
                <w:kern w:val="0"/>
                <w:sz w:val="20"/>
                <w:szCs w:val="20"/>
                <w:lang w:bidi="ar"/>
              </w:rPr>
              <w:t>TZL30</w:t>
            </w:r>
          </w:p>
        </w:tc>
        <w:tc>
          <w:tcPr>
            <w:tcW w:w="418" w:type="pct"/>
            <w:vAlign w:val="center"/>
          </w:tcPr>
          <w:p>
            <w:pPr>
              <w:jc w:val="center"/>
              <w:rPr>
                <w:rFonts w:hint="eastAsia" w:ascii="宋体" w:hAnsi="宋体" w:cs="宋体"/>
                <w:sz w:val="20"/>
                <w:szCs w:val="20"/>
              </w:rPr>
            </w:pPr>
            <w:r>
              <w:rPr>
                <w:rFonts w:hint="eastAsia" w:ascii="宋体" w:hAnsi="宋体" w:cs="宋体"/>
                <w:sz w:val="20"/>
                <w:szCs w:val="20"/>
              </w:rPr>
              <w:t>个</w:t>
            </w:r>
          </w:p>
        </w:tc>
        <w:tc>
          <w:tcPr>
            <w:tcW w:w="768" w:type="pct"/>
            <w:vAlign w:val="center"/>
          </w:tcPr>
          <w:p>
            <w:pPr>
              <w:jc w:val="center"/>
              <w:rPr>
                <w:rFonts w:hint="eastAsia" w:ascii="宋体" w:hAnsi="宋体" w:cs="宋体"/>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17" w:type="pct"/>
            <w:vMerge w:val="restart"/>
            <w:vAlign w:val="center"/>
          </w:tcPr>
          <w:p>
            <w:pPr>
              <w:numPr>
                <w:ilvl w:val="0"/>
                <w:numId w:val="1"/>
              </w:numPr>
              <w:jc w:val="center"/>
              <w:rPr>
                <w:rFonts w:hint="eastAsia" w:ascii="宋体" w:hAnsi="宋体" w:cs="宋体"/>
                <w:kern w:val="0"/>
                <w:sz w:val="20"/>
                <w:szCs w:val="20"/>
                <w:lang w:bidi="ar"/>
              </w:rPr>
            </w:pPr>
          </w:p>
        </w:tc>
        <w:tc>
          <w:tcPr>
            <w:tcW w:w="1550" w:type="pct"/>
            <w:vMerge w:val="restart"/>
            <w:vAlign w:val="center"/>
          </w:tcPr>
          <w:p>
            <w:pPr>
              <w:widowControl/>
              <w:jc w:val="left"/>
              <w:textAlignment w:val="center"/>
              <w:rPr>
                <w:rFonts w:hint="eastAsia" w:ascii="宋体" w:hAnsi="宋体" w:cs="宋体"/>
                <w:kern w:val="0"/>
                <w:sz w:val="20"/>
                <w:szCs w:val="20"/>
                <w:lang w:bidi="ar"/>
              </w:rPr>
            </w:pPr>
            <w:r>
              <w:rPr>
                <w:rFonts w:hint="eastAsia" w:ascii="宋体" w:hAnsi="宋体" w:cs="宋体"/>
                <w:kern w:val="0"/>
                <w:sz w:val="20"/>
                <w:szCs w:val="20"/>
                <w:lang w:bidi="ar"/>
              </w:rPr>
              <w:t>室外消防管网补漆（含标志和水流方向指示）</w:t>
            </w:r>
          </w:p>
        </w:tc>
        <w:tc>
          <w:tcPr>
            <w:tcW w:w="1744" w:type="pct"/>
            <w:vAlign w:val="center"/>
          </w:tcPr>
          <w:p>
            <w:pPr>
              <w:widowControl/>
              <w:jc w:val="center"/>
              <w:textAlignment w:val="center"/>
              <w:rPr>
                <w:rFonts w:hint="eastAsia" w:ascii="宋体" w:hAnsi="宋体" w:cs="宋体"/>
                <w:kern w:val="0"/>
                <w:sz w:val="20"/>
                <w:szCs w:val="20"/>
                <w:lang w:bidi="ar"/>
              </w:rPr>
            </w:pPr>
            <w:r>
              <w:rPr>
                <w:rFonts w:hint="eastAsia" w:ascii="宋体" w:hAnsi="宋体" w:cs="宋体"/>
                <w:kern w:val="0"/>
                <w:sz w:val="20"/>
                <w:szCs w:val="20"/>
                <w:lang w:bidi="ar"/>
              </w:rPr>
              <w:t>DN150</w:t>
            </w:r>
          </w:p>
        </w:tc>
        <w:tc>
          <w:tcPr>
            <w:tcW w:w="418" w:type="pct"/>
            <w:vAlign w:val="center"/>
          </w:tcPr>
          <w:p>
            <w:pPr>
              <w:jc w:val="center"/>
              <w:rPr>
                <w:rFonts w:hint="eastAsia" w:ascii="宋体" w:hAnsi="宋体" w:cs="宋体"/>
                <w:sz w:val="20"/>
                <w:szCs w:val="20"/>
              </w:rPr>
            </w:pPr>
            <w:r>
              <w:rPr>
                <w:rFonts w:hint="eastAsia" w:ascii="宋体" w:hAnsi="宋体" w:cs="宋体"/>
                <w:sz w:val="20"/>
                <w:szCs w:val="20"/>
              </w:rPr>
              <w:t>米</w:t>
            </w:r>
          </w:p>
        </w:tc>
        <w:tc>
          <w:tcPr>
            <w:tcW w:w="768" w:type="pct"/>
            <w:vMerge w:val="restart"/>
            <w:vAlign w:val="center"/>
          </w:tcPr>
          <w:p>
            <w:pPr>
              <w:jc w:val="center"/>
              <w:rPr>
                <w:rFonts w:hint="eastAsia" w:ascii="宋体" w:hAnsi="宋体" w:cs="宋体"/>
                <w:sz w:val="20"/>
                <w:szCs w:val="20"/>
              </w:rPr>
            </w:pPr>
            <w:r>
              <w:rPr>
                <w:rFonts w:hint="eastAsia" w:ascii="宋体" w:hAnsi="宋体" w:cs="宋体"/>
                <w:sz w:val="20"/>
                <w:szCs w:val="20"/>
              </w:rPr>
              <w:t>油漆具有良好的耐候性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17" w:type="pct"/>
            <w:vMerge w:val="continue"/>
            <w:vAlign w:val="center"/>
          </w:tcPr>
          <w:p>
            <w:pPr>
              <w:widowControl/>
              <w:jc w:val="center"/>
              <w:textAlignment w:val="center"/>
              <w:rPr>
                <w:rFonts w:hint="eastAsia" w:ascii="宋体" w:hAnsi="宋体" w:cs="宋体"/>
                <w:kern w:val="0"/>
                <w:sz w:val="20"/>
                <w:szCs w:val="20"/>
                <w:lang w:bidi="ar"/>
              </w:rPr>
            </w:pPr>
          </w:p>
        </w:tc>
        <w:tc>
          <w:tcPr>
            <w:tcW w:w="1550" w:type="pct"/>
            <w:vMerge w:val="continue"/>
            <w:vAlign w:val="center"/>
          </w:tcPr>
          <w:p>
            <w:pPr>
              <w:widowControl/>
              <w:jc w:val="left"/>
              <w:textAlignment w:val="center"/>
              <w:rPr>
                <w:rFonts w:hint="eastAsia" w:ascii="宋体" w:hAnsi="宋体" w:cs="宋体"/>
                <w:kern w:val="0"/>
                <w:sz w:val="20"/>
                <w:szCs w:val="20"/>
                <w:lang w:bidi="ar"/>
              </w:rPr>
            </w:pPr>
          </w:p>
        </w:tc>
        <w:tc>
          <w:tcPr>
            <w:tcW w:w="1744" w:type="pct"/>
            <w:vAlign w:val="center"/>
          </w:tcPr>
          <w:p>
            <w:pPr>
              <w:widowControl/>
              <w:jc w:val="center"/>
              <w:textAlignment w:val="center"/>
              <w:rPr>
                <w:rFonts w:hint="eastAsia" w:ascii="宋体" w:hAnsi="宋体" w:cs="宋体"/>
                <w:kern w:val="0"/>
                <w:sz w:val="20"/>
                <w:szCs w:val="20"/>
                <w:lang w:bidi="ar"/>
              </w:rPr>
            </w:pPr>
            <w:r>
              <w:rPr>
                <w:rFonts w:hint="eastAsia" w:ascii="宋体" w:hAnsi="宋体" w:cs="宋体"/>
                <w:kern w:val="0"/>
                <w:sz w:val="20"/>
                <w:szCs w:val="20"/>
                <w:lang w:bidi="ar"/>
              </w:rPr>
              <w:t>DN125</w:t>
            </w:r>
          </w:p>
        </w:tc>
        <w:tc>
          <w:tcPr>
            <w:tcW w:w="418" w:type="pct"/>
            <w:vAlign w:val="center"/>
          </w:tcPr>
          <w:p>
            <w:pPr>
              <w:jc w:val="center"/>
              <w:rPr>
                <w:rFonts w:hint="eastAsia" w:ascii="宋体" w:hAnsi="宋体" w:cs="宋体"/>
                <w:sz w:val="20"/>
                <w:szCs w:val="20"/>
              </w:rPr>
            </w:pPr>
            <w:r>
              <w:rPr>
                <w:rFonts w:hint="eastAsia" w:ascii="宋体" w:hAnsi="宋体" w:cs="宋体"/>
                <w:sz w:val="20"/>
                <w:szCs w:val="20"/>
              </w:rPr>
              <w:t>米</w:t>
            </w:r>
          </w:p>
        </w:tc>
        <w:tc>
          <w:tcPr>
            <w:tcW w:w="768" w:type="pct"/>
            <w:vMerge w:val="continue"/>
            <w:vAlign w:val="center"/>
          </w:tcPr>
          <w:p>
            <w:pPr>
              <w:jc w:val="center"/>
              <w:rPr>
                <w:rFonts w:hint="eastAsia" w:ascii="宋体" w:hAnsi="宋体" w:cs="宋体"/>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17" w:type="pct"/>
            <w:vMerge w:val="continue"/>
            <w:vAlign w:val="center"/>
          </w:tcPr>
          <w:p>
            <w:pPr>
              <w:widowControl/>
              <w:jc w:val="center"/>
              <w:textAlignment w:val="center"/>
              <w:rPr>
                <w:rFonts w:hint="eastAsia" w:ascii="宋体" w:hAnsi="宋体" w:cs="宋体"/>
                <w:kern w:val="0"/>
                <w:sz w:val="20"/>
                <w:szCs w:val="20"/>
                <w:lang w:bidi="ar"/>
              </w:rPr>
            </w:pPr>
          </w:p>
        </w:tc>
        <w:tc>
          <w:tcPr>
            <w:tcW w:w="1550" w:type="pct"/>
            <w:vMerge w:val="continue"/>
            <w:vAlign w:val="center"/>
          </w:tcPr>
          <w:p>
            <w:pPr>
              <w:widowControl/>
              <w:jc w:val="left"/>
              <w:textAlignment w:val="center"/>
              <w:rPr>
                <w:rFonts w:hint="eastAsia" w:ascii="宋体" w:hAnsi="宋体" w:cs="宋体"/>
                <w:kern w:val="0"/>
                <w:sz w:val="20"/>
                <w:szCs w:val="20"/>
                <w:lang w:bidi="ar"/>
              </w:rPr>
            </w:pPr>
          </w:p>
        </w:tc>
        <w:tc>
          <w:tcPr>
            <w:tcW w:w="1744" w:type="pct"/>
            <w:vAlign w:val="center"/>
          </w:tcPr>
          <w:p>
            <w:pPr>
              <w:widowControl/>
              <w:jc w:val="center"/>
              <w:textAlignment w:val="center"/>
              <w:rPr>
                <w:rFonts w:hint="eastAsia" w:ascii="宋体" w:hAnsi="宋体" w:cs="宋体"/>
                <w:kern w:val="0"/>
                <w:sz w:val="20"/>
                <w:szCs w:val="20"/>
                <w:lang w:bidi="ar"/>
              </w:rPr>
            </w:pPr>
            <w:r>
              <w:rPr>
                <w:rFonts w:hint="eastAsia" w:ascii="宋体" w:hAnsi="宋体" w:cs="宋体"/>
                <w:kern w:val="0"/>
                <w:sz w:val="20"/>
                <w:szCs w:val="20"/>
                <w:lang w:bidi="ar"/>
              </w:rPr>
              <w:t>DN100</w:t>
            </w:r>
          </w:p>
        </w:tc>
        <w:tc>
          <w:tcPr>
            <w:tcW w:w="418" w:type="pct"/>
            <w:vAlign w:val="center"/>
          </w:tcPr>
          <w:p>
            <w:pPr>
              <w:jc w:val="center"/>
              <w:rPr>
                <w:rFonts w:hint="eastAsia" w:ascii="宋体" w:hAnsi="宋体" w:cs="宋体"/>
                <w:sz w:val="20"/>
                <w:szCs w:val="20"/>
              </w:rPr>
            </w:pPr>
            <w:r>
              <w:rPr>
                <w:rFonts w:hint="eastAsia" w:ascii="宋体" w:hAnsi="宋体" w:cs="宋体"/>
                <w:sz w:val="20"/>
                <w:szCs w:val="20"/>
              </w:rPr>
              <w:t>米</w:t>
            </w:r>
          </w:p>
        </w:tc>
        <w:tc>
          <w:tcPr>
            <w:tcW w:w="768" w:type="pct"/>
            <w:vMerge w:val="continue"/>
            <w:vAlign w:val="center"/>
          </w:tcPr>
          <w:p>
            <w:pPr>
              <w:jc w:val="center"/>
              <w:rPr>
                <w:rFonts w:hint="eastAsia" w:ascii="宋体" w:hAnsi="宋体" w:cs="宋体"/>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17" w:type="pct"/>
            <w:vMerge w:val="continue"/>
            <w:vAlign w:val="center"/>
          </w:tcPr>
          <w:p>
            <w:pPr>
              <w:widowControl/>
              <w:jc w:val="center"/>
              <w:textAlignment w:val="center"/>
              <w:rPr>
                <w:rFonts w:hint="eastAsia" w:ascii="宋体" w:hAnsi="宋体" w:cs="宋体"/>
                <w:kern w:val="0"/>
                <w:sz w:val="20"/>
                <w:szCs w:val="20"/>
                <w:lang w:bidi="ar"/>
              </w:rPr>
            </w:pPr>
          </w:p>
        </w:tc>
        <w:tc>
          <w:tcPr>
            <w:tcW w:w="1550" w:type="pct"/>
            <w:vMerge w:val="continue"/>
            <w:vAlign w:val="center"/>
          </w:tcPr>
          <w:p>
            <w:pPr>
              <w:widowControl/>
              <w:jc w:val="left"/>
              <w:textAlignment w:val="center"/>
              <w:rPr>
                <w:rFonts w:hint="eastAsia" w:ascii="宋体" w:hAnsi="宋体" w:cs="宋体"/>
                <w:kern w:val="0"/>
                <w:sz w:val="20"/>
                <w:szCs w:val="20"/>
                <w:lang w:bidi="ar"/>
              </w:rPr>
            </w:pPr>
          </w:p>
        </w:tc>
        <w:tc>
          <w:tcPr>
            <w:tcW w:w="1744" w:type="pct"/>
            <w:vAlign w:val="center"/>
          </w:tcPr>
          <w:p>
            <w:pPr>
              <w:widowControl/>
              <w:jc w:val="center"/>
              <w:textAlignment w:val="center"/>
              <w:rPr>
                <w:rFonts w:hint="eastAsia" w:ascii="宋体" w:hAnsi="宋体" w:cs="宋体"/>
                <w:kern w:val="0"/>
                <w:sz w:val="20"/>
                <w:szCs w:val="20"/>
                <w:lang w:bidi="ar"/>
              </w:rPr>
            </w:pPr>
            <w:r>
              <w:rPr>
                <w:rFonts w:hint="eastAsia" w:ascii="宋体" w:hAnsi="宋体" w:cs="宋体"/>
                <w:kern w:val="0"/>
                <w:sz w:val="20"/>
                <w:szCs w:val="20"/>
                <w:lang w:bidi="ar"/>
              </w:rPr>
              <w:t>DN65</w:t>
            </w:r>
          </w:p>
        </w:tc>
        <w:tc>
          <w:tcPr>
            <w:tcW w:w="418" w:type="pct"/>
            <w:vAlign w:val="center"/>
          </w:tcPr>
          <w:p>
            <w:pPr>
              <w:jc w:val="center"/>
              <w:rPr>
                <w:rFonts w:hint="eastAsia" w:ascii="宋体" w:hAnsi="宋体" w:cs="宋体"/>
                <w:sz w:val="20"/>
                <w:szCs w:val="20"/>
              </w:rPr>
            </w:pPr>
            <w:r>
              <w:rPr>
                <w:rFonts w:hint="eastAsia" w:ascii="宋体" w:hAnsi="宋体" w:cs="宋体"/>
                <w:sz w:val="20"/>
                <w:szCs w:val="20"/>
              </w:rPr>
              <w:t>米</w:t>
            </w:r>
          </w:p>
        </w:tc>
        <w:tc>
          <w:tcPr>
            <w:tcW w:w="768" w:type="pct"/>
            <w:vMerge w:val="continue"/>
            <w:vAlign w:val="center"/>
          </w:tcPr>
          <w:p>
            <w:pPr>
              <w:jc w:val="center"/>
              <w:rPr>
                <w:rFonts w:hint="eastAsia" w:ascii="宋体" w:hAnsi="宋体" w:cs="宋体"/>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17" w:type="pct"/>
            <w:vMerge w:val="restart"/>
            <w:vAlign w:val="center"/>
          </w:tcPr>
          <w:p>
            <w:pPr>
              <w:numPr>
                <w:ilvl w:val="0"/>
                <w:numId w:val="1"/>
              </w:numPr>
              <w:jc w:val="center"/>
              <w:rPr>
                <w:rFonts w:hint="eastAsia" w:ascii="宋体" w:hAnsi="宋体" w:cs="宋体"/>
                <w:kern w:val="0"/>
                <w:sz w:val="20"/>
                <w:szCs w:val="20"/>
                <w:lang w:bidi="ar"/>
              </w:rPr>
            </w:pPr>
          </w:p>
        </w:tc>
        <w:tc>
          <w:tcPr>
            <w:tcW w:w="1550" w:type="pct"/>
            <w:vMerge w:val="restart"/>
            <w:vAlign w:val="center"/>
          </w:tcPr>
          <w:p>
            <w:pPr>
              <w:widowControl/>
              <w:jc w:val="left"/>
              <w:textAlignment w:val="center"/>
              <w:rPr>
                <w:rFonts w:hint="eastAsia" w:ascii="宋体" w:hAnsi="宋体" w:cs="宋体"/>
                <w:kern w:val="0"/>
                <w:sz w:val="20"/>
                <w:szCs w:val="20"/>
                <w:lang w:bidi="ar"/>
              </w:rPr>
            </w:pPr>
            <w:r>
              <w:rPr>
                <w:rFonts w:hint="eastAsia" w:ascii="宋体" w:hAnsi="宋体" w:cs="宋体"/>
                <w:kern w:val="0"/>
                <w:sz w:val="20"/>
                <w:szCs w:val="20"/>
                <w:lang w:bidi="ar"/>
              </w:rPr>
              <w:t>室外消火栓补漆</w:t>
            </w:r>
          </w:p>
        </w:tc>
        <w:tc>
          <w:tcPr>
            <w:tcW w:w="1744" w:type="pct"/>
            <w:vAlign w:val="center"/>
          </w:tcPr>
          <w:p>
            <w:pPr>
              <w:widowControl/>
              <w:jc w:val="center"/>
              <w:textAlignment w:val="center"/>
              <w:rPr>
                <w:rFonts w:hint="eastAsia" w:ascii="宋体" w:hAnsi="宋体" w:cs="宋体"/>
                <w:kern w:val="0"/>
                <w:sz w:val="20"/>
                <w:szCs w:val="20"/>
                <w:lang w:bidi="ar"/>
              </w:rPr>
            </w:pPr>
            <w:r>
              <w:rPr>
                <w:rFonts w:hint="eastAsia" w:ascii="宋体" w:hAnsi="宋体" w:cs="宋体"/>
                <w:sz w:val="20"/>
                <w:szCs w:val="20"/>
              </w:rPr>
              <w:t>DN100</w:t>
            </w:r>
          </w:p>
        </w:tc>
        <w:tc>
          <w:tcPr>
            <w:tcW w:w="418" w:type="pct"/>
            <w:vAlign w:val="center"/>
          </w:tcPr>
          <w:p>
            <w:pPr>
              <w:jc w:val="center"/>
              <w:rPr>
                <w:rFonts w:hint="eastAsia" w:ascii="宋体" w:hAnsi="宋体" w:cs="宋体"/>
                <w:sz w:val="20"/>
                <w:szCs w:val="20"/>
              </w:rPr>
            </w:pPr>
            <w:r>
              <w:rPr>
                <w:rFonts w:hint="eastAsia" w:ascii="宋体" w:hAnsi="宋体" w:cs="宋体"/>
                <w:sz w:val="20"/>
                <w:szCs w:val="20"/>
              </w:rPr>
              <w:t>个</w:t>
            </w:r>
          </w:p>
        </w:tc>
        <w:tc>
          <w:tcPr>
            <w:tcW w:w="768" w:type="pct"/>
            <w:vMerge w:val="restart"/>
            <w:vAlign w:val="center"/>
          </w:tcPr>
          <w:p>
            <w:pPr>
              <w:jc w:val="center"/>
              <w:rPr>
                <w:rFonts w:hint="eastAsia" w:ascii="宋体" w:hAnsi="宋体" w:cs="宋体"/>
                <w:sz w:val="20"/>
                <w:szCs w:val="20"/>
              </w:rPr>
            </w:pPr>
            <w:r>
              <w:rPr>
                <w:rFonts w:hint="eastAsia" w:ascii="宋体" w:hAnsi="宋体" w:cs="宋体"/>
                <w:sz w:val="20"/>
                <w:szCs w:val="20"/>
              </w:rPr>
              <w:t>油漆具有良好的耐候性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17" w:type="pct"/>
            <w:vMerge w:val="continue"/>
            <w:vAlign w:val="center"/>
          </w:tcPr>
          <w:p>
            <w:pPr>
              <w:widowControl/>
              <w:jc w:val="center"/>
              <w:textAlignment w:val="center"/>
              <w:rPr>
                <w:rFonts w:hint="eastAsia" w:ascii="宋体" w:hAnsi="宋体" w:cs="宋体"/>
                <w:kern w:val="0"/>
                <w:sz w:val="20"/>
                <w:szCs w:val="20"/>
                <w:lang w:bidi="ar"/>
              </w:rPr>
            </w:pPr>
          </w:p>
        </w:tc>
        <w:tc>
          <w:tcPr>
            <w:tcW w:w="1550" w:type="pct"/>
            <w:vMerge w:val="continue"/>
            <w:vAlign w:val="center"/>
          </w:tcPr>
          <w:p>
            <w:pPr>
              <w:widowControl/>
              <w:jc w:val="left"/>
              <w:textAlignment w:val="center"/>
              <w:rPr>
                <w:rFonts w:hint="eastAsia" w:ascii="宋体" w:hAnsi="宋体" w:cs="宋体"/>
                <w:kern w:val="0"/>
                <w:sz w:val="20"/>
                <w:szCs w:val="20"/>
                <w:lang w:bidi="ar"/>
              </w:rPr>
            </w:pPr>
          </w:p>
        </w:tc>
        <w:tc>
          <w:tcPr>
            <w:tcW w:w="1744" w:type="pct"/>
            <w:vAlign w:val="center"/>
          </w:tcPr>
          <w:p>
            <w:pPr>
              <w:widowControl/>
              <w:jc w:val="center"/>
              <w:textAlignment w:val="center"/>
              <w:rPr>
                <w:rFonts w:hint="eastAsia" w:ascii="宋体" w:hAnsi="宋体" w:cs="宋体"/>
                <w:kern w:val="0"/>
                <w:sz w:val="20"/>
                <w:szCs w:val="20"/>
                <w:lang w:bidi="ar"/>
              </w:rPr>
            </w:pPr>
            <w:r>
              <w:rPr>
                <w:rFonts w:hint="eastAsia" w:ascii="宋体" w:hAnsi="宋体" w:cs="宋体"/>
                <w:sz w:val="20"/>
                <w:szCs w:val="20"/>
              </w:rPr>
              <w:t>DN150</w:t>
            </w:r>
          </w:p>
        </w:tc>
        <w:tc>
          <w:tcPr>
            <w:tcW w:w="418" w:type="pct"/>
            <w:vAlign w:val="center"/>
          </w:tcPr>
          <w:p>
            <w:pPr>
              <w:jc w:val="center"/>
              <w:rPr>
                <w:rFonts w:hint="eastAsia" w:ascii="宋体" w:hAnsi="宋体" w:cs="宋体"/>
                <w:sz w:val="20"/>
                <w:szCs w:val="20"/>
              </w:rPr>
            </w:pPr>
            <w:r>
              <w:rPr>
                <w:rFonts w:hint="eastAsia" w:ascii="宋体" w:hAnsi="宋体" w:cs="宋体"/>
                <w:sz w:val="20"/>
                <w:szCs w:val="20"/>
              </w:rPr>
              <w:t>个</w:t>
            </w:r>
          </w:p>
        </w:tc>
        <w:tc>
          <w:tcPr>
            <w:tcW w:w="768" w:type="pct"/>
            <w:vMerge w:val="continue"/>
            <w:vAlign w:val="center"/>
          </w:tcPr>
          <w:p>
            <w:pPr>
              <w:jc w:val="center"/>
              <w:rPr>
                <w:rFonts w:hint="eastAsia" w:ascii="宋体" w:hAnsi="宋体" w:cs="宋体"/>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17" w:type="pct"/>
            <w:vAlign w:val="center"/>
          </w:tcPr>
          <w:p>
            <w:pPr>
              <w:numPr>
                <w:ilvl w:val="0"/>
                <w:numId w:val="1"/>
              </w:numPr>
              <w:jc w:val="center"/>
              <w:rPr>
                <w:rFonts w:hint="eastAsia" w:ascii="宋体" w:hAnsi="宋体" w:cs="宋体"/>
                <w:kern w:val="0"/>
                <w:sz w:val="20"/>
                <w:szCs w:val="20"/>
                <w:lang w:bidi="ar"/>
              </w:rPr>
            </w:pPr>
          </w:p>
        </w:tc>
        <w:tc>
          <w:tcPr>
            <w:tcW w:w="1550" w:type="pct"/>
            <w:vAlign w:val="center"/>
          </w:tcPr>
          <w:p>
            <w:pPr>
              <w:widowControl/>
              <w:jc w:val="left"/>
              <w:textAlignment w:val="center"/>
              <w:rPr>
                <w:rFonts w:hint="eastAsia" w:ascii="宋体" w:hAnsi="宋体" w:cs="宋体"/>
                <w:sz w:val="20"/>
                <w:szCs w:val="20"/>
              </w:rPr>
            </w:pPr>
            <w:r>
              <w:rPr>
                <w:rFonts w:hint="eastAsia" w:ascii="宋体" w:hAnsi="宋体" w:cs="宋体"/>
                <w:kern w:val="0"/>
                <w:sz w:val="20"/>
                <w:szCs w:val="20"/>
                <w:lang w:bidi="ar"/>
              </w:rPr>
              <w:t>手提式干粉灭火器充装</w:t>
            </w:r>
          </w:p>
        </w:tc>
        <w:tc>
          <w:tcPr>
            <w:tcW w:w="1744" w:type="pct"/>
            <w:vAlign w:val="center"/>
          </w:tcPr>
          <w:p>
            <w:pPr>
              <w:widowControl/>
              <w:jc w:val="center"/>
              <w:textAlignment w:val="center"/>
              <w:rPr>
                <w:rFonts w:hint="eastAsia" w:ascii="宋体" w:hAnsi="宋体" w:cs="宋体"/>
                <w:sz w:val="20"/>
                <w:szCs w:val="20"/>
              </w:rPr>
            </w:pPr>
            <w:r>
              <w:rPr>
                <w:rFonts w:hint="eastAsia" w:ascii="宋体" w:hAnsi="宋体" w:cs="宋体"/>
                <w:kern w:val="0"/>
                <w:sz w:val="20"/>
                <w:szCs w:val="20"/>
                <w:lang w:bidi="ar"/>
              </w:rPr>
              <w:t>MFZ/ABC 4型</w:t>
            </w:r>
          </w:p>
        </w:tc>
        <w:tc>
          <w:tcPr>
            <w:tcW w:w="418" w:type="pct"/>
            <w:vAlign w:val="center"/>
          </w:tcPr>
          <w:p>
            <w:pPr>
              <w:jc w:val="center"/>
              <w:rPr>
                <w:rFonts w:hint="eastAsia" w:ascii="宋体" w:hAnsi="宋体" w:cs="宋体"/>
                <w:sz w:val="20"/>
                <w:szCs w:val="20"/>
              </w:rPr>
            </w:pPr>
            <w:r>
              <w:rPr>
                <w:rFonts w:hint="eastAsia" w:ascii="宋体" w:hAnsi="宋体" w:cs="宋体"/>
                <w:sz w:val="20"/>
                <w:szCs w:val="20"/>
              </w:rPr>
              <w:t>瓶</w:t>
            </w:r>
          </w:p>
        </w:tc>
        <w:tc>
          <w:tcPr>
            <w:tcW w:w="768" w:type="pct"/>
            <w:vAlign w:val="center"/>
          </w:tcPr>
          <w:p>
            <w:pPr>
              <w:jc w:val="center"/>
              <w:rPr>
                <w:rFonts w:hint="eastAsia" w:ascii="宋体" w:hAnsi="宋体" w:cs="宋体"/>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17" w:type="pct"/>
            <w:vAlign w:val="center"/>
          </w:tcPr>
          <w:p>
            <w:pPr>
              <w:numPr>
                <w:ilvl w:val="0"/>
                <w:numId w:val="1"/>
              </w:numPr>
              <w:jc w:val="center"/>
              <w:rPr>
                <w:rFonts w:hint="eastAsia" w:ascii="宋体" w:hAnsi="宋体" w:cs="宋体"/>
                <w:kern w:val="0"/>
                <w:sz w:val="20"/>
                <w:szCs w:val="20"/>
                <w:lang w:bidi="ar"/>
              </w:rPr>
            </w:pPr>
          </w:p>
        </w:tc>
        <w:tc>
          <w:tcPr>
            <w:tcW w:w="1550" w:type="pct"/>
            <w:vAlign w:val="center"/>
          </w:tcPr>
          <w:p>
            <w:pPr>
              <w:widowControl/>
              <w:jc w:val="left"/>
              <w:textAlignment w:val="center"/>
              <w:rPr>
                <w:rFonts w:hint="eastAsia" w:ascii="宋体" w:hAnsi="宋体" w:cs="宋体"/>
                <w:sz w:val="20"/>
                <w:szCs w:val="20"/>
              </w:rPr>
            </w:pPr>
            <w:r>
              <w:rPr>
                <w:rFonts w:hint="eastAsia" w:ascii="宋体" w:hAnsi="宋体" w:cs="宋体"/>
                <w:kern w:val="0"/>
                <w:sz w:val="20"/>
                <w:szCs w:val="20"/>
                <w:lang w:bidi="ar"/>
              </w:rPr>
              <w:t>手提式二氧化碳灭火器充装</w:t>
            </w:r>
          </w:p>
        </w:tc>
        <w:tc>
          <w:tcPr>
            <w:tcW w:w="1744" w:type="pct"/>
            <w:vAlign w:val="center"/>
          </w:tcPr>
          <w:p>
            <w:pPr>
              <w:widowControl/>
              <w:jc w:val="center"/>
              <w:textAlignment w:val="center"/>
              <w:rPr>
                <w:rFonts w:hint="eastAsia" w:ascii="宋体" w:hAnsi="宋体" w:cs="宋体"/>
                <w:sz w:val="20"/>
                <w:szCs w:val="20"/>
              </w:rPr>
            </w:pPr>
            <w:r>
              <w:rPr>
                <w:rFonts w:hint="eastAsia" w:ascii="宋体" w:hAnsi="宋体" w:cs="宋体"/>
                <w:kern w:val="0"/>
                <w:sz w:val="20"/>
                <w:szCs w:val="20"/>
                <w:lang w:bidi="ar"/>
              </w:rPr>
              <w:t>MT/3</w:t>
            </w:r>
          </w:p>
        </w:tc>
        <w:tc>
          <w:tcPr>
            <w:tcW w:w="418" w:type="pct"/>
            <w:vAlign w:val="center"/>
          </w:tcPr>
          <w:p>
            <w:pPr>
              <w:jc w:val="center"/>
              <w:rPr>
                <w:rFonts w:hint="eastAsia" w:ascii="宋体" w:hAnsi="宋体" w:cs="宋体"/>
                <w:sz w:val="20"/>
                <w:szCs w:val="20"/>
              </w:rPr>
            </w:pPr>
            <w:r>
              <w:rPr>
                <w:rFonts w:hint="eastAsia" w:ascii="宋体" w:hAnsi="宋体" w:cs="宋体"/>
                <w:sz w:val="20"/>
                <w:szCs w:val="20"/>
              </w:rPr>
              <w:t>个</w:t>
            </w:r>
          </w:p>
        </w:tc>
        <w:tc>
          <w:tcPr>
            <w:tcW w:w="768" w:type="pct"/>
            <w:vAlign w:val="center"/>
          </w:tcPr>
          <w:p>
            <w:pPr>
              <w:jc w:val="center"/>
              <w:rPr>
                <w:rFonts w:hint="eastAsia" w:ascii="宋体" w:hAnsi="宋体" w:cs="宋体"/>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 w:hRule="atLeast"/>
        </w:trPr>
        <w:tc>
          <w:tcPr>
            <w:tcW w:w="517" w:type="pct"/>
            <w:vAlign w:val="center"/>
          </w:tcPr>
          <w:p>
            <w:pPr>
              <w:numPr>
                <w:ilvl w:val="0"/>
                <w:numId w:val="1"/>
              </w:numPr>
              <w:jc w:val="center"/>
              <w:rPr>
                <w:rFonts w:hint="eastAsia" w:ascii="宋体" w:hAnsi="宋体" w:cs="宋体"/>
                <w:kern w:val="0"/>
                <w:sz w:val="20"/>
                <w:szCs w:val="20"/>
                <w:lang w:bidi="ar"/>
              </w:rPr>
            </w:pPr>
          </w:p>
        </w:tc>
        <w:tc>
          <w:tcPr>
            <w:tcW w:w="1550" w:type="pct"/>
            <w:vAlign w:val="center"/>
          </w:tcPr>
          <w:p>
            <w:pPr>
              <w:widowControl/>
              <w:jc w:val="left"/>
              <w:textAlignment w:val="center"/>
              <w:rPr>
                <w:rFonts w:hint="eastAsia" w:ascii="宋体" w:hAnsi="宋体" w:cs="宋体"/>
                <w:sz w:val="20"/>
                <w:szCs w:val="20"/>
              </w:rPr>
            </w:pPr>
            <w:r>
              <w:rPr>
                <w:rFonts w:hint="eastAsia" w:ascii="宋体" w:hAnsi="宋体" w:cs="宋体"/>
                <w:kern w:val="0"/>
                <w:sz w:val="20"/>
                <w:szCs w:val="20"/>
                <w:lang w:bidi="ar"/>
              </w:rPr>
              <w:t>推车式干粉灭火器充装</w:t>
            </w:r>
          </w:p>
        </w:tc>
        <w:tc>
          <w:tcPr>
            <w:tcW w:w="1744" w:type="pct"/>
            <w:vAlign w:val="center"/>
          </w:tcPr>
          <w:p>
            <w:pPr>
              <w:widowControl/>
              <w:jc w:val="center"/>
              <w:textAlignment w:val="center"/>
              <w:rPr>
                <w:rFonts w:hint="eastAsia" w:ascii="宋体" w:hAnsi="宋体" w:cs="宋体"/>
                <w:sz w:val="20"/>
                <w:szCs w:val="20"/>
              </w:rPr>
            </w:pPr>
            <w:r>
              <w:rPr>
                <w:rFonts w:hint="eastAsia" w:ascii="宋体" w:hAnsi="宋体" w:cs="宋体"/>
                <w:kern w:val="0"/>
                <w:sz w:val="20"/>
                <w:szCs w:val="20"/>
                <w:lang w:bidi="ar"/>
              </w:rPr>
              <w:t>MFTZ/ABC50</w:t>
            </w:r>
          </w:p>
        </w:tc>
        <w:tc>
          <w:tcPr>
            <w:tcW w:w="418" w:type="pct"/>
            <w:vAlign w:val="center"/>
          </w:tcPr>
          <w:p>
            <w:pPr>
              <w:jc w:val="center"/>
              <w:rPr>
                <w:rFonts w:hint="eastAsia" w:ascii="宋体" w:hAnsi="宋体" w:cs="宋体"/>
                <w:sz w:val="20"/>
                <w:szCs w:val="20"/>
              </w:rPr>
            </w:pPr>
            <w:r>
              <w:rPr>
                <w:rFonts w:hint="eastAsia" w:ascii="宋体" w:hAnsi="宋体" w:cs="宋体"/>
                <w:sz w:val="20"/>
                <w:szCs w:val="20"/>
              </w:rPr>
              <w:t>台</w:t>
            </w:r>
          </w:p>
        </w:tc>
        <w:tc>
          <w:tcPr>
            <w:tcW w:w="768" w:type="pct"/>
            <w:vAlign w:val="center"/>
          </w:tcPr>
          <w:p>
            <w:pPr>
              <w:jc w:val="center"/>
              <w:rPr>
                <w:rFonts w:hint="eastAsia" w:ascii="宋体" w:hAnsi="宋体" w:cs="宋体"/>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17" w:type="pct"/>
            <w:vAlign w:val="center"/>
          </w:tcPr>
          <w:p>
            <w:pPr>
              <w:numPr>
                <w:ilvl w:val="0"/>
                <w:numId w:val="1"/>
              </w:numPr>
              <w:jc w:val="center"/>
              <w:rPr>
                <w:rFonts w:hint="eastAsia" w:ascii="宋体" w:hAnsi="宋体" w:cs="宋体"/>
                <w:kern w:val="0"/>
                <w:sz w:val="20"/>
                <w:szCs w:val="20"/>
                <w:lang w:bidi="ar"/>
              </w:rPr>
            </w:pPr>
          </w:p>
        </w:tc>
        <w:tc>
          <w:tcPr>
            <w:tcW w:w="1550" w:type="pct"/>
            <w:vAlign w:val="center"/>
          </w:tcPr>
          <w:p>
            <w:pPr>
              <w:widowControl/>
              <w:jc w:val="left"/>
              <w:textAlignment w:val="center"/>
              <w:rPr>
                <w:rFonts w:hint="eastAsia" w:ascii="宋体" w:hAnsi="宋体" w:cs="宋体"/>
                <w:kern w:val="0"/>
                <w:sz w:val="20"/>
                <w:szCs w:val="20"/>
                <w:lang w:bidi="ar"/>
              </w:rPr>
            </w:pPr>
            <w:r>
              <w:rPr>
                <w:rFonts w:hint="eastAsia" w:ascii="宋体" w:hAnsi="宋体" w:cs="宋体"/>
                <w:kern w:val="0"/>
                <w:sz w:val="20"/>
                <w:szCs w:val="20"/>
                <w:lang w:bidi="ar"/>
              </w:rPr>
              <w:t>消火栓箱玻璃更换</w:t>
            </w:r>
          </w:p>
        </w:tc>
        <w:tc>
          <w:tcPr>
            <w:tcW w:w="1744" w:type="pct"/>
            <w:vAlign w:val="center"/>
          </w:tcPr>
          <w:p>
            <w:pPr>
              <w:widowControl/>
              <w:jc w:val="center"/>
              <w:textAlignment w:val="center"/>
              <w:rPr>
                <w:rFonts w:hint="eastAsia" w:ascii="宋体" w:hAnsi="宋体" w:cs="宋体"/>
                <w:kern w:val="0"/>
                <w:sz w:val="20"/>
                <w:szCs w:val="20"/>
                <w:lang w:bidi="ar"/>
              </w:rPr>
            </w:pPr>
            <w:r>
              <w:rPr>
                <w:rFonts w:hint="eastAsia" w:ascii="宋体" w:hAnsi="宋体" w:cs="宋体"/>
                <w:kern w:val="0"/>
                <w:sz w:val="20"/>
                <w:szCs w:val="20"/>
                <w:lang w:bidi="ar"/>
              </w:rPr>
              <w:t>——</w:t>
            </w:r>
          </w:p>
        </w:tc>
        <w:tc>
          <w:tcPr>
            <w:tcW w:w="418" w:type="pct"/>
            <w:vAlign w:val="center"/>
          </w:tcPr>
          <w:p>
            <w:pPr>
              <w:jc w:val="center"/>
              <w:rPr>
                <w:rFonts w:hint="eastAsia" w:ascii="宋体" w:hAnsi="宋体" w:cs="宋体"/>
                <w:sz w:val="20"/>
                <w:szCs w:val="20"/>
              </w:rPr>
            </w:pPr>
            <w:r>
              <w:rPr>
                <w:rFonts w:hint="eastAsia" w:ascii="宋体" w:hAnsi="宋体" w:cs="宋体"/>
                <w:sz w:val="20"/>
                <w:szCs w:val="20"/>
              </w:rPr>
              <w:t>块</w:t>
            </w:r>
          </w:p>
        </w:tc>
        <w:tc>
          <w:tcPr>
            <w:tcW w:w="768" w:type="pct"/>
            <w:vAlign w:val="center"/>
          </w:tcPr>
          <w:p>
            <w:pPr>
              <w:jc w:val="center"/>
              <w:rPr>
                <w:rFonts w:hint="eastAsia" w:ascii="宋体" w:hAnsi="宋体" w:cs="宋体"/>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17" w:type="pct"/>
            <w:vAlign w:val="center"/>
          </w:tcPr>
          <w:p>
            <w:pPr>
              <w:numPr>
                <w:ilvl w:val="0"/>
                <w:numId w:val="1"/>
              </w:numPr>
              <w:jc w:val="center"/>
              <w:rPr>
                <w:rFonts w:hint="eastAsia" w:ascii="宋体" w:hAnsi="宋体" w:cs="宋体"/>
                <w:kern w:val="0"/>
                <w:sz w:val="20"/>
                <w:szCs w:val="20"/>
                <w:lang w:bidi="ar"/>
              </w:rPr>
            </w:pPr>
          </w:p>
        </w:tc>
        <w:tc>
          <w:tcPr>
            <w:tcW w:w="1550" w:type="pct"/>
            <w:vAlign w:val="center"/>
          </w:tcPr>
          <w:p>
            <w:pPr>
              <w:widowControl/>
              <w:jc w:val="left"/>
              <w:textAlignment w:val="center"/>
              <w:rPr>
                <w:rFonts w:hint="eastAsia" w:ascii="宋体" w:hAnsi="宋体" w:cs="宋体"/>
                <w:kern w:val="0"/>
                <w:sz w:val="20"/>
                <w:szCs w:val="20"/>
                <w:lang w:bidi="ar"/>
              </w:rPr>
            </w:pPr>
            <w:r>
              <w:rPr>
                <w:rFonts w:hint="eastAsia" w:ascii="宋体" w:hAnsi="宋体" w:cs="宋体"/>
                <w:kern w:val="0"/>
                <w:sz w:val="20"/>
                <w:szCs w:val="20"/>
                <w:lang w:bidi="ar"/>
              </w:rPr>
              <w:t>消火栓箱边框更换</w:t>
            </w:r>
          </w:p>
        </w:tc>
        <w:tc>
          <w:tcPr>
            <w:tcW w:w="1744" w:type="pct"/>
            <w:vAlign w:val="center"/>
          </w:tcPr>
          <w:p>
            <w:pPr>
              <w:widowControl/>
              <w:jc w:val="center"/>
              <w:textAlignment w:val="center"/>
              <w:rPr>
                <w:rFonts w:hint="eastAsia" w:ascii="宋体" w:hAnsi="宋体" w:cs="宋体"/>
                <w:kern w:val="0"/>
                <w:sz w:val="20"/>
                <w:szCs w:val="20"/>
                <w:lang w:bidi="ar"/>
              </w:rPr>
            </w:pPr>
            <w:r>
              <w:rPr>
                <w:rFonts w:hint="eastAsia" w:ascii="宋体" w:hAnsi="宋体" w:cs="宋体"/>
                <w:kern w:val="0"/>
                <w:sz w:val="20"/>
                <w:szCs w:val="20"/>
                <w:lang w:bidi="ar"/>
              </w:rPr>
              <w:t>——</w:t>
            </w:r>
          </w:p>
        </w:tc>
        <w:tc>
          <w:tcPr>
            <w:tcW w:w="418" w:type="pct"/>
            <w:vAlign w:val="center"/>
          </w:tcPr>
          <w:p>
            <w:pPr>
              <w:jc w:val="center"/>
              <w:rPr>
                <w:rFonts w:hint="eastAsia" w:ascii="宋体" w:hAnsi="宋体" w:cs="宋体"/>
                <w:sz w:val="20"/>
                <w:szCs w:val="20"/>
              </w:rPr>
            </w:pPr>
            <w:r>
              <w:rPr>
                <w:rFonts w:hint="eastAsia" w:ascii="宋体" w:hAnsi="宋体" w:cs="宋体"/>
                <w:sz w:val="20"/>
                <w:szCs w:val="20"/>
              </w:rPr>
              <w:t>个</w:t>
            </w:r>
          </w:p>
        </w:tc>
        <w:tc>
          <w:tcPr>
            <w:tcW w:w="768" w:type="pct"/>
            <w:vAlign w:val="center"/>
          </w:tcPr>
          <w:p>
            <w:pPr>
              <w:jc w:val="center"/>
              <w:rPr>
                <w:rFonts w:hint="eastAsia" w:ascii="宋体" w:hAnsi="宋体" w:cs="宋体"/>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17" w:type="pct"/>
            <w:vAlign w:val="center"/>
          </w:tcPr>
          <w:p>
            <w:pPr>
              <w:numPr>
                <w:ilvl w:val="0"/>
                <w:numId w:val="1"/>
              </w:numPr>
              <w:jc w:val="center"/>
              <w:rPr>
                <w:rFonts w:hint="eastAsia" w:ascii="宋体" w:hAnsi="宋体" w:cs="宋体"/>
                <w:kern w:val="0"/>
                <w:sz w:val="20"/>
                <w:szCs w:val="20"/>
                <w:lang w:bidi="ar"/>
              </w:rPr>
            </w:pPr>
          </w:p>
        </w:tc>
        <w:tc>
          <w:tcPr>
            <w:tcW w:w="1550" w:type="pct"/>
            <w:vAlign w:val="center"/>
          </w:tcPr>
          <w:p>
            <w:pPr>
              <w:widowControl/>
              <w:jc w:val="left"/>
              <w:textAlignment w:val="center"/>
              <w:rPr>
                <w:rFonts w:hint="eastAsia" w:ascii="宋体" w:hAnsi="宋体" w:cs="宋体"/>
                <w:kern w:val="0"/>
                <w:sz w:val="20"/>
                <w:szCs w:val="20"/>
                <w:lang w:bidi="ar"/>
              </w:rPr>
            </w:pPr>
            <w:r>
              <w:rPr>
                <w:rFonts w:hint="eastAsia" w:ascii="宋体" w:hAnsi="宋体" w:cs="宋体"/>
                <w:kern w:val="0"/>
                <w:sz w:val="20"/>
                <w:szCs w:val="20"/>
                <w:lang w:bidi="ar"/>
              </w:rPr>
              <w:t>水泵使用方法</w:t>
            </w:r>
          </w:p>
        </w:tc>
        <w:tc>
          <w:tcPr>
            <w:tcW w:w="1744" w:type="pct"/>
            <w:vAlign w:val="center"/>
          </w:tcPr>
          <w:p>
            <w:pPr>
              <w:widowControl/>
              <w:jc w:val="center"/>
              <w:textAlignment w:val="center"/>
              <w:rPr>
                <w:rFonts w:hint="eastAsia" w:ascii="宋体" w:hAnsi="宋体" w:cs="宋体"/>
                <w:kern w:val="0"/>
                <w:sz w:val="20"/>
                <w:szCs w:val="20"/>
                <w:lang w:bidi="ar"/>
              </w:rPr>
            </w:pPr>
            <w:r>
              <w:rPr>
                <w:rFonts w:hint="eastAsia" w:ascii="宋体" w:hAnsi="宋体" w:cs="宋体"/>
                <w:kern w:val="0"/>
                <w:sz w:val="20"/>
                <w:szCs w:val="20"/>
                <w:lang w:bidi="ar"/>
              </w:rPr>
              <w:t>——</w:t>
            </w:r>
          </w:p>
        </w:tc>
        <w:tc>
          <w:tcPr>
            <w:tcW w:w="418" w:type="pct"/>
            <w:vAlign w:val="center"/>
          </w:tcPr>
          <w:p>
            <w:pPr>
              <w:jc w:val="center"/>
              <w:rPr>
                <w:rFonts w:hint="eastAsia" w:ascii="宋体" w:hAnsi="宋体" w:cs="宋体"/>
                <w:sz w:val="20"/>
                <w:szCs w:val="20"/>
              </w:rPr>
            </w:pPr>
            <w:r>
              <w:rPr>
                <w:rFonts w:hint="eastAsia" w:ascii="宋体" w:hAnsi="宋体" w:cs="宋体"/>
                <w:sz w:val="20"/>
                <w:szCs w:val="20"/>
              </w:rPr>
              <w:t>张</w:t>
            </w:r>
          </w:p>
        </w:tc>
        <w:tc>
          <w:tcPr>
            <w:tcW w:w="768" w:type="pct"/>
            <w:vAlign w:val="center"/>
          </w:tcPr>
          <w:p>
            <w:pPr>
              <w:jc w:val="center"/>
              <w:rPr>
                <w:rFonts w:hint="eastAsia" w:ascii="宋体" w:hAnsi="宋体" w:cs="宋体"/>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 w:hRule="atLeast"/>
        </w:trPr>
        <w:tc>
          <w:tcPr>
            <w:tcW w:w="517" w:type="pct"/>
            <w:vAlign w:val="center"/>
          </w:tcPr>
          <w:p>
            <w:pPr>
              <w:numPr>
                <w:ilvl w:val="0"/>
                <w:numId w:val="1"/>
              </w:numPr>
              <w:jc w:val="center"/>
              <w:rPr>
                <w:rFonts w:hint="eastAsia" w:ascii="宋体" w:hAnsi="宋体" w:cs="宋体"/>
                <w:kern w:val="0"/>
                <w:sz w:val="20"/>
                <w:szCs w:val="20"/>
                <w:lang w:bidi="ar"/>
              </w:rPr>
            </w:pPr>
          </w:p>
        </w:tc>
        <w:tc>
          <w:tcPr>
            <w:tcW w:w="1550" w:type="pct"/>
            <w:vAlign w:val="center"/>
          </w:tcPr>
          <w:p>
            <w:pPr>
              <w:widowControl/>
              <w:jc w:val="left"/>
              <w:textAlignment w:val="center"/>
              <w:rPr>
                <w:rFonts w:hint="eastAsia" w:ascii="宋体" w:hAnsi="宋体" w:cs="宋体"/>
                <w:kern w:val="0"/>
                <w:sz w:val="20"/>
                <w:szCs w:val="20"/>
                <w:lang w:bidi="ar"/>
              </w:rPr>
            </w:pPr>
            <w:r>
              <w:rPr>
                <w:rFonts w:hint="eastAsia" w:ascii="宋体" w:hAnsi="宋体" w:cs="宋体"/>
                <w:kern w:val="0"/>
                <w:sz w:val="20"/>
                <w:szCs w:val="20"/>
                <w:lang w:bidi="ar"/>
              </w:rPr>
              <w:t>风机使用方法</w:t>
            </w:r>
          </w:p>
        </w:tc>
        <w:tc>
          <w:tcPr>
            <w:tcW w:w="1744" w:type="pct"/>
            <w:vAlign w:val="center"/>
          </w:tcPr>
          <w:p>
            <w:pPr>
              <w:widowControl/>
              <w:jc w:val="center"/>
              <w:textAlignment w:val="center"/>
              <w:rPr>
                <w:rFonts w:hint="eastAsia" w:ascii="宋体" w:hAnsi="宋体" w:cs="宋体"/>
                <w:kern w:val="0"/>
                <w:sz w:val="20"/>
                <w:szCs w:val="20"/>
                <w:lang w:bidi="ar"/>
              </w:rPr>
            </w:pPr>
            <w:r>
              <w:rPr>
                <w:rFonts w:hint="eastAsia" w:ascii="宋体" w:hAnsi="宋体" w:cs="宋体"/>
                <w:kern w:val="0"/>
                <w:sz w:val="20"/>
                <w:szCs w:val="20"/>
                <w:lang w:bidi="ar"/>
              </w:rPr>
              <w:t>——</w:t>
            </w:r>
          </w:p>
        </w:tc>
        <w:tc>
          <w:tcPr>
            <w:tcW w:w="418" w:type="pct"/>
            <w:vAlign w:val="center"/>
          </w:tcPr>
          <w:p>
            <w:pPr>
              <w:jc w:val="center"/>
              <w:rPr>
                <w:rFonts w:hint="eastAsia" w:ascii="宋体" w:hAnsi="宋体" w:cs="宋体"/>
                <w:sz w:val="20"/>
                <w:szCs w:val="20"/>
              </w:rPr>
            </w:pPr>
            <w:r>
              <w:rPr>
                <w:rFonts w:hint="eastAsia" w:ascii="宋体" w:hAnsi="宋体" w:cs="宋体"/>
                <w:sz w:val="20"/>
                <w:szCs w:val="20"/>
              </w:rPr>
              <w:t>张</w:t>
            </w:r>
          </w:p>
        </w:tc>
        <w:tc>
          <w:tcPr>
            <w:tcW w:w="768" w:type="pct"/>
            <w:vAlign w:val="center"/>
          </w:tcPr>
          <w:p>
            <w:pPr>
              <w:jc w:val="center"/>
              <w:rPr>
                <w:rFonts w:hint="eastAsia" w:ascii="宋体" w:hAnsi="宋体" w:cs="宋体"/>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 w:hRule="atLeast"/>
        </w:trPr>
        <w:tc>
          <w:tcPr>
            <w:tcW w:w="517" w:type="pct"/>
            <w:vAlign w:val="center"/>
          </w:tcPr>
          <w:p>
            <w:pPr>
              <w:numPr>
                <w:ilvl w:val="0"/>
                <w:numId w:val="1"/>
              </w:numPr>
              <w:jc w:val="center"/>
              <w:rPr>
                <w:rFonts w:hint="eastAsia" w:ascii="宋体" w:hAnsi="宋体" w:cs="宋体"/>
                <w:kern w:val="0"/>
                <w:sz w:val="20"/>
                <w:szCs w:val="20"/>
                <w:lang w:bidi="ar"/>
              </w:rPr>
            </w:pPr>
          </w:p>
        </w:tc>
        <w:tc>
          <w:tcPr>
            <w:tcW w:w="1550" w:type="pct"/>
            <w:vAlign w:val="center"/>
          </w:tcPr>
          <w:p>
            <w:pPr>
              <w:widowControl/>
              <w:jc w:val="left"/>
              <w:textAlignment w:val="center"/>
              <w:rPr>
                <w:rFonts w:hint="eastAsia" w:ascii="宋体" w:hAnsi="宋体" w:cs="宋体"/>
                <w:kern w:val="0"/>
                <w:sz w:val="20"/>
                <w:szCs w:val="20"/>
                <w:lang w:bidi="ar"/>
              </w:rPr>
            </w:pPr>
            <w:r>
              <w:rPr>
                <w:rFonts w:hint="eastAsia" w:ascii="宋体" w:hAnsi="宋体" w:cs="宋体"/>
                <w:kern w:val="0"/>
                <w:sz w:val="20"/>
                <w:szCs w:val="20"/>
                <w:lang w:bidi="ar"/>
              </w:rPr>
              <w:t>送风机使用方法</w:t>
            </w:r>
          </w:p>
        </w:tc>
        <w:tc>
          <w:tcPr>
            <w:tcW w:w="1744" w:type="pct"/>
            <w:vAlign w:val="center"/>
          </w:tcPr>
          <w:p>
            <w:pPr>
              <w:widowControl/>
              <w:jc w:val="center"/>
              <w:textAlignment w:val="center"/>
              <w:rPr>
                <w:rFonts w:hint="eastAsia" w:ascii="宋体" w:hAnsi="宋体" w:cs="宋体"/>
                <w:kern w:val="0"/>
                <w:sz w:val="20"/>
                <w:szCs w:val="20"/>
                <w:lang w:bidi="ar"/>
              </w:rPr>
            </w:pPr>
            <w:r>
              <w:rPr>
                <w:rFonts w:hint="eastAsia" w:ascii="宋体" w:hAnsi="宋体" w:cs="宋体"/>
                <w:kern w:val="0"/>
                <w:sz w:val="20"/>
                <w:szCs w:val="20"/>
                <w:lang w:bidi="ar"/>
              </w:rPr>
              <w:t>——</w:t>
            </w:r>
          </w:p>
        </w:tc>
        <w:tc>
          <w:tcPr>
            <w:tcW w:w="418" w:type="pct"/>
            <w:vAlign w:val="center"/>
          </w:tcPr>
          <w:p>
            <w:pPr>
              <w:jc w:val="center"/>
              <w:rPr>
                <w:rFonts w:hint="eastAsia" w:ascii="宋体" w:hAnsi="宋体" w:cs="宋体"/>
                <w:sz w:val="20"/>
                <w:szCs w:val="20"/>
              </w:rPr>
            </w:pPr>
            <w:r>
              <w:rPr>
                <w:rFonts w:hint="eastAsia" w:ascii="宋体" w:hAnsi="宋体" w:cs="宋体"/>
                <w:sz w:val="20"/>
                <w:szCs w:val="20"/>
              </w:rPr>
              <w:t>张</w:t>
            </w:r>
          </w:p>
        </w:tc>
        <w:tc>
          <w:tcPr>
            <w:tcW w:w="768" w:type="pct"/>
            <w:vAlign w:val="center"/>
          </w:tcPr>
          <w:p>
            <w:pPr>
              <w:jc w:val="center"/>
              <w:rPr>
                <w:rFonts w:hint="eastAsia" w:ascii="宋体" w:hAnsi="宋体" w:cs="宋体"/>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17" w:type="pct"/>
            <w:vAlign w:val="center"/>
          </w:tcPr>
          <w:p>
            <w:pPr>
              <w:numPr>
                <w:ilvl w:val="0"/>
                <w:numId w:val="1"/>
              </w:numPr>
              <w:jc w:val="center"/>
              <w:rPr>
                <w:rFonts w:hint="eastAsia" w:ascii="宋体" w:hAnsi="宋体" w:cs="宋体"/>
                <w:kern w:val="0"/>
                <w:sz w:val="20"/>
                <w:szCs w:val="20"/>
                <w:lang w:bidi="ar"/>
              </w:rPr>
            </w:pPr>
          </w:p>
        </w:tc>
        <w:tc>
          <w:tcPr>
            <w:tcW w:w="1550" w:type="pct"/>
            <w:vAlign w:val="center"/>
          </w:tcPr>
          <w:p>
            <w:pPr>
              <w:widowControl/>
              <w:jc w:val="left"/>
              <w:textAlignment w:val="center"/>
              <w:rPr>
                <w:rFonts w:hint="eastAsia" w:ascii="宋体" w:hAnsi="宋体" w:cs="宋体"/>
                <w:kern w:val="0"/>
                <w:sz w:val="20"/>
                <w:szCs w:val="20"/>
                <w:lang w:bidi="ar"/>
              </w:rPr>
            </w:pPr>
            <w:r>
              <w:rPr>
                <w:rFonts w:hint="eastAsia" w:ascii="宋体" w:hAnsi="宋体" w:cs="宋体"/>
                <w:kern w:val="0"/>
                <w:sz w:val="20"/>
                <w:szCs w:val="20"/>
                <w:lang w:bidi="ar"/>
              </w:rPr>
              <w:t>消火栓按钮使用方法</w:t>
            </w:r>
          </w:p>
        </w:tc>
        <w:tc>
          <w:tcPr>
            <w:tcW w:w="1744" w:type="pct"/>
            <w:vAlign w:val="center"/>
          </w:tcPr>
          <w:p>
            <w:pPr>
              <w:widowControl/>
              <w:jc w:val="center"/>
              <w:textAlignment w:val="center"/>
              <w:rPr>
                <w:rFonts w:hint="eastAsia" w:ascii="宋体" w:hAnsi="宋体" w:cs="宋体"/>
                <w:kern w:val="0"/>
                <w:sz w:val="20"/>
                <w:szCs w:val="20"/>
                <w:lang w:bidi="ar"/>
              </w:rPr>
            </w:pPr>
            <w:r>
              <w:rPr>
                <w:rFonts w:hint="eastAsia" w:ascii="宋体" w:hAnsi="宋体" w:cs="宋体"/>
                <w:kern w:val="0"/>
                <w:sz w:val="20"/>
                <w:szCs w:val="20"/>
                <w:lang w:bidi="ar"/>
              </w:rPr>
              <w:t>——</w:t>
            </w:r>
          </w:p>
        </w:tc>
        <w:tc>
          <w:tcPr>
            <w:tcW w:w="418" w:type="pct"/>
            <w:vAlign w:val="center"/>
          </w:tcPr>
          <w:p>
            <w:pPr>
              <w:jc w:val="center"/>
              <w:rPr>
                <w:rFonts w:hint="eastAsia" w:ascii="宋体" w:hAnsi="宋体" w:cs="宋体"/>
                <w:sz w:val="20"/>
                <w:szCs w:val="20"/>
              </w:rPr>
            </w:pPr>
            <w:r>
              <w:rPr>
                <w:rFonts w:hint="eastAsia" w:ascii="宋体" w:hAnsi="宋体" w:cs="宋体"/>
                <w:sz w:val="20"/>
                <w:szCs w:val="20"/>
              </w:rPr>
              <w:t>张</w:t>
            </w:r>
          </w:p>
        </w:tc>
        <w:tc>
          <w:tcPr>
            <w:tcW w:w="768" w:type="pct"/>
            <w:vAlign w:val="center"/>
          </w:tcPr>
          <w:p>
            <w:pPr>
              <w:jc w:val="center"/>
              <w:rPr>
                <w:rFonts w:hint="eastAsia" w:ascii="宋体" w:hAnsi="宋体" w:cs="宋体"/>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 w:hRule="atLeast"/>
        </w:trPr>
        <w:tc>
          <w:tcPr>
            <w:tcW w:w="517" w:type="pct"/>
            <w:vAlign w:val="center"/>
          </w:tcPr>
          <w:p>
            <w:pPr>
              <w:numPr>
                <w:ilvl w:val="0"/>
                <w:numId w:val="1"/>
              </w:numPr>
              <w:jc w:val="center"/>
              <w:rPr>
                <w:rFonts w:hint="eastAsia" w:ascii="宋体" w:hAnsi="宋体" w:cs="宋体"/>
                <w:kern w:val="0"/>
                <w:sz w:val="20"/>
                <w:szCs w:val="20"/>
                <w:lang w:bidi="ar"/>
              </w:rPr>
            </w:pPr>
          </w:p>
        </w:tc>
        <w:tc>
          <w:tcPr>
            <w:tcW w:w="1550" w:type="pct"/>
            <w:vAlign w:val="center"/>
          </w:tcPr>
          <w:p>
            <w:pPr>
              <w:widowControl/>
              <w:jc w:val="left"/>
              <w:textAlignment w:val="center"/>
              <w:rPr>
                <w:rFonts w:hint="eastAsia" w:ascii="宋体" w:hAnsi="宋体" w:cs="宋体"/>
                <w:kern w:val="0"/>
                <w:sz w:val="20"/>
                <w:szCs w:val="20"/>
                <w:lang w:bidi="ar"/>
              </w:rPr>
            </w:pPr>
            <w:r>
              <w:rPr>
                <w:rFonts w:hint="eastAsia" w:ascii="宋体" w:hAnsi="宋体" w:cs="宋体"/>
                <w:kern w:val="0"/>
                <w:sz w:val="20"/>
                <w:szCs w:val="20"/>
                <w:lang w:bidi="ar"/>
              </w:rPr>
              <w:t>水箱高低水位标识</w:t>
            </w:r>
          </w:p>
        </w:tc>
        <w:tc>
          <w:tcPr>
            <w:tcW w:w="1744" w:type="pct"/>
            <w:vAlign w:val="center"/>
          </w:tcPr>
          <w:p>
            <w:pPr>
              <w:widowControl/>
              <w:jc w:val="center"/>
              <w:textAlignment w:val="center"/>
              <w:rPr>
                <w:rFonts w:hint="eastAsia" w:ascii="宋体" w:hAnsi="宋体" w:cs="宋体"/>
                <w:kern w:val="0"/>
                <w:sz w:val="20"/>
                <w:szCs w:val="20"/>
                <w:lang w:bidi="ar"/>
              </w:rPr>
            </w:pPr>
            <w:r>
              <w:rPr>
                <w:rFonts w:hint="eastAsia" w:ascii="宋体" w:hAnsi="宋体" w:cs="宋体"/>
                <w:kern w:val="0"/>
                <w:sz w:val="20"/>
                <w:szCs w:val="20"/>
                <w:lang w:bidi="ar"/>
              </w:rPr>
              <w:t>——</w:t>
            </w:r>
          </w:p>
        </w:tc>
        <w:tc>
          <w:tcPr>
            <w:tcW w:w="418" w:type="pct"/>
            <w:vAlign w:val="center"/>
          </w:tcPr>
          <w:p>
            <w:pPr>
              <w:jc w:val="center"/>
              <w:rPr>
                <w:rFonts w:hint="eastAsia" w:ascii="宋体" w:hAnsi="宋体" w:cs="宋体"/>
                <w:sz w:val="20"/>
                <w:szCs w:val="20"/>
              </w:rPr>
            </w:pPr>
            <w:r>
              <w:rPr>
                <w:rFonts w:hint="eastAsia" w:ascii="宋体" w:hAnsi="宋体" w:cs="宋体"/>
                <w:sz w:val="20"/>
                <w:szCs w:val="20"/>
              </w:rPr>
              <w:t>张</w:t>
            </w:r>
          </w:p>
        </w:tc>
        <w:tc>
          <w:tcPr>
            <w:tcW w:w="768" w:type="pct"/>
            <w:vAlign w:val="center"/>
          </w:tcPr>
          <w:p>
            <w:pPr>
              <w:jc w:val="center"/>
              <w:rPr>
                <w:rFonts w:hint="eastAsia" w:ascii="宋体" w:hAnsi="宋体" w:cs="宋体"/>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17" w:type="pct"/>
            <w:vAlign w:val="center"/>
          </w:tcPr>
          <w:p>
            <w:pPr>
              <w:numPr>
                <w:ilvl w:val="0"/>
                <w:numId w:val="1"/>
              </w:numPr>
              <w:jc w:val="center"/>
              <w:rPr>
                <w:rFonts w:hint="eastAsia" w:ascii="宋体" w:hAnsi="宋体" w:cs="宋体"/>
                <w:kern w:val="0"/>
                <w:sz w:val="20"/>
                <w:szCs w:val="20"/>
                <w:lang w:bidi="ar"/>
              </w:rPr>
            </w:pPr>
          </w:p>
        </w:tc>
        <w:tc>
          <w:tcPr>
            <w:tcW w:w="1550" w:type="pct"/>
            <w:vAlign w:val="center"/>
          </w:tcPr>
          <w:p>
            <w:pPr>
              <w:widowControl/>
              <w:jc w:val="left"/>
              <w:textAlignment w:val="center"/>
              <w:rPr>
                <w:rFonts w:hint="eastAsia" w:ascii="宋体" w:hAnsi="宋体" w:cs="宋体"/>
                <w:kern w:val="0"/>
                <w:sz w:val="20"/>
                <w:szCs w:val="20"/>
                <w:lang w:bidi="ar"/>
              </w:rPr>
            </w:pPr>
            <w:r>
              <w:rPr>
                <w:rFonts w:hint="eastAsia" w:ascii="宋体" w:hAnsi="宋体" w:cs="宋体"/>
                <w:kern w:val="0"/>
                <w:sz w:val="20"/>
                <w:szCs w:val="20"/>
                <w:lang w:bidi="ar"/>
              </w:rPr>
              <w:t>常开门标识</w:t>
            </w:r>
          </w:p>
        </w:tc>
        <w:tc>
          <w:tcPr>
            <w:tcW w:w="1744" w:type="pct"/>
            <w:vAlign w:val="center"/>
          </w:tcPr>
          <w:p>
            <w:pPr>
              <w:widowControl/>
              <w:jc w:val="center"/>
              <w:textAlignment w:val="center"/>
              <w:rPr>
                <w:rFonts w:hint="eastAsia" w:ascii="宋体" w:hAnsi="宋体" w:cs="宋体"/>
                <w:kern w:val="0"/>
                <w:sz w:val="20"/>
                <w:szCs w:val="20"/>
                <w:lang w:bidi="ar"/>
              </w:rPr>
            </w:pPr>
            <w:r>
              <w:rPr>
                <w:rFonts w:hint="eastAsia" w:ascii="宋体" w:hAnsi="宋体" w:cs="宋体"/>
                <w:kern w:val="0"/>
                <w:sz w:val="20"/>
                <w:szCs w:val="20"/>
                <w:lang w:bidi="ar"/>
              </w:rPr>
              <w:t>——</w:t>
            </w:r>
          </w:p>
        </w:tc>
        <w:tc>
          <w:tcPr>
            <w:tcW w:w="418" w:type="pct"/>
            <w:vAlign w:val="center"/>
          </w:tcPr>
          <w:p>
            <w:pPr>
              <w:jc w:val="center"/>
              <w:rPr>
                <w:rFonts w:hint="eastAsia" w:ascii="宋体" w:hAnsi="宋体" w:cs="宋体"/>
                <w:sz w:val="20"/>
                <w:szCs w:val="20"/>
              </w:rPr>
            </w:pPr>
            <w:r>
              <w:rPr>
                <w:rFonts w:hint="eastAsia" w:ascii="宋体" w:hAnsi="宋体" w:cs="宋体"/>
                <w:sz w:val="20"/>
                <w:szCs w:val="20"/>
              </w:rPr>
              <w:t>张</w:t>
            </w:r>
          </w:p>
        </w:tc>
        <w:tc>
          <w:tcPr>
            <w:tcW w:w="768" w:type="pct"/>
            <w:vAlign w:val="center"/>
          </w:tcPr>
          <w:p>
            <w:pPr>
              <w:jc w:val="center"/>
              <w:rPr>
                <w:rFonts w:hint="eastAsia" w:ascii="宋体" w:hAnsi="宋体" w:cs="宋体"/>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17" w:type="pct"/>
            <w:vAlign w:val="center"/>
          </w:tcPr>
          <w:p>
            <w:pPr>
              <w:numPr>
                <w:ilvl w:val="0"/>
                <w:numId w:val="1"/>
              </w:numPr>
              <w:jc w:val="center"/>
              <w:rPr>
                <w:rFonts w:hint="eastAsia" w:ascii="宋体" w:hAnsi="宋体" w:cs="宋体"/>
                <w:kern w:val="0"/>
                <w:sz w:val="20"/>
                <w:szCs w:val="20"/>
                <w:lang w:bidi="ar"/>
              </w:rPr>
            </w:pPr>
          </w:p>
        </w:tc>
        <w:tc>
          <w:tcPr>
            <w:tcW w:w="1550" w:type="pct"/>
            <w:vAlign w:val="center"/>
          </w:tcPr>
          <w:p>
            <w:pPr>
              <w:widowControl/>
              <w:jc w:val="left"/>
              <w:textAlignment w:val="center"/>
              <w:rPr>
                <w:rFonts w:hint="eastAsia" w:ascii="宋体" w:hAnsi="宋体" w:cs="宋体"/>
                <w:kern w:val="0"/>
                <w:sz w:val="20"/>
                <w:szCs w:val="20"/>
                <w:lang w:bidi="ar"/>
              </w:rPr>
            </w:pPr>
            <w:r>
              <w:rPr>
                <w:rFonts w:hint="eastAsia" w:ascii="宋体" w:hAnsi="宋体" w:cs="宋体"/>
                <w:kern w:val="0"/>
                <w:sz w:val="20"/>
                <w:szCs w:val="20"/>
                <w:lang w:bidi="ar"/>
              </w:rPr>
              <w:t>常闭门标识</w:t>
            </w:r>
          </w:p>
        </w:tc>
        <w:tc>
          <w:tcPr>
            <w:tcW w:w="1744" w:type="pct"/>
            <w:vAlign w:val="center"/>
          </w:tcPr>
          <w:p>
            <w:pPr>
              <w:widowControl/>
              <w:jc w:val="center"/>
              <w:textAlignment w:val="center"/>
              <w:rPr>
                <w:rFonts w:hint="eastAsia" w:ascii="宋体" w:hAnsi="宋体" w:cs="宋体"/>
                <w:kern w:val="0"/>
                <w:sz w:val="20"/>
                <w:szCs w:val="20"/>
                <w:lang w:bidi="ar"/>
              </w:rPr>
            </w:pPr>
            <w:r>
              <w:rPr>
                <w:rFonts w:hint="eastAsia" w:ascii="宋体" w:hAnsi="宋体" w:cs="宋体"/>
                <w:kern w:val="0"/>
                <w:sz w:val="20"/>
                <w:szCs w:val="20"/>
                <w:lang w:bidi="ar"/>
              </w:rPr>
              <w:t>——</w:t>
            </w:r>
          </w:p>
        </w:tc>
        <w:tc>
          <w:tcPr>
            <w:tcW w:w="418" w:type="pct"/>
            <w:vAlign w:val="center"/>
          </w:tcPr>
          <w:p>
            <w:pPr>
              <w:jc w:val="center"/>
              <w:rPr>
                <w:rFonts w:hint="eastAsia" w:ascii="宋体" w:hAnsi="宋体" w:cs="宋体"/>
                <w:sz w:val="20"/>
                <w:szCs w:val="20"/>
              </w:rPr>
            </w:pPr>
            <w:r>
              <w:rPr>
                <w:rFonts w:hint="eastAsia" w:ascii="宋体" w:hAnsi="宋体" w:cs="宋体"/>
                <w:sz w:val="20"/>
                <w:szCs w:val="20"/>
              </w:rPr>
              <w:t>张</w:t>
            </w:r>
          </w:p>
        </w:tc>
        <w:tc>
          <w:tcPr>
            <w:tcW w:w="768" w:type="pct"/>
            <w:vAlign w:val="center"/>
          </w:tcPr>
          <w:p>
            <w:pPr>
              <w:jc w:val="center"/>
              <w:rPr>
                <w:rFonts w:hint="eastAsia" w:ascii="宋体" w:hAnsi="宋体" w:cs="宋体"/>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517" w:type="pct"/>
            <w:vAlign w:val="center"/>
          </w:tcPr>
          <w:p>
            <w:pPr>
              <w:numPr>
                <w:ilvl w:val="0"/>
                <w:numId w:val="1"/>
              </w:numPr>
              <w:jc w:val="center"/>
              <w:rPr>
                <w:rFonts w:hint="eastAsia" w:ascii="宋体" w:hAnsi="宋体" w:cs="宋体"/>
                <w:kern w:val="0"/>
                <w:sz w:val="20"/>
                <w:szCs w:val="20"/>
                <w:lang w:bidi="ar"/>
              </w:rPr>
            </w:pPr>
          </w:p>
        </w:tc>
        <w:tc>
          <w:tcPr>
            <w:tcW w:w="1550" w:type="pct"/>
            <w:vAlign w:val="center"/>
          </w:tcPr>
          <w:p>
            <w:pPr>
              <w:widowControl/>
              <w:jc w:val="left"/>
              <w:textAlignment w:val="center"/>
              <w:rPr>
                <w:rFonts w:hint="eastAsia" w:ascii="宋体" w:hAnsi="宋体" w:cs="宋体"/>
                <w:kern w:val="0"/>
                <w:sz w:val="20"/>
                <w:szCs w:val="20"/>
                <w:lang w:bidi="ar"/>
              </w:rPr>
            </w:pPr>
            <w:r>
              <w:rPr>
                <w:rFonts w:hint="eastAsia" w:ascii="宋体" w:hAnsi="宋体" w:cs="宋体"/>
                <w:kern w:val="0"/>
                <w:sz w:val="20"/>
                <w:szCs w:val="20"/>
                <w:lang w:bidi="ar"/>
              </w:rPr>
              <w:t>止回阀标识</w:t>
            </w:r>
          </w:p>
        </w:tc>
        <w:tc>
          <w:tcPr>
            <w:tcW w:w="1744" w:type="pct"/>
            <w:vAlign w:val="center"/>
          </w:tcPr>
          <w:p>
            <w:pPr>
              <w:widowControl/>
              <w:jc w:val="center"/>
              <w:textAlignment w:val="center"/>
              <w:rPr>
                <w:rFonts w:hint="eastAsia" w:ascii="宋体" w:hAnsi="宋体" w:cs="宋体"/>
                <w:kern w:val="0"/>
                <w:sz w:val="20"/>
                <w:szCs w:val="20"/>
                <w:lang w:bidi="ar"/>
              </w:rPr>
            </w:pPr>
            <w:r>
              <w:rPr>
                <w:rFonts w:hint="eastAsia" w:ascii="宋体" w:hAnsi="宋体" w:cs="宋体"/>
                <w:kern w:val="0"/>
                <w:sz w:val="20"/>
                <w:szCs w:val="20"/>
                <w:lang w:bidi="ar"/>
              </w:rPr>
              <w:t>——</w:t>
            </w:r>
          </w:p>
        </w:tc>
        <w:tc>
          <w:tcPr>
            <w:tcW w:w="418" w:type="pct"/>
            <w:vAlign w:val="center"/>
          </w:tcPr>
          <w:p>
            <w:pPr>
              <w:jc w:val="center"/>
              <w:rPr>
                <w:rFonts w:hint="eastAsia" w:ascii="宋体" w:hAnsi="宋体" w:cs="宋体"/>
                <w:sz w:val="20"/>
                <w:szCs w:val="20"/>
              </w:rPr>
            </w:pPr>
            <w:r>
              <w:rPr>
                <w:rFonts w:hint="eastAsia" w:ascii="宋体" w:hAnsi="宋体" w:cs="宋体"/>
                <w:sz w:val="20"/>
                <w:szCs w:val="20"/>
              </w:rPr>
              <w:t>张</w:t>
            </w:r>
          </w:p>
        </w:tc>
        <w:tc>
          <w:tcPr>
            <w:tcW w:w="768" w:type="pct"/>
            <w:vAlign w:val="center"/>
          </w:tcPr>
          <w:p>
            <w:pPr>
              <w:jc w:val="center"/>
              <w:rPr>
                <w:rFonts w:hint="eastAsia" w:ascii="宋体" w:hAnsi="宋体" w:cs="宋体"/>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17" w:type="pct"/>
            <w:vAlign w:val="center"/>
          </w:tcPr>
          <w:p>
            <w:pPr>
              <w:numPr>
                <w:ilvl w:val="0"/>
                <w:numId w:val="1"/>
              </w:numPr>
              <w:jc w:val="center"/>
              <w:rPr>
                <w:rFonts w:hint="eastAsia" w:ascii="宋体" w:hAnsi="宋体" w:cs="宋体"/>
                <w:kern w:val="0"/>
                <w:sz w:val="20"/>
                <w:szCs w:val="20"/>
                <w:lang w:bidi="ar"/>
              </w:rPr>
            </w:pPr>
          </w:p>
        </w:tc>
        <w:tc>
          <w:tcPr>
            <w:tcW w:w="1550" w:type="pct"/>
            <w:vAlign w:val="center"/>
          </w:tcPr>
          <w:p>
            <w:pPr>
              <w:widowControl/>
              <w:jc w:val="left"/>
              <w:textAlignment w:val="center"/>
              <w:rPr>
                <w:rFonts w:hint="eastAsia" w:ascii="宋体" w:hAnsi="宋体" w:cs="宋体"/>
                <w:kern w:val="0"/>
                <w:sz w:val="20"/>
                <w:szCs w:val="20"/>
                <w:lang w:bidi="ar"/>
              </w:rPr>
            </w:pPr>
            <w:r>
              <w:rPr>
                <w:rFonts w:hint="eastAsia" w:ascii="宋体" w:hAnsi="宋体" w:cs="宋体"/>
                <w:kern w:val="0"/>
                <w:sz w:val="20"/>
                <w:szCs w:val="20"/>
                <w:lang w:bidi="ar"/>
              </w:rPr>
              <w:t>湿式报警阀标识</w:t>
            </w:r>
          </w:p>
        </w:tc>
        <w:tc>
          <w:tcPr>
            <w:tcW w:w="1744" w:type="pct"/>
            <w:vAlign w:val="center"/>
          </w:tcPr>
          <w:p>
            <w:pPr>
              <w:widowControl/>
              <w:jc w:val="center"/>
              <w:textAlignment w:val="center"/>
              <w:rPr>
                <w:rFonts w:hint="eastAsia" w:ascii="宋体" w:hAnsi="宋体" w:cs="宋体"/>
                <w:kern w:val="0"/>
                <w:sz w:val="20"/>
                <w:szCs w:val="20"/>
                <w:lang w:bidi="ar"/>
              </w:rPr>
            </w:pPr>
            <w:r>
              <w:rPr>
                <w:rFonts w:hint="eastAsia" w:ascii="宋体" w:hAnsi="宋体" w:cs="宋体"/>
                <w:kern w:val="0"/>
                <w:sz w:val="20"/>
                <w:szCs w:val="20"/>
                <w:lang w:bidi="ar"/>
              </w:rPr>
              <w:t>——</w:t>
            </w:r>
          </w:p>
        </w:tc>
        <w:tc>
          <w:tcPr>
            <w:tcW w:w="418" w:type="pct"/>
            <w:vAlign w:val="center"/>
          </w:tcPr>
          <w:p>
            <w:pPr>
              <w:jc w:val="center"/>
              <w:rPr>
                <w:rFonts w:hint="eastAsia" w:ascii="宋体" w:hAnsi="宋体" w:cs="宋体"/>
                <w:sz w:val="20"/>
                <w:szCs w:val="20"/>
              </w:rPr>
            </w:pPr>
            <w:r>
              <w:rPr>
                <w:rFonts w:hint="eastAsia" w:ascii="宋体" w:hAnsi="宋体" w:cs="宋体"/>
                <w:sz w:val="20"/>
                <w:szCs w:val="20"/>
              </w:rPr>
              <w:t>张</w:t>
            </w:r>
          </w:p>
        </w:tc>
        <w:tc>
          <w:tcPr>
            <w:tcW w:w="768" w:type="pct"/>
            <w:vAlign w:val="center"/>
          </w:tcPr>
          <w:p>
            <w:pPr>
              <w:jc w:val="center"/>
              <w:rPr>
                <w:rFonts w:hint="eastAsia" w:ascii="宋体" w:hAnsi="宋体" w:cs="宋体"/>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17" w:type="pct"/>
            <w:vAlign w:val="center"/>
          </w:tcPr>
          <w:p>
            <w:pPr>
              <w:numPr>
                <w:ilvl w:val="0"/>
                <w:numId w:val="1"/>
              </w:numPr>
              <w:jc w:val="center"/>
              <w:rPr>
                <w:rFonts w:hint="eastAsia" w:ascii="宋体" w:hAnsi="宋体" w:cs="宋体"/>
                <w:kern w:val="0"/>
                <w:sz w:val="20"/>
                <w:szCs w:val="20"/>
                <w:lang w:bidi="ar"/>
              </w:rPr>
            </w:pPr>
          </w:p>
        </w:tc>
        <w:tc>
          <w:tcPr>
            <w:tcW w:w="1550" w:type="pct"/>
            <w:vAlign w:val="center"/>
          </w:tcPr>
          <w:p>
            <w:pPr>
              <w:widowControl/>
              <w:jc w:val="left"/>
              <w:textAlignment w:val="center"/>
              <w:rPr>
                <w:rFonts w:hint="eastAsia" w:ascii="宋体" w:hAnsi="宋体" w:cs="宋体"/>
                <w:kern w:val="0"/>
                <w:sz w:val="20"/>
                <w:szCs w:val="20"/>
                <w:lang w:bidi="ar"/>
              </w:rPr>
            </w:pPr>
            <w:r>
              <w:rPr>
                <w:rFonts w:hint="eastAsia" w:ascii="宋体" w:hAnsi="宋体" w:cs="宋体"/>
                <w:kern w:val="0"/>
                <w:sz w:val="20"/>
                <w:szCs w:val="20"/>
                <w:lang w:bidi="ar"/>
              </w:rPr>
              <w:t>末端试水标识</w:t>
            </w:r>
          </w:p>
        </w:tc>
        <w:tc>
          <w:tcPr>
            <w:tcW w:w="1744" w:type="pct"/>
            <w:vAlign w:val="center"/>
          </w:tcPr>
          <w:p>
            <w:pPr>
              <w:widowControl/>
              <w:jc w:val="center"/>
              <w:textAlignment w:val="center"/>
              <w:rPr>
                <w:rFonts w:hint="eastAsia" w:ascii="宋体" w:hAnsi="宋体" w:cs="宋体"/>
                <w:kern w:val="0"/>
                <w:sz w:val="20"/>
                <w:szCs w:val="20"/>
                <w:lang w:bidi="ar"/>
              </w:rPr>
            </w:pPr>
            <w:r>
              <w:rPr>
                <w:rFonts w:hint="eastAsia" w:ascii="宋体" w:hAnsi="宋体" w:cs="宋体"/>
                <w:kern w:val="0"/>
                <w:sz w:val="20"/>
                <w:szCs w:val="20"/>
                <w:lang w:bidi="ar"/>
              </w:rPr>
              <w:t>——</w:t>
            </w:r>
          </w:p>
        </w:tc>
        <w:tc>
          <w:tcPr>
            <w:tcW w:w="418" w:type="pct"/>
            <w:vAlign w:val="center"/>
          </w:tcPr>
          <w:p>
            <w:pPr>
              <w:jc w:val="center"/>
              <w:rPr>
                <w:rFonts w:hint="eastAsia" w:ascii="宋体" w:hAnsi="宋体" w:cs="宋体"/>
                <w:sz w:val="20"/>
                <w:szCs w:val="20"/>
              </w:rPr>
            </w:pPr>
            <w:r>
              <w:rPr>
                <w:rFonts w:hint="eastAsia" w:ascii="宋体" w:hAnsi="宋体" w:cs="宋体"/>
                <w:sz w:val="20"/>
                <w:szCs w:val="20"/>
              </w:rPr>
              <w:t>张</w:t>
            </w:r>
          </w:p>
        </w:tc>
        <w:tc>
          <w:tcPr>
            <w:tcW w:w="768" w:type="pct"/>
            <w:vAlign w:val="center"/>
          </w:tcPr>
          <w:p>
            <w:pPr>
              <w:jc w:val="center"/>
              <w:rPr>
                <w:rFonts w:hint="eastAsia" w:ascii="宋体" w:hAnsi="宋体" w:cs="宋体"/>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517" w:type="pct"/>
            <w:vAlign w:val="center"/>
          </w:tcPr>
          <w:p>
            <w:pPr>
              <w:numPr>
                <w:ilvl w:val="0"/>
                <w:numId w:val="1"/>
              </w:numPr>
              <w:jc w:val="center"/>
              <w:rPr>
                <w:rFonts w:hint="eastAsia" w:ascii="宋体" w:hAnsi="宋体" w:cs="宋体"/>
                <w:kern w:val="0"/>
                <w:sz w:val="20"/>
                <w:szCs w:val="20"/>
                <w:lang w:bidi="ar"/>
              </w:rPr>
            </w:pPr>
          </w:p>
        </w:tc>
        <w:tc>
          <w:tcPr>
            <w:tcW w:w="1550" w:type="pct"/>
            <w:vAlign w:val="center"/>
          </w:tcPr>
          <w:p>
            <w:pPr>
              <w:widowControl/>
              <w:jc w:val="left"/>
              <w:textAlignment w:val="center"/>
              <w:rPr>
                <w:rFonts w:hint="eastAsia" w:ascii="宋体" w:hAnsi="宋体" w:cs="宋体"/>
                <w:kern w:val="0"/>
                <w:sz w:val="20"/>
                <w:szCs w:val="20"/>
                <w:lang w:bidi="ar"/>
              </w:rPr>
            </w:pPr>
            <w:r>
              <w:rPr>
                <w:rFonts w:hint="eastAsia" w:ascii="宋体" w:hAnsi="宋体" w:cs="宋体"/>
                <w:kern w:val="0"/>
                <w:sz w:val="20"/>
                <w:szCs w:val="20"/>
                <w:lang w:bidi="ar"/>
              </w:rPr>
              <w:t>防火阀使用方法</w:t>
            </w:r>
          </w:p>
        </w:tc>
        <w:tc>
          <w:tcPr>
            <w:tcW w:w="1744" w:type="pct"/>
            <w:vAlign w:val="center"/>
          </w:tcPr>
          <w:p>
            <w:pPr>
              <w:widowControl/>
              <w:jc w:val="center"/>
              <w:textAlignment w:val="center"/>
              <w:rPr>
                <w:rFonts w:hint="eastAsia" w:ascii="宋体" w:hAnsi="宋体" w:cs="宋体"/>
                <w:kern w:val="0"/>
                <w:sz w:val="20"/>
                <w:szCs w:val="20"/>
                <w:lang w:bidi="ar"/>
              </w:rPr>
            </w:pPr>
            <w:r>
              <w:rPr>
                <w:rFonts w:hint="eastAsia" w:ascii="宋体" w:hAnsi="宋体" w:cs="宋体"/>
                <w:kern w:val="0"/>
                <w:sz w:val="20"/>
                <w:szCs w:val="20"/>
                <w:lang w:bidi="ar"/>
              </w:rPr>
              <w:t>——</w:t>
            </w:r>
          </w:p>
        </w:tc>
        <w:tc>
          <w:tcPr>
            <w:tcW w:w="418" w:type="pct"/>
            <w:vAlign w:val="center"/>
          </w:tcPr>
          <w:p>
            <w:pPr>
              <w:jc w:val="center"/>
              <w:rPr>
                <w:rFonts w:hint="eastAsia" w:ascii="宋体" w:hAnsi="宋体" w:cs="宋体"/>
                <w:sz w:val="20"/>
                <w:szCs w:val="20"/>
              </w:rPr>
            </w:pPr>
            <w:r>
              <w:rPr>
                <w:rFonts w:hint="eastAsia" w:ascii="宋体" w:hAnsi="宋体" w:cs="宋体"/>
                <w:sz w:val="20"/>
                <w:szCs w:val="20"/>
              </w:rPr>
              <w:t>张</w:t>
            </w:r>
          </w:p>
        </w:tc>
        <w:tc>
          <w:tcPr>
            <w:tcW w:w="768" w:type="pct"/>
            <w:vAlign w:val="center"/>
          </w:tcPr>
          <w:p>
            <w:pPr>
              <w:jc w:val="center"/>
              <w:rPr>
                <w:rFonts w:hint="eastAsia" w:ascii="宋体" w:hAnsi="宋体" w:cs="宋体"/>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 w:hRule="atLeast"/>
        </w:trPr>
        <w:tc>
          <w:tcPr>
            <w:tcW w:w="517" w:type="pct"/>
            <w:vAlign w:val="center"/>
          </w:tcPr>
          <w:p>
            <w:pPr>
              <w:numPr>
                <w:ilvl w:val="0"/>
                <w:numId w:val="1"/>
              </w:numPr>
              <w:jc w:val="center"/>
              <w:rPr>
                <w:rFonts w:hint="eastAsia" w:ascii="宋体" w:hAnsi="宋体" w:cs="宋体"/>
                <w:kern w:val="0"/>
                <w:sz w:val="20"/>
                <w:szCs w:val="20"/>
                <w:lang w:bidi="ar"/>
              </w:rPr>
            </w:pPr>
          </w:p>
        </w:tc>
        <w:tc>
          <w:tcPr>
            <w:tcW w:w="1550" w:type="pct"/>
            <w:vAlign w:val="center"/>
          </w:tcPr>
          <w:p>
            <w:pPr>
              <w:widowControl/>
              <w:jc w:val="left"/>
              <w:textAlignment w:val="center"/>
              <w:rPr>
                <w:rFonts w:hint="eastAsia" w:ascii="宋体" w:hAnsi="宋体" w:cs="宋体"/>
                <w:kern w:val="0"/>
                <w:sz w:val="20"/>
                <w:szCs w:val="20"/>
                <w:lang w:bidi="ar"/>
              </w:rPr>
            </w:pPr>
            <w:r>
              <w:rPr>
                <w:rFonts w:hint="eastAsia" w:ascii="宋体" w:hAnsi="宋体" w:cs="宋体"/>
                <w:kern w:val="0"/>
                <w:sz w:val="20"/>
                <w:szCs w:val="20"/>
                <w:lang w:bidi="ar"/>
              </w:rPr>
              <w:t>消火栓使用方法</w:t>
            </w:r>
          </w:p>
        </w:tc>
        <w:tc>
          <w:tcPr>
            <w:tcW w:w="1744" w:type="pct"/>
            <w:vAlign w:val="center"/>
          </w:tcPr>
          <w:p>
            <w:pPr>
              <w:widowControl/>
              <w:jc w:val="center"/>
              <w:textAlignment w:val="center"/>
              <w:rPr>
                <w:rFonts w:hint="eastAsia" w:ascii="宋体" w:hAnsi="宋体" w:cs="宋体"/>
                <w:kern w:val="0"/>
                <w:sz w:val="20"/>
                <w:szCs w:val="20"/>
                <w:lang w:bidi="ar"/>
              </w:rPr>
            </w:pPr>
            <w:r>
              <w:rPr>
                <w:rFonts w:hint="eastAsia" w:ascii="宋体" w:hAnsi="宋体" w:cs="宋体"/>
                <w:kern w:val="0"/>
                <w:sz w:val="20"/>
                <w:szCs w:val="20"/>
                <w:lang w:bidi="ar"/>
              </w:rPr>
              <w:t>——</w:t>
            </w:r>
          </w:p>
        </w:tc>
        <w:tc>
          <w:tcPr>
            <w:tcW w:w="418" w:type="pct"/>
            <w:vAlign w:val="center"/>
          </w:tcPr>
          <w:p>
            <w:pPr>
              <w:jc w:val="center"/>
              <w:rPr>
                <w:rFonts w:hint="eastAsia" w:ascii="宋体" w:hAnsi="宋体" w:cs="宋体"/>
                <w:sz w:val="20"/>
                <w:szCs w:val="20"/>
              </w:rPr>
            </w:pPr>
            <w:r>
              <w:rPr>
                <w:rFonts w:hint="eastAsia" w:ascii="宋体" w:hAnsi="宋体" w:cs="宋体"/>
                <w:sz w:val="20"/>
                <w:szCs w:val="20"/>
              </w:rPr>
              <w:t>张</w:t>
            </w:r>
          </w:p>
        </w:tc>
        <w:tc>
          <w:tcPr>
            <w:tcW w:w="768" w:type="pct"/>
            <w:vAlign w:val="center"/>
          </w:tcPr>
          <w:p>
            <w:pPr>
              <w:jc w:val="center"/>
              <w:rPr>
                <w:rFonts w:hint="eastAsia" w:ascii="宋体" w:hAnsi="宋体" w:cs="宋体"/>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17" w:type="pct"/>
            <w:vAlign w:val="center"/>
          </w:tcPr>
          <w:p>
            <w:pPr>
              <w:numPr>
                <w:ilvl w:val="0"/>
                <w:numId w:val="1"/>
              </w:numPr>
              <w:jc w:val="center"/>
              <w:rPr>
                <w:rFonts w:hint="eastAsia" w:ascii="宋体" w:hAnsi="宋体" w:cs="宋体"/>
                <w:kern w:val="0"/>
                <w:sz w:val="20"/>
                <w:szCs w:val="20"/>
                <w:lang w:bidi="ar"/>
              </w:rPr>
            </w:pPr>
          </w:p>
        </w:tc>
        <w:tc>
          <w:tcPr>
            <w:tcW w:w="1550" w:type="pct"/>
            <w:vAlign w:val="center"/>
          </w:tcPr>
          <w:p>
            <w:pPr>
              <w:widowControl/>
              <w:jc w:val="left"/>
              <w:textAlignment w:val="center"/>
              <w:rPr>
                <w:rFonts w:hint="eastAsia" w:ascii="宋体" w:hAnsi="宋体" w:cs="宋体"/>
                <w:kern w:val="0"/>
                <w:sz w:val="20"/>
                <w:szCs w:val="20"/>
                <w:lang w:bidi="ar"/>
              </w:rPr>
            </w:pPr>
            <w:r>
              <w:rPr>
                <w:rFonts w:hint="eastAsia" w:ascii="宋体" w:hAnsi="宋体" w:cs="宋体"/>
                <w:kern w:val="0"/>
                <w:sz w:val="20"/>
                <w:szCs w:val="20"/>
                <w:lang w:bidi="ar"/>
              </w:rPr>
              <w:t>灭火器使用方法</w:t>
            </w:r>
          </w:p>
        </w:tc>
        <w:tc>
          <w:tcPr>
            <w:tcW w:w="1744" w:type="pct"/>
            <w:vAlign w:val="center"/>
          </w:tcPr>
          <w:p>
            <w:pPr>
              <w:widowControl/>
              <w:jc w:val="center"/>
              <w:textAlignment w:val="center"/>
              <w:rPr>
                <w:rFonts w:hint="eastAsia" w:ascii="宋体" w:hAnsi="宋体" w:cs="宋体"/>
                <w:kern w:val="0"/>
                <w:sz w:val="20"/>
                <w:szCs w:val="20"/>
                <w:lang w:bidi="ar"/>
              </w:rPr>
            </w:pPr>
            <w:r>
              <w:rPr>
                <w:rFonts w:hint="eastAsia" w:ascii="宋体" w:hAnsi="宋体" w:cs="宋体"/>
                <w:kern w:val="0"/>
                <w:sz w:val="20"/>
                <w:szCs w:val="20"/>
                <w:lang w:bidi="ar"/>
              </w:rPr>
              <w:t>——</w:t>
            </w:r>
          </w:p>
        </w:tc>
        <w:tc>
          <w:tcPr>
            <w:tcW w:w="418" w:type="pct"/>
            <w:vAlign w:val="center"/>
          </w:tcPr>
          <w:p>
            <w:pPr>
              <w:jc w:val="center"/>
              <w:rPr>
                <w:rFonts w:hint="eastAsia" w:ascii="宋体" w:hAnsi="宋体" w:cs="宋体"/>
                <w:sz w:val="20"/>
                <w:szCs w:val="20"/>
              </w:rPr>
            </w:pPr>
            <w:r>
              <w:rPr>
                <w:rFonts w:hint="eastAsia" w:ascii="宋体" w:hAnsi="宋体" w:cs="宋体"/>
                <w:sz w:val="20"/>
                <w:szCs w:val="20"/>
              </w:rPr>
              <w:t>张</w:t>
            </w:r>
          </w:p>
        </w:tc>
        <w:tc>
          <w:tcPr>
            <w:tcW w:w="768" w:type="pct"/>
            <w:vAlign w:val="center"/>
          </w:tcPr>
          <w:p>
            <w:pPr>
              <w:jc w:val="center"/>
              <w:rPr>
                <w:rFonts w:hint="eastAsia" w:ascii="宋体" w:hAnsi="宋体" w:cs="宋体"/>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 w:hRule="atLeast"/>
        </w:trPr>
        <w:tc>
          <w:tcPr>
            <w:tcW w:w="517" w:type="pct"/>
            <w:vAlign w:val="center"/>
          </w:tcPr>
          <w:p>
            <w:pPr>
              <w:numPr>
                <w:ilvl w:val="0"/>
                <w:numId w:val="1"/>
              </w:numPr>
              <w:jc w:val="center"/>
              <w:rPr>
                <w:rFonts w:hint="eastAsia" w:ascii="宋体" w:hAnsi="宋体" w:cs="宋体"/>
                <w:kern w:val="0"/>
                <w:sz w:val="20"/>
                <w:szCs w:val="20"/>
                <w:lang w:bidi="ar"/>
              </w:rPr>
            </w:pPr>
          </w:p>
        </w:tc>
        <w:tc>
          <w:tcPr>
            <w:tcW w:w="1550" w:type="pct"/>
            <w:vAlign w:val="center"/>
          </w:tcPr>
          <w:p>
            <w:pPr>
              <w:widowControl/>
              <w:jc w:val="left"/>
              <w:textAlignment w:val="center"/>
              <w:rPr>
                <w:rFonts w:hint="eastAsia" w:ascii="宋体" w:hAnsi="宋体" w:cs="宋体"/>
                <w:kern w:val="0"/>
                <w:sz w:val="20"/>
                <w:szCs w:val="20"/>
                <w:lang w:bidi="ar"/>
              </w:rPr>
            </w:pPr>
            <w:r>
              <w:rPr>
                <w:rFonts w:hint="eastAsia" w:ascii="宋体" w:hAnsi="宋体" w:cs="宋体"/>
                <w:kern w:val="0"/>
                <w:sz w:val="20"/>
                <w:szCs w:val="20"/>
                <w:lang w:bidi="ar"/>
              </w:rPr>
              <w:t>消防水带接头</w:t>
            </w:r>
          </w:p>
        </w:tc>
        <w:tc>
          <w:tcPr>
            <w:tcW w:w="1744" w:type="pct"/>
            <w:vAlign w:val="center"/>
          </w:tcPr>
          <w:p>
            <w:pPr>
              <w:widowControl/>
              <w:jc w:val="center"/>
              <w:textAlignment w:val="center"/>
              <w:rPr>
                <w:rFonts w:hint="eastAsia" w:ascii="宋体" w:hAnsi="宋体" w:cs="宋体"/>
                <w:kern w:val="0"/>
                <w:sz w:val="20"/>
                <w:szCs w:val="20"/>
                <w:lang w:bidi="ar"/>
              </w:rPr>
            </w:pPr>
            <w:r>
              <w:rPr>
                <w:rFonts w:hint="eastAsia" w:ascii="宋体" w:hAnsi="宋体" w:cs="宋体"/>
                <w:kern w:val="0"/>
                <w:sz w:val="20"/>
                <w:szCs w:val="20"/>
                <w:lang w:bidi="ar"/>
              </w:rPr>
              <w:t>——</w:t>
            </w:r>
          </w:p>
        </w:tc>
        <w:tc>
          <w:tcPr>
            <w:tcW w:w="418" w:type="pct"/>
            <w:vAlign w:val="center"/>
          </w:tcPr>
          <w:p>
            <w:pPr>
              <w:jc w:val="center"/>
              <w:rPr>
                <w:rFonts w:hint="eastAsia" w:ascii="宋体" w:hAnsi="宋体" w:cs="宋体"/>
                <w:sz w:val="20"/>
                <w:szCs w:val="20"/>
              </w:rPr>
            </w:pPr>
            <w:r>
              <w:rPr>
                <w:rFonts w:hint="eastAsia" w:ascii="宋体" w:hAnsi="宋体" w:cs="宋体"/>
                <w:sz w:val="20"/>
                <w:szCs w:val="20"/>
              </w:rPr>
              <w:t>个</w:t>
            </w:r>
          </w:p>
        </w:tc>
        <w:tc>
          <w:tcPr>
            <w:tcW w:w="768" w:type="pct"/>
            <w:vAlign w:val="center"/>
          </w:tcPr>
          <w:p>
            <w:pPr>
              <w:jc w:val="center"/>
              <w:rPr>
                <w:rFonts w:hint="eastAsia" w:ascii="宋体" w:hAnsi="宋体" w:cs="宋体"/>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 w:hRule="atLeast"/>
        </w:trPr>
        <w:tc>
          <w:tcPr>
            <w:tcW w:w="517" w:type="pct"/>
            <w:vAlign w:val="center"/>
          </w:tcPr>
          <w:p>
            <w:pPr>
              <w:numPr>
                <w:ilvl w:val="0"/>
                <w:numId w:val="1"/>
              </w:numPr>
              <w:jc w:val="center"/>
              <w:rPr>
                <w:rFonts w:hint="eastAsia" w:ascii="宋体" w:hAnsi="宋体" w:cs="宋体"/>
                <w:kern w:val="0"/>
                <w:sz w:val="20"/>
                <w:szCs w:val="20"/>
                <w:lang w:bidi="ar"/>
              </w:rPr>
            </w:pPr>
          </w:p>
        </w:tc>
        <w:tc>
          <w:tcPr>
            <w:tcW w:w="1550" w:type="pct"/>
            <w:vAlign w:val="center"/>
          </w:tcPr>
          <w:p>
            <w:pPr>
              <w:widowControl/>
              <w:jc w:val="left"/>
              <w:textAlignment w:val="center"/>
              <w:rPr>
                <w:rFonts w:hint="eastAsia" w:ascii="宋体" w:hAnsi="宋体" w:cs="宋体"/>
                <w:kern w:val="0"/>
                <w:sz w:val="20"/>
                <w:szCs w:val="20"/>
                <w:lang w:bidi="ar"/>
              </w:rPr>
            </w:pPr>
            <w:r>
              <w:rPr>
                <w:rFonts w:hint="eastAsia" w:ascii="宋体" w:hAnsi="宋体" w:cs="宋体"/>
                <w:kern w:val="0"/>
                <w:sz w:val="20"/>
                <w:szCs w:val="20"/>
                <w:lang w:bidi="ar"/>
              </w:rPr>
              <w:t>联动控制器显示面板</w:t>
            </w:r>
          </w:p>
        </w:tc>
        <w:tc>
          <w:tcPr>
            <w:tcW w:w="1744" w:type="pct"/>
            <w:vAlign w:val="center"/>
          </w:tcPr>
          <w:p>
            <w:pPr>
              <w:widowControl/>
              <w:jc w:val="center"/>
              <w:textAlignment w:val="center"/>
              <w:rPr>
                <w:rFonts w:hint="eastAsia" w:ascii="宋体" w:hAnsi="宋体" w:cs="宋体"/>
                <w:kern w:val="0"/>
                <w:sz w:val="20"/>
                <w:szCs w:val="20"/>
                <w:lang w:bidi="ar"/>
              </w:rPr>
            </w:pPr>
            <w:r>
              <w:rPr>
                <w:rFonts w:hint="eastAsia" w:ascii="宋体" w:hAnsi="宋体" w:cs="宋体"/>
                <w:kern w:val="0"/>
                <w:sz w:val="20"/>
                <w:szCs w:val="20"/>
                <w:lang w:bidi="ar"/>
              </w:rPr>
              <w:t>——</w:t>
            </w:r>
          </w:p>
        </w:tc>
        <w:tc>
          <w:tcPr>
            <w:tcW w:w="418" w:type="pct"/>
            <w:vAlign w:val="center"/>
          </w:tcPr>
          <w:p>
            <w:pPr>
              <w:jc w:val="center"/>
              <w:rPr>
                <w:rFonts w:hint="eastAsia" w:ascii="宋体" w:hAnsi="宋体" w:cs="宋体"/>
                <w:sz w:val="20"/>
                <w:szCs w:val="20"/>
              </w:rPr>
            </w:pPr>
            <w:r>
              <w:rPr>
                <w:rFonts w:hint="eastAsia" w:ascii="宋体" w:hAnsi="宋体" w:cs="宋体"/>
                <w:sz w:val="20"/>
                <w:szCs w:val="20"/>
              </w:rPr>
              <w:t>块</w:t>
            </w:r>
          </w:p>
        </w:tc>
        <w:tc>
          <w:tcPr>
            <w:tcW w:w="768" w:type="pct"/>
            <w:vAlign w:val="center"/>
          </w:tcPr>
          <w:p>
            <w:pPr>
              <w:jc w:val="center"/>
              <w:rPr>
                <w:rFonts w:hint="eastAsia" w:ascii="宋体" w:hAnsi="宋体" w:cs="宋体"/>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 w:hRule="atLeast"/>
        </w:trPr>
        <w:tc>
          <w:tcPr>
            <w:tcW w:w="517" w:type="pct"/>
            <w:vAlign w:val="center"/>
          </w:tcPr>
          <w:p>
            <w:pPr>
              <w:numPr>
                <w:ilvl w:val="0"/>
                <w:numId w:val="1"/>
              </w:numPr>
              <w:jc w:val="center"/>
              <w:rPr>
                <w:rFonts w:hint="eastAsia" w:ascii="宋体" w:hAnsi="宋体" w:cs="宋体"/>
                <w:kern w:val="0"/>
                <w:sz w:val="20"/>
                <w:szCs w:val="20"/>
                <w:lang w:bidi="ar"/>
              </w:rPr>
            </w:pPr>
          </w:p>
        </w:tc>
        <w:tc>
          <w:tcPr>
            <w:tcW w:w="1550" w:type="pct"/>
            <w:vAlign w:val="center"/>
          </w:tcPr>
          <w:p>
            <w:pPr>
              <w:widowControl/>
              <w:jc w:val="left"/>
              <w:textAlignment w:val="center"/>
              <w:rPr>
                <w:rFonts w:hint="eastAsia" w:ascii="宋体" w:hAnsi="宋体" w:cs="宋体"/>
                <w:kern w:val="0"/>
                <w:sz w:val="20"/>
                <w:szCs w:val="20"/>
                <w:lang w:bidi="ar"/>
              </w:rPr>
            </w:pPr>
            <w:r>
              <w:rPr>
                <w:rFonts w:hint="eastAsia" w:ascii="宋体" w:hAnsi="宋体" w:cs="宋体"/>
                <w:kern w:val="0"/>
                <w:sz w:val="20"/>
                <w:szCs w:val="20"/>
                <w:lang w:bidi="ar"/>
              </w:rPr>
              <w:t>联动控制器回路板</w:t>
            </w:r>
          </w:p>
        </w:tc>
        <w:tc>
          <w:tcPr>
            <w:tcW w:w="1744" w:type="pct"/>
            <w:vAlign w:val="center"/>
          </w:tcPr>
          <w:p>
            <w:pPr>
              <w:widowControl/>
              <w:jc w:val="center"/>
              <w:textAlignment w:val="center"/>
              <w:rPr>
                <w:rFonts w:hint="eastAsia" w:ascii="宋体" w:hAnsi="宋体" w:cs="宋体"/>
                <w:kern w:val="0"/>
                <w:sz w:val="20"/>
                <w:szCs w:val="20"/>
                <w:lang w:bidi="ar"/>
              </w:rPr>
            </w:pPr>
            <w:r>
              <w:rPr>
                <w:rFonts w:hint="eastAsia" w:ascii="宋体" w:hAnsi="宋体" w:cs="宋体"/>
                <w:kern w:val="0"/>
                <w:sz w:val="20"/>
                <w:szCs w:val="20"/>
                <w:lang w:bidi="ar"/>
              </w:rPr>
              <w:t>——</w:t>
            </w:r>
          </w:p>
        </w:tc>
        <w:tc>
          <w:tcPr>
            <w:tcW w:w="418" w:type="pct"/>
            <w:vAlign w:val="center"/>
          </w:tcPr>
          <w:p>
            <w:pPr>
              <w:jc w:val="center"/>
              <w:rPr>
                <w:rFonts w:hint="eastAsia" w:ascii="宋体" w:hAnsi="宋体" w:cs="宋体"/>
                <w:sz w:val="20"/>
                <w:szCs w:val="20"/>
              </w:rPr>
            </w:pPr>
            <w:r>
              <w:rPr>
                <w:rFonts w:hint="eastAsia" w:ascii="宋体" w:hAnsi="宋体" w:cs="宋体"/>
                <w:sz w:val="20"/>
                <w:szCs w:val="20"/>
              </w:rPr>
              <w:t>块</w:t>
            </w:r>
          </w:p>
        </w:tc>
        <w:tc>
          <w:tcPr>
            <w:tcW w:w="768" w:type="pct"/>
            <w:vAlign w:val="center"/>
          </w:tcPr>
          <w:p>
            <w:pPr>
              <w:jc w:val="center"/>
              <w:rPr>
                <w:rFonts w:hint="eastAsia" w:ascii="宋体" w:hAnsi="宋体" w:cs="宋体"/>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 w:hRule="atLeast"/>
        </w:trPr>
        <w:tc>
          <w:tcPr>
            <w:tcW w:w="517" w:type="pct"/>
            <w:vAlign w:val="center"/>
          </w:tcPr>
          <w:p>
            <w:pPr>
              <w:numPr>
                <w:ilvl w:val="0"/>
                <w:numId w:val="1"/>
              </w:numPr>
              <w:jc w:val="center"/>
              <w:rPr>
                <w:rFonts w:hint="eastAsia" w:ascii="宋体" w:hAnsi="宋体" w:cs="宋体"/>
                <w:kern w:val="0"/>
                <w:sz w:val="20"/>
                <w:szCs w:val="20"/>
                <w:lang w:bidi="ar"/>
              </w:rPr>
            </w:pPr>
          </w:p>
        </w:tc>
        <w:tc>
          <w:tcPr>
            <w:tcW w:w="1550" w:type="pct"/>
            <w:vAlign w:val="center"/>
          </w:tcPr>
          <w:p>
            <w:pPr>
              <w:widowControl/>
              <w:jc w:val="left"/>
              <w:textAlignment w:val="center"/>
              <w:rPr>
                <w:rFonts w:hint="eastAsia" w:ascii="宋体" w:hAnsi="宋体" w:cs="宋体"/>
                <w:kern w:val="0"/>
                <w:sz w:val="20"/>
                <w:szCs w:val="20"/>
                <w:lang w:bidi="ar"/>
              </w:rPr>
            </w:pPr>
            <w:r>
              <w:rPr>
                <w:rFonts w:hint="eastAsia" w:ascii="宋体" w:hAnsi="宋体" w:cs="宋体"/>
                <w:kern w:val="0"/>
                <w:sz w:val="20"/>
                <w:szCs w:val="20"/>
                <w:lang w:bidi="ar"/>
              </w:rPr>
              <w:t>联动控制器电源</w:t>
            </w:r>
          </w:p>
        </w:tc>
        <w:tc>
          <w:tcPr>
            <w:tcW w:w="1744" w:type="pct"/>
            <w:vAlign w:val="center"/>
          </w:tcPr>
          <w:p>
            <w:pPr>
              <w:widowControl/>
              <w:jc w:val="center"/>
              <w:textAlignment w:val="center"/>
              <w:rPr>
                <w:rFonts w:hint="eastAsia" w:ascii="宋体" w:hAnsi="宋体" w:cs="宋体"/>
                <w:kern w:val="0"/>
                <w:sz w:val="20"/>
                <w:szCs w:val="20"/>
                <w:lang w:bidi="ar"/>
              </w:rPr>
            </w:pPr>
            <w:r>
              <w:rPr>
                <w:rFonts w:hint="eastAsia" w:ascii="宋体" w:hAnsi="宋体" w:cs="宋体"/>
                <w:kern w:val="0"/>
                <w:sz w:val="20"/>
                <w:szCs w:val="20"/>
                <w:lang w:bidi="ar"/>
              </w:rPr>
              <w:t>——</w:t>
            </w:r>
          </w:p>
        </w:tc>
        <w:tc>
          <w:tcPr>
            <w:tcW w:w="418" w:type="pct"/>
            <w:vAlign w:val="center"/>
          </w:tcPr>
          <w:p>
            <w:pPr>
              <w:jc w:val="center"/>
              <w:rPr>
                <w:rFonts w:hint="eastAsia" w:ascii="宋体" w:hAnsi="宋体" w:cs="宋体"/>
                <w:sz w:val="20"/>
                <w:szCs w:val="20"/>
              </w:rPr>
            </w:pPr>
            <w:r>
              <w:rPr>
                <w:rFonts w:hint="eastAsia" w:ascii="宋体" w:hAnsi="宋体" w:cs="宋体"/>
                <w:sz w:val="20"/>
                <w:szCs w:val="20"/>
              </w:rPr>
              <w:t>个</w:t>
            </w:r>
          </w:p>
        </w:tc>
        <w:tc>
          <w:tcPr>
            <w:tcW w:w="768" w:type="pct"/>
            <w:vAlign w:val="center"/>
          </w:tcPr>
          <w:p>
            <w:pPr>
              <w:jc w:val="center"/>
              <w:rPr>
                <w:rFonts w:hint="eastAsia" w:ascii="宋体" w:hAnsi="宋体" w:cs="宋体"/>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 w:hRule="atLeast"/>
        </w:trPr>
        <w:tc>
          <w:tcPr>
            <w:tcW w:w="517" w:type="pct"/>
            <w:vAlign w:val="center"/>
          </w:tcPr>
          <w:p>
            <w:pPr>
              <w:numPr>
                <w:ilvl w:val="0"/>
                <w:numId w:val="1"/>
              </w:numPr>
              <w:jc w:val="center"/>
              <w:rPr>
                <w:rFonts w:hint="eastAsia" w:ascii="宋体" w:hAnsi="宋体" w:cs="宋体"/>
                <w:kern w:val="0"/>
                <w:sz w:val="20"/>
                <w:szCs w:val="20"/>
                <w:lang w:bidi="ar"/>
              </w:rPr>
            </w:pPr>
          </w:p>
        </w:tc>
        <w:tc>
          <w:tcPr>
            <w:tcW w:w="1550" w:type="pct"/>
            <w:vAlign w:val="center"/>
          </w:tcPr>
          <w:p>
            <w:pPr>
              <w:widowControl/>
              <w:jc w:val="left"/>
              <w:textAlignment w:val="center"/>
              <w:rPr>
                <w:rFonts w:hint="eastAsia" w:ascii="宋体" w:hAnsi="宋体" w:cs="宋体"/>
                <w:kern w:val="0"/>
                <w:sz w:val="20"/>
                <w:szCs w:val="20"/>
                <w:lang w:bidi="ar"/>
              </w:rPr>
            </w:pPr>
            <w:r>
              <w:rPr>
                <w:rFonts w:hint="eastAsia" w:ascii="宋体" w:hAnsi="宋体" w:cs="宋体"/>
                <w:kern w:val="0"/>
                <w:sz w:val="20"/>
                <w:szCs w:val="20"/>
                <w:lang w:bidi="ar"/>
              </w:rPr>
              <w:t>联动控制器消防电话系统</w:t>
            </w:r>
          </w:p>
        </w:tc>
        <w:tc>
          <w:tcPr>
            <w:tcW w:w="1744" w:type="pct"/>
            <w:vAlign w:val="center"/>
          </w:tcPr>
          <w:p>
            <w:pPr>
              <w:widowControl/>
              <w:jc w:val="center"/>
              <w:textAlignment w:val="center"/>
              <w:rPr>
                <w:rFonts w:hint="eastAsia" w:ascii="宋体" w:hAnsi="宋体" w:cs="宋体"/>
                <w:kern w:val="0"/>
                <w:sz w:val="20"/>
                <w:szCs w:val="20"/>
                <w:lang w:bidi="ar"/>
              </w:rPr>
            </w:pPr>
            <w:r>
              <w:rPr>
                <w:rFonts w:hint="eastAsia" w:ascii="宋体" w:hAnsi="宋体" w:cs="宋体"/>
                <w:kern w:val="0"/>
                <w:sz w:val="20"/>
                <w:szCs w:val="20"/>
                <w:lang w:bidi="ar"/>
              </w:rPr>
              <w:t>——</w:t>
            </w:r>
          </w:p>
        </w:tc>
        <w:tc>
          <w:tcPr>
            <w:tcW w:w="418" w:type="pct"/>
            <w:vAlign w:val="center"/>
          </w:tcPr>
          <w:p>
            <w:pPr>
              <w:jc w:val="center"/>
              <w:rPr>
                <w:rFonts w:hint="eastAsia" w:ascii="宋体" w:hAnsi="宋体" w:cs="宋体"/>
                <w:sz w:val="20"/>
                <w:szCs w:val="20"/>
              </w:rPr>
            </w:pPr>
            <w:r>
              <w:rPr>
                <w:rFonts w:hint="eastAsia" w:ascii="宋体" w:hAnsi="宋体" w:cs="宋体"/>
                <w:sz w:val="20"/>
                <w:szCs w:val="20"/>
              </w:rPr>
              <w:t>套</w:t>
            </w:r>
          </w:p>
        </w:tc>
        <w:tc>
          <w:tcPr>
            <w:tcW w:w="768" w:type="pct"/>
            <w:vAlign w:val="center"/>
          </w:tcPr>
          <w:p>
            <w:pPr>
              <w:jc w:val="center"/>
              <w:rPr>
                <w:rFonts w:hint="eastAsia" w:ascii="宋体" w:hAnsi="宋体" w:cs="宋体"/>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 w:hRule="atLeast"/>
        </w:trPr>
        <w:tc>
          <w:tcPr>
            <w:tcW w:w="517" w:type="pct"/>
            <w:vAlign w:val="center"/>
          </w:tcPr>
          <w:p>
            <w:pPr>
              <w:numPr>
                <w:ilvl w:val="0"/>
                <w:numId w:val="1"/>
              </w:numPr>
              <w:jc w:val="center"/>
              <w:rPr>
                <w:rFonts w:hint="eastAsia" w:ascii="宋体" w:hAnsi="宋体" w:cs="宋体"/>
                <w:kern w:val="0"/>
                <w:sz w:val="20"/>
                <w:szCs w:val="20"/>
                <w:lang w:bidi="ar"/>
              </w:rPr>
            </w:pPr>
          </w:p>
        </w:tc>
        <w:tc>
          <w:tcPr>
            <w:tcW w:w="1550" w:type="pct"/>
            <w:vAlign w:val="center"/>
          </w:tcPr>
          <w:p>
            <w:pPr>
              <w:widowControl/>
              <w:jc w:val="left"/>
              <w:textAlignment w:val="center"/>
              <w:rPr>
                <w:rFonts w:hint="eastAsia" w:ascii="宋体" w:hAnsi="宋体" w:cs="宋体"/>
                <w:kern w:val="0"/>
                <w:sz w:val="20"/>
                <w:szCs w:val="20"/>
                <w:lang w:bidi="ar"/>
              </w:rPr>
            </w:pPr>
            <w:r>
              <w:rPr>
                <w:rFonts w:hint="eastAsia" w:ascii="宋体" w:hAnsi="宋体" w:cs="宋体"/>
                <w:kern w:val="0"/>
                <w:sz w:val="20"/>
                <w:szCs w:val="20"/>
                <w:lang w:bidi="ar"/>
              </w:rPr>
              <w:t>联动控制器应急广播系统</w:t>
            </w:r>
          </w:p>
        </w:tc>
        <w:tc>
          <w:tcPr>
            <w:tcW w:w="1744" w:type="pct"/>
            <w:vAlign w:val="center"/>
          </w:tcPr>
          <w:p>
            <w:pPr>
              <w:widowControl/>
              <w:jc w:val="center"/>
              <w:textAlignment w:val="center"/>
              <w:rPr>
                <w:rFonts w:hint="eastAsia" w:ascii="宋体" w:hAnsi="宋体" w:cs="宋体"/>
                <w:kern w:val="0"/>
                <w:sz w:val="20"/>
                <w:szCs w:val="20"/>
                <w:lang w:bidi="ar"/>
              </w:rPr>
            </w:pPr>
            <w:r>
              <w:rPr>
                <w:rFonts w:hint="eastAsia" w:ascii="宋体" w:hAnsi="宋体" w:cs="宋体"/>
                <w:kern w:val="0"/>
                <w:sz w:val="20"/>
                <w:szCs w:val="20"/>
                <w:lang w:bidi="ar"/>
              </w:rPr>
              <w:t>——</w:t>
            </w:r>
          </w:p>
        </w:tc>
        <w:tc>
          <w:tcPr>
            <w:tcW w:w="418" w:type="pct"/>
            <w:vAlign w:val="center"/>
          </w:tcPr>
          <w:p>
            <w:pPr>
              <w:jc w:val="center"/>
              <w:rPr>
                <w:rFonts w:hint="eastAsia" w:ascii="宋体" w:hAnsi="宋体" w:cs="宋体"/>
                <w:sz w:val="20"/>
                <w:szCs w:val="20"/>
              </w:rPr>
            </w:pPr>
            <w:r>
              <w:rPr>
                <w:rFonts w:hint="eastAsia" w:ascii="宋体" w:hAnsi="宋体" w:cs="宋体"/>
                <w:sz w:val="20"/>
                <w:szCs w:val="20"/>
              </w:rPr>
              <w:t>套</w:t>
            </w:r>
          </w:p>
        </w:tc>
        <w:tc>
          <w:tcPr>
            <w:tcW w:w="768" w:type="pct"/>
            <w:vAlign w:val="center"/>
          </w:tcPr>
          <w:p>
            <w:pPr>
              <w:jc w:val="center"/>
              <w:rPr>
                <w:rFonts w:hint="eastAsia" w:ascii="宋体" w:hAnsi="宋体" w:cs="宋体"/>
                <w:sz w:val="20"/>
                <w:szCs w:val="2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 w:hRule="atLeast"/>
        </w:trPr>
        <w:tc>
          <w:tcPr>
            <w:tcW w:w="517" w:type="pct"/>
            <w:vAlign w:val="center"/>
          </w:tcPr>
          <w:p>
            <w:pPr>
              <w:numPr>
                <w:ilvl w:val="0"/>
                <w:numId w:val="1"/>
              </w:numPr>
              <w:jc w:val="center"/>
              <w:rPr>
                <w:rFonts w:hint="eastAsia" w:ascii="宋体" w:hAnsi="宋体" w:cs="宋体"/>
                <w:kern w:val="0"/>
                <w:sz w:val="20"/>
                <w:szCs w:val="20"/>
                <w:lang w:bidi="ar"/>
              </w:rPr>
            </w:pPr>
          </w:p>
        </w:tc>
        <w:tc>
          <w:tcPr>
            <w:tcW w:w="1550" w:type="pct"/>
            <w:vAlign w:val="center"/>
          </w:tcPr>
          <w:p>
            <w:pPr>
              <w:widowControl/>
              <w:jc w:val="left"/>
              <w:textAlignment w:val="center"/>
              <w:rPr>
                <w:rFonts w:hint="eastAsia" w:ascii="宋体" w:hAnsi="宋体" w:cs="宋体"/>
                <w:kern w:val="0"/>
                <w:sz w:val="20"/>
                <w:szCs w:val="20"/>
                <w:lang w:bidi="ar"/>
              </w:rPr>
            </w:pPr>
            <w:r>
              <w:rPr>
                <w:rFonts w:hint="eastAsia" w:ascii="宋体" w:hAnsi="宋体" w:cs="宋体"/>
                <w:kern w:val="0"/>
                <w:sz w:val="20"/>
                <w:szCs w:val="20"/>
                <w:lang w:bidi="ar"/>
              </w:rPr>
              <w:t>联动控制器数据处理机</w:t>
            </w:r>
          </w:p>
        </w:tc>
        <w:tc>
          <w:tcPr>
            <w:tcW w:w="1744" w:type="pct"/>
            <w:vAlign w:val="center"/>
          </w:tcPr>
          <w:p>
            <w:pPr>
              <w:widowControl/>
              <w:jc w:val="center"/>
              <w:textAlignment w:val="center"/>
              <w:rPr>
                <w:rFonts w:hint="eastAsia" w:ascii="宋体" w:hAnsi="宋体" w:cs="宋体"/>
                <w:kern w:val="0"/>
                <w:sz w:val="20"/>
                <w:szCs w:val="20"/>
                <w:lang w:bidi="ar"/>
              </w:rPr>
            </w:pPr>
            <w:r>
              <w:rPr>
                <w:rFonts w:hint="eastAsia" w:ascii="宋体" w:hAnsi="宋体" w:cs="宋体"/>
                <w:kern w:val="0"/>
                <w:sz w:val="20"/>
                <w:szCs w:val="20"/>
                <w:lang w:bidi="ar"/>
              </w:rPr>
              <w:t>JK-TX-GST040/016</w:t>
            </w:r>
          </w:p>
        </w:tc>
        <w:tc>
          <w:tcPr>
            <w:tcW w:w="418" w:type="pct"/>
            <w:vAlign w:val="center"/>
          </w:tcPr>
          <w:p>
            <w:pPr>
              <w:jc w:val="center"/>
              <w:rPr>
                <w:rFonts w:hint="eastAsia" w:ascii="宋体" w:hAnsi="宋体" w:cs="宋体"/>
                <w:sz w:val="20"/>
                <w:szCs w:val="20"/>
              </w:rPr>
            </w:pPr>
            <w:r>
              <w:rPr>
                <w:rFonts w:hint="eastAsia" w:ascii="宋体" w:hAnsi="宋体" w:cs="宋体"/>
                <w:sz w:val="20"/>
                <w:szCs w:val="20"/>
              </w:rPr>
              <w:t>套</w:t>
            </w:r>
          </w:p>
        </w:tc>
        <w:tc>
          <w:tcPr>
            <w:tcW w:w="768" w:type="pct"/>
            <w:vAlign w:val="center"/>
          </w:tcPr>
          <w:p>
            <w:pPr>
              <w:jc w:val="center"/>
              <w:rPr>
                <w:rFonts w:hint="eastAsia" w:ascii="宋体" w:hAnsi="宋体" w:cs="宋体"/>
                <w:sz w:val="20"/>
                <w:szCs w:val="20"/>
              </w:rPr>
            </w:pPr>
          </w:p>
        </w:tc>
      </w:tr>
    </w:tbl>
    <w:p>
      <w:pPr>
        <w:pStyle w:val="16"/>
      </w:pPr>
    </w:p>
    <w:sectPr>
      <w:footerReference r:id="rId5"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方正小标宋_GBK">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txbxContent>
                    </wps:txbx>
                    <wps:bodyPr vert="horz" wrap="none" lIns="0" tIns="0" rIns="0" bIns="0" anchor="t" anchorCtr="0">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DOqXm5zwAAAAUBAAAPAAAAAAAAAAEAIAAAACIAAABk&#10;cnMvZG93bnJldi54bWxQSwECFAAUAAAACACHTuJA719g2NYBAACyAwAADgAAAAAAAAABACAAAAAe&#10;AQAAZHJzL2Uyb0RvYy54bWxQSwUGAAAAAAYABgBZAQAAZgUAAAAA&#10;">
              <v:fill on="f" focussize="0,0"/>
              <v:stroke on="f"/>
              <v:imagedata o:title=""/>
              <o:lock v:ext="edit" aspectratio="f"/>
              <v:textbox inset="0mm,0mm,0mm,0mm" style="mso-fit-shape-to-text:t;">
                <w:txbxContent>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3DE794C"/>
    <w:multiLevelType w:val="multilevel"/>
    <w:tmpl w:val="D3DE794C"/>
    <w:lvl w:ilvl="0" w:tentative="0">
      <w:start w:val="1"/>
      <w:numFmt w:val="decimal"/>
      <w:lvlText w:val="%1."/>
      <w:lvlJc w:val="left"/>
      <w:pPr>
        <w:tabs>
          <w:tab w:val="left" w:pos="420"/>
        </w:tabs>
        <w:ind w:left="420" w:hanging="420"/>
      </w:pPr>
      <w:rPr>
        <w:rFonts w:hint="default"/>
        <w:sz w:val="20"/>
        <w:szCs w:val="20"/>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1548"/>
    <w:rsid w:val="00617847"/>
    <w:rsid w:val="00736454"/>
    <w:rsid w:val="008318E5"/>
    <w:rsid w:val="00945C90"/>
    <w:rsid w:val="00C25E15"/>
    <w:rsid w:val="00C735FA"/>
    <w:rsid w:val="00CD1A01"/>
    <w:rsid w:val="00D632E0"/>
    <w:rsid w:val="00EC6875"/>
    <w:rsid w:val="00FF1548"/>
    <w:rsid w:val="0AA54FE3"/>
    <w:rsid w:val="11824C5E"/>
    <w:rsid w:val="171D09C5"/>
    <w:rsid w:val="176A79A2"/>
    <w:rsid w:val="21AE03CF"/>
    <w:rsid w:val="229E7AF4"/>
    <w:rsid w:val="26BF2FDF"/>
    <w:rsid w:val="2C0B66D0"/>
    <w:rsid w:val="2C42462B"/>
    <w:rsid w:val="2CE65164"/>
    <w:rsid w:val="32A81B04"/>
    <w:rsid w:val="36405F1E"/>
    <w:rsid w:val="37570300"/>
    <w:rsid w:val="3E1F3E00"/>
    <w:rsid w:val="43C53F65"/>
    <w:rsid w:val="446118F6"/>
    <w:rsid w:val="4685178A"/>
    <w:rsid w:val="4A6E0895"/>
    <w:rsid w:val="4CC95E8A"/>
    <w:rsid w:val="519B66F3"/>
    <w:rsid w:val="527E0EE4"/>
    <w:rsid w:val="5677786A"/>
    <w:rsid w:val="571B20EB"/>
    <w:rsid w:val="59451AAD"/>
    <w:rsid w:val="5A33137E"/>
    <w:rsid w:val="5D79181B"/>
    <w:rsid w:val="5EF243B4"/>
    <w:rsid w:val="61EF7540"/>
    <w:rsid w:val="681E22E0"/>
    <w:rsid w:val="69F67967"/>
    <w:rsid w:val="6D1D2712"/>
    <w:rsid w:val="72B92643"/>
    <w:rsid w:val="73B662BA"/>
    <w:rsid w:val="766360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3">
    <w:name w:val="Default Paragraph Font"/>
    <w:semiHidden/>
    <w:unhideWhenUsed/>
    <w:qFormat/>
    <w:uiPriority w:val="1"/>
  </w:style>
  <w:style w:type="table" w:default="1" w:styleId="11">
    <w:name w:val="Normal Table"/>
    <w:semiHidden/>
    <w:unhideWhenUsed/>
    <w:uiPriority w:val="99"/>
    <w:tblPr>
      <w:tblCellMar>
        <w:top w:w="0" w:type="dxa"/>
        <w:left w:w="108" w:type="dxa"/>
        <w:bottom w:w="0" w:type="dxa"/>
        <w:right w:w="108" w:type="dxa"/>
      </w:tblCellMar>
    </w:tblPr>
  </w:style>
  <w:style w:type="paragraph" w:styleId="2">
    <w:name w:val="Body Text"/>
    <w:basedOn w:val="1"/>
    <w:next w:val="3"/>
    <w:qFormat/>
    <w:uiPriority w:val="0"/>
    <w:rPr>
      <w:sz w:val="26"/>
      <w:szCs w:val="20"/>
    </w:rPr>
  </w:style>
  <w:style w:type="paragraph" w:styleId="3">
    <w:name w:val="Title"/>
    <w:basedOn w:val="1"/>
    <w:next w:val="1"/>
    <w:qFormat/>
    <w:uiPriority w:val="0"/>
    <w:pPr>
      <w:spacing w:before="240" w:after="60"/>
      <w:jc w:val="center"/>
      <w:outlineLvl w:val="0"/>
    </w:pPr>
    <w:rPr>
      <w:rFonts w:ascii="Cambria" w:hAnsi="Cambria"/>
      <w:b/>
      <w:bCs/>
      <w:sz w:val="32"/>
      <w:szCs w:val="32"/>
    </w:rPr>
  </w:style>
  <w:style w:type="paragraph" w:styleId="4">
    <w:name w:val="annotation text"/>
    <w:basedOn w:val="1"/>
    <w:qFormat/>
    <w:uiPriority w:val="0"/>
    <w:pPr>
      <w:jc w:val="left"/>
    </w:pPr>
  </w:style>
  <w:style w:type="paragraph" w:styleId="5">
    <w:name w:val="Body Text Indent"/>
    <w:basedOn w:val="1"/>
    <w:qFormat/>
    <w:uiPriority w:val="0"/>
    <w:pPr>
      <w:ind w:left="1440" w:hanging="720"/>
    </w:pPr>
    <w:rPr>
      <w:szCs w:val="20"/>
    </w:rPr>
  </w:style>
  <w:style w:type="paragraph" w:styleId="6">
    <w:name w:val="footer"/>
    <w:basedOn w:val="1"/>
    <w:qFormat/>
    <w:uiPriority w:val="0"/>
    <w:pPr>
      <w:tabs>
        <w:tab w:val="center" w:pos="4153"/>
        <w:tab w:val="right" w:pos="8306"/>
      </w:tabs>
      <w:snapToGrid w:val="0"/>
      <w:jc w:val="left"/>
    </w:pPr>
    <w:rPr>
      <w:sz w:val="18"/>
      <w:szCs w:val="18"/>
    </w:rPr>
  </w:style>
  <w:style w:type="paragraph" w:styleId="7">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8">
    <w:name w:val="toc 1"/>
    <w:basedOn w:val="1"/>
    <w:next w:val="1"/>
    <w:qFormat/>
    <w:uiPriority w:val="0"/>
  </w:style>
  <w:style w:type="paragraph" w:styleId="9">
    <w:name w:val="Body Text First Indent"/>
    <w:basedOn w:val="2"/>
    <w:qFormat/>
    <w:uiPriority w:val="0"/>
    <w:pPr>
      <w:ind w:firstLine="420" w:firstLineChars="100"/>
    </w:pPr>
  </w:style>
  <w:style w:type="paragraph" w:styleId="10">
    <w:name w:val="Body Text First Indent 2"/>
    <w:basedOn w:val="5"/>
    <w:next w:val="9"/>
    <w:qFormat/>
    <w:uiPriority w:val="0"/>
    <w:pPr>
      <w:spacing w:after="120"/>
      <w:ind w:left="420" w:leftChars="200" w:firstLine="420" w:firstLineChars="200"/>
    </w:pPr>
    <w:rPr>
      <w:szCs w:val="24"/>
    </w:rPr>
  </w:style>
  <w:style w:type="table" w:styleId="12">
    <w:name w:val="Table Grid"/>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4">
    <w:name w:val="page number"/>
    <w:basedOn w:val="13"/>
    <w:qFormat/>
    <w:uiPriority w:val="0"/>
  </w:style>
  <w:style w:type="paragraph" w:customStyle="1" w:styleId="15">
    <w:name w:val="列出段落1"/>
    <w:qFormat/>
    <w:uiPriority w:val="34"/>
    <w:pPr>
      <w:widowControl w:val="0"/>
      <w:ind w:firstLine="420" w:firstLineChars="200"/>
      <w:jc w:val="both"/>
    </w:pPr>
    <w:rPr>
      <w:rFonts w:ascii="Times New Roman" w:hAnsi="Times New Roman" w:eastAsia="宋体" w:cs="Times New Roman"/>
      <w:kern w:val="2"/>
      <w:sz w:val="28"/>
      <w:szCs w:val="24"/>
      <w:lang w:val="en-US" w:eastAsia="zh-CN" w:bidi="ar-SA"/>
    </w:rPr>
  </w:style>
  <w:style w:type="paragraph" w:customStyle="1" w:styleId="16">
    <w:name w:val="_Style 3"/>
    <w:qFormat/>
    <w:uiPriority w:val="0"/>
    <w:pPr>
      <w:widowControl w:val="0"/>
      <w:jc w:val="both"/>
    </w:pPr>
    <w:rPr>
      <w:rFonts w:ascii="Times New Roman" w:hAnsi="Times New Roman" w:eastAsia="宋体" w:cs="Times New Roman"/>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35</Pages>
  <Words>9604</Words>
  <Characters>10373</Characters>
  <Lines>1296</Lines>
  <Paragraphs>1426</Paragraphs>
  <TotalTime>30</TotalTime>
  <ScaleCrop>false</ScaleCrop>
  <LinksUpToDate>false</LinksUpToDate>
  <CharactersWithSpaces>18551</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2025-03-10T01:43:00Z</dcterms:created>
  <dc:creator>Administrator</dc:creator>
  <cp:lastModifiedBy>梁睿</cp:lastModifiedBy>
  <dcterms:modified xsi:type="dcterms:W3CDTF">2025-09-17T05:38:42Z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47F9EB81D31B4A64B3E37A02DCBCD979</vt:lpwstr>
  </property>
  <property fmtid="{D5CDD505-2E9C-101B-9397-08002B2CF9AE}" pid="4" name="CWM942c43f6c1f74ea1a8dbd738ba156a61">
    <vt:lpwstr>CWM4Ebbqxtp1bY95zPYsvgel2Bll2rYwok/BGcMAX5dHkdYYi/G8phpX67KMM80fJ8Iahp46xYAMfidubC8Djoohw==</vt:lpwstr>
  </property>
</Properties>
</file>