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560" w:lineRule="exact"/>
        <w:jc w:val="center"/>
        <w:rPr>
          <w:rFonts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rPr>
        <w:t>南网绿能科技（广东）有限公司2025年安全工器具、科创产品总额法改造云仓仓储监控管理技术服务零星采购项目技术规范书</w:t>
      </w:r>
    </w:p>
    <w:p>
      <w:pPr>
        <w:pStyle w:val="2"/>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1.采购范围</w:t>
      </w:r>
    </w:p>
    <w:p>
      <w:pPr>
        <w:pStyle w:val="6"/>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绿能科技（广东）有限公司为采购方，报价方为采购方提供符合安全工器具、科创产品总额法改造需求的云仓仓储监控管理相关装置及配套产品、整机安装调试等服务。采购方、报价方双方签订服务合同，服务期自合同签订起满一年，项目按照报价单的方式报价。</w:t>
      </w:r>
    </w:p>
    <w:p>
      <w:pPr>
        <w:pStyle w:val="2"/>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2.服务内容及要求</w:t>
      </w:r>
    </w:p>
    <w:p>
      <w:pPr>
        <w:pStyle w:val="3"/>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2.1服务内容</w:t>
      </w:r>
    </w:p>
    <w:p>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采购方委托报甲方提供的服务内容、数量如下：</w:t>
      </w:r>
    </w:p>
    <w:tbl>
      <w:tblPr>
        <w:tblStyle w:val="11"/>
        <w:tblpPr w:leftFromText="180" w:rightFromText="180" w:vertAnchor="text" w:horzAnchor="page" w:tblpX="1274" w:tblpY="225"/>
        <w:tblOverlap w:val="never"/>
        <w:tblW w:w="5308" w:type="pct"/>
        <w:tblInd w:w="0" w:type="dxa"/>
        <w:shd w:val="clear" w:color="auto" w:fill="FFFFFF" w:themeFill="background1"/>
        <w:tblLayout w:type="fixed"/>
        <w:tblCellMar>
          <w:top w:w="15" w:type="dxa"/>
          <w:left w:w="15" w:type="dxa"/>
          <w:bottom w:w="15" w:type="dxa"/>
          <w:right w:w="15" w:type="dxa"/>
        </w:tblCellMar>
      </w:tblPr>
      <w:tblGrid>
        <w:gridCol w:w="504"/>
        <w:gridCol w:w="887"/>
        <w:gridCol w:w="1918"/>
        <w:gridCol w:w="494"/>
        <w:gridCol w:w="598"/>
        <w:gridCol w:w="903"/>
        <w:gridCol w:w="973"/>
        <w:gridCol w:w="961"/>
        <w:gridCol w:w="1611"/>
      </w:tblGrid>
      <w:tr>
        <w:tblPrEx>
          <w:shd w:val="clear" w:color="auto" w:fill="FFFFFF" w:themeFill="background1"/>
          <w:tblCellMar>
            <w:top w:w="15" w:type="dxa"/>
            <w:left w:w="15" w:type="dxa"/>
            <w:bottom w:w="15" w:type="dxa"/>
            <w:right w:w="15" w:type="dxa"/>
          </w:tblCellMar>
        </w:tblPrEx>
        <w:trPr>
          <w:trHeight w:val="570" w:hRule="atLeast"/>
        </w:trPr>
        <w:tc>
          <w:tcPr>
            <w:tcW w:w="78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项目名称</w:t>
            </w:r>
          </w:p>
        </w:tc>
        <w:tc>
          <w:tcPr>
            <w:tcW w:w="4215"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sz w:val="21"/>
                <w:szCs w:val="21"/>
              </w:rPr>
            </w:pPr>
            <w:r>
              <w:rPr>
                <w:rFonts w:hint="eastAsia" w:ascii="宋体" w:hAnsi="宋体"/>
                <w:sz w:val="21"/>
                <w:szCs w:val="21"/>
              </w:rPr>
              <w:t>南网绿能科技（广东）有限公司2025年安全工器具、科创产品总额法改造云仓仓储监控管理技术服务零星采购</w:t>
            </w:r>
          </w:p>
        </w:tc>
      </w:tr>
      <w:tr>
        <w:tblPrEx>
          <w:shd w:val="clear" w:color="auto" w:fill="FFFFFF" w:themeFill="background1"/>
          <w:tblCellMar>
            <w:top w:w="15" w:type="dxa"/>
            <w:left w:w="15" w:type="dxa"/>
            <w:bottom w:w="15" w:type="dxa"/>
            <w:right w:w="15" w:type="dxa"/>
          </w:tblCellMar>
        </w:tblPrEx>
        <w:trPr>
          <w:trHeight w:val="695" w:hRule="atLeast"/>
        </w:trPr>
        <w:tc>
          <w:tcPr>
            <w:tcW w:w="2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序号</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明细</w:t>
            </w:r>
          </w:p>
        </w:tc>
        <w:tc>
          <w:tcPr>
            <w:tcW w:w="10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cs="宋体"/>
                <w:color w:val="000000"/>
                <w:sz w:val="21"/>
                <w:szCs w:val="21"/>
              </w:rPr>
            </w:pPr>
            <w:r>
              <w:rPr>
                <w:rFonts w:hint="eastAsia" w:ascii="宋体" w:hAnsi="宋体" w:cs="宋体"/>
                <w:color w:val="000000"/>
                <w:sz w:val="21"/>
                <w:szCs w:val="21"/>
              </w:rPr>
              <w:t>规格型号</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tabs>
                <w:tab w:val="left" w:pos="407"/>
              </w:tabs>
              <w:jc w:val="center"/>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单位</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数量</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ascii="宋体" w:hAnsi="宋体" w:cs="宋体"/>
                <w:color w:val="000000"/>
                <w:sz w:val="21"/>
                <w:szCs w:val="21"/>
              </w:rPr>
            </w:pPr>
            <w:r>
              <w:rPr>
                <w:rFonts w:hint="eastAsia" w:ascii="宋体" w:hAnsi="宋体" w:cs="宋体"/>
                <w:color w:val="000000"/>
                <w:sz w:val="21"/>
                <w:szCs w:val="21"/>
              </w:rPr>
              <w:t>单价限价</w:t>
            </w:r>
          </w:p>
        </w:tc>
        <w:tc>
          <w:tcPr>
            <w:tcW w:w="55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textAlignment w:val="center"/>
              <w:rPr>
                <w:rFonts w:ascii="宋体" w:hAnsi="宋体" w:cs="宋体"/>
                <w:color w:val="000000"/>
                <w:sz w:val="21"/>
                <w:szCs w:val="21"/>
              </w:rPr>
            </w:pPr>
            <w:r>
              <w:rPr>
                <w:rFonts w:hint="eastAsia" w:ascii="宋体" w:hAnsi="宋体" w:cs="宋体"/>
                <w:color w:val="000000"/>
                <w:sz w:val="21"/>
                <w:szCs w:val="21"/>
              </w:rPr>
              <w:t>单价报价</w:t>
            </w:r>
          </w:p>
        </w:tc>
        <w:tc>
          <w:tcPr>
            <w:tcW w:w="54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textAlignment w:val="center"/>
              <w:rPr>
                <w:rFonts w:ascii="宋体" w:hAnsi="宋体" w:cs="宋体"/>
                <w:color w:val="000000"/>
                <w:sz w:val="21"/>
                <w:szCs w:val="21"/>
              </w:rPr>
            </w:pPr>
            <w:r>
              <w:rPr>
                <w:rFonts w:hint="eastAsia" w:ascii="宋体" w:hAnsi="宋体" w:cs="宋体"/>
                <w:color w:val="000000"/>
                <w:sz w:val="21"/>
                <w:szCs w:val="21"/>
              </w:rPr>
              <w:t>金额小计</w:t>
            </w:r>
          </w:p>
        </w:tc>
        <w:tc>
          <w:tcPr>
            <w:tcW w:w="91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备注</w:t>
            </w:r>
          </w:p>
        </w:tc>
      </w:tr>
      <w:tr>
        <w:tblPrEx>
          <w:shd w:val="clear" w:color="auto" w:fill="FFFFFF" w:themeFill="background1"/>
          <w:tblCellMar>
            <w:top w:w="15" w:type="dxa"/>
            <w:left w:w="15" w:type="dxa"/>
            <w:bottom w:w="15" w:type="dxa"/>
            <w:right w:w="15" w:type="dxa"/>
          </w:tblCellMar>
        </w:tblPrEx>
        <w:trPr>
          <w:trHeight w:val="2280" w:hRule="atLeast"/>
        </w:trPr>
        <w:tc>
          <w:tcPr>
            <w:tcW w:w="2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color w:val="000000"/>
                <w:sz w:val="21"/>
                <w:szCs w:val="21"/>
              </w:rPr>
              <w:t>1</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rPr>
              <w:t>云仓仓储监控管理</w:t>
            </w:r>
            <w:r>
              <w:rPr>
                <w:rFonts w:hint="eastAsia" w:ascii="宋体" w:hAnsi="宋体" w:cs="宋体"/>
                <w:color w:val="000000"/>
                <w:sz w:val="21"/>
                <w:szCs w:val="21"/>
                <w:lang w:val="en-US" w:eastAsia="zh-CN"/>
              </w:rPr>
              <w:t>系统</w:t>
            </w:r>
          </w:p>
        </w:tc>
        <w:tc>
          <w:tcPr>
            <w:tcW w:w="10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color w:val="000000"/>
                <w:sz w:val="21"/>
                <w:szCs w:val="21"/>
                <w:lang w:val="en-US" w:eastAsia="zh-CN"/>
              </w:rPr>
            </w:pPr>
            <w:r>
              <w:rPr>
                <w:rFonts w:hint="eastAsia" w:ascii="宋体" w:hAnsi="宋体" w:cs="宋体"/>
                <w:sz w:val="21"/>
                <w:szCs w:val="21"/>
              </w:rPr>
              <w:t>按照技术说明书中参数、功能等要求提供安全工器具、科创产品总额法改造云仓仓储</w:t>
            </w:r>
            <w:r>
              <w:rPr>
                <w:rFonts w:hint="eastAsia" w:ascii="CESI_SS_GB18030" w:hAnsi="CESI_SS_GB18030" w:eastAsia="CESI_SS_GB18030" w:cs="CESI_SS_GB18030"/>
                <w:sz w:val="21"/>
                <w:szCs w:val="21"/>
              </w:rPr>
              <w:t>监控管理</w:t>
            </w:r>
            <w:r>
              <w:rPr>
                <w:rFonts w:hint="eastAsia" w:ascii="CESI_SS_GB18030" w:hAnsi="CESI_SS_GB18030" w:eastAsia="CESI_SS_GB18030" w:cs="CESI_SS_GB18030"/>
                <w:sz w:val="21"/>
                <w:szCs w:val="21"/>
                <w:lang w:val="en-US" w:eastAsia="zh-CN"/>
              </w:rPr>
              <w:t>系统</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sz w:val="21"/>
                <w:szCs w:val="21"/>
              </w:rPr>
              <w:t>套</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40000</w:t>
            </w:r>
          </w:p>
        </w:tc>
        <w:tc>
          <w:tcPr>
            <w:tcW w:w="55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p>
        </w:tc>
        <w:tc>
          <w:tcPr>
            <w:tcW w:w="54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rPr>
            </w:pPr>
          </w:p>
        </w:tc>
        <w:tc>
          <w:tcPr>
            <w:tcW w:w="91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rPr>
            </w:pPr>
            <w:r>
              <w:rPr>
                <w:rFonts w:hint="eastAsia" w:ascii="宋体" w:hAnsi="宋体" w:cs="宋体"/>
                <w:sz w:val="21"/>
                <w:szCs w:val="21"/>
              </w:rPr>
              <w:t>按照业主方项目需求提供云仓仓储监控</w:t>
            </w:r>
            <w:r>
              <w:rPr>
                <w:rFonts w:hint="eastAsia" w:ascii="宋体" w:hAnsi="宋体" w:cs="宋体"/>
                <w:sz w:val="21"/>
                <w:szCs w:val="21"/>
                <w:lang w:val="en-US" w:eastAsia="zh-CN"/>
              </w:rPr>
              <w:t>管理系统</w:t>
            </w:r>
            <w:r>
              <w:rPr>
                <w:rFonts w:hint="eastAsia" w:ascii="宋体" w:hAnsi="宋体" w:cs="宋体"/>
                <w:sz w:val="21"/>
                <w:szCs w:val="21"/>
              </w:rPr>
              <w:t>及其配套产品。</w:t>
            </w:r>
          </w:p>
        </w:tc>
      </w:tr>
      <w:tr>
        <w:tblPrEx>
          <w:shd w:val="clear" w:color="auto" w:fill="FFFFFF" w:themeFill="background1"/>
          <w:tblCellMar>
            <w:top w:w="15" w:type="dxa"/>
            <w:left w:w="15" w:type="dxa"/>
            <w:bottom w:w="15" w:type="dxa"/>
            <w:right w:w="15" w:type="dxa"/>
          </w:tblCellMar>
        </w:tblPrEx>
        <w:trPr>
          <w:trHeight w:val="445" w:hRule="atLeast"/>
        </w:trPr>
        <w:tc>
          <w:tcPr>
            <w:tcW w:w="2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color w:val="000000"/>
                <w:sz w:val="21"/>
                <w:szCs w:val="21"/>
              </w:rPr>
              <w:t>2</w:t>
            </w:r>
          </w:p>
        </w:tc>
        <w:tc>
          <w:tcPr>
            <w:tcW w:w="50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ascii="Calibri" w:hAnsi="Calibri"/>
                <w:sz w:val="21"/>
                <w:szCs w:val="21"/>
              </w:rPr>
            </w:pPr>
            <w:r>
              <w:rPr>
                <w:rFonts w:hint="eastAsia" w:ascii="CESI_SS_GB18030" w:hAnsi="CESI_SS_GB18030" w:eastAsia="CESI_SS_GB18030" w:cs="CESI_SS_GB18030"/>
                <w:sz w:val="21"/>
                <w:szCs w:val="21"/>
              </w:rPr>
              <w:t>整机安装、调试服务</w:t>
            </w:r>
          </w:p>
        </w:tc>
        <w:tc>
          <w:tcPr>
            <w:tcW w:w="108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eastAsia" w:eastAsia="CESI_SS_GB18030"/>
                <w:sz w:val="21"/>
                <w:szCs w:val="21"/>
                <w:lang w:val="en-US" w:eastAsia="zh-CN"/>
              </w:rPr>
            </w:pPr>
            <w:r>
              <w:rPr>
                <w:rFonts w:hint="eastAsia" w:ascii="CESI_SS_GB18030" w:hAnsi="CESI_SS_GB18030" w:eastAsia="CESI_SS_GB18030" w:cs="CESI_SS_GB18030"/>
                <w:sz w:val="21"/>
                <w:szCs w:val="21"/>
              </w:rPr>
              <w:t>仓储监控装置整套设备安装、调试</w:t>
            </w:r>
          </w:p>
        </w:tc>
        <w:tc>
          <w:tcPr>
            <w:tcW w:w="27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r>
              <w:rPr>
                <w:rFonts w:hint="eastAsia" w:ascii="宋体" w:hAnsi="宋体" w:cs="宋体"/>
                <w:sz w:val="21"/>
                <w:szCs w:val="21"/>
              </w:rPr>
              <w:t>次</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1</w:t>
            </w:r>
          </w:p>
        </w:tc>
        <w:tc>
          <w:tcPr>
            <w:tcW w:w="51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8900</w:t>
            </w:r>
          </w:p>
        </w:tc>
        <w:tc>
          <w:tcPr>
            <w:tcW w:w="55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sz w:val="21"/>
                <w:szCs w:val="21"/>
              </w:rPr>
            </w:pPr>
          </w:p>
        </w:tc>
        <w:tc>
          <w:tcPr>
            <w:tcW w:w="54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rPr>
            </w:pPr>
          </w:p>
        </w:tc>
        <w:tc>
          <w:tcPr>
            <w:tcW w:w="91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rPr>
            </w:pPr>
            <w:r>
              <w:rPr>
                <w:rFonts w:hint="eastAsia" w:ascii="宋体" w:hAnsi="宋体"/>
                <w:sz w:val="21"/>
                <w:szCs w:val="21"/>
              </w:rPr>
              <w:t>协助配合业主方整机安装、调试、现场试用；交付功能齐全、稳定运行的成套</w:t>
            </w:r>
            <w:r>
              <w:rPr>
                <w:rFonts w:hint="eastAsia" w:ascii="宋体" w:hAnsi="宋体"/>
                <w:sz w:val="21"/>
                <w:szCs w:val="21"/>
                <w:lang w:val="en-US" w:eastAsia="zh-CN"/>
              </w:rPr>
              <w:t>系统</w:t>
            </w:r>
            <w:r>
              <w:rPr>
                <w:rFonts w:hint="eastAsia" w:ascii="宋体" w:hAnsi="宋体"/>
                <w:sz w:val="21"/>
                <w:szCs w:val="21"/>
              </w:rPr>
              <w:t>。</w:t>
            </w:r>
          </w:p>
        </w:tc>
      </w:tr>
      <w:tr>
        <w:tblPrEx>
          <w:shd w:val="clear" w:color="auto" w:fill="FFFFFF" w:themeFill="background1"/>
          <w:tblCellMar>
            <w:top w:w="15" w:type="dxa"/>
            <w:left w:w="15" w:type="dxa"/>
            <w:bottom w:w="15" w:type="dxa"/>
            <w:right w:w="15" w:type="dxa"/>
          </w:tblCellMar>
        </w:tblPrEx>
        <w:trPr>
          <w:trHeight w:val="455" w:hRule="atLeast"/>
        </w:trPr>
        <w:tc>
          <w:tcPr>
            <w:tcW w:w="785"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firstLine="420" w:firstLineChars="200"/>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合计</w:t>
            </w:r>
          </w:p>
        </w:tc>
        <w:tc>
          <w:tcPr>
            <w:tcW w:w="2211"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大写：</w:t>
            </w:r>
          </w:p>
        </w:tc>
        <w:tc>
          <w:tcPr>
            <w:tcW w:w="1093"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ascii="宋体" w:hAnsi="宋体" w:cs="宋体"/>
                <w:color w:val="000000"/>
                <w:sz w:val="21"/>
                <w:szCs w:val="21"/>
              </w:rPr>
            </w:pPr>
            <w:r>
              <w:rPr>
                <w:rFonts w:hint="eastAsia" w:ascii="宋体" w:hAnsi="宋体" w:cs="宋体"/>
                <w:color w:val="000000"/>
                <w:sz w:val="21"/>
                <w:szCs w:val="21"/>
              </w:rPr>
              <w:t>小写：</w:t>
            </w:r>
          </w:p>
        </w:tc>
        <w:tc>
          <w:tcPr>
            <w:tcW w:w="91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ascii="宋体" w:hAnsi="宋体" w:cs="宋体"/>
                <w:color w:val="000000"/>
                <w:sz w:val="21"/>
                <w:szCs w:val="21"/>
              </w:rPr>
            </w:pPr>
          </w:p>
        </w:tc>
      </w:tr>
    </w:tbl>
    <w:p>
      <w:pPr>
        <w:pStyle w:val="3"/>
        <w:spacing w:before="0" w:after="0"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2.2服务相关要求</w:t>
      </w:r>
    </w:p>
    <w:p>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报价方应按采购方要求对相关云仓仓储监控管理要求提供全套产品装置供应、整机安装及调试方案，要求结合绿能科技公司的业务开展相关工作，后续要提供全套产品的清单、使用说明给采购方，并提供相应的售后服务。</w:t>
      </w:r>
    </w:p>
    <w:p>
      <w:pPr>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）项目经验收通过后一次性结算与支付，项目结算总额不高于</w:t>
      </w:r>
      <w:r>
        <w:rPr>
          <w:rFonts w:hint="eastAsia" w:ascii="仿宋_GB2312" w:hAnsi="仿宋_GB2312" w:eastAsia="仿宋_GB2312" w:cs="仿宋_GB2312"/>
          <w:sz w:val="32"/>
          <w:szCs w:val="32"/>
          <w:lang w:val="en-US" w:eastAsia="zh-CN"/>
        </w:rPr>
        <w:t>4.89</w:t>
      </w:r>
      <w:r>
        <w:rPr>
          <w:rFonts w:hint="eastAsia" w:ascii="仿宋_GB2312" w:hAnsi="仿宋_GB2312" w:eastAsia="仿宋_GB2312" w:cs="仿宋_GB2312"/>
          <w:sz w:val="32"/>
          <w:szCs w:val="32"/>
        </w:rPr>
        <w:t>万元。</w:t>
      </w:r>
    </w:p>
    <w:p>
      <w:pPr>
        <w:pStyle w:val="3"/>
        <w:spacing w:before="0" w:after="0" w:line="560" w:lineRule="exact"/>
        <w:rPr>
          <w:rFonts w:ascii="仿宋_GB2312" w:hAnsi="仿宋_GB2312" w:eastAsia="仿宋_GB2312" w:cs="仿宋_GB2312"/>
          <w:sz w:val="32"/>
          <w:szCs w:val="32"/>
        </w:rPr>
      </w:pPr>
      <w:bookmarkStart w:id="0" w:name="_Toc10945"/>
      <w:r>
        <w:rPr>
          <w:rFonts w:hint="eastAsia" w:ascii="仿宋_GB2312" w:hAnsi="仿宋_GB2312" w:eastAsia="仿宋_GB2312" w:cs="仿宋_GB2312"/>
          <w:sz w:val="32"/>
          <w:szCs w:val="32"/>
        </w:rPr>
        <w:t>2.3安全保密要求</w:t>
      </w:r>
      <w:bookmarkEnd w:id="0"/>
    </w:p>
    <w:p>
      <w:pPr>
        <w:pStyle w:val="16"/>
        <w:ind w:firstLine="640"/>
        <w:rPr>
          <w:rFonts w:ascii="仿宋_GB2312" w:hAnsi="仿宋_GB2312" w:eastAsia="仿宋_GB2312" w:cs="仿宋_GB2312"/>
          <w:kern w:val="2"/>
          <w:sz w:val="32"/>
          <w:szCs w:val="32"/>
        </w:rPr>
      </w:pPr>
      <w:bookmarkStart w:id="1" w:name="_Hlk206750273"/>
      <w:r>
        <w:rPr>
          <w:rFonts w:hint="eastAsia" w:ascii="仿宋_GB2312" w:hAnsi="仿宋_GB2312" w:eastAsia="仿宋_GB2312" w:cs="仿宋_GB2312"/>
          <w:kern w:val="2"/>
          <w:sz w:val="32"/>
          <w:szCs w:val="32"/>
        </w:rPr>
        <w:t>（1）供方在服务期间，负有保护本项目的网络安全、信息安全和系统数据安全的义务和责任；负有保护所持有、接触的属于或涉及商业秘密的信息安全的义务和责任。</w:t>
      </w:r>
    </w:p>
    <w:p>
      <w:pPr>
        <w:pStyle w:val="16"/>
        <w:ind w:firstLine="640"/>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（2）无论何种原因导致合同解除或终止，本项目约定下的保密条款</w:t>
      </w:r>
      <w:bookmarkStart w:id="4" w:name="_GoBack"/>
      <w:bookmarkEnd w:id="4"/>
      <w:r>
        <w:rPr>
          <w:rFonts w:hint="eastAsia" w:ascii="仿宋_GB2312" w:hAnsi="仿宋_GB2312" w:eastAsia="仿宋_GB2312" w:cs="仿宋_GB2312"/>
          <w:kern w:val="2"/>
          <w:sz w:val="32"/>
          <w:szCs w:val="32"/>
        </w:rPr>
        <w:t>、保密内容及相关的违约责任的约定仍然生效。保密期限为签订合同之后至永久，保密范围为项目所涉及的任何资料。</w:t>
      </w:r>
    </w:p>
    <w:bookmarkEnd w:id="1"/>
    <w:p>
      <w:pPr>
        <w:pStyle w:val="3"/>
        <w:spacing w:before="0" w:after="0" w:line="560" w:lineRule="exact"/>
        <w:rPr>
          <w:rFonts w:hint="eastAsia" w:ascii="仿宋_GB2312" w:hAnsi="仿宋_GB2312" w:eastAsia="仿宋_GB2312" w:cs="仿宋_GB2312"/>
          <w:sz w:val="32"/>
          <w:szCs w:val="32"/>
        </w:rPr>
      </w:pPr>
      <w:bookmarkStart w:id="2" w:name="_Toc15278"/>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项目验收要求</w:t>
      </w:r>
      <w:bookmarkEnd w:id="2"/>
    </w:p>
    <w:p>
      <w:pPr>
        <w:spacing w:after="0" w:line="560" w:lineRule="exact"/>
        <w:ind w:firstLine="640" w:firstLineChars="200"/>
      </w:pPr>
      <w:bookmarkStart w:id="3" w:name="_Toc413948021"/>
      <w:bookmarkEnd w:id="3"/>
      <w:r>
        <w:rPr>
          <w:rFonts w:hint="eastAsia" w:ascii="仿宋_GB2312" w:hAnsi="仿宋_GB2312" w:eastAsia="仿宋_GB2312" w:cs="仿宋_GB2312"/>
          <w:sz w:val="32"/>
          <w:szCs w:val="32"/>
        </w:rPr>
        <w:t>按需方的管理制度和要求进行到货验收。</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CESI_SS_GB18030">
    <w:altName w:val="宋体"/>
    <w:panose1 w:val="00000000000000000000"/>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066C52"/>
    <w:rsid w:val="00172A27"/>
    <w:rsid w:val="00296D3F"/>
    <w:rsid w:val="003769FE"/>
    <w:rsid w:val="009A7D05"/>
    <w:rsid w:val="00A85E47"/>
    <w:rsid w:val="00C26A96"/>
    <w:rsid w:val="00E300E1"/>
    <w:rsid w:val="00E33444"/>
    <w:rsid w:val="00FA3059"/>
    <w:rsid w:val="01FB6EB7"/>
    <w:rsid w:val="02C350D2"/>
    <w:rsid w:val="033F1951"/>
    <w:rsid w:val="039C7E97"/>
    <w:rsid w:val="048B377C"/>
    <w:rsid w:val="062702A8"/>
    <w:rsid w:val="06C9422E"/>
    <w:rsid w:val="07406F39"/>
    <w:rsid w:val="097035F9"/>
    <w:rsid w:val="09732F58"/>
    <w:rsid w:val="09BE4A8F"/>
    <w:rsid w:val="0A0C1573"/>
    <w:rsid w:val="0BB50C90"/>
    <w:rsid w:val="0CA8652E"/>
    <w:rsid w:val="0D73132E"/>
    <w:rsid w:val="0E7A51CD"/>
    <w:rsid w:val="0EE526EA"/>
    <w:rsid w:val="0EEF6D6E"/>
    <w:rsid w:val="0F2E5DDF"/>
    <w:rsid w:val="102655E1"/>
    <w:rsid w:val="11976A68"/>
    <w:rsid w:val="12365EFC"/>
    <w:rsid w:val="12BE5808"/>
    <w:rsid w:val="12CB30C7"/>
    <w:rsid w:val="15914F7B"/>
    <w:rsid w:val="15A510A7"/>
    <w:rsid w:val="16124FC5"/>
    <w:rsid w:val="169D4817"/>
    <w:rsid w:val="173043C7"/>
    <w:rsid w:val="1882698E"/>
    <w:rsid w:val="189D326A"/>
    <w:rsid w:val="18AB7130"/>
    <w:rsid w:val="1A1B7FC6"/>
    <w:rsid w:val="1AD84D6E"/>
    <w:rsid w:val="1B087B35"/>
    <w:rsid w:val="1B5A7C65"/>
    <w:rsid w:val="1B8B7D54"/>
    <w:rsid w:val="1BF65BDF"/>
    <w:rsid w:val="1C9F4679"/>
    <w:rsid w:val="1CFD76A5"/>
    <w:rsid w:val="1F1A1404"/>
    <w:rsid w:val="1F311F01"/>
    <w:rsid w:val="20E26B4E"/>
    <w:rsid w:val="21374317"/>
    <w:rsid w:val="21722B2B"/>
    <w:rsid w:val="217B46FD"/>
    <w:rsid w:val="21851F92"/>
    <w:rsid w:val="256622E7"/>
    <w:rsid w:val="26C3134B"/>
    <w:rsid w:val="2716696E"/>
    <w:rsid w:val="286C36AD"/>
    <w:rsid w:val="288F5E9D"/>
    <w:rsid w:val="29365CAD"/>
    <w:rsid w:val="29AA01EA"/>
    <w:rsid w:val="2A0400B6"/>
    <w:rsid w:val="2AAA1BA4"/>
    <w:rsid w:val="2AAF417D"/>
    <w:rsid w:val="2ACF41CB"/>
    <w:rsid w:val="2B131A7E"/>
    <w:rsid w:val="2B146C5A"/>
    <w:rsid w:val="2B8F2E4C"/>
    <w:rsid w:val="2BAB509D"/>
    <w:rsid w:val="2E8D76D6"/>
    <w:rsid w:val="2F0A3A24"/>
    <w:rsid w:val="2F3B4EEB"/>
    <w:rsid w:val="31E34D8C"/>
    <w:rsid w:val="32ED471A"/>
    <w:rsid w:val="346E3EE9"/>
    <w:rsid w:val="36944320"/>
    <w:rsid w:val="376C4C98"/>
    <w:rsid w:val="382755B1"/>
    <w:rsid w:val="394924CF"/>
    <w:rsid w:val="39FC3121"/>
    <w:rsid w:val="3BCE2161"/>
    <w:rsid w:val="3C174A4A"/>
    <w:rsid w:val="3CD14092"/>
    <w:rsid w:val="3E4145DA"/>
    <w:rsid w:val="3E560401"/>
    <w:rsid w:val="3F6004F9"/>
    <w:rsid w:val="3F871796"/>
    <w:rsid w:val="3FE57098"/>
    <w:rsid w:val="40802243"/>
    <w:rsid w:val="41480D2F"/>
    <w:rsid w:val="414975BC"/>
    <w:rsid w:val="416A331D"/>
    <w:rsid w:val="427A5563"/>
    <w:rsid w:val="43AF71D5"/>
    <w:rsid w:val="455B74FC"/>
    <w:rsid w:val="45B5636D"/>
    <w:rsid w:val="485E1E46"/>
    <w:rsid w:val="48A37E1F"/>
    <w:rsid w:val="49647D77"/>
    <w:rsid w:val="49760C27"/>
    <w:rsid w:val="498176A7"/>
    <w:rsid w:val="4E76382D"/>
    <w:rsid w:val="4EBE5040"/>
    <w:rsid w:val="4FF02E34"/>
    <w:rsid w:val="50770396"/>
    <w:rsid w:val="50DA34CF"/>
    <w:rsid w:val="51B52289"/>
    <w:rsid w:val="526B2842"/>
    <w:rsid w:val="536C331E"/>
    <w:rsid w:val="53E4465E"/>
    <w:rsid w:val="57196B0A"/>
    <w:rsid w:val="582D0A07"/>
    <w:rsid w:val="59864AEC"/>
    <w:rsid w:val="5A53777D"/>
    <w:rsid w:val="5CAA676D"/>
    <w:rsid w:val="5CEF5C7C"/>
    <w:rsid w:val="5D656145"/>
    <w:rsid w:val="5D8E679F"/>
    <w:rsid w:val="5DA46C2D"/>
    <w:rsid w:val="5E7B7098"/>
    <w:rsid w:val="5EC6163E"/>
    <w:rsid w:val="60765F74"/>
    <w:rsid w:val="610E1B29"/>
    <w:rsid w:val="61A471A2"/>
    <w:rsid w:val="61F53312"/>
    <w:rsid w:val="620F042E"/>
    <w:rsid w:val="63140209"/>
    <w:rsid w:val="6345794B"/>
    <w:rsid w:val="63D805B9"/>
    <w:rsid w:val="64EF75A6"/>
    <w:rsid w:val="6534761E"/>
    <w:rsid w:val="6569460E"/>
    <w:rsid w:val="6679019C"/>
    <w:rsid w:val="66B9772A"/>
    <w:rsid w:val="66F21AA4"/>
    <w:rsid w:val="6832131A"/>
    <w:rsid w:val="690F44C9"/>
    <w:rsid w:val="6B761D3E"/>
    <w:rsid w:val="6BB64299"/>
    <w:rsid w:val="6E3B205D"/>
    <w:rsid w:val="6E6901FB"/>
    <w:rsid w:val="705A407C"/>
    <w:rsid w:val="70F320AC"/>
    <w:rsid w:val="72E32531"/>
    <w:rsid w:val="740C5027"/>
    <w:rsid w:val="74604ED0"/>
    <w:rsid w:val="75BC5488"/>
    <w:rsid w:val="760A7538"/>
    <w:rsid w:val="768A6D70"/>
    <w:rsid w:val="77AA4A6D"/>
    <w:rsid w:val="784A3F46"/>
    <w:rsid w:val="78B95140"/>
    <w:rsid w:val="78BE391B"/>
    <w:rsid w:val="79337682"/>
    <w:rsid w:val="79C80AC1"/>
    <w:rsid w:val="79CA11DC"/>
    <w:rsid w:val="7A91206F"/>
    <w:rsid w:val="7A97447A"/>
    <w:rsid w:val="7B395012"/>
    <w:rsid w:val="7C386C10"/>
    <w:rsid w:val="7CA911FE"/>
    <w:rsid w:val="7E154B2B"/>
    <w:rsid w:val="7E4B3434"/>
    <w:rsid w:val="7F5D4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after="330"/>
      <w:outlineLvl w:val="0"/>
    </w:pPr>
    <w:rPr>
      <w:b/>
      <w:kern w:val="44"/>
      <w:sz w:val="30"/>
    </w:rPr>
  </w:style>
  <w:style w:type="paragraph" w:styleId="3">
    <w:name w:val="heading 2"/>
    <w:basedOn w:val="1"/>
    <w:next w:val="1"/>
    <w:link w:val="17"/>
    <w:unhideWhenUsed/>
    <w:qFormat/>
    <w:uiPriority w:val="0"/>
    <w:pPr>
      <w:keepNext/>
      <w:keepLines/>
      <w:spacing w:before="260" w:after="260" w:line="240" w:lineRule="auto"/>
      <w:outlineLvl w:val="1"/>
    </w:pPr>
    <w:rPr>
      <w:rFonts w:ascii="Arial" w:hAnsi="Arial"/>
      <w:b/>
      <w:sz w:val="25"/>
    </w:rPr>
  </w:style>
  <w:style w:type="paragraph" w:styleId="4">
    <w:name w:val="heading 3"/>
    <w:basedOn w:val="1"/>
    <w:next w:val="1"/>
    <w:unhideWhenUsed/>
    <w:qFormat/>
    <w:uiPriority w:val="0"/>
    <w:pPr>
      <w:spacing w:beforeAutospacing="1" w:after="0" w:afterAutospacing="1"/>
      <w:jc w:val="left"/>
      <w:outlineLvl w:val="2"/>
    </w:pPr>
    <w:rPr>
      <w:rFonts w:hint="eastAsia" w:ascii="宋体" w:hAnsi="宋体"/>
      <w:b/>
      <w:bCs/>
      <w:kern w:val="0"/>
      <w:sz w:val="27"/>
      <w:szCs w:val="27"/>
    </w:rPr>
  </w:style>
  <w:style w:type="character" w:default="1" w:styleId="12">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style>
  <w:style w:type="paragraph" w:styleId="7">
    <w:name w:val="Title"/>
    <w:basedOn w:val="1"/>
    <w:next w:val="1"/>
    <w:qFormat/>
    <w:uiPriority w:val="10"/>
    <w:pPr>
      <w:spacing w:before="240" w:after="6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0" w:afterAutospacing="1"/>
      <w:jc w:val="left"/>
    </w:pPr>
    <w:rPr>
      <w:kern w:val="0"/>
    </w:rPr>
  </w:style>
  <w:style w:type="character" w:styleId="13">
    <w:name w:val="Strong"/>
    <w:basedOn w:val="12"/>
    <w:qFormat/>
    <w:uiPriority w:val="0"/>
    <w:rPr>
      <w:b/>
    </w:rPr>
  </w:style>
  <w:style w:type="character" w:customStyle="1" w:styleId="14">
    <w:name w:val="font11"/>
    <w:basedOn w:val="12"/>
    <w:qFormat/>
    <w:uiPriority w:val="0"/>
    <w:rPr>
      <w:rFonts w:hint="default" w:ascii="Arial" w:hAnsi="Arial" w:cs="Arial"/>
      <w:color w:val="000000"/>
      <w:sz w:val="22"/>
      <w:szCs w:val="22"/>
      <w:u w:val="none"/>
    </w:rPr>
  </w:style>
  <w:style w:type="character" w:customStyle="1" w:styleId="15">
    <w:name w:val="font01"/>
    <w:basedOn w:val="12"/>
    <w:qFormat/>
    <w:uiPriority w:val="0"/>
    <w:rPr>
      <w:rFonts w:ascii="微软雅黑" w:hAnsi="微软雅黑" w:eastAsia="微软雅黑" w:cs="微软雅黑"/>
      <w:color w:val="000000"/>
      <w:sz w:val="22"/>
      <w:szCs w:val="22"/>
      <w:u w:val="none"/>
    </w:rPr>
  </w:style>
  <w:style w:type="paragraph" w:customStyle="1" w:styleId="16">
    <w:name w:val="列出段落1"/>
    <w:basedOn w:val="1"/>
    <w:qFormat/>
    <w:uiPriority w:val="34"/>
    <w:pPr>
      <w:widowControl/>
      <w:spacing w:line="360" w:lineRule="auto"/>
      <w:ind w:firstLine="420" w:firstLineChars="200"/>
    </w:pPr>
    <w:rPr>
      <w:rFonts w:ascii="Calibri" w:hAnsi="Calibri"/>
      <w:kern w:val="0"/>
    </w:rPr>
  </w:style>
  <w:style w:type="character" w:customStyle="1" w:styleId="17">
    <w:name w:val="标题 2 字符"/>
    <w:basedOn w:val="12"/>
    <w:link w:val="3"/>
    <w:qFormat/>
    <w:uiPriority w:val="0"/>
    <w:rPr>
      <w:rFonts w:ascii="Arial" w:hAnsi="Arial"/>
      <w:b/>
      <w:kern w:val="2"/>
      <w:sz w:val="25"/>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152</Words>
  <Characters>868</Characters>
  <Lines>7</Lines>
  <Paragraphs>2</Paragraphs>
  <TotalTime>16</TotalTime>
  <ScaleCrop>false</ScaleCrop>
  <LinksUpToDate>false</LinksUpToDate>
  <CharactersWithSpaces>1018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F5493B81F09745F8A3D65029EE1C0AAC</cp:lastModifiedBy>
  <cp:lastPrinted>2025-03-06T07:46:00Z</cp:lastPrinted>
  <dcterms:modified xsi:type="dcterms:W3CDTF">2025-09-05T03:45:04Z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eyJoZGlkIjoiYTVlOGFjZTgyM2I0NzJmMjI4NmU2ZDM4NDkzNTlhZWMiLCJ1c2VySWQiOiIyMjU5NjYzMDcifQ==</vt:lpwstr>
  </property>
</Properties>
</file>