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rPr>
          <w:rFonts w:ascii="宋体" w:hAnsi="宋体" w:eastAsia="宋体" w:cs="黑体"/>
          <w:kern w:val="2"/>
          <w:sz w:val="21"/>
          <w:szCs w:val="22"/>
          <w:lang w:val="en-US" w:eastAsia="zh-CN" w:bidi="ar-SA"/>
        </w:rPr>
      </w:pPr>
    </w:p>
    <w:p>
      <w:pPr>
        <w:keepNext w:val="0"/>
        <w:keepLines w:val="0"/>
        <w:pageBreakBefore w:val="0"/>
        <w:kinsoku/>
        <w:wordWrap/>
        <w:overflowPunct/>
        <w:topLinePunct w:val="0"/>
        <w:autoSpaceDE/>
        <w:autoSpaceDN/>
        <w:bidi w:val="0"/>
        <w:adjustRightInd/>
        <w:snapToGrid/>
        <w:spacing w:line="560" w:lineRule="exact"/>
        <w:ind w:left="0" w:leftChars="0" w:firstLine="0" w:firstLineChars="0"/>
        <w:jc w:val="center"/>
        <w:outlineLvl w:val="0"/>
        <w:rPr>
          <w:rFonts w:hint="default" w:ascii="黑体" w:hAnsi="黑体" w:eastAsia="黑体" w:cs="黑体"/>
          <w:sz w:val="44"/>
          <w:szCs w:val="44"/>
          <w:lang w:val="en-US" w:eastAsia="zh-CN"/>
        </w:rPr>
      </w:pPr>
      <w:bookmarkStart w:id="0" w:name="_Toc18698"/>
      <w:r>
        <w:rPr>
          <w:rFonts w:hint="eastAsia" w:ascii="黑体" w:hAnsi="黑体" w:eastAsia="黑体" w:cs="黑体"/>
          <w:sz w:val="44"/>
          <w:szCs w:val="44"/>
          <w:lang w:val="en-US" w:eastAsia="zh-CN"/>
        </w:rPr>
        <w:t>机要室报警装置采购技术规范书</w:t>
      </w:r>
      <w:bookmarkEnd w:id="0"/>
    </w:p>
    <w:p>
      <w:pPr>
        <w:keepNext w:val="0"/>
        <w:keepLines w:val="0"/>
        <w:pageBreakBefore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rPr>
          <w:rFonts w:ascii="宋体" w:hAnsi="宋体" w:eastAsia="宋体" w:cs="黑体"/>
          <w:kern w:val="2"/>
          <w:sz w:val="21"/>
          <w:szCs w:val="22"/>
          <w:lang w:val="en-US" w:eastAsia="zh-CN" w:bidi="ar-SA"/>
        </w:rPr>
      </w:pPr>
    </w:p>
    <w:sdt>
      <w:sdtPr>
        <w:rPr>
          <w:rFonts w:ascii="宋体" w:hAnsi="宋体" w:eastAsia="宋体" w:cs="黑体"/>
          <w:kern w:val="2"/>
          <w:sz w:val="21"/>
          <w:szCs w:val="22"/>
          <w:lang w:val="en-US" w:eastAsia="zh-CN" w:bidi="ar-SA"/>
        </w:rPr>
        <w:id w:val="147464402"/>
        <w15:color w:val="DBDBDB"/>
        <w:docPartObj>
          <w:docPartGallery w:val="Table of Contents"/>
          <w:docPartUnique/>
        </w:docPartObj>
      </w:sdtPr>
      <w:sdtEndPr>
        <w:rPr>
          <w:rFonts w:ascii="宋体" w:hAnsi="宋体" w:eastAsia="宋体" w:cs="黑体"/>
          <w:kern w:val="2"/>
          <w:sz w:val="21"/>
          <w:szCs w:val="22"/>
          <w:lang w:val="en-US" w:eastAsia="zh-CN" w:bidi="ar-SA"/>
        </w:rPr>
      </w:sdtEndPr>
      <w:sdtContent>
        <w:p>
          <w:pPr>
            <w:keepNext w:val="0"/>
            <w:keepLines w:val="0"/>
            <w:pageBreakBefore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pPr>
          <w:r>
            <w:rPr>
              <w:rFonts w:ascii="宋体" w:hAnsi="宋体" w:eastAsia="宋体"/>
              <w:sz w:val="21"/>
            </w:rPr>
            <w:t>目录</w:t>
          </w:r>
        </w:p>
        <w:p>
          <w:pPr>
            <w:pStyle w:val="13"/>
            <w:keepNext w:val="0"/>
            <w:keepLines w:val="0"/>
            <w:pageBreakBefore w:val="0"/>
            <w:tabs>
              <w:tab w:val="right" w:leader="dot" w:pos="8300"/>
            </w:tabs>
            <w:kinsoku/>
            <w:wordWrap/>
            <w:overflowPunct/>
            <w:topLinePunct w:val="0"/>
            <w:autoSpaceDE/>
            <w:autoSpaceDN/>
            <w:bidi w:val="0"/>
            <w:adjustRightInd/>
            <w:snapToGrid/>
            <w:spacing w:line="560" w:lineRule="exact"/>
          </w:pPr>
          <w:r>
            <w:fldChar w:fldCharType="begin"/>
          </w:r>
          <w:r>
            <w:instrText xml:space="preserve">TOC \o "1-1" \h \u </w:instrText>
          </w:r>
          <w:r>
            <w:fldChar w:fldCharType="separate"/>
          </w:r>
          <w:r>
            <w:fldChar w:fldCharType="begin"/>
          </w:r>
          <w:r>
            <w:instrText xml:space="preserve"> HYPERLINK \l _Toc18698 </w:instrText>
          </w:r>
          <w:r>
            <w:fldChar w:fldCharType="separate"/>
          </w:r>
          <w:r>
            <w:rPr>
              <w:rFonts w:hint="eastAsia" w:ascii="黑体" w:hAnsi="黑体" w:eastAsia="黑体" w:cs="黑体"/>
              <w:szCs w:val="44"/>
              <w:lang w:val="en-US" w:eastAsia="zh-CN"/>
            </w:rPr>
            <w:t>机要室报警装置采购技术规范书</w:t>
          </w:r>
          <w:r>
            <w:tab/>
          </w:r>
          <w:r>
            <w:fldChar w:fldCharType="begin"/>
          </w:r>
          <w:r>
            <w:instrText xml:space="preserve"> PAGEREF _Toc18698 \h </w:instrText>
          </w:r>
          <w:r>
            <w:fldChar w:fldCharType="separate"/>
          </w:r>
          <w:r>
            <w:t>1</w:t>
          </w:r>
          <w:r>
            <w:fldChar w:fldCharType="end"/>
          </w:r>
          <w:r>
            <w:fldChar w:fldCharType="end"/>
          </w:r>
        </w:p>
        <w:p>
          <w:pPr>
            <w:pStyle w:val="13"/>
            <w:keepNext w:val="0"/>
            <w:keepLines w:val="0"/>
            <w:pageBreakBefore w:val="0"/>
            <w:tabs>
              <w:tab w:val="right" w:leader="dot" w:pos="8300"/>
            </w:tabs>
            <w:kinsoku/>
            <w:wordWrap/>
            <w:overflowPunct/>
            <w:topLinePunct w:val="0"/>
            <w:autoSpaceDE/>
            <w:autoSpaceDN/>
            <w:bidi w:val="0"/>
            <w:adjustRightInd/>
            <w:snapToGrid/>
            <w:spacing w:line="560" w:lineRule="exact"/>
          </w:pPr>
          <w:r>
            <w:fldChar w:fldCharType="begin"/>
          </w:r>
          <w:r>
            <w:instrText xml:space="preserve"> HYPERLINK \l _Toc25010 </w:instrText>
          </w:r>
          <w:r>
            <w:fldChar w:fldCharType="separate"/>
          </w:r>
          <w:r>
            <w:rPr>
              <w:rFonts w:hint="eastAsia" w:ascii="黑体" w:hAnsi="黑体" w:eastAsia="黑体" w:cs="黑体"/>
              <w:szCs w:val="32"/>
            </w:rPr>
            <w:t>第一部分 总则部分</w:t>
          </w:r>
          <w:r>
            <w:tab/>
          </w:r>
          <w:r>
            <w:fldChar w:fldCharType="begin"/>
          </w:r>
          <w:r>
            <w:instrText xml:space="preserve"> PAGEREF _Toc25010 \h </w:instrText>
          </w:r>
          <w:r>
            <w:fldChar w:fldCharType="separate"/>
          </w:r>
          <w:r>
            <w:t>2</w:t>
          </w:r>
          <w:r>
            <w:fldChar w:fldCharType="end"/>
          </w:r>
          <w:r>
            <w:fldChar w:fldCharType="end"/>
          </w:r>
        </w:p>
        <w:p>
          <w:pPr>
            <w:pStyle w:val="13"/>
            <w:keepNext w:val="0"/>
            <w:keepLines w:val="0"/>
            <w:pageBreakBefore w:val="0"/>
            <w:tabs>
              <w:tab w:val="right" w:leader="dot" w:pos="8300"/>
            </w:tabs>
            <w:kinsoku/>
            <w:wordWrap/>
            <w:overflowPunct/>
            <w:topLinePunct w:val="0"/>
            <w:autoSpaceDE/>
            <w:autoSpaceDN/>
            <w:bidi w:val="0"/>
            <w:adjustRightInd/>
            <w:snapToGrid/>
            <w:spacing w:line="560" w:lineRule="exact"/>
          </w:pPr>
          <w:r>
            <w:fldChar w:fldCharType="begin"/>
          </w:r>
          <w:r>
            <w:instrText xml:space="preserve"> HYPERLINK \l _Toc28867 </w:instrText>
          </w:r>
          <w:r>
            <w:fldChar w:fldCharType="separate"/>
          </w:r>
          <w:r>
            <w:rPr>
              <w:rFonts w:hint="eastAsia" w:ascii="黑体" w:hAnsi="黑体" w:eastAsia="黑体" w:cs="黑体"/>
              <w:szCs w:val="32"/>
            </w:rPr>
            <w:t>第二部分 技术规范</w:t>
          </w:r>
          <w:r>
            <w:tab/>
          </w:r>
          <w:r>
            <w:fldChar w:fldCharType="begin"/>
          </w:r>
          <w:r>
            <w:instrText xml:space="preserve"> PAGEREF _Toc28867 \h </w:instrText>
          </w:r>
          <w:r>
            <w:fldChar w:fldCharType="separate"/>
          </w:r>
          <w:r>
            <w:t>2</w:t>
          </w:r>
          <w:r>
            <w:fldChar w:fldCharType="end"/>
          </w:r>
          <w:r>
            <w:fldChar w:fldCharType="end"/>
          </w:r>
        </w:p>
        <w:p>
          <w:pPr>
            <w:pStyle w:val="13"/>
            <w:keepNext w:val="0"/>
            <w:keepLines w:val="0"/>
            <w:pageBreakBefore w:val="0"/>
            <w:tabs>
              <w:tab w:val="right" w:leader="dot" w:pos="8300"/>
            </w:tabs>
            <w:kinsoku/>
            <w:wordWrap/>
            <w:overflowPunct/>
            <w:topLinePunct w:val="0"/>
            <w:autoSpaceDE/>
            <w:autoSpaceDN/>
            <w:bidi w:val="0"/>
            <w:adjustRightInd/>
            <w:snapToGrid/>
            <w:spacing w:line="560" w:lineRule="exact"/>
          </w:pPr>
          <w:r>
            <w:fldChar w:fldCharType="begin"/>
          </w:r>
          <w:r>
            <w:instrText xml:space="preserve"> HYPERLINK \l _Toc28062 </w:instrText>
          </w:r>
          <w:r>
            <w:fldChar w:fldCharType="separate"/>
          </w:r>
          <w:r>
            <w:rPr>
              <w:rFonts w:hint="eastAsia" w:ascii="黑体" w:hAnsi="黑体" w:eastAsia="黑体" w:cs="黑体"/>
              <w:szCs w:val="32"/>
            </w:rPr>
            <w:t xml:space="preserve">第三部分 </w:t>
          </w:r>
          <w:r>
            <w:rPr>
              <w:rFonts w:hint="eastAsia" w:ascii="黑体" w:hAnsi="黑体" w:eastAsia="黑体" w:cs="黑体"/>
              <w:szCs w:val="32"/>
              <w:lang w:val="en-US" w:eastAsia="zh-CN"/>
            </w:rPr>
            <w:t>验收及报价要求</w:t>
          </w:r>
          <w:r>
            <w:tab/>
          </w:r>
          <w:r>
            <w:fldChar w:fldCharType="begin"/>
          </w:r>
          <w:r>
            <w:instrText xml:space="preserve"> PAGEREF _Toc28062 \h </w:instrText>
          </w:r>
          <w:r>
            <w:fldChar w:fldCharType="separate"/>
          </w:r>
          <w:r>
            <w:t>5</w:t>
          </w:r>
          <w:r>
            <w:fldChar w:fldCharType="end"/>
          </w:r>
          <w:r>
            <w:fldChar w:fldCharType="end"/>
          </w:r>
        </w:p>
        <w:p>
          <w:pPr>
            <w:keepNext w:val="0"/>
            <w:keepLines w:val="0"/>
            <w:pageBreakBefore w:val="0"/>
            <w:kinsoku/>
            <w:wordWrap/>
            <w:overflowPunct/>
            <w:topLinePunct w:val="0"/>
            <w:autoSpaceDE/>
            <w:autoSpaceDN/>
            <w:bidi w:val="0"/>
            <w:adjustRightInd/>
            <w:snapToGrid/>
            <w:spacing w:line="560" w:lineRule="exact"/>
          </w:pPr>
          <w:r>
            <w:fldChar w:fldCharType="end"/>
          </w:r>
        </w:p>
      </w:sdtContent>
    </w:sdt>
    <w:p>
      <w:pPr>
        <w:keepNext w:val="0"/>
        <w:keepLines w:val="0"/>
        <w:pageBreakBefore w:val="0"/>
        <w:kinsoku/>
        <w:wordWrap/>
        <w:overflowPunct/>
        <w:topLinePunct w:val="0"/>
        <w:autoSpaceDE/>
        <w:autoSpaceDN/>
        <w:bidi w:val="0"/>
        <w:adjustRightInd/>
        <w:snapToGrid/>
        <w:spacing w:line="560" w:lineRule="exact"/>
        <w:rPr>
          <w:rFonts w:hint="eastAsia" w:ascii="黑体" w:hAnsi="黑体" w:eastAsia="黑体" w:cs="黑体"/>
          <w:sz w:val="32"/>
          <w:szCs w:val="32"/>
        </w:rPr>
      </w:pPr>
      <w:r>
        <w:rPr>
          <w:rFonts w:hint="eastAsia" w:ascii="黑体" w:hAnsi="黑体" w:eastAsia="黑体" w:cs="黑体"/>
          <w:sz w:val="32"/>
          <w:szCs w:val="32"/>
        </w:rPr>
        <w:br w:type="page"/>
      </w:r>
    </w:p>
    <w:p>
      <w:pPr>
        <w:keepNext w:val="0"/>
        <w:keepLines w:val="0"/>
        <w:pageBreakBefore w:val="0"/>
        <w:kinsoku/>
        <w:wordWrap/>
        <w:overflowPunct/>
        <w:topLinePunct w:val="0"/>
        <w:autoSpaceDE/>
        <w:autoSpaceDN/>
        <w:bidi w:val="0"/>
        <w:adjustRightInd/>
        <w:snapToGrid/>
        <w:spacing w:line="560" w:lineRule="exact"/>
        <w:ind w:left="0" w:leftChars="0" w:firstLine="0" w:firstLineChars="0"/>
        <w:jc w:val="center"/>
        <w:outlineLvl w:val="0"/>
        <w:rPr>
          <w:rFonts w:hint="eastAsia" w:ascii="仿宋" w:hAnsi="仿宋" w:eastAsia="仿宋" w:cs="仿宋"/>
          <w:sz w:val="32"/>
          <w:szCs w:val="32"/>
        </w:rPr>
      </w:pPr>
      <w:bookmarkStart w:id="1" w:name="_Toc25010"/>
      <w:r>
        <w:rPr>
          <w:rFonts w:hint="eastAsia" w:ascii="黑体" w:hAnsi="黑体" w:eastAsia="黑体" w:cs="黑体"/>
          <w:sz w:val="32"/>
          <w:szCs w:val="32"/>
        </w:rPr>
        <w:t>第一部分 总则部分</w:t>
      </w:r>
      <w:bookmarkEnd w:id="1"/>
    </w:p>
    <w:p>
      <w:pPr>
        <w:keepNext w:val="0"/>
        <w:keepLines w:val="0"/>
        <w:pageBreakBefore w:val="0"/>
        <w:kinsoku/>
        <w:wordWrap/>
        <w:overflowPunct/>
        <w:topLinePunct w:val="0"/>
        <w:autoSpaceDE/>
        <w:autoSpaceDN/>
        <w:bidi w:val="0"/>
        <w:adjustRightInd/>
        <w:snapToGrid/>
        <w:spacing w:line="560" w:lineRule="exact"/>
        <w:ind w:left="0" w:leftChars="0" w:firstLine="638" w:firstLineChars="228"/>
        <w:rPr>
          <w:rFonts w:hint="eastAsia" w:ascii="仿宋" w:hAnsi="仿宋" w:eastAsia="仿宋" w:cs="仿宋"/>
          <w:sz w:val="28"/>
          <w:szCs w:val="28"/>
        </w:rPr>
      </w:pPr>
      <w:r>
        <w:rPr>
          <w:rFonts w:hint="eastAsia" w:ascii="仿宋" w:hAnsi="仿宋" w:eastAsia="仿宋" w:cs="仿宋"/>
          <w:sz w:val="28"/>
          <w:szCs w:val="28"/>
          <w:lang w:val="en-US" w:eastAsia="zh-CN"/>
        </w:rPr>
        <w:t>一、</w:t>
      </w:r>
      <w:r>
        <w:rPr>
          <w:rFonts w:hint="eastAsia" w:ascii="仿宋" w:hAnsi="仿宋" w:eastAsia="仿宋" w:cs="仿宋"/>
          <w:sz w:val="28"/>
          <w:szCs w:val="28"/>
        </w:rPr>
        <w:t>本技术规范书适用于</w:t>
      </w:r>
      <w:r>
        <w:rPr>
          <w:rFonts w:hint="eastAsia" w:ascii="仿宋" w:hAnsi="仿宋" w:eastAsia="仿宋" w:cs="仿宋"/>
          <w:sz w:val="28"/>
          <w:szCs w:val="28"/>
          <w:lang w:eastAsia="zh-CN"/>
        </w:rPr>
        <w:t>南方电网供应链（云南）有限公司</w:t>
      </w:r>
      <w:r>
        <w:rPr>
          <w:rFonts w:hint="eastAsia" w:ascii="仿宋" w:hAnsi="仿宋" w:eastAsia="仿宋" w:cs="仿宋"/>
          <w:sz w:val="28"/>
          <w:szCs w:val="28"/>
          <w:lang w:val="en-US" w:eastAsia="zh-CN"/>
        </w:rPr>
        <w:t>机要室报警装置采购</w:t>
      </w:r>
      <w:r>
        <w:rPr>
          <w:rFonts w:hint="eastAsia" w:ascii="仿宋" w:hAnsi="仿宋" w:eastAsia="仿宋" w:cs="仿宋"/>
          <w:sz w:val="28"/>
          <w:szCs w:val="28"/>
        </w:rPr>
        <w:t>，本技术规范书的最终解释权归</w:t>
      </w:r>
      <w:r>
        <w:rPr>
          <w:rFonts w:hint="eastAsia" w:ascii="仿宋" w:hAnsi="仿宋" w:eastAsia="仿宋" w:cs="仿宋"/>
          <w:sz w:val="28"/>
          <w:szCs w:val="28"/>
          <w:lang w:eastAsia="zh-CN"/>
        </w:rPr>
        <w:t>南方电网供应链（云南）有限公司</w:t>
      </w:r>
      <w:r>
        <w:rPr>
          <w:rFonts w:hint="eastAsia" w:ascii="仿宋" w:hAnsi="仿宋" w:eastAsia="仿宋" w:cs="仿宋"/>
          <w:sz w:val="28"/>
          <w:szCs w:val="28"/>
          <w:lang w:val="en-US" w:eastAsia="zh-CN"/>
        </w:rPr>
        <w:t>办公室</w:t>
      </w:r>
      <w:r>
        <w:rPr>
          <w:rFonts w:hint="eastAsia" w:ascii="仿宋" w:hAnsi="仿宋" w:eastAsia="仿宋" w:cs="仿宋"/>
          <w:sz w:val="28"/>
          <w:szCs w:val="28"/>
        </w:rPr>
        <w:t>。</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rPr>
          <w:rFonts w:hint="eastAsia" w:ascii="仿宋" w:hAnsi="仿宋" w:eastAsia="仿宋" w:cs="仿宋"/>
          <w:sz w:val="28"/>
          <w:szCs w:val="28"/>
        </w:rPr>
      </w:pPr>
      <w:r>
        <w:rPr>
          <w:rFonts w:hint="eastAsia" w:ascii="仿宋" w:hAnsi="仿宋" w:eastAsia="仿宋" w:cs="仿宋"/>
          <w:sz w:val="28"/>
          <w:szCs w:val="28"/>
          <w:lang w:val="en-US" w:eastAsia="zh-CN"/>
        </w:rPr>
        <w:t>二、</w:t>
      </w:r>
      <w:r>
        <w:rPr>
          <w:rFonts w:hint="eastAsia" w:ascii="仿宋" w:hAnsi="仿宋" w:eastAsia="仿宋" w:cs="仿宋"/>
          <w:sz w:val="28"/>
          <w:szCs w:val="28"/>
        </w:rPr>
        <w:t>本技术规范书提出的是最基本的技术要求，并未对所有技术细节作出规定,也未完全充分引述有关标准和规范的条文。本技术规范书所使用的标准如遇与</w:t>
      </w:r>
      <w:r>
        <w:rPr>
          <w:rFonts w:hint="eastAsia" w:ascii="仿宋" w:hAnsi="仿宋" w:eastAsia="仿宋" w:cs="仿宋"/>
          <w:sz w:val="28"/>
          <w:szCs w:val="28"/>
          <w:lang w:eastAsia="zh-CN"/>
        </w:rPr>
        <w:t>响应人</w:t>
      </w:r>
      <w:r>
        <w:rPr>
          <w:rFonts w:hint="eastAsia" w:ascii="仿宋" w:hAnsi="仿宋" w:eastAsia="仿宋" w:cs="仿宋"/>
          <w:sz w:val="28"/>
          <w:szCs w:val="28"/>
        </w:rPr>
        <w:t>所执行的标准不一致时,按较高标准执行。</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仿宋" w:hAnsi="仿宋" w:eastAsia="仿宋" w:cs="仿宋"/>
          <w:sz w:val="28"/>
          <w:szCs w:val="28"/>
        </w:rPr>
      </w:pPr>
      <w:bookmarkStart w:id="2" w:name="_Toc3764"/>
      <w:r>
        <w:rPr>
          <w:rFonts w:hint="eastAsia" w:ascii="仿宋" w:hAnsi="仿宋" w:eastAsia="仿宋" w:cs="仿宋"/>
          <w:sz w:val="28"/>
          <w:szCs w:val="28"/>
          <w:lang w:eastAsia="zh-CN"/>
        </w:rPr>
        <w:t>三、</w:t>
      </w:r>
      <w:r>
        <w:rPr>
          <w:rFonts w:hint="eastAsia" w:ascii="仿宋" w:hAnsi="仿宋" w:eastAsia="仿宋" w:cs="仿宋"/>
          <w:sz w:val="28"/>
          <w:szCs w:val="28"/>
        </w:rPr>
        <w:t>本技术规范书未尽事宜,由</w:t>
      </w:r>
      <w:r>
        <w:rPr>
          <w:rFonts w:hint="eastAsia" w:ascii="仿宋" w:hAnsi="仿宋" w:eastAsia="仿宋" w:cs="仿宋"/>
          <w:sz w:val="28"/>
          <w:szCs w:val="28"/>
          <w:lang w:val="en-US" w:eastAsia="zh-CN"/>
        </w:rPr>
        <w:t>采购人</w:t>
      </w:r>
      <w:r>
        <w:rPr>
          <w:rFonts w:hint="eastAsia" w:ascii="仿宋" w:hAnsi="仿宋" w:eastAsia="仿宋" w:cs="仿宋"/>
          <w:sz w:val="28"/>
          <w:szCs w:val="28"/>
        </w:rPr>
        <w:t>、</w:t>
      </w:r>
      <w:r>
        <w:rPr>
          <w:rFonts w:hint="eastAsia" w:ascii="仿宋" w:hAnsi="仿宋" w:eastAsia="仿宋" w:cs="仿宋"/>
          <w:sz w:val="28"/>
          <w:szCs w:val="28"/>
          <w:lang w:val="en-US" w:eastAsia="zh-CN"/>
        </w:rPr>
        <w:t>响应人</w:t>
      </w:r>
      <w:r>
        <w:rPr>
          <w:rFonts w:hint="eastAsia" w:ascii="仿宋" w:hAnsi="仿宋" w:eastAsia="仿宋" w:cs="仿宋"/>
          <w:sz w:val="28"/>
          <w:szCs w:val="28"/>
        </w:rPr>
        <w:t>双方协商确定。</w:t>
      </w:r>
      <w:bookmarkEnd w:id="2"/>
    </w:p>
    <w:p>
      <w:pPr>
        <w:keepNext w:val="0"/>
        <w:keepLines w:val="0"/>
        <w:pageBreakBefore w:val="0"/>
        <w:kinsoku/>
        <w:wordWrap/>
        <w:overflowPunct/>
        <w:topLinePunct w:val="0"/>
        <w:autoSpaceDE/>
        <w:autoSpaceDN/>
        <w:bidi w:val="0"/>
        <w:adjustRightInd/>
        <w:snapToGrid/>
        <w:spacing w:line="560" w:lineRule="exact"/>
        <w:ind w:left="0" w:leftChars="0" w:firstLine="0" w:firstLineChars="0"/>
        <w:jc w:val="center"/>
        <w:outlineLvl w:val="9"/>
        <w:rPr>
          <w:rFonts w:hint="eastAsia" w:ascii="黑体" w:hAnsi="黑体" w:eastAsia="黑体" w:cs="黑体"/>
          <w:sz w:val="28"/>
          <w:szCs w:val="28"/>
        </w:rPr>
      </w:pPr>
    </w:p>
    <w:p>
      <w:pPr>
        <w:keepNext w:val="0"/>
        <w:keepLines w:val="0"/>
        <w:pageBreakBefore w:val="0"/>
        <w:kinsoku/>
        <w:wordWrap/>
        <w:overflowPunct/>
        <w:topLinePunct w:val="0"/>
        <w:autoSpaceDE/>
        <w:autoSpaceDN/>
        <w:bidi w:val="0"/>
        <w:adjustRightInd/>
        <w:snapToGrid/>
        <w:spacing w:line="560" w:lineRule="exact"/>
        <w:ind w:left="0" w:leftChars="0" w:firstLine="0" w:firstLineChars="0"/>
        <w:jc w:val="center"/>
        <w:outlineLvl w:val="0"/>
        <w:rPr>
          <w:rFonts w:hint="eastAsia" w:ascii="黑体" w:hAnsi="黑体" w:eastAsia="黑体" w:cs="黑体"/>
          <w:sz w:val="32"/>
          <w:szCs w:val="32"/>
        </w:rPr>
      </w:pPr>
      <w:bookmarkStart w:id="3" w:name="_Toc28867"/>
      <w:r>
        <w:rPr>
          <w:rFonts w:hint="eastAsia" w:ascii="黑体" w:hAnsi="黑体" w:eastAsia="黑体" w:cs="黑体"/>
          <w:sz w:val="32"/>
          <w:szCs w:val="32"/>
        </w:rPr>
        <w:t>第二部分 技术规范</w:t>
      </w:r>
      <w:bookmarkEnd w:id="3"/>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default"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rPr>
        <w:t>一、技术</w:t>
      </w:r>
      <w:r>
        <w:rPr>
          <w:rFonts w:hint="eastAsia" w:ascii="微软雅黑" w:hAnsi="微软雅黑" w:eastAsia="微软雅黑" w:cs="微软雅黑"/>
          <w:b w:val="0"/>
          <w:bCs w:val="0"/>
          <w:sz w:val="28"/>
          <w:szCs w:val="28"/>
          <w:lang w:val="en-US" w:eastAsia="zh-CN"/>
        </w:rPr>
        <w:t>参数及功能要求</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1、五种布/撤防方式：键盘布/撤防，电话语音布/撤防，短信布/撤防，遥控器布/撤防，软件布/撤防，手机布/撤防；</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2、布/撤防语音提示，报警信息电话语音播报，布防时异常防区自动旁路并语音播报；</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3、标准Contact ID通讯协议，可与主流中心接警机通迅；</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4、主机自带测试程序，现场就能诊断出哪里故障（是线路还是探测器还是主机本身）。</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5、主机机箱24小时防拆，电话线防剪、防短路，报警时主机自动抢线报警，交流断电报警，电池丢失、低压报警；</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微软雅黑" w:hAnsi="微软雅黑" w:eastAsia="微软雅黑" w:cs="微软雅黑"/>
          <w:b w:val="0"/>
          <w:bCs w:val="0"/>
          <w:sz w:val="28"/>
          <w:szCs w:val="28"/>
          <w:highlight w:val="none"/>
        </w:rPr>
      </w:pPr>
      <w:r>
        <w:rPr>
          <w:rFonts w:hint="eastAsia" w:ascii="微软雅黑" w:hAnsi="微软雅黑" w:eastAsia="微软雅黑" w:cs="微软雅黑"/>
          <w:b w:val="0"/>
          <w:bCs w:val="0"/>
          <w:sz w:val="28"/>
          <w:szCs w:val="28"/>
          <w:highlight w:val="none"/>
        </w:rPr>
        <w:t>二、服务要求及内容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提供包括软件功能模块安装手册、用户使用手册、设备维护手册、技术白皮书，系统集成期间所需的第三方设备/软件进行测试验收，并提交第三方测试报告。</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对于有缺陷的功能模块设备，无论是否在质保期内，均有义务免费更换或维修，并保证长期向招标人提供维修技术支持。 </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在设备开通后，如发生系统软件或设备固件扩展升级等情况，应负责现场升级和向招标人提供必要的技术资料。</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在相关的功能模块进行调试或升级时，中标方有责任派技术人员到现场协助完成相关工作。</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必须承诺给予招标人在以后的功能模块改造过程中选用第三方产品时必要的技术支持。</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质保期内，因投标方所供设备出现设备故障时，投标方在接招标方通知后，应在服务承诺时限内赶到招标方现场，免费予以排除故障、修复或更换零部件，并赔偿招标方因此造成的直接损失。而因招标方使用不当原因出现设备故障时，供应商在接招标方通知后，应在服务承诺时限内赶到招标方现场，免费予以排除故障、修复或更换零部件。</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本项目所有软件（或硬件）产品需提供1年的质保。在质保期内，免费进行维修、更换损坏设备以及对设备和软件功能模块的调优维护等。质保期自项目完成验收且设备投入运行之日计算。</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中标方应向招标方提供培训服务，并根据安装工作进程合理制订培训计划。</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在硬/软件设备正式安装之前或之后，提供1天的现场培训，包括产品介绍、方案介绍、功能介绍、问题与咨询等。</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在安装过程中，为招标方提供咨询等技术服务。</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软硬件设备安装完毕后，提供完整的现场培训，包括系统安装、配置、维护管理、使用等方面。</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提供相关培训资料。</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培训师应熟悉投标产品的技术、使用方法、配置和维护管理等，能够为招标方提供咨询等技术服务。</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中标方须配合完成本次所供设备的现场安装,并负责系统调试、设备与现网互联的调试，配合进行业务开通、投运和最终验收，并提供调试、业务开通的技术建议。</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中标方选派技术人员参加调试，中标方有责任对招标方技术人员提出的问题做出解答。</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调试应进行详细记录，并由中标方技术人员签字确认。</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现场安装、调试所需的线缆及辅材均含在本次投标报价中，不再单独计费。</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投标方应承诺遵守项目建设方的保密规定，涉及项目的技术人员均应签订保密承诺书，确保不发生敏感信息泄露事件。</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微软雅黑" w:hAnsi="微软雅黑" w:eastAsia="微软雅黑" w:cs="微软雅黑"/>
          <w:b w:val="0"/>
          <w:bCs w:val="0"/>
          <w:sz w:val="28"/>
          <w:szCs w:val="28"/>
        </w:rPr>
      </w:pPr>
      <w:r>
        <w:rPr>
          <w:rFonts w:hint="eastAsia" w:ascii="微软雅黑" w:hAnsi="微软雅黑" w:eastAsia="微软雅黑" w:cs="微软雅黑"/>
          <w:b w:val="0"/>
          <w:bCs w:val="0"/>
          <w:sz w:val="28"/>
          <w:szCs w:val="28"/>
          <w:lang w:eastAsia="zh-CN"/>
        </w:rPr>
        <w:t>三、</w:t>
      </w:r>
      <w:r>
        <w:rPr>
          <w:rFonts w:hint="eastAsia" w:ascii="微软雅黑" w:hAnsi="微软雅黑" w:eastAsia="微软雅黑" w:cs="微软雅黑"/>
          <w:b w:val="0"/>
          <w:bCs w:val="0"/>
          <w:sz w:val="28"/>
          <w:szCs w:val="28"/>
        </w:rPr>
        <w:t>采购内容</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一种机要室防盗报警设备。</w:t>
      </w:r>
    </w:p>
    <w:tbl>
      <w:tblPr>
        <w:tblStyle w:val="10"/>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211"/>
        <w:gridCol w:w="2268"/>
        <w:gridCol w:w="709"/>
        <w:gridCol w:w="850"/>
        <w:gridCol w:w="1134"/>
        <w:gridCol w:w="1239"/>
        <w:gridCol w:w="1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vAlign w:val="center"/>
          </w:tcPr>
          <w:p>
            <w:pPr>
              <w:pStyle w:val="5"/>
              <w:keepNext w:val="0"/>
              <w:keepLines w:val="0"/>
              <w:pageBreakBefore w:val="0"/>
              <w:kinsoku/>
              <w:wordWrap/>
              <w:overflowPunct/>
              <w:topLinePunct w:val="0"/>
              <w:autoSpaceDE/>
              <w:autoSpaceDN/>
              <w:bidi w:val="0"/>
              <w:adjustRightInd/>
              <w:snapToGrid/>
              <w:spacing w:after="0" w:line="560" w:lineRule="exact"/>
              <w:jc w:val="center"/>
              <w:rPr>
                <w:rFonts w:ascii="宋体" w:hAnsi="宋体" w:cs="宋体"/>
                <w:b/>
                <w:bCs/>
                <w:kern w:val="0"/>
                <w:sz w:val="21"/>
                <w:szCs w:val="21"/>
                <w:highlight w:val="none"/>
              </w:rPr>
            </w:pPr>
            <w:r>
              <w:rPr>
                <w:rFonts w:hint="eastAsia" w:ascii="宋体" w:hAnsi="宋体" w:cs="宋体"/>
                <w:b/>
                <w:bCs/>
                <w:kern w:val="0"/>
                <w:sz w:val="21"/>
                <w:szCs w:val="21"/>
                <w:highlight w:val="none"/>
              </w:rPr>
              <w:t>序号</w:t>
            </w:r>
          </w:p>
        </w:tc>
        <w:tc>
          <w:tcPr>
            <w:tcW w:w="1211" w:type="dxa"/>
            <w:vAlign w:val="center"/>
          </w:tcPr>
          <w:p>
            <w:pPr>
              <w:keepNext w:val="0"/>
              <w:keepLines w:val="0"/>
              <w:pageBreakBefore w:val="0"/>
              <w:kinsoku/>
              <w:wordWrap/>
              <w:overflowPunct/>
              <w:topLinePunct w:val="0"/>
              <w:autoSpaceDE/>
              <w:autoSpaceDN/>
              <w:bidi w:val="0"/>
              <w:adjustRightInd/>
              <w:snapToGrid/>
              <w:spacing w:line="560" w:lineRule="exact"/>
              <w:jc w:val="center"/>
              <w:rPr>
                <w:rFonts w:ascii="宋体" w:hAnsi="宋体" w:cs="宋体"/>
                <w:b/>
                <w:bCs/>
                <w:kern w:val="0"/>
                <w:sz w:val="21"/>
                <w:szCs w:val="21"/>
                <w:highlight w:val="none"/>
              </w:rPr>
            </w:pPr>
            <w:r>
              <w:rPr>
                <w:rFonts w:hint="eastAsia" w:ascii="宋体" w:hAnsi="宋体" w:cs="宋体"/>
                <w:b/>
                <w:bCs/>
                <w:kern w:val="0"/>
                <w:sz w:val="21"/>
                <w:szCs w:val="21"/>
                <w:highlight w:val="none"/>
              </w:rPr>
              <w:t>设备名称</w:t>
            </w:r>
          </w:p>
        </w:tc>
        <w:tc>
          <w:tcPr>
            <w:tcW w:w="2268" w:type="dxa"/>
            <w:vAlign w:val="center"/>
          </w:tcPr>
          <w:p>
            <w:pPr>
              <w:keepNext w:val="0"/>
              <w:keepLines w:val="0"/>
              <w:pageBreakBefore w:val="0"/>
              <w:kinsoku/>
              <w:wordWrap/>
              <w:overflowPunct/>
              <w:topLinePunct w:val="0"/>
              <w:autoSpaceDE/>
              <w:autoSpaceDN/>
              <w:bidi w:val="0"/>
              <w:adjustRightInd/>
              <w:snapToGrid/>
              <w:spacing w:line="560" w:lineRule="exact"/>
              <w:jc w:val="center"/>
              <w:rPr>
                <w:rFonts w:ascii="宋体" w:hAnsi="宋体" w:cs="宋体"/>
                <w:b/>
                <w:bCs/>
                <w:kern w:val="0"/>
                <w:sz w:val="21"/>
                <w:szCs w:val="21"/>
                <w:highlight w:val="none"/>
              </w:rPr>
            </w:pPr>
            <w:r>
              <w:rPr>
                <w:rFonts w:hint="eastAsia" w:ascii="宋体" w:hAnsi="宋体" w:cs="宋体"/>
                <w:b/>
                <w:bCs/>
                <w:kern w:val="0"/>
                <w:sz w:val="21"/>
                <w:szCs w:val="21"/>
                <w:highlight w:val="none"/>
              </w:rPr>
              <w:t>对应项目</w:t>
            </w:r>
          </w:p>
        </w:tc>
        <w:tc>
          <w:tcPr>
            <w:tcW w:w="709" w:type="dxa"/>
            <w:vAlign w:val="center"/>
          </w:tcPr>
          <w:p>
            <w:pPr>
              <w:keepNext w:val="0"/>
              <w:keepLines w:val="0"/>
              <w:pageBreakBefore w:val="0"/>
              <w:kinsoku/>
              <w:wordWrap/>
              <w:overflowPunct/>
              <w:topLinePunct w:val="0"/>
              <w:autoSpaceDE/>
              <w:autoSpaceDN/>
              <w:bidi w:val="0"/>
              <w:adjustRightInd/>
              <w:snapToGrid/>
              <w:spacing w:line="560" w:lineRule="exact"/>
              <w:jc w:val="center"/>
              <w:rPr>
                <w:rFonts w:ascii="宋体" w:hAnsi="宋体" w:cs="宋体"/>
                <w:sz w:val="21"/>
                <w:szCs w:val="21"/>
                <w:highlight w:val="none"/>
              </w:rPr>
            </w:pPr>
            <w:r>
              <w:rPr>
                <w:rFonts w:hint="eastAsia" w:ascii="宋体" w:hAnsi="宋体" w:cs="宋体"/>
                <w:b/>
                <w:bCs/>
                <w:kern w:val="0"/>
                <w:sz w:val="21"/>
                <w:szCs w:val="21"/>
                <w:highlight w:val="none"/>
              </w:rPr>
              <w:t>单位</w:t>
            </w:r>
          </w:p>
        </w:tc>
        <w:tc>
          <w:tcPr>
            <w:tcW w:w="850" w:type="dxa"/>
            <w:vAlign w:val="center"/>
          </w:tcPr>
          <w:p>
            <w:pPr>
              <w:keepNext w:val="0"/>
              <w:keepLines w:val="0"/>
              <w:pageBreakBefore w:val="0"/>
              <w:kinsoku/>
              <w:wordWrap/>
              <w:overflowPunct/>
              <w:topLinePunct w:val="0"/>
              <w:autoSpaceDE/>
              <w:autoSpaceDN/>
              <w:bidi w:val="0"/>
              <w:adjustRightInd/>
              <w:snapToGrid/>
              <w:spacing w:line="560" w:lineRule="exact"/>
              <w:jc w:val="center"/>
              <w:rPr>
                <w:rFonts w:ascii="宋体" w:hAnsi="宋体" w:cs="宋体"/>
                <w:sz w:val="21"/>
                <w:szCs w:val="21"/>
                <w:highlight w:val="none"/>
              </w:rPr>
            </w:pPr>
            <w:r>
              <w:rPr>
                <w:rFonts w:hint="eastAsia" w:ascii="宋体" w:hAnsi="宋体" w:cs="宋体"/>
                <w:b/>
                <w:bCs/>
                <w:kern w:val="0"/>
                <w:sz w:val="21"/>
                <w:szCs w:val="21"/>
                <w:highlight w:val="none"/>
              </w:rPr>
              <w:t>数量</w:t>
            </w:r>
          </w:p>
        </w:tc>
        <w:tc>
          <w:tcPr>
            <w:tcW w:w="1134" w:type="dxa"/>
            <w:vAlign w:val="center"/>
          </w:tcPr>
          <w:p>
            <w:pPr>
              <w:pStyle w:val="5"/>
              <w:keepNext w:val="0"/>
              <w:keepLines w:val="0"/>
              <w:pageBreakBefore w:val="0"/>
              <w:kinsoku/>
              <w:wordWrap/>
              <w:overflowPunct/>
              <w:topLinePunct w:val="0"/>
              <w:autoSpaceDE/>
              <w:autoSpaceDN/>
              <w:bidi w:val="0"/>
              <w:adjustRightInd/>
              <w:snapToGrid/>
              <w:spacing w:after="0" w:line="560" w:lineRule="exact"/>
              <w:jc w:val="center"/>
              <w:rPr>
                <w:rFonts w:ascii="宋体" w:hAnsi="宋体" w:cs="宋体"/>
                <w:b/>
                <w:bCs/>
                <w:kern w:val="0"/>
                <w:sz w:val="21"/>
                <w:szCs w:val="21"/>
                <w:highlight w:val="none"/>
              </w:rPr>
            </w:pPr>
            <w:r>
              <w:rPr>
                <w:rFonts w:hint="eastAsia" w:ascii="宋体" w:hAnsi="宋体" w:cs="宋体"/>
                <w:b/>
                <w:bCs/>
                <w:kern w:val="0"/>
                <w:sz w:val="21"/>
                <w:szCs w:val="21"/>
                <w:highlight w:val="none"/>
              </w:rPr>
              <w:t>交货地点</w:t>
            </w:r>
          </w:p>
        </w:tc>
        <w:tc>
          <w:tcPr>
            <w:tcW w:w="1239" w:type="dxa"/>
            <w:vAlign w:val="center"/>
          </w:tcPr>
          <w:p>
            <w:pPr>
              <w:pStyle w:val="5"/>
              <w:keepNext w:val="0"/>
              <w:keepLines w:val="0"/>
              <w:pageBreakBefore w:val="0"/>
              <w:kinsoku/>
              <w:wordWrap/>
              <w:overflowPunct/>
              <w:topLinePunct w:val="0"/>
              <w:autoSpaceDE/>
              <w:autoSpaceDN/>
              <w:bidi w:val="0"/>
              <w:adjustRightInd/>
              <w:snapToGrid/>
              <w:spacing w:after="0" w:line="560" w:lineRule="exact"/>
              <w:jc w:val="center"/>
              <w:rPr>
                <w:rFonts w:ascii="宋体" w:hAnsi="宋体" w:cs="宋体"/>
                <w:b/>
                <w:bCs/>
                <w:kern w:val="0"/>
                <w:sz w:val="21"/>
                <w:szCs w:val="21"/>
                <w:highlight w:val="none"/>
              </w:rPr>
            </w:pPr>
            <w:r>
              <w:rPr>
                <w:rFonts w:hint="eastAsia" w:ascii="宋体" w:hAnsi="宋体" w:cs="宋体"/>
                <w:b/>
                <w:bCs/>
                <w:kern w:val="0"/>
                <w:sz w:val="21"/>
                <w:szCs w:val="21"/>
                <w:highlight w:val="none"/>
              </w:rPr>
              <w:t>交货时间</w:t>
            </w:r>
          </w:p>
        </w:tc>
        <w:tc>
          <w:tcPr>
            <w:tcW w:w="1239" w:type="dxa"/>
            <w:vAlign w:val="center"/>
          </w:tcPr>
          <w:p>
            <w:pPr>
              <w:pStyle w:val="5"/>
              <w:keepNext w:val="0"/>
              <w:keepLines w:val="0"/>
              <w:pageBreakBefore w:val="0"/>
              <w:kinsoku/>
              <w:wordWrap/>
              <w:overflowPunct/>
              <w:topLinePunct w:val="0"/>
              <w:autoSpaceDE/>
              <w:autoSpaceDN/>
              <w:bidi w:val="0"/>
              <w:adjustRightInd/>
              <w:snapToGrid/>
              <w:spacing w:after="0" w:line="560" w:lineRule="exact"/>
              <w:jc w:val="center"/>
              <w:rPr>
                <w:rFonts w:hint="eastAsia" w:ascii="宋体" w:hAnsi="宋体" w:eastAsia="宋体" w:cs="宋体"/>
                <w:b/>
                <w:bCs/>
                <w:kern w:val="0"/>
                <w:sz w:val="21"/>
                <w:szCs w:val="21"/>
                <w:highlight w:val="none"/>
                <w:lang w:val="en-US" w:eastAsia="zh-CN"/>
              </w:rPr>
            </w:pPr>
            <w:r>
              <w:rPr>
                <w:rFonts w:hint="eastAsia" w:ascii="宋体" w:hAnsi="宋体" w:cs="宋体"/>
                <w:b/>
                <w:bCs/>
                <w:kern w:val="0"/>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vAlign w:val="center"/>
          </w:tcPr>
          <w:p>
            <w:pPr>
              <w:pStyle w:val="5"/>
              <w:keepNext w:val="0"/>
              <w:keepLines w:val="0"/>
              <w:pageBreakBefore w:val="0"/>
              <w:kinsoku/>
              <w:wordWrap/>
              <w:overflowPunct/>
              <w:topLinePunct w:val="0"/>
              <w:autoSpaceDE/>
              <w:autoSpaceDN/>
              <w:bidi w:val="0"/>
              <w:adjustRightInd/>
              <w:snapToGrid/>
              <w:spacing w:after="0" w:line="560" w:lineRule="exact"/>
              <w:jc w:val="center"/>
              <w:rPr>
                <w:rFonts w:ascii="宋体" w:hAnsi="宋体" w:cs="宋体"/>
                <w:kern w:val="0"/>
                <w:sz w:val="21"/>
                <w:szCs w:val="21"/>
                <w:highlight w:val="none"/>
              </w:rPr>
            </w:pPr>
            <w:bookmarkStart w:id="4" w:name="_Toc455929251"/>
            <w:r>
              <w:rPr>
                <w:rFonts w:hint="eastAsia" w:ascii="宋体" w:hAnsi="宋体" w:cs="宋体"/>
                <w:kern w:val="0"/>
                <w:sz w:val="21"/>
                <w:szCs w:val="21"/>
                <w:highlight w:val="none"/>
              </w:rPr>
              <w:t>1</w:t>
            </w:r>
          </w:p>
        </w:tc>
        <w:tc>
          <w:tcPr>
            <w:tcW w:w="1211"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highlight w:val="none"/>
                <w:lang w:val="en-US" w:eastAsia="zh-CN"/>
              </w:rPr>
            </w:pPr>
            <w:r>
              <w:rPr>
                <w:rStyle w:val="12"/>
                <w:rFonts w:hint="eastAsia" w:ascii="宋体" w:hAnsi="宋体" w:eastAsia="宋体" w:cs="Times New Roman"/>
                <w:color w:val="auto"/>
                <w:kern w:val="2"/>
                <w:sz w:val="20"/>
                <w:szCs w:val="21"/>
                <w:lang w:val="en-US" w:eastAsia="zh-CN" w:bidi="ar-SA"/>
              </w:rPr>
              <w:t>机要室防盗报警设备</w:t>
            </w:r>
          </w:p>
        </w:tc>
        <w:tc>
          <w:tcPr>
            <w:tcW w:w="2268" w:type="dxa"/>
            <w:vAlign w:val="center"/>
          </w:tcPr>
          <w:p>
            <w:pPr>
              <w:pStyle w:val="5"/>
              <w:keepNext w:val="0"/>
              <w:keepLines w:val="0"/>
              <w:pageBreakBefore w:val="0"/>
              <w:kinsoku/>
              <w:wordWrap/>
              <w:overflowPunct/>
              <w:topLinePunct w:val="0"/>
              <w:autoSpaceDE/>
              <w:autoSpaceDN/>
              <w:bidi w:val="0"/>
              <w:adjustRightInd/>
              <w:snapToGrid/>
              <w:spacing w:after="0" w:line="240" w:lineRule="auto"/>
              <w:jc w:val="center"/>
              <w:rPr>
                <w:rFonts w:ascii="宋体" w:hAnsi="宋体" w:cs="宋体"/>
                <w:kern w:val="0"/>
                <w:sz w:val="21"/>
                <w:szCs w:val="21"/>
                <w:highlight w:val="none"/>
              </w:rPr>
            </w:pPr>
            <w:r>
              <w:rPr>
                <w:rStyle w:val="12"/>
                <w:rFonts w:hint="eastAsia" w:ascii="宋体" w:hAnsi="宋体" w:eastAsia="宋体" w:cs="Times New Roman"/>
                <w:color w:val="auto"/>
                <w:kern w:val="2"/>
                <w:sz w:val="20"/>
                <w:szCs w:val="21"/>
                <w:lang w:val="en-US" w:eastAsia="zh-CN" w:bidi="ar-SA"/>
              </w:rPr>
              <w:t>南方电网供应链（云南）有限公司2025年办公资产购置项目</w:t>
            </w:r>
          </w:p>
        </w:tc>
        <w:tc>
          <w:tcPr>
            <w:tcW w:w="709" w:type="dxa"/>
            <w:vAlign w:val="center"/>
          </w:tcPr>
          <w:p>
            <w:pPr>
              <w:pStyle w:val="5"/>
              <w:keepNext w:val="0"/>
              <w:keepLines w:val="0"/>
              <w:pageBreakBefore w:val="0"/>
              <w:kinsoku/>
              <w:wordWrap/>
              <w:overflowPunct/>
              <w:topLinePunct w:val="0"/>
              <w:autoSpaceDE/>
              <w:autoSpaceDN/>
              <w:bidi w:val="0"/>
              <w:adjustRightInd/>
              <w:snapToGrid/>
              <w:spacing w:after="0" w:line="240" w:lineRule="auto"/>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套</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1</w:t>
            </w:r>
          </w:p>
        </w:tc>
        <w:tc>
          <w:tcPr>
            <w:tcW w:w="1134" w:type="dxa"/>
            <w:vAlign w:val="center"/>
          </w:tcPr>
          <w:p>
            <w:pPr>
              <w:pStyle w:val="5"/>
              <w:keepNext w:val="0"/>
              <w:keepLines w:val="0"/>
              <w:pageBreakBefore w:val="0"/>
              <w:kinsoku/>
              <w:wordWrap/>
              <w:overflowPunct/>
              <w:topLinePunct w:val="0"/>
              <w:autoSpaceDE/>
              <w:autoSpaceDN/>
              <w:bidi w:val="0"/>
              <w:adjustRightInd/>
              <w:snapToGrid/>
              <w:spacing w:after="0" w:line="240" w:lineRule="auto"/>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rPr>
              <w:t>云南省</w:t>
            </w:r>
            <w:r>
              <w:rPr>
                <w:rFonts w:hint="eastAsia" w:ascii="宋体" w:hAnsi="宋体" w:cs="宋体"/>
                <w:kern w:val="0"/>
                <w:sz w:val="21"/>
                <w:szCs w:val="21"/>
                <w:highlight w:val="none"/>
                <w:lang w:val="en-US" w:eastAsia="zh-CN"/>
              </w:rPr>
              <w:t>昆明市盘龙区东风东路东风巷139号</w:t>
            </w:r>
          </w:p>
        </w:tc>
        <w:tc>
          <w:tcPr>
            <w:tcW w:w="1239" w:type="dxa"/>
            <w:vAlign w:val="center"/>
          </w:tcPr>
          <w:p>
            <w:pPr>
              <w:pStyle w:val="5"/>
              <w:keepNext w:val="0"/>
              <w:keepLines w:val="0"/>
              <w:pageBreakBefore w:val="0"/>
              <w:kinsoku/>
              <w:wordWrap/>
              <w:overflowPunct/>
              <w:topLinePunct w:val="0"/>
              <w:autoSpaceDE/>
              <w:autoSpaceDN/>
              <w:bidi w:val="0"/>
              <w:adjustRightInd/>
              <w:snapToGrid/>
              <w:spacing w:after="0" w:line="240" w:lineRule="auto"/>
              <w:jc w:val="center"/>
              <w:rPr>
                <w:rFonts w:ascii="宋体" w:hAnsi="宋体" w:cs="宋体"/>
                <w:kern w:val="0"/>
                <w:sz w:val="21"/>
                <w:szCs w:val="21"/>
                <w:highlight w:val="none"/>
              </w:rPr>
            </w:pPr>
            <w:r>
              <w:rPr>
                <w:rFonts w:hint="eastAsia" w:ascii="宋体" w:hAnsi="宋体" w:cs="宋体"/>
                <w:kern w:val="0"/>
                <w:sz w:val="21"/>
                <w:szCs w:val="21"/>
                <w:highlight w:val="none"/>
              </w:rPr>
              <w:t>自合同签订之日起</w:t>
            </w:r>
            <w:r>
              <w:rPr>
                <w:rFonts w:hint="eastAsia" w:ascii="宋体" w:hAnsi="宋体" w:cs="宋体"/>
                <w:kern w:val="0"/>
                <w:sz w:val="21"/>
                <w:szCs w:val="21"/>
                <w:highlight w:val="none"/>
                <w:lang w:val="en-US" w:eastAsia="zh-CN"/>
              </w:rPr>
              <w:t>1</w:t>
            </w:r>
            <w:r>
              <w:rPr>
                <w:rFonts w:hint="eastAsia" w:ascii="宋体" w:hAnsi="宋体" w:cs="宋体"/>
                <w:kern w:val="0"/>
                <w:sz w:val="21"/>
                <w:szCs w:val="21"/>
                <w:highlight w:val="none"/>
              </w:rPr>
              <w:t>个月内</w:t>
            </w:r>
          </w:p>
        </w:tc>
        <w:tc>
          <w:tcPr>
            <w:tcW w:w="1239" w:type="dxa"/>
            <w:vAlign w:val="center"/>
          </w:tcPr>
          <w:p>
            <w:pPr>
              <w:pStyle w:val="5"/>
              <w:keepNext w:val="0"/>
              <w:keepLines w:val="0"/>
              <w:pageBreakBefore w:val="0"/>
              <w:kinsoku/>
              <w:wordWrap/>
              <w:overflowPunct/>
              <w:topLinePunct w:val="0"/>
              <w:autoSpaceDE/>
              <w:autoSpaceDN/>
              <w:bidi w:val="0"/>
              <w:adjustRightInd/>
              <w:snapToGrid/>
              <w:spacing w:after="0" w:line="240" w:lineRule="auto"/>
              <w:jc w:val="center"/>
              <w:rPr>
                <w:rFonts w:hint="default"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设备应包含</w:t>
            </w:r>
            <w:r>
              <w:rPr>
                <w:rFonts w:hint="eastAsia" w:ascii="宋体" w:hAnsi="宋体" w:cs="宋体"/>
                <w:sz w:val="21"/>
                <w:szCs w:val="21"/>
                <w:highlight w:val="none"/>
              </w:rPr>
              <w:t>辅助</w:t>
            </w:r>
            <w:r>
              <w:rPr>
                <w:rFonts w:hint="eastAsia" w:ascii="宋体" w:hAnsi="宋体" w:cs="宋体"/>
                <w:sz w:val="21"/>
                <w:szCs w:val="21"/>
                <w:highlight w:val="none"/>
                <w:lang w:val="en-US" w:eastAsia="zh-CN"/>
              </w:rPr>
              <w:t>配套</w:t>
            </w:r>
            <w:r>
              <w:rPr>
                <w:rFonts w:hint="eastAsia" w:ascii="宋体" w:hAnsi="宋体" w:cs="宋体"/>
                <w:sz w:val="21"/>
                <w:szCs w:val="21"/>
                <w:highlight w:val="none"/>
              </w:rPr>
              <w:t>安装材料</w:t>
            </w:r>
          </w:p>
        </w:tc>
      </w:tr>
      <w:bookmarkEnd w:id="4"/>
    </w:tbl>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微软雅黑" w:hAnsi="微软雅黑" w:eastAsia="微软雅黑" w:cs="微软雅黑"/>
          <w:b w:val="0"/>
          <w:bCs w:val="0"/>
          <w:sz w:val="28"/>
          <w:szCs w:val="28"/>
          <w:lang w:val="en-US" w:eastAsia="zh-CN"/>
        </w:rPr>
      </w:pPr>
      <w:r>
        <w:rPr>
          <w:rFonts w:hint="eastAsia" w:ascii="微软雅黑" w:hAnsi="微软雅黑" w:eastAsia="微软雅黑" w:cs="微软雅黑"/>
          <w:b w:val="0"/>
          <w:bCs w:val="0"/>
          <w:sz w:val="28"/>
          <w:szCs w:val="28"/>
          <w:lang w:val="en-US" w:eastAsia="zh-CN"/>
        </w:rPr>
        <w:t>四、廉洁要求</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（一）中标人在项目实施过程中，需秉持诚信经营原则，按照招标和投标文件规定提供符合规定和甲方需求的服务。</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（二）严格按照中标价格、合同约定收取费用，不虚增、虚列服务。不与业主方的工作人员串通虚增、虚列费用。</w:t>
      </w:r>
    </w:p>
    <w:p>
      <w:pPr>
        <w:keepNext w:val="0"/>
        <w:keepLines w:val="0"/>
        <w:pageBreakBefore w:val="0"/>
        <w:kinsoku/>
        <w:wordWrap/>
        <w:overflowPunct/>
        <w:topLinePunct w:val="0"/>
        <w:autoSpaceDE/>
        <w:autoSpaceDN/>
        <w:bidi w:val="0"/>
        <w:adjustRightInd/>
        <w:snapToGrid/>
        <w:spacing w:line="560" w:lineRule="exact"/>
        <w:ind w:left="0" w:leftChars="0" w:firstLine="0" w:firstLineChars="0"/>
        <w:jc w:val="center"/>
        <w:outlineLvl w:val="9"/>
        <w:rPr>
          <w:rFonts w:hint="eastAsia" w:ascii="黑体" w:hAnsi="黑体" w:eastAsia="黑体" w:cs="黑体"/>
          <w:sz w:val="28"/>
          <w:szCs w:val="28"/>
        </w:rPr>
      </w:pPr>
    </w:p>
    <w:p>
      <w:pPr>
        <w:keepNext w:val="0"/>
        <w:keepLines w:val="0"/>
        <w:pageBreakBefore w:val="0"/>
        <w:kinsoku/>
        <w:wordWrap/>
        <w:overflowPunct/>
        <w:topLinePunct w:val="0"/>
        <w:autoSpaceDE/>
        <w:autoSpaceDN/>
        <w:bidi w:val="0"/>
        <w:adjustRightInd/>
        <w:snapToGrid/>
        <w:spacing w:line="560" w:lineRule="exact"/>
        <w:ind w:left="0" w:leftChars="0" w:firstLine="0" w:firstLineChars="0"/>
        <w:jc w:val="center"/>
        <w:outlineLvl w:val="0"/>
        <w:rPr>
          <w:rFonts w:hint="default" w:ascii="黑体" w:hAnsi="黑体" w:eastAsia="黑体" w:cs="黑体"/>
          <w:sz w:val="32"/>
          <w:szCs w:val="32"/>
          <w:lang w:val="en-US" w:eastAsia="zh-CN"/>
        </w:rPr>
      </w:pPr>
      <w:bookmarkStart w:id="5" w:name="_Toc28062"/>
      <w:r>
        <w:rPr>
          <w:rFonts w:hint="eastAsia" w:ascii="黑体" w:hAnsi="黑体" w:eastAsia="黑体" w:cs="黑体"/>
          <w:sz w:val="32"/>
          <w:szCs w:val="32"/>
        </w:rPr>
        <w:t xml:space="preserve">第三部分 </w:t>
      </w:r>
      <w:r>
        <w:rPr>
          <w:rFonts w:hint="eastAsia" w:ascii="黑体" w:hAnsi="黑体" w:eastAsia="黑体" w:cs="黑体"/>
          <w:sz w:val="32"/>
          <w:szCs w:val="32"/>
          <w:lang w:val="en-US" w:eastAsia="zh-CN"/>
        </w:rPr>
        <w:t>验收及报价要求</w:t>
      </w:r>
      <w:bookmarkEnd w:id="5"/>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default" w:ascii="微软雅黑" w:hAnsi="微软雅黑" w:eastAsia="微软雅黑" w:cs="微软雅黑"/>
          <w:b w:val="0"/>
          <w:bCs w:val="0"/>
          <w:sz w:val="28"/>
          <w:szCs w:val="28"/>
          <w:lang w:val="en-US" w:eastAsia="zh-CN"/>
        </w:rPr>
      </w:pPr>
      <w:bookmarkStart w:id="6" w:name="_Toc2764"/>
      <w:bookmarkStart w:id="7" w:name="_Toc17210"/>
      <w:bookmarkStart w:id="8" w:name="_Toc11729"/>
      <w:bookmarkStart w:id="9" w:name="_Toc44418765"/>
      <w:bookmarkStart w:id="10" w:name="_Toc48307839"/>
      <w:bookmarkStart w:id="11" w:name="_Toc525677595"/>
      <w:bookmarkStart w:id="12" w:name="_Toc12124"/>
      <w:r>
        <w:rPr>
          <w:rFonts w:hint="eastAsia" w:ascii="微软雅黑" w:hAnsi="微软雅黑" w:eastAsia="微软雅黑" w:cs="微软雅黑"/>
          <w:b w:val="0"/>
          <w:bCs w:val="0"/>
          <w:sz w:val="28"/>
          <w:szCs w:val="28"/>
          <w:lang w:val="en-US" w:eastAsia="zh-CN"/>
        </w:rPr>
        <w:t>一、验收标准</w:t>
      </w:r>
      <w:bookmarkEnd w:id="6"/>
      <w:bookmarkEnd w:id="7"/>
      <w:r>
        <w:rPr>
          <w:rFonts w:hint="eastAsia" w:ascii="微软雅黑" w:hAnsi="微软雅黑" w:eastAsia="微软雅黑" w:cs="微软雅黑"/>
          <w:b w:val="0"/>
          <w:bCs w:val="0"/>
          <w:sz w:val="28"/>
          <w:szCs w:val="28"/>
          <w:lang w:val="en-US" w:eastAsia="zh-CN"/>
        </w:rPr>
        <w:t>和方法</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按照双方签订的合同完成双方约定的工作内容；</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中标方提交成果必须符合招标方系统运行维护相关标准和管理办法；</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中标方必须完成项目要求的所有工作内容，工作完成情况证明由甲方提供。</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如双方认为项目已具备验收条件，中标方以书面方式向招标方提出验收申请，招标方在接到中标方验收申请后组织对中标方提交的资料进行审核，确认中标方提交资料符合项目验收标准后，由招标方组织相关人员对中标方工作提交的交付物进行评审。</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验收时间：中标方提交验收申请，经招标方确认提交资料满足项目验收标准，可以开展验收。</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560" w:firstLineChars="200"/>
        <w:textAlignment w:val="auto"/>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验收地点：双方具</w:t>
      </w:r>
      <w:bookmarkStart w:id="16" w:name="_GoBack"/>
      <w:bookmarkEnd w:id="16"/>
      <w:r>
        <w:rPr>
          <w:rFonts w:hint="eastAsia" w:ascii="仿宋" w:hAnsi="仿宋" w:eastAsia="仿宋" w:cs="仿宋"/>
          <w:sz w:val="28"/>
          <w:szCs w:val="28"/>
          <w:lang w:val="en-US" w:eastAsia="zh-CN"/>
        </w:rPr>
        <w:t>体约定。</w:t>
      </w:r>
    </w:p>
    <w:p>
      <w:pPr>
        <w:keepNext w:val="0"/>
        <w:keepLines w:val="0"/>
        <w:pageBreakBefore w:val="0"/>
        <w:kinsoku/>
        <w:wordWrap/>
        <w:overflowPunct/>
        <w:topLinePunct w:val="0"/>
        <w:autoSpaceDE/>
        <w:autoSpaceDN/>
        <w:bidi w:val="0"/>
        <w:adjustRightInd/>
        <w:snapToGrid/>
        <w:spacing w:line="560" w:lineRule="exact"/>
        <w:ind w:left="0" w:leftChars="0" w:firstLine="638" w:firstLineChars="228"/>
        <w:outlineLvl w:val="1"/>
        <w:rPr>
          <w:rFonts w:hint="eastAsia" w:ascii="仿宋" w:hAnsi="仿宋" w:eastAsia="仿宋" w:cs="仿宋"/>
          <w:sz w:val="28"/>
          <w:szCs w:val="28"/>
          <w:lang w:val="en-US" w:eastAsia="zh-CN"/>
        </w:rPr>
      </w:pPr>
      <w:bookmarkStart w:id="13" w:name="_Toc6747"/>
      <w:bookmarkStart w:id="14" w:name="_Toc13959"/>
      <w:bookmarkStart w:id="15" w:name="_Toc30159"/>
      <w:r>
        <w:rPr>
          <w:rFonts w:hint="eastAsia" w:ascii="微软雅黑" w:hAnsi="微软雅黑" w:eastAsia="微软雅黑" w:cs="微软雅黑"/>
          <w:b w:val="0"/>
          <w:bCs w:val="0"/>
          <w:sz w:val="28"/>
          <w:szCs w:val="28"/>
          <w:lang w:val="en-US" w:eastAsia="zh-CN"/>
        </w:rPr>
        <w:t>二、报价要求</w:t>
      </w:r>
      <w:bookmarkEnd w:id="13"/>
      <w:bookmarkEnd w:id="14"/>
      <w:bookmarkEnd w:id="15"/>
    </w:p>
    <w:p>
      <w:pPr>
        <w:keepNext w:val="0"/>
        <w:keepLines w:val="0"/>
        <w:pageBreakBefore w:val="0"/>
        <w:kinsoku/>
        <w:wordWrap/>
        <w:overflowPunct/>
        <w:topLinePunct w:val="0"/>
        <w:autoSpaceDE/>
        <w:autoSpaceDN/>
        <w:bidi w:val="0"/>
        <w:adjustRightInd/>
        <w:snapToGrid/>
        <w:spacing w:line="560" w:lineRule="exact"/>
        <w:ind w:left="0" w:leftChars="0" w:firstLine="638" w:firstLineChars="228"/>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投标方根据所投标包情况，按照总价报价。</w:t>
      </w:r>
      <w:bookmarkEnd w:id="8"/>
      <w:bookmarkEnd w:id="9"/>
      <w:bookmarkEnd w:id="10"/>
      <w:bookmarkEnd w:id="11"/>
      <w:bookmarkEnd w:id="12"/>
    </w:p>
    <w:sectPr>
      <w:footerReference r:id="rId3" w:type="default"/>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vvpskBAACZ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6u++myQEAAJkDAAAOAAAAAAAAAAEAIAAAAB4BAABkcnMvZTJvRG9j&#10;LnhtbFBLBQYAAAAABgAGAFkBAABZBQAAAAA=&#10;">
              <v:fill on="f" focussize="0,0"/>
              <v:stroke on="f"/>
              <v:imagedata o:title=""/>
              <o:lock v:ext="edit" aspectratio="f"/>
              <v:textbox inset="0mm,0mm,0mm,0mm" style="mso-fit-shape-to-text:t;">
                <w:txbxContent>
                  <w:p>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F63D7"/>
    <w:multiLevelType w:val="multilevel"/>
    <w:tmpl w:val="A89F63D7"/>
    <w:lvl w:ilvl="0" w:tentative="0">
      <w:start w:val="1"/>
      <w:numFmt w:val="decimal"/>
      <w:pStyle w:val="2"/>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color w:val="auto"/>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DB8860E5"/>
    <w:multiLevelType w:val="singleLevel"/>
    <w:tmpl w:val="DB8860E5"/>
    <w:lvl w:ilvl="0" w:tentative="0">
      <w:start w:val="1"/>
      <w:numFmt w:val="decimal"/>
      <w:lvlText w:val="%1."/>
      <w:lvlJc w:val="left"/>
      <w:pPr>
        <w:ind w:left="425" w:hanging="425"/>
      </w:pPr>
      <w:rPr>
        <w:rFonts w:hint="default"/>
      </w:rPr>
    </w:lvl>
  </w:abstractNum>
  <w:abstractNum w:abstractNumId="2">
    <w:nsid w:val="FDB46805"/>
    <w:multiLevelType w:val="singleLevel"/>
    <w:tmpl w:val="FDB46805"/>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yNDg3NDMyMGZhYTljZDM3YTQ0YTZmYmUwNWY2ODUifQ=="/>
  </w:docVars>
  <w:rsids>
    <w:rsidRoot w:val="350F2368"/>
    <w:rsid w:val="000D5CDE"/>
    <w:rsid w:val="002B1257"/>
    <w:rsid w:val="00314105"/>
    <w:rsid w:val="004D3748"/>
    <w:rsid w:val="00597D39"/>
    <w:rsid w:val="008D2C3F"/>
    <w:rsid w:val="009340FE"/>
    <w:rsid w:val="009B7FF1"/>
    <w:rsid w:val="00A4569D"/>
    <w:rsid w:val="00A6482E"/>
    <w:rsid w:val="00A72D40"/>
    <w:rsid w:val="00AE4382"/>
    <w:rsid w:val="00C77D79"/>
    <w:rsid w:val="00D72048"/>
    <w:rsid w:val="00EE0F95"/>
    <w:rsid w:val="00F23B3B"/>
    <w:rsid w:val="00F872D3"/>
    <w:rsid w:val="011210CF"/>
    <w:rsid w:val="01172580"/>
    <w:rsid w:val="011746BA"/>
    <w:rsid w:val="01237060"/>
    <w:rsid w:val="01445C7A"/>
    <w:rsid w:val="014D6204"/>
    <w:rsid w:val="018317CA"/>
    <w:rsid w:val="01A124E8"/>
    <w:rsid w:val="01D34F13"/>
    <w:rsid w:val="01D755C8"/>
    <w:rsid w:val="021F6333"/>
    <w:rsid w:val="02242A3B"/>
    <w:rsid w:val="02726C26"/>
    <w:rsid w:val="02791AC4"/>
    <w:rsid w:val="028326B0"/>
    <w:rsid w:val="028D2DAB"/>
    <w:rsid w:val="02912A99"/>
    <w:rsid w:val="029442A1"/>
    <w:rsid w:val="02C01BA1"/>
    <w:rsid w:val="02CB5530"/>
    <w:rsid w:val="02E74B47"/>
    <w:rsid w:val="02FE7D35"/>
    <w:rsid w:val="03085F9E"/>
    <w:rsid w:val="03295DBA"/>
    <w:rsid w:val="03312AF7"/>
    <w:rsid w:val="03315882"/>
    <w:rsid w:val="03330B49"/>
    <w:rsid w:val="034E01B4"/>
    <w:rsid w:val="03502737"/>
    <w:rsid w:val="03685672"/>
    <w:rsid w:val="0376513B"/>
    <w:rsid w:val="038C0518"/>
    <w:rsid w:val="03C35B52"/>
    <w:rsid w:val="03E91BF7"/>
    <w:rsid w:val="041A29A5"/>
    <w:rsid w:val="04246559"/>
    <w:rsid w:val="045C08CD"/>
    <w:rsid w:val="045F7637"/>
    <w:rsid w:val="047B2E73"/>
    <w:rsid w:val="048B1D8D"/>
    <w:rsid w:val="04961199"/>
    <w:rsid w:val="04B43108"/>
    <w:rsid w:val="04B6631D"/>
    <w:rsid w:val="04CC5A6D"/>
    <w:rsid w:val="04F476B3"/>
    <w:rsid w:val="04FC56BA"/>
    <w:rsid w:val="050A1BC7"/>
    <w:rsid w:val="050B4CF8"/>
    <w:rsid w:val="05157166"/>
    <w:rsid w:val="052C10A2"/>
    <w:rsid w:val="05351298"/>
    <w:rsid w:val="053C4638"/>
    <w:rsid w:val="05665BE0"/>
    <w:rsid w:val="05675C25"/>
    <w:rsid w:val="058B5B61"/>
    <w:rsid w:val="058D717B"/>
    <w:rsid w:val="058F102E"/>
    <w:rsid w:val="059547DF"/>
    <w:rsid w:val="05BF79FA"/>
    <w:rsid w:val="05CF6EA8"/>
    <w:rsid w:val="05D76465"/>
    <w:rsid w:val="05D77224"/>
    <w:rsid w:val="05DA23FD"/>
    <w:rsid w:val="05E03590"/>
    <w:rsid w:val="05FC3913"/>
    <w:rsid w:val="06180B85"/>
    <w:rsid w:val="06223164"/>
    <w:rsid w:val="066B48B4"/>
    <w:rsid w:val="069A088E"/>
    <w:rsid w:val="06A21E2E"/>
    <w:rsid w:val="06A76277"/>
    <w:rsid w:val="06AE1621"/>
    <w:rsid w:val="06B161FD"/>
    <w:rsid w:val="06EA3E18"/>
    <w:rsid w:val="07013B1C"/>
    <w:rsid w:val="07245A20"/>
    <w:rsid w:val="072C1739"/>
    <w:rsid w:val="0744675E"/>
    <w:rsid w:val="07491E6E"/>
    <w:rsid w:val="07656E70"/>
    <w:rsid w:val="077528E0"/>
    <w:rsid w:val="078523E2"/>
    <w:rsid w:val="078B074F"/>
    <w:rsid w:val="078B50A9"/>
    <w:rsid w:val="0797578A"/>
    <w:rsid w:val="079842B4"/>
    <w:rsid w:val="079B4142"/>
    <w:rsid w:val="07BC3409"/>
    <w:rsid w:val="07CD1398"/>
    <w:rsid w:val="07D604F9"/>
    <w:rsid w:val="07E65B26"/>
    <w:rsid w:val="07FF0D7D"/>
    <w:rsid w:val="082C76F8"/>
    <w:rsid w:val="08354784"/>
    <w:rsid w:val="084A5E5A"/>
    <w:rsid w:val="084D4441"/>
    <w:rsid w:val="08857532"/>
    <w:rsid w:val="08A118B5"/>
    <w:rsid w:val="08B12279"/>
    <w:rsid w:val="08B851CB"/>
    <w:rsid w:val="08C52676"/>
    <w:rsid w:val="08CF6925"/>
    <w:rsid w:val="08DA3D0E"/>
    <w:rsid w:val="08E568D9"/>
    <w:rsid w:val="08E67FB7"/>
    <w:rsid w:val="09146371"/>
    <w:rsid w:val="09273175"/>
    <w:rsid w:val="09337A7C"/>
    <w:rsid w:val="09494097"/>
    <w:rsid w:val="0962594D"/>
    <w:rsid w:val="09646CD1"/>
    <w:rsid w:val="09790E1B"/>
    <w:rsid w:val="097D5BE5"/>
    <w:rsid w:val="09A54EB0"/>
    <w:rsid w:val="09B12F69"/>
    <w:rsid w:val="09E16945"/>
    <w:rsid w:val="0A025F9C"/>
    <w:rsid w:val="0A0A1581"/>
    <w:rsid w:val="0A114999"/>
    <w:rsid w:val="0A125D56"/>
    <w:rsid w:val="0A180122"/>
    <w:rsid w:val="0A36774D"/>
    <w:rsid w:val="0A3F7728"/>
    <w:rsid w:val="0A5B53C3"/>
    <w:rsid w:val="0A647320"/>
    <w:rsid w:val="0A655C7C"/>
    <w:rsid w:val="0A986268"/>
    <w:rsid w:val="0AA05CB1"/>
    <w:rsid w:val="0AA600C6"/>
    <w:rsid w:val="0AEB1EBB"/>
    <w:rsid w:val="0B040E94"/>
    <w:rsid w:val="0B1E0271"/>
    <w:rsid w:val="0B290FA5"/>
    <w:rsid w:val="0B2E5767"/>
    <w:rsid w:val="0B32331C"/>
    <w:rsid w:val="0B5504DD"/>
    <w:rsid w:val="0BB211E7"/>
    <w:rsid w:val="0BB47EFB"/>
    <w:rsid w:val="0BCA6F10"/>
    <w:rsid w:val="0BEB7776"/>
    <w:rsid w:val="0BF92E89"/>
    <w:rsid w:val="0BFE1338"/>
    <w:rsid w:val="0C176580"/>
    <w:rsid w:val="0C2B4F94"/>
    <w:rsid w:val="0C345014"/>
    <w:rsid w:val="0C572C4B"/>
    <w:rsid w:val="0C726F54"/>
    <w:rsid w:val="0C81226F"/>
    <w:rsid w:val="0CA203A3"/>
    <w:rsid w:val="0CA97414"/>
    <w:rsid w:val="0CC64A4E"/>
    <w:rsid w:val="0CE27363"/>
    <w:rsid w:val="0CF90255"/>
    <w:rsid w:val="0D005FED"/>
    <w:rsid w:val="0D250242"/>
    <w:rsid w:val="0D2662BC"/>
    <w:rsid w:val="0D35310F"/>
    <w:rsid w:val="0D360375"/>
    <w:rsid w:val="0D4411F3"/>
    <w:rsid w:val="0D6F3C11"/>
    <w:rsid w:val="0D863E15"/>
    <w:rsid w:val="0D864814"/>
    <w:rsid w:val="0D892318"/>
    <w:rsid w:val="0DA90ED3"/>
    <w:rsid w:val="0DAA0B26"/>
    <w:rsid w:val="0DD41B37"/>
    <w:rsid w:val="0DDD61E1"/>
    <w:rsid w:val="0DDD7F78"/>
    <w:rsid w:val="0DE879C4"/>
    <w:rsid w:val="0DF5716E"/>
    <w:rsid w:val="0E061953"/>
    <w:rsid w:val="0E0A3916"/>
    <w:rsid w:val="0E177A97"/>
    <w:rsid w:val="0E5E0E21"/>
    <w:rsid w:val="0E623478"/>
    <w:rsid w:val="0E7E250F"/>
    <w:rsid w:val="0E8A2B21"/>
    <w:rsid w:val="0EA16159"/>
    <w:rsid w:val="0ECA6971"/>
    <w:rsid w:val="0EDE51B8"/>
    <w:rsid w:val="0EEA013B"/>
    <w:rsid w:val="0F0932A6"/>
    <w:rsid w:val="0F293DF1"/>
    <w:rsid w:val="0F540F37"/>
    <w:rsid w:val="0F584BB9"/>
    <w:rsid w:val="0F691B78"/>
    <w:rsid w:val="0F70343E"/>
    <w:rsid w:val="0F7E3477"/>
    <w:rsid w:val="0F927717"/>
    <w:rsid w:val="0F9D780E"/>
    <w:rsid w:val="0FBF3020"/>
    <w:rsid w:val="0FDA714A"/>
    <w:rsid w:val="10002FC7"/>
    <w:rsid w:val="101B4774"/>
    <w:rsid w:val="104C4DC9"/>
    <w:rsid w:val="10697D65"/>
    <w:rsid w:val="10786797"/>
    <w:rsid w:val="1091203B"/>
    <w:rsid w:val="10973F44"/>
    <w:rsid w:val="109C1DDB"/>
    <w:rsid w:val="10B75739"/>
    <w:rsid w:val="10BB2683"/>
    <w:rsid w:val="10C40887"/>
    <w:rsid w:val="10DA6664"/>
    <w:rsid w:val="10EF32AC"/>
    <w:rsid w:val="11147D97"/>
    <w:rsid w:val="1124328F"/>
    <w:rsid w:val="11265507"/>
    <w:rsid w:val="112A2243"/>
    <w:rsid w:val="114A4974"/>
    <w:rsid w:val="115341FE"/>
    <w:rsid w:val="116358DE"/>
    <w:rsid w:val="11635C16"/>
    <w:rsid w:val="116B1E63"/>
    <w:rsid w:val="11794CB8"/>
    <w:rsid w:val="11822D7B"/>
    <w:rsid w:val="119373A4"/>
    <w:rsid w:val="11A4060A"/>
    <w:rsid w:val="11A82EB4"/>
    <w:rsid w:val="11B15EFB"/>
    <w:rsid w:val="11CA68BF"/>
    <w:rsid w:val="11D520F5"/>
    <w:rsid w:val="12050751"/>
    <w:rsid w:val="120C7329"/>
    <w:rsid w:val="1215137E"/>
    <w:rsid w:val="1225160F"/>
    <w:rsid w:val="12315BAB"/>
    <w:rsid w:val="124D53A5"/>
    <w:rsid w:val="12681880"/>
    <w:rsid w:val="127B5307"/>
    <w:rsid w:val="12A6500C"/>
    <w:rsid w:val="12D1012D"/>
    <w:rsid w:val="12D46D72"/>
    <w:rsid w:val="12EF07CD"/>
    <w:rsid w:val="13252E58"/>
    <w:rsid w:val="132C5BD2"/>
    <w:rsid w:val="135C7F4F"/>
    <w:rsid w:val="136524D2"/>
    <w:rsid w:val="13673AC0"/>
    <w:rsid w:val="13705008"/>
    <w:rsid w:val="1384427D"/>
    <w:rsid w:val="138F7646"/>
    <w:rsid w:val="13B20701"/>
    <w:rsid w:val="13D15990"/>
    <w:rsid w:val="13D90908"/>
    <w:rsid w:val="13D914BA"/>
    <w:rsid w:val="13EC2C49"/>
    <w:rsid w:val="13FB0730"/>
    <w:rsid w:val="1403215D"/>
    <w:rsid w:val="1410457B"/>
    <w:rsid w:val="14146F07"/>
    <w:rsid w:val="14191607"/>
    <w:rsid w:val="14391EBC"/>
    <w:rsid w:val="144F625E"/>
    <w:rsid w:val="145C3375"/>
    <w:rsid w:val="145D7EE8"/>
    <w:rsid w:val="14847EEB"/>
    <w:rsid w:val="148B2AC9"/>
    <w:rsid w:val="14AC2AA8"/>
    <w:rsid w:val="14CE5A70"/>
    <w:rsid w:val="14E409E6"/>
    <w:rsid w:val="15073984"/>
    <w:rsid w:val="15452431"/>
    <w:rsid w:val="15485223"/>
    <w:rsid w:val="15485540"/>
    <w:rsid w:val="15665F57"/>
    <w:rsid w:val="15686D2B"/>
    <w:rsid w:val="1575060C"/>
    <w:rsid w:val="15782E4A"/>
    <w:rsid w:val="158032BB"/>
    <w:rsid w:val="15941DE3"/>
    <w:rsid w:val="159F7D63"/>
    <w:rsid w:val="15B33927"/>
    <w:rsid w:val="15B45D13"/>
    <w:rsid w:val="15BD5AC4"/>
    <w:rsid w:val="15D20AE7"/>
    <w:rsid w:val="15DE4FA5"/>
    <w:rsid w:val="15E32868"/>
    <w:rsid w:val="15EC2B0D"/>
    <w:rsid w:val="15FE30A5"/>
    <w:rsid w:val="16061EC6"/>
    <w:rsid w:val="160B777B"/>
    <w:rsid w:val="163E2B9C"/>
    <w:rsid w:val="164E4FF6"/>
    <w:rsid w:val="164E6850"/>
    <w:rsid w:val="16667F7E"/>
    <w:rsid w:val="166D75E0"/>
    <w:rsid w:val="167C53E2"/>
    <w:rsid w:val="16807B7E"/>
    <w:rsid w:val="168B3AA8"/>
    <w:rsid w:val="16B70158"/>
    <w:rsid w:val="16BC5F6B"/>
    <w:rsid w:val="16C9618D"/>
    <w:rsid w:val="16F04B29"/>
    <w:rsid w:val="16F73995"/>
    <w:rsid w:val="170F7A63"/>
    <w:rsid w:val="17103863"/>
    <w:rsid w:val="172261F6"/>
    <w:rsid w:val="17240306"/>
    <w:rsid w:val="17263809"/>
    <w:rsid w:val="172E1E6C"/>
    <w:rsid w:val="17512F1F"/>
    <w:rsid w:val="176B2C78"/>
    <w:rsid w:val="176C06FA"/>
    <w:rsid w:val="17723D28"/>
    <w:rsid w:val="17952B15"/>
    <w:rsid w:val="17A361D7"/>
    <w:rsid w:val="17AD1C3F"/>
    <w:rsid w:val="17C53859"/>
    <w:rsid w:val="17EA2281"/>
    <w:rsid w:val="17EC0EE1"/>
    <w:rsid w:val="180A4570"/>
    <w:rsid w:val="18136364"/>
    <w:rsid w:val="184F0A7E"/>
    <w:rsid w:val="18571E16"/>
    <w:rsid w:val="185F7AB5"/>
    <w:rsid w:val="18766E81"/>
    <w:rsid w:val="187745DD"/>
    <w:rsid w:val="187D4F78"/>
    <w:rsid w:val="189A5B1E"/>
    <w:rsid w:val="18A16E12"/>
    <w:rsid w:val="18B97EB1"/>
    <w:rsid w:val="18DC7B16"/>
    <w:rsid w:val="192648D4"/>
    <w:rsid w:val="194C5F7E"/>
    <w:rsid w:val="194E2E45"/>
    <w:rsid w:val="19621DFA"/>
    <w:rsid w:val="19695076"/>
    <w:rsid w:val="196E3D12"/>
    <w:rsid w:val="19711F09"/>
    <w:rsid w:val="197A1CBB"/>
    <w:rsid w:val="19865083"/>
    <w:rsid w:val="198C0B08"/>
    <w:rsid w:val="19920D03"/>
    <w:rsid w:val="199636BA"/>
    <w:rsid w:val="199F0C72"/>
    <w:rsid w:val="19A07F9A"/>
    <w:rsid w:val="19B73292"/>
    <w:rsid w:val="19CC05ED"/>
    <w:rsid w:val="19CE5CE6"/>
    <w:rsid w:val="19F269BB"/>
    <w:rsid w:val="1A0C6D6E"/>
    <w:rsid w:val="1A1518F9"/>
    <w:rsid w:val="1A3E181D"/>
    <w:rsid w:val="1A535A95"/>
    <w:rsid w:val="1A802601"/>
    <w:rsid w:val="1A874F07"/>
    <w:rsid w:val="1A99106F"/>
    <w:rsid w:val="1AD13DC1"/>
    <w:rsid w:val="1ADA0C3D"/>
    <w:rsid w:val="1AE071E6"/>
    <w:rsid w:val="1AED6C07"/>
    <w:rsid w:val="1AF1250F"/>
    <w:rsid w:val="1B0B11D4"/>
    <w:rsid w:val="1B4C2B82"/>
    <w:rsid w:val="1B9A041E"/>
    <w:rsid w:val="1BA674B0"/>
    <w:rsid w:val="1BB06DB1"/>
    <w:rsid w:val="1BB866F7"/>
    <w:rsid w:val="1BC54678"/>
    <w:rsid w:val="1BC747B2"/>
    <w:rsid w:val="1BDE0236"/>
    <w:rsid w:val="1BE62AD2"/>
    <w:rsid w:val="1BE93A56"/>
    <w:rsid w:val="1C192075"/>
    <w:rsid w:val="1C2B6054"/>
    <w:rsid w:val="1C2D2037"/>
    <w:rsid w:val="1C384E5A"/>
    <w:rsid w:val="1C3C2CE7"/>
    <w:rsid w:val="1C5B4108"/>
    <w:rsid w:val="1C9E4574"/>
    <w:rsid w:val="1CA35098"/>
    <w:rsid w:val="1CAE7810"/>
    <w:rsid w:val="1CDA28EC"/>
    <w:rsid w:val="1CED76F8"/>
    <w:rsid w:val="1CEE1E10"/>
    <w:rsid w:val="1CF21D0A"/>
    <w:rsid w:val="1CFD485F"/>
    <w:rsid w:val="1D0D6E6E"/>
    <w:rsid w:val="1D18212B"/>
    <w:rsid w:val="1D4E55A7"/>
    <w:rsid w:val="1D4F7831"/>
    <w:rsid w:val="1D552ACE"/>
    <w:rsid w:val="1D557944"/>
    <w:rsid w:val="1D627323"/>
    <w:rsid w:val="1D7612F0"/>
    <w:rsid w:val="1D7644E2"/>
    <w:rsid w:val="1D7D3C3C"/>
    <w:rsid w:val="1DB058FD"/>
    <w:rsid w:val="1DB84E0C"/>
    <w:rsid w:val="1DBE7095"/>
    <w:rsid w:val="1DC40899"/>
    <w:rsid w:val="1DC83410"/>
    <w:rsid w:val="1DE56427"/>
    <w:rsid w:val="1DE8494B"/>
    <w:rsid w:val="1DF12253"/>
    <w:rsid w:val="1E20575B"/>
    <w:rsid w:val="1E480F0C"/>
    <w:rsid w:val="1E6750EF"/>
    <w:rsid w:val="1E7335D0"/>
    <w:rsid w:val="1E802056"/>
    <w:rsid w:val="1E8B606A"/>
    <w:rsid w:val="1E98291E"/>
    <w:rsid w:val="1E9D4C0A"/>
    <w:rsid w:val="1EA72B73"/>
    <w:rsid w:val="1EC12BA5"/>
    <w:rsid w:val="1EE1368C"/>
    <w:rsid w:val="1F0860D3"/>
    <w:rsid w:val="1F0D587D"/>
    <w:rsid w:val="1F1553FA"/>
    <w:rsid w:val="1F1B7772"/>
    <w:rsid w:val="1F6411B4"/>
    <w:rsid w:val="1F683F67"/>
    <w:rsid w:val="1F6B0029"/>
    <w:rsid w:val="1F6B763E"/>
    <w:rsid w:val="1F7B2A2F"/>
    <w:rsid w:val="1F915A8E"/>
    <w:rsid w:val="1F990CE4"/>
    <w:rsid w:val="1FA96A6A"/>
    <w:rsid w:val="1FAB6D63"/>
    <w:rsid w:val="1FB93753"/>
    <w:rsid w:val="1FBA6FA9"/>
    <w:rsid w:val="1FD344CE"/>
    <w:rsid w:val="1FD41AD0"/>
    <w:rsid w:val="200F4110"/>
    <w:rsid w:val="20254DF7"/>
    <w:rsid w:val="20994A58"/>
    <w:rsid w:val="209D7B89"/>
    <w:rsid w:val="209F379E"/>
    <w:rsid w:val="20A65360"/>
    <w:rsid w:val="20B307AF"/>
    <w:rsid w:val="20D74133"/>
    <w:rsid w:val="20FC755D"/>
    <w:rsid w:val="21060EBB"/>
    <w:rsid w:val="21112D2A"/>
    <w:rsid w:val="21194BDE"/>
    <w:rsid w:val="21245389"/>
    <w:rsid w:val="21277E1F"/>
    <w:rsid w:val="212F207F"/>
    <w:rsid w:val="21616C13"/>
    <w:rsid w:val="21733A6D"/>
    <w:rsid w:val="21770E5D"/>
    <w:rsid w:val="219437A5"/>
    <w:rsid w:val="219707AA"/>
    <w:rsid w:val="21AF5E51"/>
    <w:rsid w:val="21B0350C"/>
    <w:rsid w:val="21CC6941"/>
    <w:rsid w:val="21D5280D"/>
    <w:rsid w:val="220D066F"/>
    <w:rsid w:val="220F536C"/>
    <w:rsid w:val="223D47C8"/>
    <w:rsid w:val="225A5FB7"/>
    <w:rsid w:val="22605CDE"/>
    <w:rsid w:val="226C4CCB"/>
    <w:rsid w:val="22742EF5"/>
    <w:rsid w:val="227F436E"/>
    <w:rsid w:val="22946EAE"/>
    <w:rsid w:val="2296215B"/>
    <w:rsid w:val="22B115E4"/>
    <w:rsid w:val="22B212B9"/>
    <w:rsid w:val="22B955C9"/>
    <w:rsid w:val="22CF6444"/>
    <w:rsid w:val="22D648ED"/>
    <w:rsid w:val="22DD3B85"/>
    <w:rsid w:val="22E01310"/>
    <w:rsid w:val="22F34ABF"/>
    <w:rsid w:val="22F96E2D"/>
    <w:rsid w:val="23054ACD"/>
    <w:rsid w:val="233B1D32"/>
    <w:rsid w:val="234E1D0D"/>
    <w:rsid w:val="23555F99"/>
    <w:rsid w:val="236D744E"/>
    <w:rsid w:val="238B1EDE"/>
    <w:rsid w:val="239132AC"/>
    <w:rsid w:val="23AF7C8E"/>
    <w:rsid w:val="23C70A3F"/>
    <w:rsid w:val="23E8548E"/>
    <w:rsid w:val="23F20BD7"/>
    <w:rsid w:val="23F47712"/>
    <w:rsid w:val="24082AA9"/>
    <w:rsid w:val="24783DD6"/>
    <w:rsid w:val="248302DB"/>
    <w:rsid w:val="2486489A"/>
    <w:rsid w:val="249C435D"/>
    <w:rsid w:val="24A63F11"/>
    <w:rsid w:val="24AB4A06"/>
    <w:rsid w:val="24D60235"/>
    <w:rsid w:val="24D91712"/>
    <w:rsid w:val="24DF2E6B"/>
    <w:rsid w:val="24F24C07"/>
    <w:rsid w:val="25384C3F"/>
    <w:rsid w:val="25396DCA"/>
    <w:rsid w:val="2546725C"/>
    <w:rsid w:val="256128BB"/>
    <w:rsid w:val="256D33C9"/>
    <w:rsid w:val="258F0617"/>
    <w:rsid w:val="259F4B63"/>
    <w:rsid w:val="25B30EB3"/>
    <w:rsid w:val="25E11C95"/>
    <w:rsid w:val="25F3280F"/>
    <w:rsid w:val="25F71AE9"/>
    <w:rsid w:val="264417A2"/>
    <w:rsid w:val="266C091C"/>
    <w:rsid w:val="267D704F"/>
    <w:rsid w:val="269D7D75"/>
    <w:rsid w:val="26A80AF7"/>
    <w:rsid w:val="26B11406"/>
    <w:rsid w:val="26B32098"/>
    <w:rsid w:val="26B53690"/>
    <w:rsid w:val="26C13074"/>
    <w:rsid w:val="26E23097"/>
    <w:rsid w:val="26E31EF8"/>
    <w:rsid w:val="26E9406E"/>
    <w:rsid w:val="26F232F1"/>
    <w:rsid w:val="26F66678"/>
    <w:rsid w:val="27112725"/>
    <w:rsid w:val="27235A8F"/>
    <w:rsid w:val="273C042E"/>
    <w:rsid w:val="274B7394"/>
    <w:rsid w:val="275F6758"/>
    <w:rsid w:val="2760283D"/>
    <w:rsid w:val="27724709"/>
    <w:rsid w:val="277E4F17"/>
    <w:rsid w:val="279028A9"/>
    <w:rsid w:val="27917BBE"/>
    <w:rsid w:val="27A376E8"/>
    <w:rsid w:val="27A47613"/>
    <w:rsid w:val="27B507F5"/>
    <w:rsid w:val="27B95026"/>
    <w:rsid w:val="27CD554B"/>
    <w:rsid w:val="28061E19"/>
    <w:rsid w:val="282029E4"/>
    <w:rsid w:val="282C7FB8"/>
    <w:rsid w:val="28327C48"/>
    <w:rsid w:val="284F1AD3"/>
    <w:rsid w:val="28AF6124"/>
    <w:rsid w:val="28E8265B"/>
    <w:rsid w:val="29112809"/>
    <w:rsid w:val="29373935"/>
    <w:rsid w:val="294A2690"/>
    <w:rsid w:val="2988524B"/>
    <w:rsid w:val="29914894"/>
    <w:rsid w:val="29947814"/>
    <w:rsid w:val="29A85C77"/>
    <w:rsid w:val="29B128F7"/>
    <w:rsid w:val="29BB777B"/>
    <w:rsid w:val="29EE73D5"/>
    <w:rsid w:val="29F84C84"/>
    <w:rsid w:val="2A01071E"/>
    <w:rsid w:val="2A117F1D"/>
    <w:rsid w:val="2A151A98"/>
    <w:rsid w:val="2A2242D6"/>
    <w:rsid w:val="2A3A108A"/>
    <w:rsid w:val="2A4E1DBD"/>
    <w:rsid w:val="2A5C46BC"/>
    <w:rsid w:val="2A6E20F7"/>
    <w:rsid w:val="2A70174A"/>
    <w:rsid w:val="2A914C65"/>
    <w:rsid w:val="2AA40CA4"/>
    <w:rsid w:val="2AD81D68"/>
    <w:rsid w:val="2AFE417F"/>
    <w:rsid w:val="2B30035F"/>
    <w:rsid w:val="2B372E74"/>
    <w:rsid w:val="2B4724AE"/>
    <w:rsid w:val="2B4D08A0"/>
    <w:rsid w:val="2B563729"/>
    <w:rsid w:val="2B595611"/>
    <w:rsid w:val="2B6D25B1"/>
    <w:rsid w:val="2B826372"/>
    <w:rsid w:val="2B926021"/>
    <w:rsid w:val="2B9E3B1D"/>
    <w:rsid w:val="2BD33847"/>
    <w:rsid w:val="2BFF3FBA"/>
    <w:rsid w:val="2C06004A"/>
    <w:rsid w:val="2C2A4A49"/>
    <w:rsid w:val="2C364C5A"/>
    <w:rsid w:val="2C370FFD"/>
    <w:rsid w:val="2C3F0FCD"/>
    <w:rsid w:val="2C416794"/>
    <w:rsid w:val="2C723036"/>
    <w:rsid w:val="2C85442B"/>
    <w:rsid w:val="2C9C291B"/>
    <w:rsid w:val="2CE8555E"/>
    <w:rsid w:val="2CEA2F1C"/>
    <w:rsid w:val="2CEB683C"/>
    <w:rsid w:val="2CF61B50"/>
    <w:rsid w:val="2CF72845"/>
    <w:rsid w:val="2D340D54"/>
    <w:rsid w:val="2D501D17"/>
    <w:rsid w:val="2D625E25"/>
    <w:rsid w:val="2D7A5245"/>
    <w:rsid w:val="2D7D664F"/>
    <w:rsid w:val="2D8E5D20"/>
    <w:rsid w:val="2D95516B"/>
    <w:rsid w:val="2D9B373A"/>
    <w:rsid w:val="2DB66EB7"/>
    <w:rsid w:val="2DBE1A7D"/>
    <w:rsid w:val="2E111978"/>
    <w:rsid w:val="2E1C5E37"/>
    <w:rsid w:val="2E3253C1"/>
    <w:rsid w:val="2E463919"/>
    <w:rsid w:val="2E734AF7"/>
    <w:rsid w:val="2E805421"/>
    <w:rsid w:val="2EBB6458"/>
    <w:rsid w:val="2EC446CC"/>
    <w:rsid w:val="2EE338FA"/>
    <w:rsid w:val="2F260855"/>
    <w:rsid w:val="2F2A6243"/>
    <w:rsid w:val="2F2C55EB"/>
    <w:rsid w:val="2F2F75FF"/>
    <w:rsid w:val="2F35404C"/>
    <w:rsid w:val="2F3F025E"/>
    <w:rsid w:val="2F3F4014"/>
    <w:rsid w:val="2F593BCC"/>
    <w:rsid w:val="2F6354CD"/>
    <w:rsid w:val="2F746C21"/>
    <w:rsid w:val="2F7E7573"/>
    <w:rsid w:val="2F887931"/>
    <w:rsid w:val="2F905077"/>
    <w:rsid w:val="2F991300"/>
    <w:rsid w:val="2F9D2B88"/>
    <w:rsid w:val="2FAF3AF2"/>
    <w:rsid w:val="2FBE2364"/>
    <w:rsid w:val="2FC90B4B"/>
    <w:rsid w:val="2FC94E71"/>
    <w:rsid w:val="2FD26958"/>
    <w:rsid w:val="2FE64468"/>
    <w:rsid w:val="2FE924A4"/>
    <w:rsid w:val="2FEF2B33"/>
    <w:rsid w:val="2FF624BE"/>
    <w:rsid w:val="301072F1"/>
    <w:rsid w:val="30222A47"/>
    <w:rsid w:val="306933A4"/>
    <w:rsid w:val="307013BC"/>
    <w:rsid w:val="307F7365"/>
    <w:rsid w:val="308643E0"/>
    <w:rsid w:val="30871DAD"/>
    <w:rsid w:val="308C323D"/>
    <w:rsid w:val="30901DA5"/>
    <w:rsid w:val="30927E37"/>
    <w:rsid w:val="30D739CE"/>
    <w:rsid w:val="30D95D3B"/>
    <w:rsid w:val="313220CC"/>
    <w:rsid w:val="313B5B25"/>
    <w:rsid w:val="31442F5B"/>
    <w:rsid w:val="31551435"/>
    <w:rsid w:val="3156668A"/>
    <w:rsid w:val="31797966"/>
    <w:rsid w:val="318B5B3E"/>
    <w:rsid w:val="31A26577"/>
    <w:rsid w:val="31A7448B"/>
    <w:rsid w:val="31B07F56"/>
    <w:rsid w:val="31B45BB2"/>
    <w:rsid w:val="31B70E47"/>
    <w:rsid w:val="31C309B2"/>
    <w:rsid w:val="31E347F3"/>
    <w:rsid w:val="31E85120"/>
    <w:rsid w:val="31EE5579"/>
    <w:rsid w:val="31F71FD3"/>
    <w:rsid w:val="32121533"/>
    <w:rsid w:val="32156DE3"/>
    <w:rsid w:val="32182C6C"/>
    <w:rsid w:val="321B633F"/>
    <w:rsid w:val="321B75C5"/>
    <w:rsid w:val="321D33B6"/>
    <w:rsid w:val="32304439"/>
    <w:rsid w:val="326A79C4"/>
    <w:rsid w:val="32874D75"/>
    <w:rsid w:val="32AD4D1C"/>
    <w:rsid w:val="32B12474"/>
    <w:rsid w:val="32C122A5"/>
    <w:rsid w:val="32C54767"/>
    <w:rsid w:val="33365E13"/>
    <w:rsid w:val="33421C96"/>
    <w:rsid w:val="33703942"/>
    <w:rsid w:val="337D736E"/>
    <w:rsid w:val="33A57315"/>
    <w:rsid w:val="33B74B66"/>
    <w:rsid w:val="33CA028C"/>
    <w:rsid w:val="33FD48FB"/>
    <w:rsid w:val="33FF585B"/>
    <w:rsid w:val="340A6A67"/>
    <w:rsid w:val="34153E8B"/>
    <w:rsid w:val="34455A0C"/>
    <w:rsid w:val="34554E06"/>
    <w:rsid w:val="34781CA2"/>
    <w:rsid w:val="3494384B"/>
    <w:rsid w:val="34BD66EF"/>
    <w:rsid w:val="34D423BC"/>
    <w:rsid w:val="34D94633"/>
    <w:rsid w:val="34F03D38"/>
    <w:rsid w:val="35027873"/>
    <w:rsid w:val="350F2368"/>
    <w:rsid w:val="35117CAF"/>
    <w:rsid w:val="351631D8"/>
    <w:rsid w:val="3516554E"/>
    <w:rsid w:val="35213938"/>
    <w:rsid w:val="352369B3"/>
    <w:rsid w:val="35336E04"/>
    <w:rsid w:val="353D2618"/>
    <w:rsid w:val="3545011C"/>
    <w:rsid w:val="35492D45"/>
    <w:rsid w:val="3551122F"/>
    <w:rsid w:val="355256D7"/>
    <w:rsid w:val="356966D8"/>
    <w:rsid w:val="357331BF"/>
    <w:rsid w:val="35736BEE"/>
    <w:rsid w:val="357D0F3C"/>
    <w:rsid w:val="359A024B"/>
    <w:rsid w:val="359B736C"/>
    <w:rsid w:val="35B516AA"/>
    <w:rsid w:val="35B80761"/>
    <w:rsid w:val="35C13BBE"/>
    <w:rsid w:val="35ED42F3"/>
    <w:rsid w:val="35F1746A"/>
    <w:rsid w:val="360B3506"/>
    <w:rsid w:val="36124C92"/>
    <w:rsid w:val="36153FFB"/>
    <w:rsid w:val="362A235B"/>
    <w:rsid w:val="364D3911"/>
    <w:rsid w:val="367F23F7"/>
    <w:rsid w:val="36AD7B6C"/>
    <w:rsid w:val="36B81CC2"/>
    <w:rsid w:val="36BC67A6"/>
    <w:rsid w:val="36C308D5"/>
    <w:rsid w:val="36DE604C"/>
    <w:rsid w:val="36E36A4B"/>
    <w:rsid w:val="36E72CCD"/>
    <w:rsid w:val="36F243F3"/>
    <w:rsid w:val="374D5390"/>
    <w:rsid w:val="375C505F"/>
    <w:rsid w:val="378617CC"/>
    <w:rsid w:val="378B310C"/>
    <w:rsid w:val="37B0553D"/>
    <w:rsid w:val="37B16F90"/>
    <w:rsid w:val="37B254C3"/>
    <w:rsid w:val="37B912C2"/>
    <w:rsid w:val="37BF342E"/>
    <w:rsid w:val="37C243C2"/>
    <w:rsid w:val="37C36345"/>
    <w:rsid w:val="38232AA8"/>
    <w:rsid w:val="383A1FE3"/>
    <w:rsid w:val="383A4616"/>
    <w:rsid w:val="384D48AB"/>
    <w:rsid w:val="38964D2D"/>
    <w:rsid w:val="38A636D1"/>
    <w:rsid w:val="38BB5078"/>
    <w:rsid w:val="38D31E02"/>
    <w:rsid w:val="38D90F64"/>
    <w:rsid w:val="38DD72A1"/>
    <w:rsid w:val="38E3655A"/>
    <w:rsid w:val="38FF6951"/>
    <w:rsid w:val="39137E32"/>
    <w:rsid w:val="392E23BC"/>
    <w:rsid w:val="39335EA0"/>
    <w:rsid w:val="394E3D89"/>
    <w:rsid w:val="3954514C"/>
    <w:rsid w:val="395D4D93"/>
    <w:rsid w:val="39635B9A"/>
    <w:rsid w:val="396E5457"/>
    <w:rsid w:val="39710B59"/>
    <w:rsid w:val="397631C1"/>
    <w:rsid w:val="39C36E05"/>
    <w:rsid w:val="39D9564F"/>
    <w:rsid w:val="39EF310C"/>
    <w:rsid w:val="3A0D762B"/>
    <w:rsid w:val="3A1160A3"/>
    <w:rsid w:val="3A145456"/>
    <w:rsid w:val="3A322808"/>
    <w:rsid w:val="3A367972"/>
    <w:rsid w:val="3A482811"/>
    <w:rsid w:val="3A7B2834"/>
    <w:rsid w:val="3A8F3A09"/>
    <w:rsid w:val="3A9A3131"/>
    <w:rsid w:val="3AB87F56"/>
    <w:rsid w:val="3ADE0038"/>
    <w:rsid w:val="3ADE17A4"/>
    <w:rsid w:val="3ADF03A2"/>
    <w:rsid w:val="3B19698D"/>
    <w:rsid w:val="3B1B2786"/>
    <w:rsid w:val="3B1B4D0B"/>
    <w:rsid w:val="3B1F7A7C"/>
    <w:rsid w:val="3B353D88"/>
    <w:rsid w:val="3B410447"/>
    <w:rsid w:val="3B4712DE"/>
    <w:rsid w:val="3B505B42"/>
    <w:rsid w:val="3B610B25"/>
    <w:rsid w:val="3B8C5D21"/>
    <w:rsid w:val="3BA55F7B"/>
    <w:rsid w:val="3BB058A5"/>
    <w:rsid w:val="3BD65D04"/>
    <w:rsid w:val="3BF66130"/>
    <w:rsid w:val="3BF94CB4"/>
    <w:rsid w:val="3BFE407D"/>
    <w:rsid w:val="3C1813A4"/>
    <w:rsid w:val="3C1E0283"/>
    <w:rsid w:val="3C2052F1"/>
    <w:rsid w:val="3C452E9C"/>
    <w:rsid w:val="3C676E18"/>
    <w:rsid w:val="3C9654F5"/>
    <w:rsid w:val="3CBE700D"/>
    <w:rsid w:val="3CFB5B9D"/>
    <w:rsid w:val="3CFC149C"/>
    <w:rsid w:val="3D016837"/>
    <w:rsid w:val="3D1D7A3D"/>
    <w:rsid w:val="3D1F1BF6"/>
    <w:rsid w:val="3D3B4672"/>
    <w:rsid w:val="3D4F2725"/>
    <w:rsid w:val="3D630C7E"/>
    <w:rsid w:val="3D684948"/>
    <w:rsid w:val="3D6A0441"/>
    <w:rsid w:val="3D6E7007"/>
    <w:rsid w:val="3DA36079"/>
    <w:rsid w:val="3DA636D8"/>
    <w:rsid w:val="3DB90AD0"/>
    <w:rsid w:val="3DBA4D92"/>
    <w:rsid w:val="3DDE328E"/>
    <w:rsid w:val="3DDF414E"/>
    <w:rsid w:val="3E075241"/>
    <w:rsid w:val="3E566AB9"/>
    <w:rsid w:val="3E5B2799"/>
    <w:rsid w:val="3E5B2C0D"/>
    <w:rsid w:val="3E9D5A35"/>
    <w:rsid w:val="3EC84B0B"/>
    <w:rsid w:val="3ECC01AA"/>
    <w:rsid w:val="3ED65A24"/>
    <w:rsid w:val="3EEE0DCF"/>
    <w:rsid w:val="3F121EFD"/>
    <w:rsid w:val="3F180185"/>
    <w:rsid w:val="3F2C4E79"/>
    <w:rsid w:val="3F2D2EF7"/>
    <w:rsid w:val="3F623746"/>
    <w:rsid w:val="3F646A71"/>
    <w:rsid w:val="3F660752"/>
    <w:rsid w:val="3F6D319B"/>
    <w:rsid w:val="3F6D76B7"/>
    <w:rsid w:val="3F8C082E"/>
    <w:rsid w:val="3FC36A34"/>
    <w:rsid w:val="3FD93667"/>
    <w:rsid w:val="3FE91891"/>
    <w:rsid w:val="3FEA7708"/>
    <w:rsid w:val="40044416"/>
    <w:rsid w:val="40192F3A"/>
    <w:rsid w:val="402A59BE"/>
    <w:rsid w:val="406121D0"/>
    <w:rsid w:val="406B2682"/>
    <w:rsid w:val="407C3DA4"/>
    <w:rsid w:val="40885350"/>
    <w:rsid w:val="408974D5"/>
    <w:rsid w:val="408A4FA4"/>
    <w:rsid w:val="40B04F24"/>
    <w:rsid w:val="40C23936"/>
    <w:rsid w:val="40C25AD1"/>
    <w:rsid w:val="40EC6B32"/>
    <w:rsid w:val="41015BB9"/>
    <w:rsid w:val="411E52BB"/>
    <w:rsid w:val="413133B2"/>
    <w:rsid w:val="41414D85"/>
    <w:rsid w:val="414E363B"/>
    <w:rsid w:val="41572DCF"/>
    <w:rsid w:val="4158622C"/>
    <w:rsid w:val="418A5B8E"/>
    <w:rsid w:val="41A00725"/>
    <w:rsid w:val="41AC77BD"/>
    <w:rsid w:val="41C504EB"/>
    <w:rsid w:val="41FA784B"/>
    <w:rsid w:val="420C55F9"/>
    <w:rsid w:val="422F40A9"/>
    <w:rsid w:val="42451FA2"/>
    <w:rsid w:val="4250383A"/>
    <w:rsid w:val="427A361C"/>
    <w:rsid w:val="429302B4"/>
    <w:rsid w:val="429F09B8"/>
    <w:rsid w:val="42CE74E6"/>
    <w:rsid w:val="42F40A92"/>
    <w:rsid w:val="43037CD9"/>
    <w:rsid w:val="43201110"/>
    <w:rsid w:val="432B256E"/>
    <w:rsid w:val="432E1128"/>
    <w:rsid w:val="433C62C2"/>
    <w:rsid w:val="43415E76"/>
    <w:rsid w:val="435272BE"/>
    <w:rsid w:val="43546DE3"/>
    <w:rsid w:val="436B4229"/>
    <w:rsid w:val="43727744"/>
    <w:rsid w:val="43AA1790"/>
    <w:rsid w:val="43AA3533"/>
    <w:rsid w:val="43AA6444"/>
    <w:rsid w:val="43C63E12"/>
    <w:rsid w:val="43D84561"/>
    <w:rsid w:val="43FF1D34"/>
    <w:rsid w:val="44197992"/>
    <w:rsid w:val="441C01BA"/>
    <w:rsid w:val="443A0BF9"/>
    <w:rsid w:val="443B0F1F"/>
    <w:rsid w:val="44555758"/>
    <w:rsid w:val="446A5B24"/>
    <w:rsid w:val="44D65F8A"/>
    <w:rsid w:val="44DC24AF"/>
    <w:rsid w:val="44EE1C2B"/>
    <w:rsid w:val="44EE2D62"/>
    <w:rsid w:val="45272FA3"/>
    <w:rsid w:val="452D6715"/>
    <w:rsid w:val="453278B3"/>
    <w:rsid w:val="45345F08"/>
    <w:rsid w:val="45353B4F"/>
    <w:rsid w:val="45610BE3"/>
    <w:rsid w:val="456F5BF8"/>
    <w:rsid w:val="45765583"/>
    <w:rsid w:val="457816F8"/>
    <w:rsid w:val="45824C19"/>
    <w:rsid w:val="458814D6"/>
    <w:rsid w:val="45932F31"/>
    <w:rsid w:val="459D5538"/>
    <w:rsid w:val="45A24E4A"/>
    <w:rsid w:val="45B12531"/>
    <w:rsid w:val="45E30135"/>
    <w:rsid w:val="45F63D7D"/>
    <w:rsid w:val="45FE580D"/>
    <w:rsid w:val="461B3285"/>
    <w:rsid w:val="461C494E"/>
    <w:rsid w:val="461C7AA2"/>
    <w:rsid w:val="463219A9"/>
    <w:rsid w:val="4633463D"/>
    <w:rsid w:val="46485091"/>
    <w:rsid w:val="46511CC8"/>
    <w:rsid w:val="467F3F70"/>
    <w:rsid w:val="46800DB2"/>
    <w:rsid w:val="468E5AF2"/>
    <w:rsid w:val="468F2C5B"/>
    <w:rsid w:val="46DE4CCB"/>
    <w:rsid w:val="470936EE"/>
    <w:rsid w:val="475F0AFB"/>
    <w:rsid w:val="479D0491"/>
    <w:rsid w:val="47A2139C"/>
    <w:rsid w:val="47A664C3"/>
    <w:rsid w:val="47AD64A7"/>
    <w:rsid w:val="47B65C7B"/>
    <w:rsid w:val="47E05D98"/>
    <w:rsid w:val="47E13677"/>
    <w:rsid w:val="47FB595E"/>
    <w:rsid w:val="48064A03"/>
    <w:rsid w:val="48126FBD"/>
    <w:rsid w:val="48205CAA"/>
    <w:rsid w:val="484357E4"/>
    <w:rsid w:val="48527262"/>
    <w:rsid w:val="48623514"/>
    <w:rsid w:val="4871213B"/>
    <w:rsid w:val="488602A6"/>
    <w:rsid w:val="489E5932"/>
    <w:rsid w:val="48A80B0E"/>
    <w:rsid w:val="48B7125B"/>
    <w:rsid w:val="48DB5895"/>
    <w:rsid w:val="49023F62"/>
    <w:rsid w:val="49130EC5"/>
    <w:rsid w:val="492160EB"/>
    <w:rsid w:val="493D5038"/>
    <w:rsid w:val="494E0F2E"/>
    <w:rsid w:val="49773BA8"/>
    <w:rsid w:val="49967987"/>
    <w:rsid w:val="499F6C92"/>
    <w:rsid w:val="49A316F7"/>
    <w:rsid w:val="49CB2F9F"/>
    <w:rsid w:val="49D97612"/>
    <w:rsid w:val="49DE50BA"/>
    <w:rsid w:val="4A093CD8"/>
    <w:rsid w:val="4A447E5A"/>
    <w:rsid w:val="4A5714A0"/>
    <w:rsid w:val="4A82670C"/>
    <w:rsid w:val="4A844429"/>
    <w:rsid w:val="4A85375D"/>
    <w:rsid w:val="4ABA4FAB"/>
    <w:rsid w:val="4ACA50C0"/>
    <w:rsid w:val="4ACE1548"/>
    <w:rsid w:val="4AFF7CB1"/>
    <w:rsid w:val="4B0B0799"/>
    <w:rsid w:val="4B0C2379"/>
    <w:rsid w:val="4B103885"/>
    <w:rsid w:val="4B281592"/>
    <w:rsid w:val="4B3D41C8"/>
    <w:rsid w:val="4B400582"/>
    <w:rsid w:val="4B5701A7"/>
    <w:rsid w:val="4B897A59"/>
    <w:rsid w:val="4B990D30"/>
    <w:rsid w:val="4BB0466D"/>
    <w:rsid w:val="4BE44913"/>
    <w:rsid w:val="4C0344E4"/>
    <w:rsid w:val="4C0F1FB4"/>
    <w:rsid w:val="4C285026"/>
    <w:rsid w:val="4C3462AA"/>
    <w:rsid w:val="4C864F9B"/>
    <w:rsid w:val="4C9143B5"/>
    <w:rsid w:val="4C9E0F7E"/>
    <w:rsid w:val="4CB63B0D"/>
    <w:rsid w:val="4CC624FA"/>
    <w:rsid w:val="4CC64BB3"/>
    <w:rsid w:val="4CE5285D"/>
    <w:rsid w:val="4CE84034"/>
    <w:rsid w:val="4CFD342A"/>
    <w:rsid w:val="4D036230"/>
    <w:rsid w:val="4D0F12E0"/>
    <w:rsid w:val="4D297F0F"/>
    <w:rsid w:val="4D346CC2"/>
    <w:rsid w:val="4D524C81"/>
    <w:rsid w:val="4D6045E0"/>
    <w:rsid w:val="4D9833E1"/>
    <w:rsid w:val="4D9B5746"/>
    <w:rsid w:val="4DCA7CC9"/>
    <w:rsid w:val="4DE357A8"/>
    <w:rsid w:val="4E0D7DD0"/>
    <w:rsid w:val="4E1B7AF2"/>
    <w:rsid w:val="4E1E0B2E"/>
    <w:rsid w:val="4E21063A"/>
    <w:rsid w:val="4E264AC2"/>
    <w:rsid w:val="4E5D767E"/>
    <w:rsid w:val="4E5F6CCA"/>
    <w:rsid w:val="4E7B2F93"/>
    <w:rsid w:val="4E94582B"/>
    <w:rsid w:val="4E99487B"/>
    <w:rsid w:val="4EB346D8"/>
    <w:rsid w:val="4EBC3298"/>
    <w:rsid w:val="4F0D208E"/>
    <w:rsid w:val="4F2B1E03"/>
    <w:rsid w:val="4F3E558F"/>
    <w:rsid w:val="4F4C468F"/>
    <w:rsid w:val="4F545BD3"/>
    <w:rsid w:val="4F642D04"/>
    <w:rsid w:val="4F9E316E"/>
    <w:rsid w:val="4FB06FCF"/>
    <w:rsid w:val="4FB6142B"/>
    <w:rsid w:val="4FBC215E"/>
    <w:rsid w:val="4FD72801"/>
    <w:rsid w:val="501A08FD"/>
    <w:rsid w:val="502E3DCF"/>
    <w:rsid w:val="5057059C"/>
    <w:rsid w:val="506A31B8"/>
    <w:rsid w:val="50777F12"/>
    <w:rsid w:val="50BC5452"/>
    <w:rsid w:val="50C77614"/>
    <w:rsid w:val="50C92B17"/>
    <w:rsid w:val="50F25ECC"/>
    <w:rsid w:val="50FA7381"/>
    <w:rsid w:val="5100790C"/>
    <w:rsid w:val="51014E3D"/>
    <w:rsid w:val="51110D0D"/>
    <w:rsid w:val="512153D6"/>
    <w:rsid w:val="51310B1C"/>
    <w:rsid w:val="51340DB9"/>
    <w:rsid w:val="51392305"/>
    <w:rsid w:val="516206C5"/>
    <w:rsid w:val="518D06DF"/>
    <w:rsid w:val="5193725C"/>
    <w:rsid w:val="51974469"/>
    <w:rsid w:val="51C22E11"/>
    <w:rsid w:val="51D9698F"/>
    <w:rsid w:val="51E310E2"/>
    <w:rsid w:val="51E46D39"/>
    <w:rsid w:val="51E47482"/>
    <w:rsid w:val="51E509AD"/>
    <w:rsid w:val="521816D9"/>
    <w:rsid w:val="52347339"/>
    <w:rsid w:val="5245116C"/>
    <w:rsid w:val="5249744C"/>
    <w:rsid w:val="527A64D7"/>
    <w:rsid w:val="52986D2C"/>
    <w:rsid w:val="529A67DD"/>
    <w:rsid w:val="52A01A7C"/>
    <w:rsid w:val="52A66EF7"/>
    <w:rsid w:val="52B10B55"/>
    <w:rsid w:val="52C53AFE"/>
    <w:rsid w:val="52CF0F48"/>
    <w:rsid w:val="52EC7C0E"/>
    <w:rsid w:val="53132A5C"/>
    <w:rsid w:val="53277B94"/>
    <w:rsid w:val="5330756A"/>
    <w:rsid w:val="534E3B3B"/>
    <w:rsid w:val="53523191"/>
    <w:rsid w:val="53530055"/>
    <w:rsid w:val="535C2551"/>
    <w:rsid w:val="53795406"/>
    <w:rsid w:val="538D1CE6"/>
    <w:rsid w:val="539F65A4"/>
    <w:rsid w:val="53AD0E0F"/>
    <w:rsid w:val="53B3228E"/>
    <w:rsid w:val="53C70D06"/>
    <w:rsid w:val="53E2734E"/>
    <w:rsid w:val="540A19B7"/>
    <w:rsid w:val="540A1CEF"/>
    <w:rsid w:val="5415175B"/>
    <w:rsid w:val="54167A98"/>
    <w:rsid w:val="542704F8"/>
    <w:rsid w:val="542D1412"/>
    <w:rsid w:val="545441B2"/>
    <w:rsid w:val="54596006"/>
    <w:rsid w:val="54705E20"/>
    <w:rsid w:val="54731F4C"/>
    <w:rsid w:val="548E44C7"/>
    <w:rsid w:val="54900D97"/>
    <w:rsid w:val="549519CC"/>
    <w:rsid w:val="54B66C77"/>
    <w:rsid w:val="54E302F4"/>
    <w:rsid w:val="54FE4D28"/>
    <w:rsid w:val="552968C4"/>
    <w:rsid w:val="552B312C"/>
    <w:rsid w:val="55427BEC"/>
    <w:rsid w:val="554C0D85"/>
    <w:rsid w:val="55813C03"/>
    <w:rsid w:val="55A73883"/>
    <w:rsid w:val="55E55C9A"/>
    <w:rsid w:val="560F1140"/>
    <w:rsid w:val="563E3DF2"/>
    <w:rsid w:val="564238FA"/>
    <w:rsid w:val="56E158FA"/>
    <w:rsid w:val="56EA4125"/>
    <w:rsid w:val="56FB1C91"/>
    <w:rsid w:val="56FD5919"/>
    <w:rsid w:val="571B4AF5"/>
    <w:rsid w:val="574127F8"/>
    <w:rsid w:val="576E3044"/>
    <w:rsid w:val="578E7032"/>
    <w:rsid w:val="57B87374"/>
    <w:rsid w:val="57CE580F"/>
    <w:rsid w:val="57E52226"/>
    <w:rsid w:val="57E875C8"/>
    <w:rsid w:val="57F141B4"/>
    <w:rsid w:val="57FE37F3"/>
    <w:rsid w:val="58200E98"/>
    <w:rsid w:val="5862381E"/>
    <w:rsid w:val="58652089"/>
    <w:rsid w:val="58B74200"/>
    <w:rsid w:val="58CD1F3D"/>
    <w:rsid w:val="58E96C02"/>
    <w:rsid w:val="59003F23"/>
    <w:rsid w:val="59103D4D"/>
    <w:rsid w:val="59117EEC"/>
    <w:rsid w:val="591C0B18"/>
    <w:rsid w:val="59254442"/>
    <w:rsid w:val="592C0485"/>
    <w:rsid w:val="59460AA0"/>
    <w:rsid w:val="59685220"/>
    <w:rsid w:val="598B6946"/>
    <w:rsid w:val="59B13835"/>
    <w:rsid w:val="59BB1B58"/>
    <w:rsid w:val="59BE2319"/>
    <w:rsid w:val="59D14C63"/>
    <w:rsid w:val="59E33AFE"/>
    <w:rsid w:val="59FB0CF7"/>
    <w:rsid w:val="5A330AA1"/>
    <w:rsid w:val="5A34058B"/>
    <w:rsid w:val="5A4026AF"/>
    <w:rsid w:val="5A570484"/>
    <w:rsid w:val="5A6527E6"/>
    <w:rsid w:val="5A68360C"/>
    <w:rsid w:val="5A6C3572"/>
    <w:rsid w:val="5A743572"/>
    <w:rsid w:val="5A8736C6"/>
    <w:rsid w:val="5A9140CB"/>
    <w:rsid w:val="5A9D7232"/>
    <w:rsid w:val="5AD25192"/>
    <w:rsid w:val="5AD90EAB"/>
    <w:rsid w:val="5B0608E3"/>
    <w:rsid w:val="5B0A6FF8"/>
    <w:rsid w:val="5B233048"/>
    <w:rsid w:val="5B2A781E"/>
    <w:rsid w:val="5B32351C"/>
    <w:rsid w:val="5B546619"/>
    <w:rsid w:val="5B844842"/>
    <w:rsid w:val="5B952F54"/>
    <w:rsid w:val="5B9F3E66"/>
    <w:rsid w:val="5BDE677F"/>
    <w:rsid w:val="5BEB02E0"/>
    <w:rsid w:val="5BF95727"/>
    <w:rsid w:val="5BFD1E2B"/>
    <w:rsid w:val="5C124F81"/>
    <w:rsid w:val="5C1943D1"/>
    <w:rsid w:val="5C3865B9"/>
    <w:rsid w:val="5C4538C5"/>
    <w:rsid w:val="5C46213A"/>
    <w:rsid w:val="5C607684"/>
    <w:rsid w:val="5C6457E4"/>
    <w:rsid w:val="5C6A01AA"/>
    <w:rsid w:val="5C845783"/>
    <w:rsid w:val="5C89729F"/>
    <w:rsid w:val="5C9F4339"/>
    <w:rsid w:val="5CB73245"/>
    <w:rsid w:val="5CCB0D63"/>
    <w:rsid w:val="5CCD0D7F"/>
    <w:rsid w:val="5CDA7CBC"/>
    <w:rsid w:val="5CDB1763"/>
    <w:rsid w:val="5CE60348"/>
    <w:rsid w:val="5CE656DE"/>
    <w:rsid w:val="5CEA0AA9"/>
    <w:rsid w:val="5CFC7265"/>
    <w:rsid w:val="5D1D532F"/>
    <w:rsid w:val="5D2353DA"/>
    <w:rsid w:val="5D273DE0"/>
    <w:rsid w:val="5D276844"/>
    <w:rsid w:val="5D314EE0"/>
    <w:rsid w:val="5D395BF3"/>
    <w:rsid w:val="5D3979AB"/>
    <w:rsid w:val="5D550628"/>
    <w:rsid w:val="5D632C85"/>
    <w:rsid w:val="5D72223D"/>
    <w:rsid w:val="5D827BF9"/>
    <w:rsid w:val="5D8E5821"/>
    <w:rsid w:val="5D8F358D"/>
    <w:rsid w:val="5DB8578A"/>
    <w:rsid w:val="5DC5628F"/>
    <w:rsid w:val="5DD55876"/>
    <w:rsid w:val="5DDE3AFD"/>
    <w:rsid w:val="5DFC50BD"/>
    <w:rsid w:val="5DFE452F"/>
    <w:rsid w:val="5E186BEC"/>
    <w:rsid w:val="5E277206"/>
    <w:rsid w:val="5E2D15E2"/>
    <w:rsid w:val="5E64674A"/>
    <w:rsid w:val="5E7E1475"/>
    <w:rsid w:val="5E865DE9"/>
    <w:rsid w:val="5E8D5FED"/>
    <w:rsid w:val="5EC71316"/>
    <w:rsid w:val="5EC74125"/>
    <w:rsid w:val="5ED52822"/>
    <w:rsid w:val="5EEC0249"/>
    <w:rsid w:val="5EF80EFE"/>
    <w:rsid w:val="5F151016"/>
    <w:rsid w:val="5F33643F"/>
    <w:rsid w:val="5F6443A7"/>
    <w:rsid w:val="5F70388B"/>
    <w:rsid w:val="5FBB4B7D"/>
    <w:rsid w:val="5FC3717C"/>
    <w:rsid w:val="5FD306CF"/>
    <w:rsid w:val="5FD56F13"/>
    <w:rsid w:val="5FF7382A"/>
    <w:rsid w:val="600A720C"/>
    <w:rsid w:val="60125D4F"/>
    <w:rsid w:val="605A3CA3"/>
    <w:rsid w:val="60605BAC"/>
    <w:rsid w:val="60703ACA"/>
    <w:rsid w:val="608F2E04"/>
    <w:rsid w:val="60A5082C"/>
    <w:rsid w:val="60A6549C"/>
    <w:rsid w:val="60AE5F99"/>
    <w:rsid w:val="60CB724C"/>
    <w:rsid w:val="61093BB8"/>
    <w:rsid w:val="61094F88"/>
    <w:rsid w:val="610C1348"/>
    <w:rsid w:val="611159D0"/>
    <w:rsid w:val="61146C22"/>
    <w:rsid w:val="612739D3"/>
    <w:rsid w:val="612D1A7D"/>
    <w:rsid w:val="612D6CFD"/>
    <w:rsid w:val="61304C00"/>
    <w:rsid w:val="613F3C8F"/>
    <w:rsid w:val="61406625"/>
    <w:rsid w:val="61467EFA"/>
    <w:rsid w:val="61484601"/>
    <w:rsid w:val="617A64E2"/>
    <w:rsid w:val="61AE4BED"/>
    <w:rsid w:val="61B50835"/>
    <w:rsid w:val="61BF08B9"/>
    <w:rsid w:val="61C448D7"/>
    <w:rsid w:val="61F37EE9"/>
    <w:rsid w:val="61FA5D2A"/>
    <w:rsid w:val="622E7CDB"/>
    <w:rsid w:val="625C2196"/>
    <w:rsid w:val="6273495E"/>
    <w:rsid w:val="62AB1CB1"/>
    <w:rsid w:val="62BA6842"/>
    <w:rsid w:val="62CB3D87"/>
    <w:rsid w:val="62D714B7"/>
    <w:rsid w:val="62D76235"/>
    <w:rsid w:val="62E02924"/>
    <w:rsid w:val="62FB12A5"/>
    <w:rsid w:val="62FB2418"/>
    <w:rsid w:val="630940A6"/>
    <w:rsid w:val="63203D8B"/>
    <w:rsid w:val="634C04A4"/>
    <w:rsid w:val="634F29FC"/>
    <w:rsid w:val="63511DCB"/>
    <w:rsid w:val="638031CB"/>
    <w:rsid w:val="639F52F3"/>
    <w:rsid w:val="63AD401C"/>
    <w:rsid w:val="63C872E4"/>
    <w:rsid w:val="63D970DD"/>
    <w:rsid w:val="63E523B1"/>
    <w:rsid w:val="63F81B90"/>
    <w:rsid w:val="640F7840"/>
    <w:rsid w:val="642578ED"/>
    <w:rsid w:val="643477F7"/>
    <w:rsid w:val="643C63EF"/>
    <w:rsid w:val="644157A9"/>
    <w:rsid w:val="64487003"/>
    <w:rsid w:val="6449524C"/>
    <w:rsid w:val="645178AD"/>
    <w:rsid w:val="645B0CDB"/>
    <w:rsid w:val="6466124B"/>
    <w:rsid w:val="64754853"/>
    <w:rsid w:val="64785961"/>
    <w:rsid w:val="647A15CE"/>
    <w:rsid w:val="647E6A53"/>
    <w:rsid w:val="648407F0"/>
    <w:rsid w:val="648B4982"/>
    <w:rsid w:val="64AA3455"/>
    <w:rsid w:val="64AE72DF"/>
    <w:rsid w:val="64BC1FE3"/>
    <w:rsid w:val="64CA7CEA"/>
    <w:rsid w:val="64F80115"/>
    <w:rsid w:val="64FA2A38"/>
    <w:rsid w:val="651116FA"/>
    <w:rsid w:val="6512562C"/>
    <w:rsid w:val="6519768F"/>
    <w:rsid w:val="652048F9"/>
    <w:rsid w:val="655B5DCB"/>
    <w:rsid w:val="65605C5F"/>
    <w:rsid w:val="65642062"/>
    <w:rsid w:val="657D36F5"/>
    <w:rsid w:val="65801F39"/>
    <w:rsid w:val="658208A7"/>
    <w:rsid w:val="65B652EC"/>
    <w:rsid w:val="65C1605F"/>
    <w:rsid w:val="65F01CCB"/>
    <w:rsid w:val="65F12FD0"/>
    <w:rsid w:val="66002E8B"/>
    <w:rsid w:val="6607432C"/>
    <w:rsid w:val="660C31D7"/>
    <w:rsid w:val="66173F46"/>
    <w:rsid w:val="66243122"/>
    <w:rsid w:val="6627704D"/>
    <w:rsid w:val="662824C3"/>
    <w:rsid w:val="66283037"/>
    <w:rsid w:val="66351A53"/>
    <w:rsid w:val="664C0948"/>
    <w:rsid w:val="66520663"/>
    <w:rsid w:val="665D487D"/>
    <w:rsid w:val="66641C80"/>
    <w:rsid w:val="66786CC2"/>
    <w:rsid w:val="668013A0"/>
    <w:rsid w:val="66850615"/>
    <w:rsid w:val="66B422FC"/>
    <w:rsid w:val="66BA05D1"/>
    <w:rsid w:val="66C55A24"/>
    <w:rsid w:val="6719578E"/>
    <w:rsid w:val="672D1851"/>
    <w:rsid w:val="67302657"/>
    <w:rsid w:val="677D5A10"/>
    <w:rsid w:val="677D7CCC"/>
    <w:rsid w:val="67843724"/>
    <w:rsid w:val="678A47D6"/>
    <w:rsid w:val="678A4E5B"/>
    <w:rsid w:val="67926B90"/>
    <w:rsid w:val="67A645D0"/>
    <w:rsid w:val="67BE0EF3"/>
    <w:rsid w:val="68235B55"/>
    <w:rsid w:val="68737EEE"/>
    <w:rsid w:val="688E3182"/>
    <w:rsid w:val="68974F21"/>
    <w:rsid w:val="689C6C28"/>
    <w:rsid w:val="68A4477F"/>
    <w:rsid w:val="68A62BB6"/>
    <w:rsid w:val="68A71D66"/>
    <w:rsid w:val="68AD0CA4"/>
    <w:rsid w:val="68C128E7"/>
    <w:rsid w:val="68C1536C"/>
    <w:rsid w:val="68CC769D"/>
    <w:rsid w:val="68E00918"/>
    <w:rsid w:val="68F42E5D"/>
    <w:rsid w:val="68FB3474"/>
    <w:rsid w:val="68FF6CC5"/>
    <w:rsid w:val="692321EC"/>
    <w:rsid w:val="6926728F"/>
    <w:rsid w:val="692D249D"/>
    <w:rsid w:val="693E750B"/>
    <w:rsid w:val="693F0961"/>
    <w:rsid w:val="69437F1D"/>
    <w:rsid w:val="696C40C0"/>
    <w:rsid w:val="69746BB2"/>
    <w:rsid w:val="69997EB6"/>
    <w:rsid w:val="699D6127"/>
    <w:rsid w:val="69AC3C09"/>
    <w:rsid w:val="69B14C74"/>
    <w:rsid w:val="69B93429"/>
    <w:rsid w:val="69FF4D57"/>
    <w:rsid w:val="6A027E72"/>
    <w:rsid w:val="6A031929"/>
    <w:rsid w:val="6A0B0806"/>
    <w:rsid w:val="6A10008C"/>
    <w:rsid w:val="6A18591D"/>
    <w:rsid w:val="6A2B1DE8"/>
    <w:rsid w:val="6A3261DC"/>
    <w:rsid w:val="6A4D4AF3"/>
    <w:rsid w:val="6A4F718F"/>
    <w:rsid w:val="6A724D32"/>
    <w:rsid w:val="6A875F09"/>
    <w:rsid w:val="6A946CB5"/>
    <w:rsid w:val="6A9635E3"/>
    <w:rsid w:val="6A9F4D16"/>
    <w:rsid w:val="6AC505F2"/>
    <w:rsid w:val="6AE16DCD"/>
    <w:rsid w:val="6B2A4CAA"/>
    <w:rsid w:val="6B2D0D7A"/>
    <w:rsid w:val="6B48020E"/>
    <w:rsid w:val="6B6256F6"/>
    <w:rsid w:val="6B697CB3"/>
    <w:rsid w:val="6B8072DA"/>
    <w:rsid w:val="6B8838DA"/>
    <w:rsid w:val="6B91606F"/>
    <w:rsid w:val="6BA33E35"/>
    <w:rsid w:val="6BA44F17"/>
    <w:rsid w:val="6BB66719"/>
    <w:rsid w:val="6BD30FDE"/>
    <w:rsid w:val="6BEE21CB"/>
    <w:rsid w:val="6BFE4D78"/>
    <w:rsid w:val="6C057159"/>
    <w:rsid w:val="6C29628F"/>
    <w:rsid w:val="6C47401C"/>
    <w:rsid w:val="6C4C203A"/>
    <w:rsid w:val="6C6742E3"/>
    <w:rsid w:val="6C8F6C72"/>
    <w:rsid w:val="6CD8602D"/>
    <w:rsid w:val="6CEF7C53"/>
    <w:rsid w:val="6D31131A"/>
    <w:rsid w:val="6D495485"/>
    <w:rsid w:val="6D4D4500"/>
    <w:rsid w:val="6D5B3191"/>
    <w:rsid w:val="6D884E68"/>
    <w:rsid w:val="6D9E1728"/>
    <w:rsid w:val="6D9F36EC"/>
    <w:rsid w:val="6DBE1FDB"/>
    <w:rsid w:val="6DDA19FC"/>
    <w:rsid w:val="6DEA5BC9"/>
    <w:rsid w:val="6DED649B"/>
    <w:rsid w:val="6E072808"/>
    <w:rsid w:val="6E0A3294"/>
    <w:rsid w:val="6E5040A7"/>
    <w:rsid w:val="6E57108A"/>
    <w:rsid w:val="6E615B3C"/>
    <w:rsid w:val="6E671D77"/>
    <w:rsid w:val="6E72485B"/>
    <w:rsid w:val="6E8509E0"/>
    <w:rsid w:val="6E8F2D32"/>
    <w:rsid w:val="6E8F748B"/>
    <w:rsid w:val="6E8F79AD"/>
    <w:rsid w:val="6E9C0B26"/>
    <w:rsid w:val="6ED417B6"/>
    <w:rsid w:val="6ED91F12"/>
    <w:rsid w:val="6EF6138F"/>
    <w:rsid w:val="6F0041E4"/>
    <w:rsid w:val="6F0C7B0E"/>
    <w:rsid w:val="6F113FCA"/>
    <w:rsid w:val="6F382A8D"/>
    <w:rsid w:val="6F5F1426"/>
    <w:rsid w:val="6F6233DC"/>
    <w:rsid w:val="6F6F2F25"/>
    <w:rsid w:val="6F7C04EF"/>
    <w:rsid w:val="6F7D6EC2"/>
    <w:rsid w:val="6F9F17E9"/>
    <w:rsid w:val="6FCC737B"/>
    <w:rsid w:val="6FDD67A1"/>
    <w:rsid w:val="6FFA5AEA"/>
    <w:rsid w:val="700E49DE"/>
    <w:rsid w:val="701E53FA"/>
    <w:rsid w:val="70462D18"/>
    <w:rsid w:val="70465AA3"/>
    <w:rsid w:val="704C6EAC"/>
    <w:rsid w:val="704D7FCB"/>
    <w:rsid w:val="70556908"/>
    <w:rsid w:val="70572290"/>
    <w:rsid w:val="70655910"/>
    <w:rsid w:val="706C7AE6"/>
    <w:rsid w:val="70835D21"/>
    <w:rsid w:val="709F4C52"/>
    <w:rsid w:val="70A253AE"/>
    <w:rsid w:val="70B320DD"/>
    <w:rsid w:val="70B65F7B"/>
    <w:rsid w:val="70C01D21"/>
    <w:rsid w:val="70C103F0"/>
    <w:rsid w:val="70C95397"/>
    <w:rsid w:val="70CB4E8A"/>
    <w:rsid w:val="70D90CAF"/>
    <w:rsid w:val="70E329CE"/>
    <w:rsid w:val="70E8252B"/>
    <w:rsid w:val="70EB3B67"/>
    <w:rsid w:val="7101719E"/>
    <w:rsid w:val="71080073"/>
    <w:rsid w:val="711F1E57"/>
    <w:rsid w:val="71597204"/>
    <w:rsid w:val="715F7FCB"/>
    <w:rsid w:val="71757EF7"/>
    <w:rsid w:val="717D1867"/>
    <w:rsid w:val="71845C20"/>
    <w:rsid w:val="71977891"/>
    <w:rsid w:val="71A059C1"/>
    <w:rsid w:val="71B8426F"/>
    <w:rsid w:val="71D92D19"/>
    <w:rsid w:val="71E2739B"/>
    <w:rsid w:val="71E600ED"/>
    <w:rsid w:val="71EC1FF6"/>
    <w:rsid w:val="71F33B7F"/>
    <w:rsid w:val="72026655"/>
    <w:rsid w:val="72107948"/>
    <w:rsid w:val="72740EA9"/>
    <w:rsid w:val="72786906"/>
    <w:rsid w:val="727C6062"/>
    <w:rsid w:val="727F70FD"/>
    <w:rsid w:val="72866971"/>
    <w:rsid w:val="728A65BE"/>
    <w:rsid w:val="72C75D22"/>
    <w:rsid w:val="72C82065"/>
    <w:rsid w:val="73023D3C"/>
    <w:rsid w:val="7315262D"/>
    <w:rsid w:val="73214F29"/>
    <w:rsid w:val="732512C8"/>
    <w:rsid w:val="732871DF"/>
    <w:rsid w:val="733A3EDB"/>
    <w:rsid w:val="735A21BD"/>
    <w:rsid w:val="73A67EAC"/>
    <w:rsid w:val="73AB470A"/>
    <w:rsid w:val="73AD3353"/>
    <w:rsid w:val="73BA1BE1"/>
    <w:rsid w:val="73DE4B40"/>
    <w:rsid w:val="73F8437B"/>
    <w:rsid w:val="740D54F4"/>
    <w:rsid w:val="74476147"/>
    <w:rsid w:val="745857F7"/>
    <w:rsid w:val="74663604"/>
    <w:rsid w:val="746703D5"/>
    <w:rsid w:val="746D1588"/>
    <w:rsid w:val="7484085F"/>
    <w:rsid w:val="749B43AF"/>
    <w:rsid w:val="74E25AED"/>
    <w:rsid w:val="74E957EF"/>
    <w:rsid w:val="7508767E"/>
    <w:rsid w:val="750B5F21"/>
    <w:rsid w:val="75184770"/>
    <w:rsid w:val="75232D52"/>
    <w:rsid w:val="753005A4"/>
    <w:rsid w:val="75352B02"/>
    <w:rsid w:val="755B0E42"/>
    <w:rsid w:val="75712867"/>
    <w:rsid w:val="75A2634B"/>
    <w:rsid w:val="75AB3C9B"/>
    <w:rsid w:val="75B11A39"/>
    <w:rsid w:val="75BA5F64"/>
    <w:rsid w:val="75BF5932"/>
    <w:rsid w:val="76160126"/>
    <w:rsid w:val="7631283C"/>
    <w:rsid w:val="76381018"/>
    <w:rsid w:val="76507F5B"/>
    <w:rsid w:val="765F33D1"/>
    <w:rsid w:val="7667734B"/>
    <w:rsid w:val="769339DD"/>
    <w:rsid w:val="7695394F"/>
    <w:rsid w:val="76AE4F32"/>
    <w:rsid w:val="76DB1E0E"/>
    <w:rsid w:val="76F30ACB"/>
    <w:rsid w:val="77063237"/>
    <w:rsid w:val="77064657"/>
    <w:rsid w:val="77252666"/>
    <w:rsid w:val="772C197E"/>
    <w:rsid w:val="772C31D2"/>
    <w:rsid w:val="7731374F"/>
    <w:rsid w:val="77363214"/>
    <w:rsid w:val="773F32A0"/>
    <w:rsid w:val="77454233"/>
    <w:rsid w:val="778A7577"/>
    <w:rsid w:val="77987E00"/>
    <w:rsid w:val="779B3B20"/>
    <w:rsid w:val="77A51340"/>
    <w:rsid w:val="77B87468"/>
    <w:rsid w:val="77D260A8"/>
    <w:rsid w:val="77DA7B46"/>
    <w:rsid w:val="77EE660D"/>
    <w:rsid w:val="77F054F0"/>
    <w:rsid w:val="77F32FCF"/>
    <w:rsid w:val="78062EAA"/>
    <w:rsid w:val="78141685"/>
    <w:rsid w:val="781D6761"/>
    <w:rsid w:val="78236157"/>
    <w:rsid w:val="78527AC8"/>
    <w:rsid w:val="78552F60"/>
    <w:rsid w:val="787E4A3E"/>
    <w:rsid w:val="78835550"/>
    <w:rsid w:val="78AA2592"/>
    <w:rsid w:val="78B04987"/>
    <w:rsid w:val="78B93DA8"/>
    <w:rsid w:val="78C02518"/>
    <w:rsid w:val="78C43F20"/>
    <w:rsid w:val="78CA40CB"/>
    <w:rsid w:val="78D82C68"/>
    <w:rsid w:val="78D97BC4"/>
    <w:rsid w:val="78E8666B"/>
    <w:rsid w:val="78F61EF0"/>
    <w:rsid w:val="78FD530C"/>
    <w:rsid w:val="790B5F7D"/>
    <w:rsid w:val="79113FAC"/>
    <w:rsid w:val="79211030"/>
    <w:rsid w:val="7930644C"/>
    <w:rsid w:val="79326D8D"/>
    <w:rsid w:val="7936053E"/>
    <w:rsid w:val="79400F38"/>
    <w:rsid w:val="79464A52"/>
    <w:rsid w:val="79585242"/>
    <w:rsid w:val="7974496C"/>
    <w:rsid w:val="79883A20"/>
    <w:rsid w:val="79A2131D"/>
    <w:rsid w:val="79A76490"/>
    <w:rsid w:val="79B66B76"/>
    <w:rsid w:val="79D378EE"/>
    <w:rsid w:val="79DF4E38"/>
    <w:rsid w:val="7A1D68D9"/>
    <w:rsid w:val="7A2043AD"/>
    <w:rsid w:val="7A2959EC"/>
    <w:rsid w:val="7A381CFC"/>
    <w:rsid w:val="7A3978BB"/>
    <w:rsid w:val="7A59499B"/>
    <w:rsid w:val="7A613E86"/>
    <w:rsid w:val="7A6C5917"/>
    <w:rsid w:val="7ACF4023"/>
    <w:rsid w:val="7AD9617D"/>
    <w:rsid w:val="7B0755C8"/>
    <w:rsid w:val="7B2A5958"/>
    <w:rsid w:val="7B626D9C"/>
    <w:rsid w:val="7B7B2482"/>
    <w:rsid w:val="7B7D5E17"/>
    <w:rsid w:val="7BB1107D"/>
    <w:rsid w:val="7BC6257E"/>
    <w:rsid w:val="7BE13DCA"/>
    <w:rsid w:val="7BE5749D"/>
    <w:rsid w:val="7BF84B49"/>
    <w:rsid w:val="7BFF3714"/>
    <w:rsid w:val="7C336E3D"/>
    <w:rsid w:val="7C5246E3"/>
    <w:rsid w:val="7C7E74CC"/>
    <w:rsid w:val="7C8B58D6"/>
    <w:rsid w:val="7C992DDD"/>
    <w:rsid w:val="7CA057C0"/>
    <w:rsid w:val="7CB0630C"/>
    <w:rsid w:val="7CC47592"/>
    <w:rsid w:val="7CCA3BF0"/>
    <w:rsid w:val="7D111347"/>
    <w:rsid w:val="7D1A5BBB"/>
    <w:rsid w:val="7D3D7B02"/>
    <w:rsid w:val="7D4A5238"/>
    <w:rsid w:val="7D6334B3"/>
    <w:rsid w:val="7D8E59F6"/>
    <w:rsid w:val="7D9A693F"/>
    <w:rsid w:val="7DE61279"/>
    <w:rsid w:val="7E5F64C1"/>
    <w:rsid w:val="7E6436E0"/>
    <w:rsid w:val="7E79600D"/>
    <w:rsid w:val="7E8F5876"/>
    <w:rsid w:val="7E9F2517"/>
    <w:rsid w:val="7EBE0149"/>
    <w:rsid w:val="7EC47386"/>
    <w:rsid w:val="7EC9380E"/>
    <w:rsid w:val="7ECD719A"/>
    <w:rsid w:val="7ED908C8"/>
    <w:rsid w:val="7EEA6FB7"/>
    <w:rsid w:val="7EF42601"/>
    <w:rsid w:val="7EFA2978"/>
    <w:rsid w:val="7F076BC1"/>
    <w:rsid w:val="7F2424C3"/>
    <w:rsid w:val="7F2A5BFB"/>
    <w:rsid w:val="7F3743DF"/>
    <w:rsid w:val="7F3B7591"/>
    <w:rsid w:val="7F4547BB"/>
    <w:rsid w:val="7F52251D"/>
    <w:rsid w:val="7F613277"/>
    <w:rsid w:val="7F643F9B"/>
    <w:rsid w:val="7F993657"/>
    <w:rsid w:val="7F9C2AB6"/>
    <w:rsid w:val="7FE80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qFormat/>
    <w:uiPriority w:val="0"/>
    <w:pPr>
      <w:keepNext/>
      <w:keepLines/>
      <w:numPr>
        <w:ilvl w:val="0"/>
        <w:numId w:val="1"/>
      </w:numPr>
      <w:spacing w:beforeLines="50" w:afterLines="50"/>
      <w:outlineLvl w:val="0"/>
    </w:pPr>
    <w:rPr>
      <w:rFonts w:ascii="等线" w:hAnsi="等线"/>
      <w:b/>
      <w:bCs/>
      <w:kern w:val="44"/>
      <w:sz w:val="32"/>
      <w:szCs w:val="44"/>
    </w:rPr>
  </w:style>
  <w:style w:type="paragraph" w:styleId="3">
    <w:name w:val="heading 2"/>
    <w:basedOn w:val="1"/>
    <w:next w:val="4"/>
    <w:qFormat/>
    <w:uiPriority w:val="0"/>
    <w:pPr>
      <w:keepNext/>
      <w:keepLines/>
      <w:tabs>
        <w:tab w:val="left" w:pos="576"/>
      </w:tabs>
      <w:spacing w:beforeLines="50" w:afterLines="50"/>
      <w:outlineLvl w:val="1"/>
    </w:pPr>
    <w:rPr>
      <w:rFonts w:ascii="等线 Light" w:hAnsi="等线 Light"/>
      <w:b/>
      <w:bCs/>
      <w:sz w:val="30"/>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4">
    <w:name w:val="正文缩进2字符"/>
    <w:basedOn w:val="1"/>
    <w:qFormat/>
    <w:uiPriority w:val="0"/>
    <w:pPr>
      <w:widowControl/>
      <w:spacing w:before="100" w:beforeAutospacing="1" w:after="100" w:afterAutospacing="1" w:line="300" w:lineRule="auto"/>
      <w:ind w:left="357" w:firstLine="420" w:firstLineChars="200"/>
    </w:pPr>
    <w:rPr>
      <w:rFonts w:ascii="ˎ̥" w:hAnsi="ˎ̥"/>
      <w:color w:val="51585D"/>
      <w:kern w:val="0"/>
      <w:sz w:val="20"/>
    </w:rPr>
  </w:style>
  <w:style w:type="paragraph" w:styleId="5">
    <w:name w:val="Body Text"/>
    <w:basedOn w:val="1"/>
    <w:next w:val="6"/>
    <w:qFormat/>
    <w:uiPriority w:val="0"/>
    <w:pPr>
      <w:widowControl w:val="0"/>
      <w:spacing w:after="120"/>
      <w:jc w:val="both"/>
    </w:pPr>
    <w:rPr>
      <w:kern w:val="2"/>
      <w:sz w:val="21"/>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toc 1"/>
    <w:basedOn w:val="1"/>
    <w:next w:val="1"/>
    <w:uiPriority w:val="0"/>
  </w:style>
  <w:style w:type="paragraph" w:styleId="9">
    <w:name w:val="toc 2"/>
    <w:basedOn w:val="1"/>
    <w:next w:val="1"/>
    <w:qFormat/>
    <w:uiPriority w:val="0"/>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WPSOffice手动目录 1"/>
    <w:qFormat/>
    <w:uiPriority w:val="0"/>
    <w:pPr>
      <w:ind w:leftChars="0"/>
    </w:pPr>
    <w:rPr>
      <w:rFonts w:asciiTheme="minorHAnsi" w:hAnsiTheme="minorHAnsi" w:eastAsiaTheme="minorEastAsia" w:cstheme="minorBidi"/>
      <w:sz w:val="20"/>
      <w:szCs w:val="20"/>
    </w:rPr>
  </w:style>
  <w:style w:type="paragraph" w:customStyle="1" w:styleId="14">
    <w:name w:val="WPSOffice手动目录 2"/>
    <w:qFormat/>
    <w:uiPriority w:val="0"/>
    <w:pPr>
      <w:ind w:leftChars="200"/>
    </w:pPr>
    <w:rPr>
      <w:rFonts w:asciiTheme="minorHAnsi" w:hAnsiTheme="minorHAnsi" w:eastAsiaTheme="minorEastAsia" w:cstheme="minorBidi"/>
      <w:sz w:val="20"/>
      <w:szCs w:val="20"/>
    </w:rPr>
  </w:style>
  <w:style w:type="paragraph" w:styleId="15">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16">
    <w:name w:val="列表段落1"/>
    <w:basedOn w:val="1"/>
    <w:unhideWhenUsed/>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1338</Words>
  <Characters>1392</Characters>
  <Lines>0</Lines>
  <Paragraphs>0</Paragraphs>
  <TotalTime>2</TotalTime>
  <ScaleCrop>false</ScaleCrop>
  <LinksUpToDate>false</LinksUpToDate>
  <CharactersWithSpaces>1450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2024-11-05T07:22:00Z</dcterms:created>
  <dc:creator>yndw</dc:creator>
  <cp:lastModifiedBy>总文书</cp:lastModifiedBy>
  <dcterms:modified xsi:type="dcterms:W3CDTF">2025-09-22T03:07:55Z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0E8E36C48B97440B9AA8CA904F21E6B6</vt:lpwstr>
  </property>
  <property fmtid="{D5CDD505-2E9C-101B-9397-08002B2CF9AE}" pid="4" name="CWMe5b9d9ac187a475b9f0c1f8a791d2485">
    <vt:lpwstr>CWMZtAnCkKAvEkQN7S7qQC/332KUyKOwZhpRem6dXlT2LCU/aAIfxW5AgnOSoTzqCxrG9n6fFUU3DUwTlBt1yDaOQ==</vt:lpwstr>
  </property>
  <property fmtid="{D5CDD505-2E9C-101B-9397-08002B2CF9AE}" pid="5" name="CWM6eab88cd5c9c4a3dac75b991c6a5ad1a">
    <vt:lpwstr>CWMYH0EBk6+xa5Sw+qKahHn0OxgpKBd/T2ki/ka5kb3dG8dBGMZknaMQZruM3fj2u79unU/4VqTnkz9mJ9M+ulfNw==</vt:lpwstr>
  </property>
</Properties>
</file>