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rPr>
          <w:sz w:val="21"/>
          <w:szCs w:val="21"/>
          <w:highlight w:val="none"/>
        </w:rPr>
      </w:pPr>
      <w:r>
        <w:rPr>
          <w:rFonts w:hint="eastAsia" w:ascii="宋体" w:hAnsi="宋体"/>
        </w:rPr>
        <mc:AlternateContent>
          <mc:Choice Requires="wps">
            <w:drawing>
              <wp:anchor distT="0" distB="0" distL="114300" distR="114300" simplePos="0" relativeHeight="251660288" behindDoc="0" locked="0" layoutInCell="1" allowOverlap="1">
                <wp:simplePos x="0" y="0"/>
                <wp:positionH relativeFrom="page">
                  <wp:posOffset>443865</wp:posOffset>
                </wp:positionH>
                <wp:positionV relativeFrom="page">
                  <wp:posOffset>4289425</wp:posOffset>
                </wp:positionV>
                <wp:extent cx="5922645" cy="1062355"/>
                <wp:effectExtent l="0"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4619625" cy="1790700"/>
                        </a:xfrm>
                        <a:prstGeom prst="rect">
                          <a:avLst/>
                        </a:prstGeom>
                        <a:noFill/>
                        <a:ln>
                          <a:noFill/>
                        </a:ln>
                        <a:effectLst/>
                      </wps:spPr>
                      <wps:txbx>
                        <w:txbxContent>
                          <w:p>
                            <w:pPr>
                              <w:spacing w:line="300" w:lineRule="auto"/>
                              <w:jc w:val="right"/>
                              <w:rPr>
                                <w:rFonts w:ascii="华文楷体" w:hAnsi="华文楷体"/>
                                <w:b/>
                                <w:sz w:val="40"/>
                                <w:szCs w:val="44"/>
                              </w:rPr>
                            </w:pPr>
                            <w:r>
                              <w:rPr>
                                <w:rFonts w:hint="eastAsia" w:ascii="华文楷体" w:hAnsi="华文楷体"/>
                                <w:b/>
                                <w:sz w:val="40"/>
                                <w:szCs w:val="44"/>
                                <w:lang w:val="en-US" w:eastAsia="zh-CN"/>
                              </w:rPr>
                              <w:t>广西南宁五象新区电力应急联动中心零碳示范项目碳中和认证服务项目</w:t>
                            </w:r>
                            <w:r>
                              <w:rPr>
                                <w:rFonts w:hint="eastAsia" w:ascii="华文楷体" w:hAnsi="华文楷体"/>
                                <w:b/>
                                <w:sz w:val="40"/>
                                <w:szCs w:val="44"/>
                              </w:rPr>
                              <w:t>技术规范书</w:t>
                            </w:r>
                          </w:p>
                          <w:p>
                            <w:pPr>
                              <w:ind w:firstLine="803"/>
                              <w:jc w:val="right"/>
                              <w:rPr>
                                <w:rFonts w:hint="eastAsia" w:ascii="华文楷体" w:hAnsi="华文楷体"/>
                                <w:b/>
                                <w:sz w:val="40"/>
                                <w:szCs w:val="44"/>
                              </w:rPr>
                            </w:pPr>
                          </w:p>
                          <w:p>
                            <w:pPr>
                              <w:ind w:firstLine="803"/>
                              <w:jc w:val="right"/>
                              <w:rPr>
                                <w:rFonts w:ascii="华文楷体" w:hAnsi="华文楷体"/>
                                <w:b/>
                                <w:sz w:val="40"/>
                                <w:szCs w:val="44"/>
                              </w:rPr>
                            </w:pPr>
                          </w:p>
                          <w:p>
                            <w:pPr>
                              <w:ind w:firstLine="803"/>
                              <w:jc w:val="right"/>
                              <w:rPr>
                                <w:rFonts w:ascii="华文楷体" w:hAnsi="华文楷体"/>
                                <w:b/>
                                <w:sz w:val="40"/>
                                <w:szCs w:val="44"/>
                              </w:rPr>
                            </w:pPr>
                          </w:p>
                          <w:p>
                            <w:pPr>
                              <w:ind w:firstLine="803"/>
                              <w:jc w:val="right"/>
                              <w:rPr>
                                <w:rFonts w:hint="eastAsia" w:ascii="华文楷体" w:hAnsi="华文楷体"/>
                                <w:b/>
                                <w:sz w:val="40"/>
                                <w:szCs w:val="44"/>
                              </w:rPr>
                            </w:pPr>
                          </w:p>
                          <w:p>
                            <w:pPr>
                              <w:ind w:firstLine="803"/>
                              <w:jc w:val="center"/>
                              <w:rPr>
                                <w:rFonts w:hint="eastAsia" w:ascii="华文楷体" w:hAnsi="华文楷体"/>
                                <w:b/>
                                <w:sz w:val="40"/>
                                <w:szCs w:val="44"/>
                              </w:rPr>
                            </w:pPr>
                          </w:p>
                          <w:p>
                            <w:pPr>
                              <w:ind w:firstLine="560"/>
                              <w:jc w:val="center"/>
                              <w:rPr>
                                <w:rFonts w:hint="eastAsia"/>
                                <w:sz w:val="28"/>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4.95pt;margin-top:337.75pt;height:83.65pt;width:466.35pt;mso-position-horizontal-relative:page;mso-position-vertical-relative:page;z-index:251660288;mso-width-relative:page;mso-height-relative:page;" filled="f" stroked="f" coordsize="21600,21600" o:gfxdata="UEsDBAoAAAAAAIdO4kAAAAAAAAAAAAAAAAAEAAAAZHJzL1BLAwQUAAAACACHTuJA9a1hi9gAAAAL&#10;AQAADwAAAGRycy9kb3ducmV2LnhtbE2PwU7DMAyG70i8Q2QkbsxZtZa2NN0BxBXEBkjcssZrKxqn&#10;arK1vD3ZCU6W5U+/v7/aLnYQZ5p871jBeiVBEDfO9NwqeN8/3+UgfNBs9OCYFPyQh219fVXp0riZ&#10;3+i8C62IIexLraALYSwRfdOR1X7lRuJ4O7rJ6hDXqUUz6TmG2wETKTO0uuf4odMjPXbUfO9OVsHH&#10;y/HrcyNf2yebjrNbJLItUKnbm7V8ABFoCX8wXPSjOtTR6eBObLwYFGRFEck479MUxAWQMslAHBTk&#10;myQHrCv836H+BVBLAwQUAAAACACHTuJAtz1trB4CAAAmBAAADgAAAGRycy9lMm9Eb2MueG1srVPN&#10;jtMwEL4j8Q6W7zRJ1W1p1HS1bLUIafmRFh7AdZzGIvGYsdukPAC8wZ64cOe5+hxM7G4py2UPXCJ7&#10;ZvzNfN98WVz2bcN2Cp0GU/BslHKmjIRSm03BP328efGSM+eFKUUDRhV8rxy/XD5/tuhsrsZQQ1Mq&#10;ZARiXN7Zgtfe2zxJnKxVK9wIrDKUrABb4emKm6RE0RF62yTjNJ0mHWBpEaRyjqKrmORHRHwKIFSV&#10;lmoFctsq4yMqqkZ4ouRqbR1fhmmrSkn/vqqc8qwpODH14UtN6LwevslyIfINCltreRxBPGWER5xa&#10;oQ01PUGthBdsi/ofqFZLBAeVH0lok0gkKEIssvSRNne1sCpwIamdPYnu/h+sfLf7gEyX5ISMMyNa&#10;2vjh/vvhx6/Dz2+MYiRQZ11OdXeWKn3/CnoqDmSdvQX52TED17UwG3WFCF2tREkDhpfJ2dOI4waQ&#10;dfcWSmokth4CUF9hO6hHejBCp+XsT8tRvWeSgpNpNp+OLziTlMtm83SWhvUlIn94btH51wpaNhwK&#10;jrT9AC92t84TESp9KBm6GbjRTRMc0Ji/AlQYIypY6Ph6IDPMH5n4ft0fxVlDuSdaCNFe9HPRoQb8&#10;yllH1iq4+7IVqDhr3hiSZp5NJoMXw2VyMRvTBc8z6/OMMJKgCu45i8drH/27tag3NXWKyzBwRXJW&#10;OhAdRo1TEevhQvYJ/I9WH/x5fg9Vf37v5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1rWGL2AAA&#10;AAsBAAAPAAAAAAAAAAEAIAAAACIAAABkcnMvZG93bnJldi54bWxQSwECFAAUAAAACACHTuJAtz1t&#10;rB4CAAAmBAAADgAAAAAAAAABACAAAAAnAQAAZHJzL2Uyb0RvYy54bWxQSwUGAAAAAAYABgBZAQAA&#10;twUAAAAA&#10;">
                <v:fill on="f" focussize="0,0"/>
                <v:stroke on="f"/>
                <v:imagedata o:title=""/>
                <o:lock v:ext="edit" aspectratio="f"/>
                <v:textbox>
                  <w:txbxContent>
                    <w:p>
                      <w:pPr>
                        <w:spacing w:line="300" w:lineRule="auto"/>
                        <w:jc w:val="right"/>
                        <w:rPr>
                          <w:rFonts w:ascii="华文楷体" w:hAnsi="华文楷体"/>
                          <w:b/>
                          <w:sz w:val="40"/>
                          <w:szCs w:val="44"/>
                        </w:rPr>
                      </w:pPr>
                      <w:r>
                        <w:rPr>
                          <w:rFonts w:hint="eastAsia" w:ascii="华文楷体" w:hAnsi="华文楷体"/>
                          <w:b/>
                          <w:sz w:val="40"/>
                          <w:szCs w:val="44"/>
                          <w:lang w:val="en-US" w:eastAsia="zh-CN"/>
                        </w:rPr>
                        <w:t>广西南宁五象新区电力应急联动中心零碳示范项目碳中和认证服务项目</w:t>
                      </w:r>
                      <w:r>
                        <w:rPr>
                          <w:rFonts w:hint="eastAsia" w:ascii="华文楷体" w:hAnsi="华文楷体"/>
                          <w:b/>
                          <w:sz w:val="40"/>
                          <w:szCs w:val="44"/>
                        </w:rPr>
                        <w:t>技术规范书</w:t>
                      </w:r>
                    </w:p>
                    <w:p>
                      <w:pPr>
                        <w:ind w:firstLine="803"/>
                        <w:jc w:val="right"/>
                        <w:rPr>
                          <w:rFonts w:hint="eastAsia" w:ascii="华文楷体" w:hAnsi="华文楷体"/>
                          <w:b/>
                          <w:sz w:val="40"/>
                          <w:szCs w:val="44"/>
                        </w:rPr>
                      </w:pPr>
                    </w:p>
                    <w:p>
                      <w:pPr>
                        <w:ind w:firstLine="803"/>
                        <w:jc w:val="right"/>
                        <w:rPr>
                          <w:rFonts w:ascii="华文楷体" w:hAnsi="华文楷体"/>
                          <w:b/>
                          <w:sz w:val="40"/>
                          <w:szCs w:val="44"/>
                        </w:rPr>
                      </w:pPr>
                    </w:p>
                    <w:p>
                      <w:pPr>
                        <w:ind w:firstLine="803"/>
                        <w:jc w:val="right"/>
                        <w:rPr>
                          <w:rFonts w:ascii="华文楷体" w:hAnsi="华文楷体"/>
                          <w:b/>
                          <w:sz w:val="40"/>
                          <w:szCs w:val="44"/>
                        </w:rPr>
                      </w:pPr>
                    </w:p>
                    <w:p>
                      <w:pPr>
                        <w:ind w:firstLine="803"/>
                        <w:jc w:val="right"/>
                        <w:rPr>
                          <w:rFonts w:hint="eastAsia" w:ascii="华文楷体" w:hAnsi="华文楷体"/>
                          <w:b/>
                          <w:sz w:val="40"/>
                          <w:szCs w:val="44"/>
                        </w:rPr>
                      </w:pPr>
                    </w:p>
                    <w:p>
                      <w:pPr>
                        <w:ind w:firstLine="803"/>
                        <w:jc w:val="center"/>
                        <w:rPr>
                          <w:rFonts w:hint="eastAsia" w:ascii="华文楷体" w:hAnsi="华文楷体"/>
                          <w:b/>
                          <w:sz w:val="40"/>
                          <w:szCs w:val="44"/>
                        </w:rPr>
                      </w:pPr>
                    </w:p>
                    <w:p>
                      <w:pPr>
                        <w:ind w:firstLine="560"/>
                        <w:jc w:val="center"/>
                        <w:rPr>
                          <w:rFonts w:hint="eastAsia"/>
                          <w:sz w:val="28"/>
                        </w:rPr>
                      </w:pPr>
                    </w:p>
                  </w:txbxContent>
                </v:textbox>
              </v:shape>
            </w:pict>
          </mc:Fallback>
        </mc:AlternateContent>
      </w:r>
      <w:r>
        <w:rPr>
          <w:rFonts w:hint="eastAsia" w:ascii="宋体" w:hAnsi="宋体"/>
        </w:rPr>
        <w:drawing>
          <wp:anchor distT="0" distB="0" distL="114300" distR="114300" simplePos="0" relativeHeight="251659264" behindDoc="1" locked="0" layoutInCell="1" allowOverlap="1">
            <wp:simplePos x="0" y="0"/>
            <wp:positionH relativeFrom="margin">
              <wp:posOffset>-1748155</wp:posOffset>
            </wp:positionH>
            <wp:positionV relativeFrom="margin">
              <wp:posOffset>-913765</wp:posOffset>
            </wp:positionV>
            <wp:extent cx="8167370" cy="6353175"/>
            <wp:effectExtent l="0" t="0" r="5080" b="9525"/>
            <wp:wrapThrough wrapText="bothSides">
              <wp:wrapPolygon>
                <wp:start x="0" y="0"/>
                <wp:lineTo x="0" y="21568"/>
                <wp:lineTo x="21563" y="21568"/>
                <wp:lineTo x="21563" y="0"/>
                <wp:lineTo x="0" y="0"/>
              </wp:wrapPolygon>
            </wp:wrapThrough>
            <wp:docPr id="1" name="Picture 35"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5" descr="D02-L [Converted]"/>
                    <pic:cNvPicPr>
                      <a:picLocks noChangeAspect="1"/>
                    </pic:cNvPicPr>
                  </pic:nvPicPr>
                  <pic:blipFill>
                    <a:blip r:embed="rId9"/>
                    <a:stretch>
                      <a:fillRect/>
                    </a:stretch>
                  </pic:blipFill>
                  <pic:spPr>
                    <a:xfrm>
                      <a:off x="0" y="0"/>
                      <a:ext cx="8167370" cy="6353175"/>
                    </a:xfrm>
                    <a:prstGeom prst="rect">
                      <a:avLst/>
                    </a:prstGeom>
                    <a:noFill/>
                    <a:ln>
                      <a:noFill/>
                    </a:ln>
                  </pic:spPr>
                </pic:pic>
              </a:graphicData>
            </a:graphic>
          </wp:anchor>
        </w:drawing>
      </w:r>
    </w:p>
    <w:p>
      <w:pPr>
        <w:spacing w:line="300" w:lineRule="auto"/>
        <w:jc w:val="center"/>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32"/>
          <w:szCs w:val="32"/>
          <w:highlight w:val="none"/>
        </w:rPr>
      </w:pPr>
    </w:p>
    <w:p>
      <w:pPr>
        <w:spacing w:line="300" w:lineRule="auto"/>
        <w:rPr>
          <w:sz w:val="32"/>
          <w:szCs w:val="32"/>
          <w:highlight w:val="none"/>
        </w:rPr>
      </w:pPr>
    </w:p>
    <w:p>
      <w:pPr>
        <w:spacing w:line="300" w:lineRule="auto"/>
        <w:jc w:val="center"/>
        <w:rPr>
          <w:rFonts w:hint="eastAsia" w:eastAsia="宋体"/>
          <w:b/>
          <w:bCs/>
          <w:sz w:val="28"/>
          <w:szCs w:val="28"/>
          <w:highlight w:val="none"/>
          <w:lang w:eastAsia="zh-CN"/>
        </w:rPr>
      </w:pPr>
      <w:r>
        <w:rPr>
          <w:b/>
          <w:bCs/>
          <w:sz w:val="28"/>
          <w:szCs w:val="28"/>
          <w:highlight w:val="none"/>
        </w:rPr>
        <w:t>南宁供电局</w:t>
      </w:r>
      <w:r>
        <w:rPr>
          <w:rFonts w:hint="eastAsia"/>
          <w:b/>
          <w:bCs/>
          <w:sz w:val="28"/>
          <w:szCs w:val="28"/>
          <w:highlight w:val="none"/>
          <w:lang w:eastAsia="zh-CN"/>
        </w:rPr>
        <w:t>规划发展部（电网规划中心、战新产业办公室）</w:t>
      </w:r>
    </w:p>
    <w:p>
      <w:pPr>
        <w:spacing w:line="300" w:lineRule="auto"/>
        <w:jc w:val="center"/>
        <w:rPr>
          <w:b/>
          <w:bCs/>
          <w:sz w:val="28"/>
          <w:szCs w:val="28"/>
          <w:highlight w:val="none"/>
        </w:rPr>
      </w:pPr>
      <w:r>
        <w:rPr>
          <w:rFonts w:hint="eastAsia"/>
          <w:b/>
          <w:bCs/>
          <w:sz w:val="28"/>
          <w:szCs w:val="28"/>
          <w:highlight w:val="none"/>
        </w:rPr>
        <w:t>202</w:t>
      </w:r>
      <w:r>
        <w:rPr>
          <w:rFonts w:hint="eastAsia"/>
          <w:b/>
          <w:bCs/>
          <w:sz w:val="28"/>
          <w:szCs w:val="28"/>
          <w:highlight w:val="none"/>
          <w:lang w:val="en-US" w:eastAsia="zh-CN"/>
        </w:rPr>
        <w:t>5</w:t>
      </w:r>
      <w:r>
        <w:rPr>
          <w:rFonts w:hint="eastAsia"/>
          <w:b/>
          <w:bCs/>
          <w:sz w:val="28"/>
          <w:szCs w:val="28"/>
          <w:highlight w:val="none"/>
        </w:rPr>
        <w:t>年</w:t>
      </w:r>
      <w:r>
        <w:rPr>
          <w:rFonts w:hint="eastAsia"/>
          <w:b/>
          <w:bCs/>
          <w:sz w:val="28"/>
          <w:szCs w:val="28"/>
          <w:highlight w:val="none"/>
          <w:lang w:val="en-US" w:eastAsia="zh-CN"/>
        </w:rPr>
        <w:t>9</w:t>
      </w:r>
      <w:r>
        <w:rPr>
          <w:rFonts w:hint="eastAsia"/>
          <w:b/>
          <w:bCs/>
          <w:sz w:val="28"/>
          <w:szCs w:val="28"/>
          <w:highlight w:val="none"/>
        </w:rPr>
        <w:t>月</w:t>
      </w:r>
    </w:p>
    <w:p>
      <w:pPr>
        <w:spacing w:before="0" w:beforeLines="0" w:after="0" w:afterLines="0" w:line="240" w:lineRule="auto"/>
        <w:ind w:left="0" w:leftChars="0" w:right="0" w:rightChars="0" w:firstLine="0" w:firstLineChars="0"/>
        <w:jc w:val="center"/>
        <w:rPr>
          <w:rFonts w:hint="eastAsia" w:ascii="方正小标宋_GBK" w:hAnsi="方正小标宋_GBK" w:eastAsia="方正小标宋_GBK" w:cs="方正小标宋_GBK"/>
          <w:sz w:val="32"/>
          <w:szCs w:val="40"/>
        </w:rPr>
        <w:sectPr>
          <w:headerReference r:id="rId5"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pPr>
    </w:p>
    <w:p>
      <w:pPr>
        <w:spacing w:before="0" w:beforeLines="0" w:after="0" w:afterLines="0" w:line="240" w:lineRule="auto"/>
        <w:ind w:left="0" w:leftChars="0" w:right="0" w:rightChars="0" w:firstLine="0" w:firstLineChars="0"/>
        <w:jc w:val="center"/>
        <w:rPr>
          <w:rFonts w:hint="eastAsia" w:ascii="方正小标宋_GBK" w:hAnsi="方正小标宋_GBK" w:eastAsia="方正小标宋_GBK" w:cs="方正小标宋_GBK"/>
          <w:sz w:val="40"/>
          <w:szCs w:val="40"/>
        </w:rPr>
      </w:pPr>
      <w:r>
        <w:rPr>
          <w:rFonts w:hint="eastAsia" w:ascii="方正小标宋_GBK" w:hAnsi="方正小标宋_GBK" w:eastAsia="方正小标宋_GBK" w:cs="方正小标宋_GBK"/>
          <w:sz w:val="32"/>
          <w:szCs w:val="40"/>
        </w:rPr>
        <w:t>目</w:t>
      </w:r>
      <w:r>
        <w:rPr>
          <w:rFonts w:hint="eastAsia" w:ascii="方正小标宋_GBK" w:hAnsi="方正小标宋_GBK" w:eastAsia="方正小标宋_GBK" w:cs="方正小标宋_GBK"/>
          <w:sz w:val="32"/>
          <w:szCs w:val="40"/>
          <w:lang w:val="en-US" w:eastAsia="zh-CN"/>
        </w:rPr>
        <w:t xml:space="preserve">  </w:t>
      </w:r>
      <w:r>
        <w:rPr>
          <w:rFonts w:hint="eastAsia" w:ascii="方正小标宋_GBK" w:hAnsi="方正小标宋_GBK" w:eastAsia="方正小标宋_GBK" w:cs="方正小标宋_GBK"/>
          <w:sz w:val="32"/>
          <w:szCs w:val="40"/>
        </w:rPr>
        <w:t>录</w:t>
      </w:r>
    </w:p>
    <w:p>
      <w:pPr>
        <w:pStyle w:val="15"/>
        <w:tabs>
          <w:tab w:val="right" w:leader="dot" w:pos="8306"/>
          <w:tab w:val="clear" w:pos="8296"/>
        </w:tabs>
      </w:pPr>
      <w:r>
        <w:rPr>
          <w:sz w:val="21"/>
          <w:szCs w:val="21"/>
          <w:highlight w:val="none"/>
        </w:rPr>
        <w:fldChar w:fldCharType="begin"/>
      </w:r>
      <w:r>
        <w:rPr>
          <w:sz w:val="21"/>
          <w:szCs w:val="21"/>
          <w:highlight w:val="none"/>
        </w:rPr>
        <w:instrText xml:space="preserve">TOC \o "1-1" \h \u </w:instrText>
      </w:r>
      <w:r>
        <w:rPr>
          <w:sz w:val="21"/>
          <w:szCs w:val="21"/>
          <w:highlight w:val="none"/>
        </w:rPr>
        <w:fldChar w:fldCharType="separate"/>
      </w:r>
      <w:r>
        <w:rPr>
          <w:szCs w:val="21"/>
          <w:highlight w:val="none"/>
        </w:rPr>
        <w:fldChar w:fldCharType="begin"/>
      </w:r>
      <w:r>
        <w:rPr>
          <w:szCs w:val="21"/>
          <w:highlight w:val="none"/>
        </w:rPr>
        <w:instrText xml:space="preserve"> HYPERLINK \l _Toc31515 </w:instrText>
      </w:r>
      <w:r>
        <w:rPr>
          <w:szCs w:val="21"/>
          <w:highlight w:val="none"/>
        </w:rPr>
        <w:fldChar w:fldCharType="separate"/>
      </w:r>
      <w:r>
        <w:rPr>
          <w:rFonts w:hint="eastAsia" w:cs="宋体"/>
          <w:szCs w:val="24"/>
          <w:highlight w:val="none"/>
          <w:lang w:val="en-US" w:eastAsia="zh-CN"/>
        </w:rPr>
        <w:t>1.</w:t>
      </w:r>
      <w:r>
        <w:rPr>
          <w:rFonts w:hint="eastAsia" w:cs="宋体"/>
          <w:szCs w:val="24"/>
          <w:highlight w:val="none"/>
        </w:rPr>
        <w:t>总则</w:t>
      </w:r>
      <w:r>
        <w:tab/>
      </w:r>
      <w:r>
        <w:fldChar w:fldCharType="begin"/>
      </w:r>
      <w:r>
        <w:instrText xml:space="preserve"> PAGEREF _Toc31515 \h </w:instrText>
      </w:r>
      <w:r>
        <w:fldChar w:fldCharType="separate"/>
      </w:r>
      <w:r>
        <w:t>1</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_Toc8018 </w:instrText>
      </w:r>
      <w:r>
        <w:rPr>
          <w:szCs w:val="21"/>
          <w:highlight w:val="none"/>
        </w:rPr>
        <w:fldChar w:fldCharType="separate"/>
      </w:r>
      <w:r>
        <w:rPr>
          <w:rFonts w:hint="eastAsia" w:cs="宋体"/>
          <w:szCs w:val="24"/>
          <w:highlight w:val="none"/>
          <w:lang w:val="en-US" w:eastAsia="zh-CN"/>
        </w:rPr>
        <w:t>2.</w:t>
      </w:r>
      <w:r>
        <w:rPr>
          <w:rFonts w:hint="eastAsia" w:cs="宋体"/>
          <w:szCs w:val="24"/>
          <w:highlight w:val="none"/>
        </w:rPr>
        <w:t>应遵循的主要标准</w:t>
      </w:r>
      <w:r>
        <w:tab/>
      </w:r>
      <w:r>
        <w:fldChar w:fldCharType="begin"/>
      </w:r>
      <w:r>
        <w:instrText xml:space="preserve"> PAGEREF _Toc8018 \h </w:instrText>
      </w:r>
      <w:r>
        <w:fldChar w:fldCharType="separate"/>
      </w:r>
      <w:r>
        <w:t>2</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_Toc28605 </w:instrText>
      </w:r>
      <w:r>
        <w:rPr>
          <w:szCs w:val="21"/>
          <w:highlight w:val="none"/>
        </w:rPr>
        <w:fldChar w:fldCharType="separate"/>
      </w:r>
      <w:r>
        <w:rPr>
          <w:rFonts w:hint="eastAsia" w:cs="宋体"/>
          <w:szCs w:val="24"/>
          <w:highlight w:val="none"/>
          <w:lang w:val="en-US" w:eastAsia="zh-CN"/>
        </w:rPr>
        <w:t>3.</w:t>
      </w:r>
      <w:r>
        <w:rPr>
          <w:rFonts w:hint="eastAsia" w:cs="宋体"/>
          <w:szCs w:val="24"/>
          <w:highlight w:val="none"/>
        </w:rPr>
        <w:t>项目概述</w:t>
      </w:r>
      <w:r>
        <w:tab/>
      </w:r>
      <w:r>
        <w:fldChar w:fldCharType="begin"/>
      </w:r>
      <w:r>
        <w:instrText xml:space="preserve"> PAGEREF _Toc28605 \h </w:instrText>
      </w:r>
      <w:r>
        <w:fldChar w:fldCharType="separate"/>
      </w:r>
      <w:r>
        <w:t>3</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_Toc30627 </w:instrText>
      </w:r>
      <w:r>
        <w:rPr>
          <w:szCs w:val="21"/>
          <w:highlight w:val="none"/>
        </w:rPr>
        <w:fldChar w:fldCharType="separate"/>
      </w:r>
      <w:r>
        <w:rPr>
          <w:rFonts w:hint="eastAsia" w:cs="宋体"/>
          <w:szCs w:val="24"/>
          <w:highlight w:val="none"/>
          <w:lang w:val="en-US" w:eastAsia="zh-CN"/>
        </w:rPr>
        <w:t>4.</w:t>
      </w:r>
      <w:r>
        <w:rPr>
          <w:rFonts w:hint="eastAsia" w:cs="宋体"/>
          <w:szCs w:val="24"/>
          <w:highlight w:val="none"/>
        </w:rPr>
        <w:t>范围和内容</w:t>
      </w:r>
      <w:r>
        <w:tab/>
      </w:r>
      <w:r>
        <w:fldChar w:fldCharType="begin"/>
      </w:r>
      <w:r>
        <w:instrText xml:space="preserve"> PAGEREF _Toc30627 \h </w:instrText>
      </w:r>
      <w:r>
        <w:fldChar w:fldCharType="separate"/>
      </w:r>
      <w:r>
        <w:t>3</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_Toc23277 </w:instrText>
      </w:r>
      <w:r>
        <w:rPr>
          <w:szCs w:val="21"/>
          <w:highlight w:val="none"/>
        </w:rPr>
        <w:fldChar w:fldCharType="separate"/>
      </w:r>
      <w:r>
        <w:rPr>
          <w:rFonts w:hint="eastAsia" w:cs="宋体"/>
          <w:szCs w:val="24"/>
          <w:highlight w:val="none"/>
          <w:lang w:val="en-US" w:eastAsia="zh-CN"/>
        </w:rPr>
        <w:t>5.</w:t>
      </w:r>
      <w:r>
        <w:rPr>
          <w:rFonts w:hint="eastAsia" w:cs="宋体"/>
          <w:szCs w:val="24"/>
          <w:highlight w:val="none"/>
        </w:rPr>
        <w:t>总体要求</w:t>
      </w:r>
      <w:r>
        <w:tab/>
      </w:r>
      <w:r>
        <w:rPr>
          <w:rFonts w:hint="eastAsia"/>
          <w:lang w:val="en-US" w:eastAsia="zh-CN"/>
        </w:rPr>
        <w:t>3</w:t>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_Toc21654 </w:instrText>
      </w:r>
      <w:r>
        <w:rPr>
          <w:szCs w:val="21"/>
          <w:highlight w:val="none"/>
        </w:rPr>
        <w:fldChar w:fldCharType="separate"/>
      </w:r>
      <w:r>
        <w:rPr>
          <w:rFonts w:hint="eastAsia"/>
          <w:szCs w:val="21"/>
          <w:highlight w:val="none"/>
          <w:lang w:val="en-US" w:eastAsia="zh-CN"/>
        </w:rPr>
        <w:t>6</w:t>
      </w:r>
      <w:r>
        <w:rPr>
          <w:rFonts w:hint="eastAsia" w:hAnsi="宋体" w:cs="宋体"/>
          <w:szCs w:val="24"/>
          <w:highlight w:val="none"/>
          <w:lang w:val="en-US" w:eastAsia="zh-CN"/>
        </w:rPr>
        <w:t>.</w:t>
      </w:r>
      <w:r>
        <w:rPr>
          <w:rFonts w:hint="eastAsia" w:hAnsi="宋体" w:cs="宋体"/>
          <w:szCs w:val="24"/>
          <w:highlight w:val="none"/>
        </w:rPr>
        <w:t>评审与验收</w:t>
      </w:r>
      <w:r>
        <w:tab/>
      </w:r>
      <w:r>
        <w:rPr>
          <w:rFonts w:hint="eastAsia"/>
          <w:lang w:val="en-US" w:eastAsia="zh-CN"/>
        </w:rPr>
        <w:t>4</w:t>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_Toc11479 </w:instrText>
      </w:r>
      <w:r>
        <w:rPr>
          <w:szCs w:val="21"/>
          <w:highlight w:val="none"/>
        </w:rPr>
        <w:fldChar w:fldCharType="separate"/>
      </w:r>
      <w:r>
        <w:rPr>
          <w:rFonts w:hint="eastAsia"/>
          <w:szCs w:val="21"/>
          <w:highlight w:val="none"/>
          <w:lang w:val="en-US" w:eastAsia="zh-CN"/>
        </w:rPr>
        <w:t>7</w:t>
      </w:r>
      <w:r>
        <w:rPr>
          <w:rFonts w:hint="eastAsia" w:hAnsi="宋体" w:cs="宋体"/>
          <w:szCs w:val="24"/>
          <w:highlight w:val="none"/>
          <w:lang w:val="en-US" w:eastAsia="zh-CN"/>
        </w:rPr>
        <w:t>.</w:t>
      </w:r>
      <w:r>
        <w:rPr>
          <w:rFonts w:hint="eastAsia" w:hAnsi="宋体" w:cs="宋体"/>
          <w:szCs w:val="24"/>
          <w:highlight w:val="none"/>
        </w:rPr>
        <w:t>售后服务</w:t>
      </w:r>
      <w:r>
        <w:tab/>
      </w:r>
      <w:r>
        <w:rPr>
          <w:rFonts w:hint="eastAsia"/>
          <w:lang w:val="en-US" w:eastAsia="zh-CN"/>
        </w:rPr>
        <w:t>4</w:t>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_Toc29507 </w:instrText>
      </w:r>
      <w:r>
        <w:rPr>
          <w:szCs w:val="21"/>
          <w:highlight w:val="none"/>
        </w:rPr>
        <w:fldChar w:fldCharType="separate"/>
      </w:r>
      <w:r>
        <w:rPr>
          <w:rFonts w:hint="eastAsia"/>
          <w:szCs w:val="21"/>
          <w:highlight w:val="none"/>
          <w:lang w:val="en-US" w:eastAsia="zh-CN"/>
        </w:rPr>
        <w:t>8</w:t>
      </w:r>
      <w:r>
        <w:rPr>
          <w:rFonts w:hint="eastAsia" w:cs="宋体"/>
          <w:szCs w:val="24"/>
          <w:highlight w:val="none"/>
          <w:lang w:val="en-US" w:eastAsia="zh-CN"/>
        </w:rPr>
        <w:t>.</w:t>
      </w:r>
      <w:r>
        <w:rPr>
          <w:rFonts w:hint="eastAsia" w:cs="宋体"/>
          <w:szCs w:val="24"/>
          <w:highlight w:val="none"/>
        </w:rPr>
        <w:t>附件</w:t>
      </w:r>
      <w:r>
        <w:tab/>
      </w:r>
      <w:r>
        <w:rPr>
          <w:rFonts w:hint="eastAsia"/>
          <w:lang w:val="en-US" w:eastAsia="zh-CN"/>
        </w:rPr>
        <w:t>4</w:t>
      </w:r>
      <w:r>
        <w:rPr>
          <w:szCs w:val="21"/>
          <w:highlight w:val="none"/>
        </w:rPr>
        <w:fldChar w:fldCharType="end"/>
      </w:r>
    </w:p>
    <w:p>
      <w:pPr>
        <w:spacing w:line="300" w:lineRule="auto"/>
        <w:rPr>
          <w:szCs w:val="21"/>
          <w:highlight w:val="none"/>
        </w:rPr>
      </w:pPr>
      <w:r>
        <w:rPr>
          <w:szCs w:val="21"/>
          <w:highlight w:val="none"/>
        </w:rPr>
        <w:fldChar w:fldCharType="end"/>
      </w:r>
      <w:bookmarkStart w:id="0" w:name="_Toc24403"/>
      <w:bookmarkStart w:id="1" w:name="_Toc3185"/>
      <w:bookmarkStart w:id="2" w:name="_Toc31515"/>
    </w:p>
    <w:p>
      <w:pPr>
        <w:spacing w:line="300" w:lineRule="auto"/>
        <w:rPr>
          <w:rFonts w:hint="eastAsia" w:cs="宋体"/>
          <w:szCs w:val="24"/>
          <w:highlight w:val="none"/>
          <w:lang w:val="en-US" w:eastAsia="zh-CN"/>
        </w:rPr>
        <w:sectPr>
          <w:footerReference r:id="rId6"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pPr>
    </w:p>
    <w:p>
      <w:pPr>
        <w:spacing w:line="300" w:lineRule="auto"/>
        <w:rPr>
          <w:rFonts w:cs="宋体"/>
          <w:szCs w:val="24"/>
          <w:highlight w:val="none"/>
        </w:rPr>
      </w:pPr>
      <w:r>
        <w:rPr>
          <w:rFonts w:hint="eastAsia" w:cs="宋体"/>
          <w:szCs w:val="24"/>
          <w:highlight w:val="none"/>
          <w:lang w:val="en-US" w:eastAsia="zh-CN"/>
        </w:rPr>
        <w:t>1.</w:t>
      </w:r>
      <w:r>
        <w:rPr>
          <w:rFonts w:hint="eastAsia" w:cs="宋体"/>
          <w:szCs w:val="24"/>
          <w:highlight w:val="none"/>
        </w:rPr>
        <w:t>总则</w:t>
      </w:r>
      <w:bookmarkEnd w:id="0"/>
      <w:bookmarkEnd w:id="1"/>
      <w:bookmarkEnd w:id="2"/>
    </w:p>
    <w:p>
      <w:pPr>
        <w:pStyle w:val="4"/>
        <w:outlineLvl w:val="0"/>
        <w:rPr>
          <w:rFonts w:hAnsi="宋体" w:cs="宋体"/>
          <w:szCs w:val="24"/>
          <w:highlight w:val="none"/>
        </w:rPr>
      </w:pPr>
      <w:bookmarkStart w:id="3" w:name="_Toc29853"/>
      <w:r>
        <w:rPr>
          <w:rFonts w:hint="eastAsia" w:hAnsi="宋体" w:cs="宋体"/>
          <w:szCs w:val="24"/>
          <w:highlight w:val="none"/>
        </w:rPr>
        <w:t>一般要求</w:t>
      </w:r>
      <w:bookmarkEnd w:id="3"/>
    </w:p>
    <w:p>
      <w:pPr>
        <w:pStyle w:val="27"/>
        <w:numPr>
          <w:ilvl w:val="2"/>
          <w:numId w:val="4"/>
        </w:numPr>
        <w:rPr>
          <w:rFonts w:cs="宋体"/>
          <w:highlight w:val="none"/>
        </w:rPr>
      </w:pPr>
      <w:r>
        <w:rPr>
          <w:rFonts w:hint="eastAsia" w:cs="宋体"/>
          <w:highlight w:val="none"/>
        </w:rPr>
        <w:t>投标方必须认真阅读本技术条款内容，以免造成投标失败。</w:t>
      </w:r>
    </w:p>
    <w:p>
      <w:pPr>
        <w:pStyle w:val="27"/>
        <w:numPr>
          <w:ilvl w:val="2"/>
          <w:numId w:val="4"/>
        </w:numPr>
        <w:rPr>
          <w:rFonts w:cs="宋体"/>
          <w:highlight w:val="none"/>
        </w:rPr>
      </w:pPr>
      <w:r>
        <w:rPr>
          <w:rFonts w:hint="eastAsia" w:cs="宋体"/>
          <w:highlight w:val="none"/>
        </w:rPr>
        <w:t>本技术规范书主要描述</w:t>
      </w:r>
      <w:r>
        <w:rPr>
          <w:rFonts w:hint="eastAsia" w:cs="宋体"/>
          <w:sz w:val="24"/>
          <w:szCs w:val="24"/>
          <w:lang w:eastAsia="zh-CN"/>
        </w:rPr>
        <w:t>广西南宁五象新区电力应急联动中心零碳示范项目碳中和认证服务</w:t>
      </w:r>
      <w:r>
        <w:rPr>
          <w:rFonts w:hint="eastAsia" w:ascii="宋体" w:hAnsi="宋体" w:eastAsia="宋体" w:cs="宋体"/>
          <w:sz w:val="24"/>
          <w:szCs w:val="24"/>
        </w:rPr>
        <w:t>项目</w:t>
      </w:r>
      <w:r>
        <w:rPr>
          <w:rFonts w:hint="eastAsia" w:cs="宋体"/>
          <w:highlight w:val="none"/>
        </w:rPr>
        <w:t>要求有关事项。</w:t>
      </w:r>
    </w:p>
    <w:p>
      <w:pPr>
        <w:pStyle w:val="27"/>
        <w:numPr>
          <w:ilvl w:val="2"/>
          <w:numId w:val="4"/>
        </w:numPr>
        <w:rPr>
          <w:rFonts w:cs="宋体"/>
          <w:highlight w:val="none"/>
        </w:rPr>
      </w:pPr>
      <w:r>
        <w:rPr>
          <w:rFonts w:hint="eastAsia" w:cs="宋体"/>
          <w:highlight w:val="none"/>
        </w:rPr>
        <w:t>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7"/>
        <w:numPr>
          <w:ilvl w:val="2"/>
          <w:numId w:val="4"/>
        </w:numPr>
        <w:rPr>
          <w:rFonts w:cs="宋体"/>
          <w:highlight w:val="none"/>
        </w:rPr>
      </w:pPr>
      <w:r>
        <w:rPr>
          <w:rFonts w:hint="eastAsia" w:cs="宋体"/>
          <w:highlight w:val="none"/>
        </w:rPr>
        <w:t>投标方应提供满足本技术规范书要求的</w:t>
      </w:r>
      <w:r>
        <w:rPr>
          <w:rFonts w:hint="eastAsia" w:cs="宋体"/>
          <w:highlight w:val="none"/>
          <w:lang w:eastAsia="zh-CN"/>
        </w:rPr>
        <w:t>范围和内容、</w:t>
      </w:r>
      <w:r>
        <w:rPr>
          <w:rFonts w:hint="eastAsia" w:cs="宋体"/>
          <w:highlight w:val="none"/>
        </w:rPr>
        <w:t>报价，实施方案必须满足本技术规范的主要要求，否则将被认作没有回答。投标方认为需特殊说明的部分，应附详细的技术资料，否则因评标理解不同而产生的后果由投标方负责。</w:t>
      </w:r>
    </w:p>
    <w:p>
      <w:pPr>
        <w:pStyle w:val="27"/>
        <w:numPr>
          <w:ilvl w:val="2"/>
          <w:numId w:val="4"/>
        </w:numPr>
        <w:rPr>
          <w:rFonts w:cs="宋体"/>
          <w:highlight w:val="none"/>
        </w:rPr>
      </w:pPr>
      <w:r>
        <w:rPr>
          <w:rFonts w:hint="eastAsia" w:cs="宋体"/>
          <w:highlight w:val="none"/>
        </w:rPr>
        <w:t>如果投标方认为本技术条款所描述技术要求等存在不合理性或不明白的，可在响应原要求后陈述相关建议。</w:t>
      </w:r>
    </w:p>
    <w:p>
      <w:pPr>
        <w:pStyle w:val="27"/>
        <w:numPr>
          <w:ilvl w:val="2"/>
          <w:numId w:val="4"/>
        </w:numPr>
        <w:rPr>
          <w:rFonts w:cs="宋体"/>
          <w:highlight w:val="none"/>
        </w:rPr>
      </w:pPr>
      <w:r>
        <w:rPr>
          <w:rFonts w:hint="eastAsia" w:cs="宋体"/>
          <w:highlight w:val="none"/>
        </w:rPr>
        <w:t>投标方也可提出满足本技术规范书要求，且技术先进、成熟、价格合理的其他建议，供招标方选择。</w:t>
      </w:r>
    </w:p>
    <w:p>
      <w:pPr>
        <w:pStyle w:val="27"/>
        <w:numPr>
          <w:ilvl w:val="2"/>
          <w:numId w:val="4"/>
        </w:numPr>
        <w:rPr>
          <w:rFonts w:cs="宋体"/>
          <w:highlight w:val="none"/>
        </w:rPr>
      </w:pPr>
      <w:r>
        <w:rPr>
          <w:rFonts w:hint="eastAsia" w:cs="宋体"/>
          <w:highlight w:val="none"/>
        </w:rPr>
        <w:t>投标方应提供满足本技术规范书要求的完整的服务、工作产品，满足国家及用户提出的有关质量标准要求。所有工作产品必须具有在中国境内的合法使用权。</w:t>
      </w:r>
    </w:p>
    <w:p>
      <w:pPr>
        <w:pStyle w:val="27"/>
        <w:numPr>
          <w:ilvl w:val="2"/>
          <w:numId w:val="4"/>
        </w:numPr>
        <w:rPr>
          <w:rFonts w:cs="宋体"/>
          <w:highlight w:val="none"/>
        </w:rPr>
      </w:pPr>
      <w:r>
        <w:rPr>
          <w:rFonts w:hint="eastAsia" w:cs="宋体"/>
          <w:highlight w:val="none"/>
        </w:rPr>
        <w:t>本技术规范书所使用的标准如与投标方所执行的标准不一致，按较高标准执行。</w:t>
      </w:r>
    </w:p>
    <w:p>
      <w:pPr>
        <w:pStyle w:val="27"/>
        <w:numPr>
          <w:ilvl w:val="2"/>
          <w:numId w:val="4"/>
        </w:numPr>
        <w:rPr>
          <w:rFonts w:cs="宋体"/>
          <w:highlight w:val="none"/>
        </w:rPr>
      </w:pPr>
      <w:r>
        <w:rPr>
          <w:rFonts w:hint="eastAsia" w:cs="宋体"/>
          <w:highlight w:val="none"/>
        </w:rPr>
        <w:t>如果因为无法提供的原因而提供其他产品、服务，投标方应明确说明并提出质量保证承诺。</w:t>
      </w:r>
    </w:p>
    <w:p>
      <w:pPr>
        <w:pStyle w:val="27"/>
        <w:numPr>
          <w:ilvl w:val="2"/>
          <w:numId w:val="4"/>
        </w:numPr>
        <w:rPr>
          <w:rFonts w:cs="宋体"/>
          <w:highlight w:val="none"/>
        </w:rPr>
      </w:pPr>
      <w:r>
        <w:rPr>
          <w:rFonts w:hint="eastAsia" w:cs="宋体"/>
          <w:highlight w:val="none"/>
        </w:rPr>
        <w:t>投标方应对本次投标所有文件保密，不得向其他单位公布或泄漏招标项目的有关信息。</w:t>
      </w:r>
    </w:p>
    <w:p>
      <w:pPr>
        <w:pStyle w:val="27"/>
        <w:numPr>
          <w:ilvl w:val="2"/>
          <w:numId w:val="4"/>
        </w:numPr>
        <w:rPr>
          <w:rFonts w:cs="宋体"/>
          <w:highlight w:val="none"/>
        </w:rPr>
      </w:pPr>
      <w:r>
        <w:rPr>
          <w:rFonts w:hint="eastAsia" w:cs="宋体"/>
          <w:highlight w:val="none"/>
        </w:rPr>
        <w:t>在不超出本技术规范书要求的情况下，投标方应对招标方提出的所有细化要求予以满足。</w:t>
      </w:r>
    </w:p>
    <w:p>
      <w:pPr>
        <w:pStyle w:val="4"/>
        <w:outlineLvl w:val="0"/>
        <w:rPr>
          <w:rFonts w:hAnsi="宋体" w:cs="宋体"/>
          <w:szCs w:val="24"/>
          <w:highlight w:val="none"/>
        </w:rPr>
      </w:pPr>
      <w:bookmarkStart w:id="4" w:name="_Toc9494"/>
      <w:r>
        <w:rPr>
          <w:rFonts w:hint="eastAsia" w:hAnsi="宋体" w:cs="宋体"/>
          <w:szCs w:val="24"/>
          <w:highlight w:val="none"/>
        </w:rPr>
        <w:t>投标方职责</w:t>
      </w:r>
      <w:bookmarkEnd w:id="4"/>
    </w:p>
    <w:p>
      <w:pPr>
        <w:pStyle w:val="5"/>
        <w:rPr>
          <w:bCs/>
          <w:highlight w:val="none"/>
        </w:rPr>
      </w:pPr>
      <w:r>
        <w:rPr>
          <w:rFonts w:hint="eastAsia"/>
          <w:bCs/>
          <w:highlight w:val="none"/>
        </w:rPr>
        <w:t>负责本规范书内所需服务</w:t>
      </w:r>
      <w:r>
        <w:rPr>
          <w:rFonts w:hint="eastAsia"/>
          <w:bCs/>
          <w:highlight w:val="none"/>
          <w:lang w:eastAsia="zh-CN"/>
        </w:rPr>
        <w:t>内容</w:t>
      </w:r>
      <w:r>
        <w:rPr>
          <w:rFonts w:hint="eastAsia"/>
          <w:bCs/>
          <w:highlight w:val="none"/>
        </w:rPr>
        <w:t>，并根据招标方需求细化。</w:t>
      </w:r>
    </w:p>
    <w:p>
      <w:pPr>
        <w:pStyle w:val="5"/>
        <w:rPr>
          <w:bCs/>
          <w:highlight w:val="none"/>
        </w:rPr>
      </w:pPr>
      <w:r>
        <w:rPr>
          <w:rFonts w:hint="eastAsia"/>
          <w:bCs/>
          <w:highlight w:val="none"/>
        </w:rPr>
        <w:t>负责零碳示范项目碳中和认证服务的策划、数据核查、报告编制、认证对接等全流程工作推进与执行。</w:t>
      </w:r>
    </w:p>
    <w:p>
      <w:pPr>
        <w:pStyle w:val="5"/>
        <w:rPr>
          <w:bCs/>
          <w:highlight w:val="none"/>
        </w:rPr>
      </w:pPr>
      <w:r>
        <w:rPr>
          <w:rFonts w:hint="eastAsia"/>
          <w:bCs/>
          <w:highlight w:val="none"/>
          <w:lang w:eastAsia="zh-CN"/>
        </w:rPr>
        <w:t>负责</w:t>
      </w:r>
      <w:r>
        <w:rPr>
          <w:rFonts w:hint="eastAsia"/>
          <w:bCs/>
          <w:highlight w:val="none"/>
        </w:rPr>
        <w:t>针对示范区内所有可能产生温室气体的来源，进行排放源清查与数据收集，量化企业的温室气体排放量。</w:t>
      </w:r>
    </w:p>
    <w:p>
      <w:pPr>
        <w:pStyle w:val="5"/>
        <w:rPr>
          <w:bCs/>
          <w:highlight w:val="none"/>
        </w:rPr>
      </w:pPr>
      <w:r>
        <w:rPr>
          <w:rFonts w:hint="eastAsia"/>
          <w:bCs/>
          <w:highlight w:val="none"/>
          <w:lang w:eastAsia="zh-CN"/>
        </w:rPr>
        <w:t>负责通过购买减排量等方式，抵消</w:t>
      </w:r>
      <w:r>
        <w:rPr>
          <w:rFonts w:hint="eastAsia"/>
          <w:bCs/>
          <w:highlight w:val="none"/>
        </w:rPr>
        <w:t>零碳示范项目</w:t>
      </w:r>
      <w:r>
        <w:rPr>
          <w:rFonts w:hint="eastAsia"/>
          <w:bCs/>
          <w:highlight w:val="none"/>
          <w:lang w:eastAsia="zh-CN"/>
        </w:rPr>
        <w:t>碳排放量（不含电力碳排放，电力碳排放由招标方自行采购绿证）。</w:t>
      </w:r>
    </w:p>
    <w:p>
      <w:pPr>
        <w:pStyle w:val="5"/>
        <w:rPr>
          <w:bCs/>
          <w:highlight w:val="none"/>
        </w:rPr>
      </w:pPr>
      <w:r>
        <w:rPr>
          <w:rFonts w:hint="eastAsia"/>
          <w:bCs/>
          <w:highlight w:val="none"/>
          <w:lang w:eastAsia="zh-CN"/>
        </w:rPr>
        <w:t>负责详细记录碳中和活动的实施过程、结果和影响，编制碳中和报告，包括排放源、排放量、采取的减排措施、抵消做法等详细信息，编制碳中和报告。</w:t>
      </w:r>
    </w:p>
    <w:p>
      <w:pPr>
        <w:pStyle w:val="5"/>
        <w:rPr>
          <w:bCs/>
          <w:highlight w:val="none"/>
        </w:rPr>
      </w:pPr>
      <w:r>
        <w:rPr>
          <w:rFonts w:hint="eastAsia"/>
          <w:bCs/>
          <w:highlight w:val="none"/>
        </w:rPr>
        <w:t>负责最终提供的</w:t>
      </w:r>
      <w:r>
        <w:rPr>
          <w:rFonts w:hint="eastAsia"/>
          <w:bCs/>
          <w:highlight w:val="none"/>
          <w:lang w:eastAsia="zh-CN"/>
        </w:rPr>
        <w:t>碳中和报告、碳中和证书、减排量购买凭证等</w:t>
      </w:r>
      <w:r>
        <w:rPr>
          <w:rFonts w:hint="eastAsia"/>
          <w:bCs/>
          <w:highlight w:val="none"/>
        </w:rPr>
        <w:t>全部资料的准确性、合规性及科学性。</w:t>
      </w:r>
    </w:p>
    <w:p>
      <w:pPr>
        <w:pStyle w:val="5"/>
        <w:rPr>
          <w:bCs/>
          <w:highlight w:val="none"/>
        </w:rPr>
      </w:pPr>
      <w:r>
        <w:rPr>
          <w:rFonts w:hint="eastAsia"/>
          <w:bCs/>
          <w:highlight w:val="none"/>
        </w:rPr>
        <w:t>投标方自理投标方项目组人员的往返交通、住宿等费用等。</w:t>
      </w:r>
    </w:p>
    <w:p>
      <w:pPr>
        <w:pStyle w:val="5"/>
        <w:rPr>
          <w:bCs/>
          <w:highlight w:val="none"/>
        </w:rPr>
      </w:pPr>
      <w:r>
        <w:rPr>
          <w:rFonts w:hint="eastAsia"/>
          <w:bCs/>
          <w:highlight w:val="none"/>
        </w:rPr>
        <w:t>与招标方签订保密协议，遵守招标方的相关保密制度。</w:t>
      </w:r>
    </w:p>
    <w:p>
      <w:pPr>
        <w:rPr>
          <w:highlight w:val="none"/>
        </w:rPr>
      </w:pPr>
      <w:r>
        <w:rPr>
          <w:rFonts w:hint="eastAsia"/>
          <w:highlight w:val="none"/>
        </w:rPr>
        <w:t>1.2.</w:t>
      </w:r>
      <w:r>
        <w:rPr>
          <w:rFonts w:hint="eastAsia"/>
          <w:highlight w:val="none"/>
          <w:lang w:val="en-US" w:eastAsia="zh-CN"/>
        </w:rPr>
        <w:t>8</w:t>
      </w:r>
      <w:r>
        <w:rPr>
          <w:rFonts w:hint="eastAsia"/>
          <w:highlight w:val="none"/>
        </w:rPr>
        <w:t xml:space="preserve"> 投标方（服务商、供应商）按照广西电网公司档案管理要求，根据归档范围负责自“项目准备”至“项目验收”阶段的项目文件收集、整理，并按规定时限向招标方项目负责人移交。</w:t>
      </w:r>
    </w:p>
    <w:p>
      <w:pPr>
        <w:pStyle w:val="4"/>
        <w:outlineLvl w:val="0"/>
        <w:rPr>
          <w:rFonts w:hAnsi="宋体" w:cs="宋体"/>
          <w:szCs w:val="24"/>
          <w:highlight w:val="none"/>
        </w:rPr>
      </w:pPr>
      <w:bookmarkStart w:id="5" w:name="_Toc4128"/>
      <w:r>
        <w:rPr>
          <w:rFonts w:hint="eastAsia" w:hAnsi="宋体" w:cs="宋体"/>
          <w:szCs w:val="24"/>
          <w:highlight w:val="none"/>
        </w:rPr>
        <w:t>招标方职责</w:t>
      </w:r>
      <w:bookmarkEnd w:id="5"/>
    </w:p>
    <w:p>
      <w:pPr>
        <w:pStyle w:val="5"/>
        <w:rPr>
          <w:bCs/>
          <w:highlight w:val="none"/>
        </w:rPr>
      </w:pPr>
      <w:r>
        <w:rPr>
          <w:rFonts w:hint="eastAsia"/>
          <w:bCs/>
          <w:highlight w:val="none"/>
        </w:rPr>
        <w:t>负责提供与本项目有关的</w:t>
      </w:r>
      <w:r>
        <w:rPr>
          <w:rFonts w:hint="eastAsia"/>
          <w:bCs/>
          <w:highlight w:val="none"/>
          <w:lang w:eastAsia="zh-CN"/>
        </w:rPr>
        <w:t>项目背景、运营数据、能源消耗记录等基础信息及相关要求。</w:t>
      </w:r>
    </w:p>
    <w:p>
      <w:pPr>
        <w:pStyle w:val="5"/>
      </w:pPr>
      <w:r>
        <w:rPr>
          <w:rFonts w:hint="eastAsia"/>
          <w:bCs/>
          <w:highlight w:val="none"/>
          <w:lang w:eastAsia="zh-CN"/>
        </w:rPr>
        <w:t>负责</w:t>
      </w:r>
      <w:r>
        <w:rPr>
          <w:rFonts w:hint="eastAsia"/>
          <w:bCs/>
          <w:highlight w:val="none"/>
        </w:rPr>
        <w:t>确认投标方提供的</w:t>
      </w:r>
      <w:r>
        <w:rPr>
          <w:rFonts w:hint="eastAsia"/>
          <w:lang w:eastAsia="zh-CN"/>
        </w:rPr>
        <w:t>企业资质、</w:t>
      </w:r>
      <w:r>
        <w:t>碳中和认证服务相关业绩经验</w:t>
      </w:r>
      <w:r>
        <w:rPr>
          <w:rFonts w:hint="eastAsia"/>
          <w:lang w:eastAsia="zh-CN"/>
        </w:rPr>
        <w:t>等</w:t>
      </w:r>
      <w:r>
        <w:rPr>
          <w:rFonts w:hint="eastAsia"/>
          <w:bCs/>
          <w:highlight w:val="none"/>
        </w:rPr>
        <w:t>。</w:t>
      </w:r>
    </w:p>
    <w:p>
      <w:pPr>
        <w:pStyle w:val="5"/>
        <w:rPr>
          <w:bCs/>
          <w:highlight w:val="none"/>
        </w:rPr>
      </w:pPr>
      <w:r>
        <w:rPr>
          <w:rFonts w:hint="eastAsia"/>
          <w:bCs/>
          <w:highlight w:val="none"/>
          <w:lang w:eastAsia="zh-CN"/>
        </w:rPr>
        <w:t>负责</w:t>
      </w:r>
      <w:r>
        <w:rPr>
          <w:rFonts w:hint="eastAsia"/>
          <w:bCs/>
          <w:highlight w:val="none"/>
        </w:rPr>
        <w:t>提供满足投标方开展工作所需的基础资料、现场勘查条件等支持。</w:t>
      </w:r>
    </w:p>
    <w:p>
      <w:pPr>
        <w:pStyle w:val="5"/>
        <w:rPr>
          <w:bCs/>
          <w:highlight w:val="none"/>
        </w:rPr>
      </w:pPr>
      <w:r>
        <w:rPr>
          <w:rFonts w:hint="eastAsia"/>
          <w:bCs/>
          <w:highlight w:val="none"/>
        </w:rPr>
        <w:t>负责向投标方解释技术规范书中的要求及项目相关补充说明。</w:t>
      </w:r>
    </w:p>
    <w:p>
      <w:pPr>
        <w:pStyle w:val="5"/>
        <w:rPr>
          <w:bCs/>
          <w:highlight w:val="none"/>
        </w:rPr>
      </w:pPr>
      <w:r>
        <w:rPr>
          <w:rFonts w:hint="eastAsia"/>
          <w:bCs/>
          <w:highlight w:val="none"/>
        </w:rPr>
        <w:t>配合投标方完成数据核查、现场调研、报告审核等工作，并组织项目验收。</w:t>
      </w:r>
    </w:p>
    <w:p>
      <w:pPr>
        <w:pStyle w:val="3"/>
        <w:rPr>
          <w:rFonts w:cs="宋体"/>
          <w:szCs w:val="24"/>
          <w:highlight w:val="none"/>
        </w:rPr>
      </w:pPr>
      <w:bookmarkStart w:id="6" w:name="_Toc11275"/>
      <w:bookmarkStart w:id="7" w:name="_Toc8018"/>
      <w:bookmarkStart w:id="8" w:name="_Toc351129172"/>
      <w:bookmarkStart w:id="9" w:name="_Toc28243"/>
      <w:r>
        <w:rPr>
          <w:rFonts w:hint="eastAsia" w:cs="宋体"/>
          <w:szCs w:val="24"/>
          <w:highlight w:val="none"/>
          <w:lang w:val="en-US" w:eastAsia="zh-CN"/>
        </w:rPr>
        <w:t>2.</w:t>
      </w:r>
      <w:r>
        <w:rPr>
          <w:rFonts w:hint="eastAsia" w:cs="宋体"/>
          <w:szCs w:val="24"/>
          <w:highlight w:val="none"/>
        </w:rPr>
        <w:t>应遵循的主要标准</w:t>
      </w:r>
      <w:bookmarkEnd w:id="6"/>
      <w:bookmarkEnd w:id="7"/>
      <w:bookmarkEnd w:id="8"/>
      <w:bookmarkEnd w:id="9"/>
    </w:p>
    <w:p>
      <w:pPr>
        <w:ind w:firstLine="480" w:firstLineChars="200"/>
        <w:rPr>
          <w:rFonts w:cs="宋体"/>
          <w:highlight w:val="none"/>
        </w:rPr>
      </w:pPr>
      <w:r>
        <w:rPr>
          <w:rFonts w:hint="eastAsia" w:asciiTheme="minorEastAsia" w:hAnsiTheme="minorEastAsia" w:eastAsiaTheme="minorEastAsia"/>
          <w:highlight w:val="none"/>
        </w:rPr>
        <w:t>投标方在</w:t>
      </w:r>
      <w:r>
        <w:rPr>
          <w:rFonts w:hint="eastAsia" w:cs="宋体" w:eastAsiaTheme="minorEastAsia"/>
          <w:highlight w:val="none"/>
        </w:rPr>
        <w:t>服务支持</w:t>
      </w:r>
      <w:r>
        <w:rPr>
          <w:rFonts w:hint="eastAsia" w:asciiTheme="minorEastAsia" w:hAnsiTheme="minorEastAsia" w:eastAsiaTheme="minorEastAsia"/>
          <w:highlight w:val="none"/>
        </w:rPr>
        <w:t>工作过程中提供的所有服务、技术支持</w:t>
      </w:r>
      <w:r>
        <w:rPr>
          <w:rFonts w:hint="eastAsia" w:asciiTheme="minorEastAsia" w:hAnsiTheme="minorEastAsia" w:eastAsiaTheme="minorEastAsia"/>
          <w:highlight w:val="none"/>
          <w:lang w:eastAsia="zh-CN"/>
        </w:rPr>
        <w:t>均应</w:t>
      </w:r>
      <w:r>
        <w:rPr>
          <w:rFonts w:hint="eastAsia" w:asciiTheme="minorEastAsia" w:hAnsiTheme="minorEastAsia" w:eastAsiaTheme="minorEastAsia"/>
          <w:highlight w:val="none"/>
        </w:rPr>
        <w:t>严格遵守相关的法律法规、政策规定以及招标方提出的各项要求，确保投标过程合法合规</w:t>
      </w:r>
      <w:r>
        <w:rPr>
          <w:rFonts w:hint="eastAsia" w:asciiTheme="minorEastAsia" w:hAnsiTheme="minorEastAsia" w:eastAsiaTheme="minorEastAsia"/>
          <w:highlight w:val="none"/>
          <w:lang w:eastAsia="zh-CN"/>
        </w:rPr>
        <w:t>。投</w:t>
      </w:r>
      <w:r>
        <w:t>标方应具备招标方所要求的各项资格条件，如</w:t>
      </w:r>
      <w:r>
        <w:rPr>
          <w:rFonts w:hint="eastAsia"/>
          <w:lang w:eastAsia="zh-CN"/>
        </w:rPr>
        <w:t>企业资质、</w:t>
      </w:r>
      <w:r>
        <w:t>碳中和认证服务相关业绩经验等。投标方需提供合理的碳中和认证服务方案，包括碳排放核算边界界定、数据核查流程、认证申报流程等方面。具备在碳中和</w:t>
      </w:r>
      <w:r>
        <w:rPr>
          <w:rFonts w:hint="eastAsia"/>
          <w:lang w:eastAsia="zh-CN"/>
        </w:rPr>
        <w:t>认证</w:t>
      </w:r>
      <w:r>
        <w:t>领域的专业技术能力：碳排放核算的准确性、碳中和方案的可行性、认证对接的专业性、数据分析与优化能力。确保碳排放核算的科学性、报告编制的规范性、认证流程的顺畅性。具备一定的风险应对能力，对可能出现的风险，如数据缺失、标准更新、认证流程变动等，有切实可行的应对措施和预案。以上内容如有变动，应先征得招标方同意，再开展服务支持工作。</w:t>
      </w:r>
    </w:p>
    <w:p>
      <w:pPr>
        <w:pStyle w:val="3"/>
        <w:rPr>
          <w:rFonts w:cs="宋体"/>
          <w:highlight w:val="none"/>
        </w:rPr>
      </w:pPr>
      <w:bookmarkStart w:id="10" w:name="_Toc15122"/>
      <w:bookmarkStart w:id="11" w:name="_Toc28605"/>
      <w:bookmarkStart w:id="12" w:name="_Toc16235"/>
      <w:r>
        <w:rPr>
          <w:rFonts w:hint="eastAsia" w:cs="宋体"/>
          <w:szCs w:val="24"/>
          <w:highlight w:val="none"/>
          <w:lang w:val="en-US" w:eastAsia="zh-CN"/>
        </w:rPr>
        <w:t>3.</w:t>
      </w:r>
      <w:r>
        <w:rPr>
          <w:rFonts w:hint="eastAsia" w:cs="宋体"/>
          <w:szCs w:val="24"/>
          <w:highlight w:val="none"/>
        </w:rPr>
        <w:t>项目概述</w:t>
      </w:r>
      <w:bookmarkEnd w:id="10"/>
      <w:bookmarkEnd w:id="11"/>
      <w:bookmarkEnd w:id="12"/>
    </w:p>
    <w:p>
      <w:pPr>
        <w:spacing w:before="156" w:beforeLines="50" w:after="156" w:afterLines="50"/>
        <w:ind w:firstLine="480" w:firstLineChars="200"/>
        <w:rPr>
          <w:rFonts w:hint="eastAsia"/>
          <w:highlight w:val="none"/>
          <w:lang w:val="en-US" w:eastAsia="zh-CN"/>
        </w:rPr>
      </w:pPr>
      <w:r>
        <w:rPr>
          <w:rFonts w:hint="eastAsia"/>
          <w:highlight w:val="none"/>
          <w:lang w:val="en-US" w:eastAsia="zh-CN"/>
        </w:rPr>
        <w:t>广西南宁五象新区电力应急联动中心零碳示范项目碳中和认证服务项目，开展零碳示范项目碳中和认证服务，包括碳排放核算、减排量采购等相关服务，最终实现取得碳中和认证证书的目标。</w:t>
      </w:r>
    </w:p>
    <w:p>
      <w:pPr>
        <w:pStyle w:val="3"/>
        <w:rPr>
          <w:rFonts w:cs="宋体"/>
          <w:szCs w:val="24"/>
          <w:highlight w:val="none"/>
        </w:rPr>
      </w:pPr>
      <w:bookmarkStart w:id="13" w:name="_Toc14502"/>
      <w:bookmarkStart w:id="14" w:name="_Toc30627"/>
      <w:bookmarkStart w:id="15" w:name="_Toc8211"/>
      <w:r>
        <w:rPr>
          <w:rFonts w:hint="eastAsia" w:cs="宋体"/>
          <w:szCs w:val="24"/>
          <w:highlight w:val="none"/>
          <w:lang w:val="en-US" w:eastAsia="zh-CN"/>
        </w:rPr>
        <w:t>4.</w:t>
      </w:r>
      <w:r>
        <w:rPr>
          <w:rFonts w:hint="eastAsia" w:cs="宋体"/>
          <w:szCs w:val="24"/>
          <w:highlight w:val="none"/>
        </w:rPr>
        <w:t>范围和内容</w:t>
      </w:r>
      <w:bookmarkEnd w:id="13"/>
      <w:bookmarkEnd w:id="14"/>
      <w:bookmarkEnd w:id="15"/>
    </w:p>
    <w:p>
      <w:pPr>
        <w:rPr>
          <w:rFonts w:cs="宋体"/>
          <w:highlight w:val="none"/>
        </w:rPr>
      </w:pPr>
      <w:r>
        <w:rPr>
          <w:rFonts w:hint="eastAsia" w:cs="宋体"/>
          <w:highlight w:val="none"/>
        </w:rPr>
        <w:t>投标方按此进行响应并</w:t>
      </w:r>
      <w:r>
        <w:rPr>
          <w:rFonts w:hint="eastAsia" w:cs="宋体"/>
          <w:highlight w:val="none"/>
          <w:lang w:val="en-US" w:eastAsia="zh-CN"/>
        </w:rPr>
        <w:t>进行分项</w:t>
      </w:r>
      <w:r>
        <w:rPr>
          <w:rFonts w:hint="eastAsia" w:cs="宋体"/>
          <w:highlight w:val="none"/>
        </w:rPr>
        <w:t>报价：</w:t>
      </w:r>
    </w:p>
    <w:tbl>
      <w:tblPr>
        <w:tblStyle w:val="20"/>
        <w:tblW w:w="889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08" w:type="dxa"/>
          <w:bottom w:w="15" w:type="dxa"/>
          <w:right w:w="108" w:type="dxa"/>
        </w:tblCellMar>
      </w:tblPr>
      <w:tblGrid>
        <w:gridCol w:w="1111"/>
        <w:gridCol w:w="1971"/>
        <w:gridCol w:w="58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555" w:hRule="atLeast"/>
        </w:trPr>
        <w:tc>
          <w:tcPr>
            <w:tcW w:w="1111" w:type="dxa"/>
            <w:tcBorders>
              <w:tl2br w:val="nil"/>
              <w:tr2bl w:val="nil"/>
            </w:tcBorders>
            <w:vAlign w:val="center"/>
          </w:tcPr>
          <w:p>
            <w:pPr>
              <w:widowControl/>
              <w:spacing w:line="240" w:lineRule="auto"/>
              <w:jc w:val="center"/>
              <w:rPr>
                <w:rFonts w:cs="宋体"/>
                <w:b/>
                <w:bCs/>
                <w:color w:val="000000"/>
                <w:kern w:val="0"/>
                <w:highlight w:val="none"/>
              </w:rPr>
            </w:pPr>
            <w:r>
              <w:rPr>
                <w:rFonts w:hint="eastAsia" w:cs="宋体"/>
                <w:b/>
                <w:bCs/>
                <w:color w:val="000000"/>
                <w:kern w:val="0"/>
                <w:highlight w:val="none"/>
              </w:rPr>
              <w:t>序号</w:t>
            </w:r>
          </w:p>
        </w:tc>
        <w:tc>
          <w:tcPr>
            <w:tcW w:w="1971" w:type="dxa"/>
            <w:tcBorders>
              <w:tl2br w:val="nil"/>
              <w:tr2bl w:val="nil"/>
            </w:tcBorders>
            <w:vAlign w:val="center"/>
          </w:tcPr>
          <w:p>
            <w:pPr>
              <w:widowControl/>
              <w:spacing w:line="240" w:lineRule="auto"/>
              <w:jc w:val="center"/>
              <w:rPr>
                <w:rFonts w:cs="宋体"/>
                <w:b/>
                <w:bCs/>
                <w:color w:val="000000"/>
                <w:kern w:val="0"/>
                <w:highlight w:val="none"/>
              </w:rPr>
            </w:pPr>
            <w:r>
              <w:rPr>
                <w:rFonts w:hint="eastAsia" w:cs="宋体"/>
                <w:b/>
                <w:bCs/>
                <w:color w:val="000000"/>
                <w:kern w:val="0"/>
                <w:highlight w:val="none"/>
              </w:rPr>
              <w:t>采购分项</w:t>
            </w:r>
          </w:p>
        </w:tc>
        <w:tc>
          <w:tcPr>
            <w:tcW w:w="5810" w:type="dxa"/>
            <w:tcBorders>
              <w:tl2br w:val="nil"/>
              <w:tr2bl w:val="nil"/>
            </w:tcBorders>
            <w:vAlign w:val="center"/>
          </w:tcPr>
          <w:p>
            <w:pPr>
              <w:widowControl/>
              <w:spacing w:line="240" w:lineRule="auto"/>
              <w:jc w:val="center"/>
              <w:rPr>
                <w:rFonts w:cs="宋体"/>
                <w:b/>
                <w:bCs/>
                <w:color w:val="000000"/>
                <w:kern w:val="0"/>
                <w:highlight w:val="none"/>
              </w:rPr>
            </w:pPr>
            <w:r>
              <w:rPr>
                <w:rFonts w:hint="eastAsia" w:cs="宋体"/>
                <w:b/>
                <w:bCs/>
                <w:color w:val="000000"/>
                <w:kern w:val="0"/>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trPr>
        <w:tc>
          <w:tcPr>
            <w:tcW w:w="1111" w:type="dxa"/>
            <w:tcBorders>
              <w:tl2br w:val="nil"/>
              <w:tr2bl w:val="nil"/>
            </w:tcBorders>
            <w:vAlign w:val="center"/>
          </w:tcPr>
          <w:p>
            <w:pPr>
              <w:spacing w:line="300" w:lineRule="auto"/>
              <w:jc w:val="center"/>
              <w:rPr>
                <w:rFonts w:cs="宋体"/>
                <w:kern w:val="0"/>
                <w:highlight w:val="none"/>
              </w:rPr>
            </w:pPr>
            <w:r>
              <w:rPr>
                <w:rFonts w:hint="eastAsia" w:cs="宋体"/>
                <w:kern w:val="0"/>
                <w:highlight w:val="none"/>
              </w:rPr>
              <w:t>1</w:t>
            </w:r>
          </w:p>
        </w:tc>
        <w:tc>
          <w:tcPr>
            <w:tcW w:w="7781" w:type="dxa"/>
            <w:gridSpan w:val="2"/>
            <w:tcBorders>
              <w:tl2br w:val="nil"/>
              <w:tr2bl w:val="nil"/>
            </w:tcBorders>
            <w:vAlign w:val="center"/>
          </w:tcPr>
          <w:p>
            <w:pPr>
              <w:widowControl/>
              <w:textAlignment w:val="center"/>
              <w:rPr>
                <w:rFonts w:cs="宋体"/>
                <w:b/>
                <w:bCs/>
                <w:kern w:val="0"/>
                <w:highlight w:val="none"/>
              </w:rPr>
            </w:pPr>
            <w:r>
              <w:rPr>
                <w:rFonts w:hint="eastAsia" w:cs="宋体"/>
                <w:b/>
                <w:bCs/>
                <w:kern w:val="0"/>
                <w:highlight w:val="none"/>
                <w:lang w:eastAsia="zh-CN"/>
              </w:rPr>
              <w:t>广西南宁五象新区电力应急联动中心零碳示范项目碳中和认证服务</w:t>
            </w:r>
            <w:r>
              <w:rPr>
                <w:rFonts w:hint="eastAsia" w:cs="宋体"/>
                <w:b/>
                <w:bCs/>
                <w:kern w:val="0"/>
                <w:highlight w:val="none"/>
              </w:rPr>
              <w:t>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111" w:type="dxa"/>
            <w:tcBorders>
              <w:tl2br w:val="nil"/>
              <w:tr2bl w:val="nil"/>
            </w:tcBorders>
            <w:vAlign w:val="center"/>
          </w:tcPr>
          <w:p>
            <w:pPr>
              <w:widowControl/>
              <w:jc w:val="center"/>
              <w:textAlignment w:val="center"/>
              <w:rPr>
                <w:rFonts w:cs="宋体"/>
                <w:kern w:val="0"/>
                <w:highlight w:val="none"/>
              </w:rPr>
            </w:pPr>
            <w:r>
              <w:rPr>
                <w:rFonts w:hint="eastAsia" w:cs="宋体"/>
                <w:color w:val="000000"/>
                <w:kern w:val="0"/>
                <w:highlight w:val="none"/>
                <w:lang w:bidi="ar"/>
              </w:rPr>
              <w:t>1.1</w:t>
            </w:r>
          </w:p>
        </w:tc>
        <w:tc>
          <w:tcPr>
            <w:tcW w:w="1971" w:type="dxa"/>
            <w:tcBorders>
              <w:tl2br w:val="nil"/>
              <w:tr2bl w:val="nil"/>
            </w:tcBorders>
            <w:vAlign w:val="center"/>
          </w:tcPr>
          <w:p>
            <w:pPr>
              <w:widowControl/>
              <w:jc w:val="center"/>
              <w:textAlignment w:val="center"/>
              <w:rPr>
                <w:rFonts w:cs="宋体"/>
                <w:kern w:val="0"/>
                <w:highlight w:val="none"/>
              </w:rPr>
            </w:pPr>
            <w:r>
              <w:rPr>
                <w:rFonts w:hint="eastAsia"/>
                <w:highlight w:val="none"/>
                <w:lang w:val="en-US" w:eastAsia="zh-CN"/>
              </w:rPr>
              <w:t>碳排放核算服务</w:t>
            </w:r>
          </w:p>
        </w:tc>
        <w:tc>
          <w:tcPr>
            <w:tcW w:w="5810" w:type="dxa"/>
            <w:tcBorders>
              <w:tl2br w:val="nil"/>
              <w:tr2bl w:val="nil"/>
            </w:tcBorders>
          </w:tcPr>
          <w:p>
            <w:pPr>
              <w:widowControl/>
              <w:numPr>
                <w:ilvl w:val="0"/>
                <w:numId w:val="5"/>
              </w:numPr>
              <w:textAlignment w:val="center"/>
              <w:rPr>
                <w:rFonts w:hint="eastAsia" w:cs="宋体"/>
                <w:kern w:val="0"/>
                <w:highlight w:val="none"/>
              </w:rPr>
            </w:pPr>
            <w:r>
              <w:rPr>
                <w:rFonts w:hint="eastAsia" w:cs="宋体"/>
                <w:kern w:val="0"/>
                <w:highlight w:val="none"/>
              </w:rPr>
              <w:t>边界界定。结合项目实际情况，依据相关标准界定碳排放核算边界（含直接排放、间接排放及其他相关排放源）。</w:t>
            </w:r>
          </w:p>
          <w:p>
            <w:pPr>
              <w:widowControl/>
              <w:numPr>
                <w:ilvl w:val="0"/>
                <w:numId w:val="5"/>
              </w:numPr>
              <w:ind w:left="0" w:leftChars="0" w:firstLine="0" w:firstLineChars="0"/>
              <w:textAlignment w:val="center"/>
              <w:rPr>
                <w:rFonts w:cs="宋体"/>
                <w:kern w:val="0"/>
                <w:highlight w:val="none"/>
              </w:rPr>
            </w:pPr>
            <w:r>
              <w:rPr>
                <w:rFonts w:hint="eastAsia" w:cs="宋体"/>
                <w:kern w:val="0"/>
                <w:highlight w:val="none"/>
              </w:rPr>
              <w:t>数据收集与核查。指导招标方收集项目运营期内能源消耗等相关数据，对数据的真实性、完整性、准确性进行核查验证。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111" w:type="dxa"/>
            <w:tcBorders>
              <w:tl2br w:val="nil"/>
              <w:tr2bl w:val="nil"/>
            </w:tcBorders>
            <w:vAlign w:val="center"/>
          </w:tcPr>
          <w:p>
            <w:pPr>
              <w:widowControl/>
              <w:jc w:val="center"/>
              <w:textAlignment w:val="center"/>
              <w:rPr>
                <w:rFonts w:hint="eastAsia" w:eastAsia="宋体" w:cs="宋体"/>
                <w:color w:val="000000"/>
                <w:kern w:val="0"/>
                <w:highlight w:val="none"/>
                <w:lang w:val="en-US" w:eastAsia="zh-CN" w:bidi="ar"/>
              </w:rPr>
            </w:pPr>
            <w:r>
              <w:rPr>
                <w:rFonts w:hint="eastAsia" w:cs="宋体"/>
                <w:color w:val="000000"/>
                <w:kern w:val="0"/>
                <w:highlight w:val="none"/>
                <w:lang w:bidi="ar"/>
              </w:rPr>
              <w:t>1.</w:t>
            </w:r>
            <w:r>
              <w:rPr>
                <w:rFonts w:hint="eastAsia" w:cs="宋体"/>
                <w:color w:val="000000"/>
                <w:kern w:val="0"/>
                <w:highlight w:val="none"/>
                <w:lang w:val="en-US" w:eastAsia="zh-CN" w:bidi="ar"/>
              </w:rPr>
              <w:t>2</w:t>
            </w:r>
          </w:p>
        </w:tc>
        <w:tc>
          <w:tcPr>
            <w:tcW w:w="1971" w:type="dxa"/>
            <w:tcBorders>
              <w:tl2br w:val="nil"/>
              <w:tr2bl w:val="nil"/>
            </w:tcBorders>
            <w:vAlign w:val="center"/>
          </w:tcPr>
          <w:p>
            <w:pPr>
              <w:widowControl/>
              <w:jc w:val="center"/>
              <w:textAlignment w:val="center"/>
              <w:rPr>
                <w:rFonts w:cs="宋体"/>
                <w:kern w:val="0"/>
                <w:highlight w:val="none"/>
              </w:rPr>
            </w:pPr>
            <w:r>
              <w:rPr>
                <w:rFonts w:hint="eastAsia"/>
                <w:highlight w:val="none"/>
                <w:lang w:val="en-US" w:eastAsia="zh-CN"/>
              </w:rPr>
              <w:t>减排量采购服务</w:t>
            </w:r>
          </w:p>
        </w:tc>
        <w:tc>
          <w:tcPr>
            <w:tcW w:w="5810" w:type="dxa"/>
            <w:tcBorders>
              <w:tl2br w:val="nil"/>
              <w:tr2bl w:val="nil"/>
            </w:tcBorders>
          </w:tcPr>
          <w:p>
            <w:pPr>
              <w:rPr>
                <w:rFonts w:hint="eastAsia" w:eastAsia="宋体" w:cs="宋体"/>
                <w:kern w:val="0"/>
                <w:highlight w:val="none"/>
                <w:lang w:eastAsia="zh-CN"/>
              </w:rPr>
            </w:pPr>
            <w:r>
              <w:rPr>
                <w:rFonts w:hint="eastAsia"/>
                <w:lang w:val="en-US" w:eastAsia="zh-CN"/>
              </w:rPr>
              <w:t>根据零碳示范项目核算结果，通过购买减排量等方式抵消碳排放（不含电力碳排放），并提供减排量等购买凭证。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111" w:type="dxa"/>
            <w:tcBorders>
              <w:tl2br w:val="nil"/>
              <w:tr2bl w:val="nil"/>
            </w:tcBorders>
            <w:vAlign w:val="center"/>
          </w:tcPr>
          <w:p>
            <w:pPr>
              <w:widowControl/>
              <w:jc w:val="center"/>
              <w:textAlignment w:val="center"/>
              <w:rPr>
                <w:rFonts w:hint="default" w:eastAsia="宋体" w:cs="宋体"/>
                <w:color w:val="000000"/>
                <w:kern w:val="0"/>
                <w:highlight w:val="none"/>
                <w:lang w:val="en-US" w:eastAsia="zh-CN" w:bidi="ar"/>
              </w:rPr>
            </w:pPr>
            <w:r>
              <w:rPr>
                <w:rFonts w:hint="eastAsia" w:cs="宋体"/>
                <w:color w:val="000000"/>
                <w:kern w:val="0"/>
                <w:highlight w:val="none"/>
                <w:lang w:val="en-US" w:eastAsia="zh-CN" w:bidi="ar"/>
              </w:rPr>
              <w:t>1.3</w:t>
            </w:r>
          </w:p>
        </w:tc>
        <w:tc>
          <w:tcPr>
            <w:tcW w:w="1971" w:type="dxa"/>
            <w:tcBorders>
              <w:tl2br w:val="nil"/>
              <w:tr2bl w:val="nil"/>
            </w:tcBorders>
            <w:vAlign w:val="center"/>
          </w:tcPr>
          <w:p>
            <w:pPr>
              <w:widowControl/>
              <w:jc w:val="center"/>
              <w:textAlignment w:val="center"/>
              <w:rPr>
                <w:rFonts w:hint="eastAsia"/>
                <w:highlight w:val="none"/>
                <w:lang w:val="en-US" w:eastAsia="zh-CN"/>
              </w:rPr>
            </w:pPr>
            <w:r>
              <w:rPr>
                <w:rFonts w:hint="eastAsia"/>
                <w:highlight w:val="none"/>
                <w:lang w:val="en-US" w:eastAsia="zh-CN"/>
              </w:rPr>
              <w:t>碳中和认证</w:t>
            </w:r>
          </w:p>
        </w:tc>
        <w:tc>
          <w:tcPr>
            <w:tcW w:w="5810" w:type="dxa"/>
            <w:tcBorders>
              <w:tl2br w:val="nil"/>
              <w:tr2bl w:val="nil"/>
            </w:tcBorders>
          </w:tcPr>
          <w:p>
            <w:pPr>
              <w:rPr>
                <w:rFonts w:hint="eastAsia"/>
                <w:lang w:val="en-US" w:eastAsia="zh-CN"/>
              </w:rPr>
            </w:pPr>
            <w:r>
              <w:rPr>
                <w:rFonts w:hint="eastAsia"/>
                <w:lang w:val="en-US" w:eastAsia="zh-CN"/>
              </w:rPr>
              <w:t>1.开展碳中和评估，并提供碳中和报告。</w:t>
            </w:r>
          </w:p>
          <w:p>
            <w:pPr>
              <w:pStyle w:val="2"/>
              <w:rPr>
                <w:rFonts w:hint="default"/>
                <w:lang w:val="en-US" w:eastAsia="zh-CN"/>
              </w:rPr>
            </w:pPr>
            <w:r>
              <w:rPr>
                <w:rFonts w:hint="eastAsia" w:ascii="宋体" w:hAnsi="宋体" w:eastAsia="宋体" w:cs="Times New Roman"/>
                <w:kern w:val="2"/>
                <w:sz w:val="24"/>
                <w:szCs w:val="24"/>
                <w:lang w:val="en-US" w:eastAsia="zh-CN" w:bidi="ar-SA"/>
              </w:rPr>
              <w:t>2.</w:t>
            </w:r>
            <w:r>
              <w:rPr>
                <w:rFonts w:hint="eastAsia" w:ascii="宋体" w:eastAsia="宋体" w:cs="Times New Roman"/>
                <w:kern w:val="2"/>
                <w:sz w:val="24"/>
                <w:szCs w:val="24"/>
                <w:lang w:val="en-US" w:eastAsia="zh-CN" w:bidi="ar-SA"/>
              </w:rPr>
              <w:t>开展碳中和认证，并提供碳中和认证证书。</w:t>
            </w:r>
          </w:p>
        </w:tc>
      </w:tr>
    </w:tbl>
    <w:p>
      <w:pPr>
        <w:pStyle w:val="16"/>
        <w:ind w:left="480"/>
        <w:rPr>
          <w:highlight w:val="none"/>
        </w:rPr>
      </w:pPr>
    </w:p>
    <w:p>
      <w:pPr>
        <w:pStyle w:val="3"/>
        <w:rPr>
          <w:rFonts w:cs="宋体"/>
          <w:szCs w:val="24"/>
          <w:highlight w:val="none"/>
        </w:rPr>
      </w:pPr>
      <w:bookmarkStart w:id="16" w:name="_Toc26628"/>
      <w:bookmarkStart w:id="17" w:name="_Toc4885"/>
      <w:bookmarkStart w:id="18" w:name="_Toc23277"/>
      <w:r>
        <w:rPr>
          <w:rFonts w:hint="eastAsia" w:cs="宋体"/>
          <w:szCs w:val="24"/>
          <w:highlight w:val="none"/>
          <w:lang w:val="en-US" w:eastAsia="zh-CN"/>
        </w:rPr>
        <w:t>5.</w:t>
      </w:r>
      <w:r>
        <w:rPr>
          <w:rFonts w:hint="eastAsia" w:cs="宋体"/>
          <w:szCs w:val="24"/>
          <w:highlight w:val="none"/>
        </w:rPr>
        <w:t>总体要求</w:t>
      </w:r>
      <w:bookmarkEnd w:id="16"/>
      <w:bookmarkEnd w:id="17"/>
      <w:bookmarkEnd w:id="18"/>
    </w:p>
    <w:p>
      <w:pPr>
        <w:rPr>
          <w:rFonts w:cs="宋体"/>
          <w:highlight w:val="none"/>
        </w:rPr>
      </w:pPr>
      <w:r>
        <w:rPr>
          <w:rFonts w:hint="eastAsia"/>
          <w:highlight w:val="none"/>
        </w:rPr>
        <w:t>投标方必须响应并承诺下列要求：</w:t>
      </w:r>
    </w:p>
    <w:p>
      <w:pPr>
        <w:pStyle w:val="4"/>
        <w:numPr>
          <w:ilvl w:val="1"/>
          <w:numId w:val="0"/>
        </w:numPr>
        <w:ind w:leftChars="0"/>
        <w:rPr>
          <w:highlight w:val="none"/>
        </w:rPr>
      </w:pPr>
      <w:r>
        <w:rPr>
          <w:rFonts w:hint="eastAsia"/>
          <w:b w:val="0"/>
          <w:bCs w:val="0"/>
          <w:highlight w:val="none"/>
          <w:lang w:val="en-US" w:eastAsia="zh-CN"/>
        </w:rPr>
        <w:t>5.1</w:t>
      </w:r>
      <w:r>
        <w:rPr>
          <w:rFonts w:hint="eastAsia"/>
          <w:b w:val="0"/>
          <w:bCs w:val="0"/>
          <w:highlight w:val="none"/>
        </w:rPr>
        <w:t>全面理解招标文件：投标方必须仔细研读招标文件，清晰把握招标方的需求、项目范围、技术规格、服务要求等关键内容。</w:t>
      </w:r>
    </w:p>
    <w:p>
      <w:pPr>
        <w:pStyle w:val="4"/>
        <w:numPr>
          <w:ilvl w:val="1"/>
          <w:numId w:val="0"/>
        </w:numPr>
        <w:ind w:leftChars="0"/>
        <w:rPr>
          <w:highlight w:val="none"/>
        </w:rPr>
      </w:pPr>
      <w:r>
        <w:rPr>
          <w:rFonts w:hint="eastAsia"/>
          <w:b w:val="0"/>
          <w:bCs w:val="0"/>
          <w:highlight w:val="none"/>
          <w:lang w:val="en-US" w:eastAsia="zh-CN"/>
        </w:rPr>
        <w:t>5.2</w:t>
      </w:r>
      <w:r>
        <w:rPr>
          <w:rFonts w:hint="eastAsia"/>
          <w:b w:val="0"/>
          <w:bCs w:val="0"/>
          <w:highlight w:val="none"/>
        </w:rPr>
        <w:t>投标方应列出</w:t>
      </w:r>
      <w:r>
        <w:rPr>
          <w:rFonts w:hint="eastAsia"/>
          <w:b w:val="0"/>
          <w:bCs w:val="0"/>
          <w:highlight w:val="none"/>
          <w:lang w:eastAsia="zh-CN"/>
        </w:rPr>
        <w:t>碳中和认证服务总体</w:t>
      </w:r>
      <w:bookmarkStart w:id="37" w:name="_GoBack"/>
      <w:bookmarkEnd w:id="37"/>
      <w:r>
        <w:rPr>
          <w:rFonts w:hint="eastAsia"/>
          <w:b w:val="0"/>
          <w:bCs w:val="0"/>
          <w:highlight w:val="none"/>
        </w:rPr>
        <w:t>报价。</w:t>
      </w:r>
    </w:p>
    <w:p>
      <w:pPr>
        <w:pStyle w:val="4"/>
        <w:numPr>
          <w:ilvl w:val="1"/>
          <w:numId w:val="0"/>
        </w:numPr>
        <w:ind w:leftChars="0"/>
        <w:rPr>
          <w:highlight w:val="none"/>
        </w:rPr>
      </w:pPr>
      <w:r>
        <w:rPr>
          <w:rFonts w:hint="eastAsia"/>
          <w:b w:val="0"/>
          <w:bCs w:val="0"/>
          <w:highlight w:val="none"/>
          <w:lang w:val="en-US" w:eastAsia="zh-CN"/>
        </w:rPr>
        <w:t>5.3</w:t>
      </w:r>
      <w:r>
        <w:rPr>
          <w:rFonts w:hint="eastAsia"/>
          <w:b w:val="0"/>
          <w:bCs w:val="0"/>
          <w:highlight w:val="none"/>
        </w:rPr>
        <w:t>资格证明文件完整准确：提供齐全且真实有效的企业营业执照</w:t>
      </w:r>
      <w:r>
        <w:rPr>
          <w:rFonts w:hint="eastAsia"/>
          <w:b w:val="0"/>
          <w:bCs w:val="0"/>
          <w:highlight w:val="none"/>
          <w:lang w:eastAsia="zh-CN"/>
        </w:rPr>
        <w:t>、碳中和认证服务相关业绩</w:t>
      </w:r>
      <w:r>
        <w:rPr>
          <w:rFonts w:hint="eastAsia"/>
          <w:b w:val="0"/>
          <w:bCs w:val="0"/>
          <w:highlight w:val="none"/>
        </w:rPr>
        <w:t>，以证明具备参与投标的资格和能力。</w:t>
      </w:r>
      <w:bookmarkStart w:id="19" w:name="_Toc300816580"/>
      <w:bookmarkStart w:id="20" w:name="_Toc518635821"/>
      <w:bookmarkStart w:id="21" w:name="_Toc299720409"/>
    </w:p>
    <w:bookmarkEnd w:id="19"/>
    <w:bookmarkEnd w:id="20"/>
    <w:bookmarkEnd w:id="21"/>
    <w:p>
      <w:pPr>
        <w:pStyle w:val="4"/>
        <w:numPr>
          <w:ilvl w:val="1"/>
          <w:numId w:val="0"/>
        </w:numPr>
        <w:ind w:leftChars="0"/>
        <w:outlineLvl w:val="0"/>
        <w:rPr>
          <w:rFonts w:hAnsi="宋体" w:cs="宋体"/>
          <w:szCs w:val="24"/>
          <w:highlight w:val="none"/>
        </w:rPr>
      </w:pPr>
      <w:bookmarkStart w:id="22" w:name="_Toc21654"/>
      <w:bookmarkStart w:id="23" w:name="_Toc477266283"/>
      <w:r>
        <w:rPr>
          <w:rFonts w:hint="eastAsia" w:hAnsi="宋体" w:cs="宋体"/>
          <w:szCs w:val="24"/>
          <w:highlight w:val="none"/>
          <w:lang w:val="en-US" w:eastAsia="zh-CN"/>
        </w:rPr>
        <w:t>6.</w:t>
      </w:r>
      <w:r>
        <w:rPr>
          <w:rFonts w:hint="eastAsia" w:hAnsi="宋体" w:cs="宋体"/>
          <w:szCs w:val="24"/>
          <w:highlight w:val="none"/>
        </w:rPr>
        <w:t>评审与验收</w:t>
      </w:r>
      <w:bookmarkEnd w:id="22"/>
    </w:p>
    <w:p>
      <w:pPr>
        <w:pStyle w:val="5"/>
        <w:numPr>
          <w:ilvl w:val="2"/>
          <w:numId w:val="0"/>
        </w:numPr>
        <w:ind w:leftChars="0"/>
        <w:rPr>
          <w:bCs/>
          <w:highlight w:val="none"/>
        </w:rPr>
      </w:pPr>
      <w:r>
        <w:rPr>
          <w:rFonts w:hint="eastAsia"/>
          <w:bCs/>
          <w:highlight w:val="none"/>
          <w:lang w:val="en-US" w:eastAsia="zh-CN"/>
        </w:rPr>
        <w:t>6.1</w:t>
      </w:r>
      <w:r>
        <w:rPr>
          <w:rFonts w:hint="eastAsia"/>
          <w:bCs/>
          <w:highlight w:val="none"/>
        </w:rPr>
        <w:t>投标方应负责在</w:t>
      </w:r>
      <w:r>
        <w:rPr>
          <w:rFonts w:hint="eastAsia"/>
          <w:bCs/>
          <w:highlight w:val="none"/>
          <w:lang w:val="en-US" w:eastAsia="zh-CN"/>
        </w:rPr>
        <w:t>3个月内完成碳中和认证服务，并将</w:t>
      </w:r>
      <w:r>
        <w:rPr>
          <w:rFonts w:hint="eastAsia"/>
          <w:bCs/>
          <w:highlight w:val="none"/>
        </w:rPr>
        <w:t>项目的全部有关</w:t>
      </w:r>
      <w:r>
        <w:rPr>
          <w:rFonts w:hint="eastAsia"/>
          <w:bCs/>
          <w:highlight w:val="none"/>
          <w:lang w:eastAsia="zh-CN"/>
        </w:rPr>
        <w:t>材料</w:t>
      </w:r>
      <w:r>
        <w:rPr>
          <w:rFonts w:hint="eastAsia"/>
          <w:bCs/>
          <w:highlight w:val="none"/>
        </w:rPr>
        <w:t>等文档交付给招标方。</w:t>
      </w:r>
    </w:p>
    <w:p>
      <w:pPr>
        <w:pStyle w:val="5"/>
        <w:numPr>
          <w:ilvl w:val="2"/>
          <w:numId w:val="0"/>
        </w:numPr>
        <w:ind w:leftChars="0"/>
        <w:rPr>
          <w:bCs/>
          <w:highlight w:val="none"/>
        </w:rPr>
      </w:pPr>
      <w:r>
        <w:rPr>
          <w:rFonts w:hint="eastAsia"/>
          <w:bCs/>
          <w:highlight w:val="none"/>
          <w:lang w:val="en-US" w:eastAsia="zh-CN"/>
        </w:rPr>
        <w:t>6.2</w:t>
      </w:r>
      <w:r>
        <w:rPr>
          <w:bCs/>
          <w:highlight w:val="none"/>
        </w:rPr>
        <w:t>招标方可根据合同及招标书和招标方的有关规定进行修改和补充,经双方确认后形成验收文件作为验收依据。验收</w:t>
      </w:r>
      <w:r>
        <w:rPr>
          <w:rFonts w:hint="eastAsia"/>
          <w:bCs/>
          <w:highlight w:val="none"/>
        </w:rPr>
        <w:t>评审</w:t>
      </w:r>
      <w:r>
        <w:rPr>
          <w:bCs/>
          <w:highlight w:val="none"/>
        </w:rPr>
        <w:t>合格后</w:t>
      </w:r>
      <w:r>
        <w:rPr>
          <w:rFonts w:hint="eastAsia"/>
          <w:bCs/>
          <w:highlight w:val="none"/>
        </w:rPr>
        <w:t>30日内，若无问题，经</w:t>
      </w:r>
      <w:r>
        <w:rPr>
          <w:bCs/>
          <w:highlight w:val="none"/>
        </w:rPr>
        <w:t>双方</w:t>
      </w:r>
      <w:r>
        <w:rPr>
          <w:rFonts w:hint="eastAsia"/>
          <w:bCs/>
          <w:highlight w:val="none"/>
        </w:rPr>
        <w:t>确认后</w:t>
      </w:r>
      <w:r>
        <w:rPr>
          <w:bCs/>
          <w:highlight w:val="none"/>
        </w:rPr>
        <w:t>，签署最终验收文件。</w:t>
      </w:r>
    </w:p>
    <w:p>
      <w:pPr>
        <w:pStyle w:val="4"/>
        <w:numPr>
          <w:ilvl w:val="1"/>
          <w:numId w:val="0"/>
        </w:numPr>
        <w:ind w:leftChars="0"/>
        <w:outlineLvl w:val="0"/>
        <w:rPr>
          <w:rFonts w:hAnsi="宋体" w:cs="宋体"/>
          <w:szCs w:val="24"/>
          <w:highlight w:val="none"/>
        </w:rPr>
      </w:pPr>
      <w:bookmarkStart w:id="24" w:name="_Toc11479"/>
      <w:r>
        <w:rPr>
          <w:rFonts w:hint="eastAsia" w:hAnsi="宋体" w:cs="宋体"/>
          <w:szCs w:val="24"/>
          <w:highlight w:val="none"/>
          <w:lang w:val="en-US" w:eastAsia="zh-CN"/>
        </w:rPr>
        <w:t>7.</w:t>
      </w:r>
      <w:r>
        <w:rPr>
          <w:rFonts w:hint="eastAsia" w:hAnsi="宋体" w:cs="宋体"/>
          <w:szCs w:val="24"/>
          <w:highlight w:val="none"/>
        </w:rPr>
        <w:t>售后服务</w:t>
      </w:r>
      <w:bookmarkEnd w:id="24"/>
    </w:p>
    <w:p>
      <w:pPr>
        <w:pStyle w:val="27"/>
        <w:rPr>
          <w:rFonts w:cs="宋体"/>
          <w:highlight w:val="none"/>
        </w:rPr>
      </w:pPr>
      <w:bookmarkStart w:id="25" w:name="_Toc93490630"/>
      <w:bookmarkStart w:id="26" w:name="_Toc167003829"/>
      <w:bookmarkStart w:id="27" w:name="_Toc529884811"/>
      <w:bookmarkStart w:id="28" w:name="_Toc137397828"/>
      <w:bookmarkStart w:id="29" w:name="_Toc93490580"/>
      <w:bookmarkStart w:id="30" w:name="_Toc351129176"/>
      <w:bookmarkStart w:id="31" w:name="_Toc93490801"/>
      <w:r>
        <w:rPr>
          <w:rFonts w:hint="eastAsia" w:cs="宋体"/>
          <w:highlight w:val="none"/>
          <w:lang w:val="en-US" w:eastAsia="zh-CN"/>
        </w:rPr>
        <w:t>7.1</w:t>
      </w:r>
      <w:r>
        <w:rPr>
          <w:rFonts w:hint="eastAsia" w:cs="宋体"/>
          <w:highlight w:val="none"/>
        </w:rPr>
        <w:t>项目验收通过后投标方无需继续提供免费技术咨询服务。</w:t>
      </w:r>
    </w:p>
    <w:p>
      <w:pPr>
        <w:pStyle w:val="3"/>
        <w:rPr>
          <w:rFonts w:cs="宋体"/>
          <w:szCs w:val="24"/>
          <w:highlight w:val="none"/>
        </w:rPr>
      </w:pPr>
      <w:bookmarkStart w:id="32" w:name="_Toc31128"/>
      <w:bookmarkStart w:id="33" w:name="_Toc18254"/>
      <w:bookmarkStart w:id="34" w:name="_Toc29507"/>
      <w:r>
        <w:rPr>
          <w:rFonts w:hint="eastAsia" w:cs="宋体"/>
          <w:szCs w:val="24"/>
          <w:highlight w:val="none"/>
          <w:lang w:val="en-US" w:eastAsia="zh-CN"/>
        </w:rPr>
        <w:t>8.</w:t>
      </w:r>
      <w:r>
        <w:rPr>
          <w:rFonts w:hint="eastAsia" w:cs="宋体"/>
          <w:szCs w:val="24"/>
          <w:highlight w:val="none"/>
        </w:rPr>
        <w:t>附件</w:t>
      </w:r>
      <w:bookmarkEnd w:id="23"/>
      <w:bookmarkEnd w:id="25"/>
      <w:bookmarkEnd w:id="26"/>
      <w:bookmarkEnd w:id="27"/>
      <w:bookmarkEnd w:id="28"/>
      <w:bookmarkEnd w:id="29"/>
      <w:bookmarkEnd w:id="30"/>
      <w:bookmarkEnd w:id="32"/>
      <w:bookmarkEnd w:id="33"/>
      <w:bookmarkEnd w:id="34"/>
    </w:p>
    <w:p>
      <w:pPr>
        <w:pStyle w:val="4"/>
        <w:numPr>
          <w:ilvl w:val="1"/>
          <w:numId w:val="0"/>
        </w:numPr>
        <w:ind w:leftChars="0"/>
        <w:outlineLvl w:val="0"/>
        <w:rPr>
          <w:rFonts w:hAnsi="宋体" w:cs="宋体"/>
          <w:szCs w:val="24"/>
          <w:highlight w:val="none"/>
        </w:rPr>
      </w:pPr>
      <w:bookmarkStart w:id="35" w:name="_Toc29282"/>
      <w:r>
        <w:rPr>
          <w:rFonts w:hint="eastAsia" w:hAnsi="宋体" w:cs="宋体"/>
          <w:szCs w:val="24"/>
          <w:highlight w:val="none"/>
          <w:lang w:val="en-US" w:eastAsia="zh-CN"/>
        </w:rPr>
        <w:t>8.1</w:t>
      </w:r>
      <w:r>
        <w:rPr>
          <w:rFonts w:hint="eastAsia" w:hAnsi="宋体" w:cs="宋体"/>
          <w:szCs w:val="24"/>
          <w:highlight w:val="none"/>
        </w:rPr>
        <w:t>差异表</w:t>
      </w:r>
      <w:bookmarkEnd w:id="35"/>
    </w:p>
    <w:tbl>
      <w:tblPr>
        <w:tblStyle w:val="20"/>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rPr>
                <w:rFonts w:cs="宋体"/>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020"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83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60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694" w:type="dxa"/>
            <w:tcBorders>
              <w:top w:val="single" w:color="auto" w:sz="4" w:space="0"/>
              <w:left w:val="single" w:color="auto" w:sz="4" w:space="0"/>
              <w:bottom w:val="single" w:color="auto" w:sz="4" w:space="0"/>
              <w:right w:val="single" w:color="auto" w:sz="4" w:space="0"/>
            </w:tcBorders>
          </w:tcPr>
          <w:p>
            <w:pPr>
              <w:rPr>
                <w:rFonts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020"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83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60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694" w:type="dxa"/>
            <w:tcBorders>
              <w:top w:val="single" w:color="auto" w:sz="4" w:space="0"/>
              <w:left w:val="single" w:color="auto" w:sz="4" w:space="0"/>
              <w:bottom w:val="single" w:color="auto" w:sz="4" w:space="0"/>
              <w:right w:val="single" w:color="auto" w:sz="4" w:space="0"/>
            </w:tcBorders>
          </w:tcPr>
          <w:p>
            <w:pPr>
              <w:rPr>
                <w:rFonts w:cs="宋体"/>
                <w:highlight w:val="none"/>
              </w:rPr>
            </w:pPr>
          </w:p>
        </w:tc>
      </w:tr>
    </w:tbl>
    <w:p>
      <w:pPr>
        <w:pStyle w:val="4"/>
        <w:numPr>
          <w:ilvl w:val="1"/>
          <w:numId w:val="0"/>
        </w:numPr>
        <w:ind w:leftChars="0"/>
        <w:outlineLvl w:val="0"/>
        <w:rPr>
          <w:rFonts w:hAnsi="宋体" w:cs="宋体"/>
          <w:szCs w:val="24"/>
          <w:highlight w:val="none"/>
        </w:rPr>
      </w:pPr>
      <w:bookmarkStart w:id="36" w:name="_Toc32270"/>
      <w:r>
        <w:rPr>
          <w:rFonts w:hint="eastAsia" w:hAnsi="宋体" w:cs="宋体"/>
          <w:szCs w:val="24"/>
          <w:highlight w:val="none"/>
          <w:lang w:val="en-US" w:eastAsia="zh-CN"/>
        </w:rPr>
        <w:t>8.2</w:t>
      </w:r>
      <w:r>
        <w:rPr>
          <w:rFonts w:hint="eastAsia" w:hAnsi="宋体" w:cs="宋体"/>
          <w:szCs w:val="24"/>
          <w:highlight w:val="none"/>
        </w:rPr>
        <w:t>投标方需要说明的其它问题</w:t>
      </w:r>
      <w:bookmarkEnd w:id="31"/>
      <w:bookmarkEnd w:id="36"/>
    </w:p>
    <w:sectPr>
      <w:footerReference r:id="rId7"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华文楷体">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8</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49747"/>
    <w:multiLevelType w:val="multilevel"/>
    <w:tmpl w:val="A5C49747"/>
    <w:lvl w:ilvl="0" w:tentative="0">
      <w:start w:val="1"/>
      <w:numFmt w:val="decimal"/>
      <w:suff w:val="space"/>
      <w:lvlText w:val="%1."/>
      <w:lvlJc w:val="left"/>
      <w:pPr>
        <w:tabs>
          <w:tab w:val="left" w:pos="0"/>
        </w:tabs>
        <w:ind w:left="0" w:firstLine="0"/>
      </w:pPr>
      <w:rPr>
        <w:rFonts w:hint="default"/>
      </w:rPr>
    </w:lvl>
    <w:lvl w:ilvl="1" w:tentative="0">
      <w:start w:val="1"/>
      <w:numFmt w:val="decimal"/>
      <w:isLgl/>
      <w:suff w:val="space"/>
      <w:lvlText w:val="%1.%2"/>
      <w:lvlJc w:val="left"/>
      <w:pPr>
        <w:ind w:left="0" w:firstLine="0"/>
      </w:pPr>
      <w:rPr>
        <w:rFonts w:hint="eastAsia"/>
        <w:lang w:val="en-US"/>
      </w:rPr>
    </w:lvl>
    <w:lvl w:ilvl="2" w:tentative="0">
      <w:start w:val="1"/>
      <w:numFmt w:val="decimal"/>
      <w:isLgl/>
      <w:suff w:val="space"/>
      <w:lvlText w:val="%1.%2.%3"/>
      <w:lvlJc w:val="left"/>
      <w:pPr>
        <w:ind w:left="0" w:firstLine="0"/>
      </w:pPr>
      <w:rPr>
        <w:rFonts w:hint="eastAsia"/>
        <w:b w:val="0"/>
        <w:i w:val="0"/>
      </w:rPr>
    </w:lvl>
    <w:lvl w:ilvl="3" w:tentative="0">
      <w:start w:val="1"/>
      <w:numFmt w:val="decimal"/>
      <w:pStyle w:val="25"/>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420"/>
        </w:tabs>
        <w:ind w:left="3260" w:hanging="1134"/>
      </w:pPr>
      <w:rPr>
        <w:rFonts w:hint="default" w:ascii="宋体" w:hAnsi="宋体" w:eastAsia="宋体" w:cs="宋体"/>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A980E884"/>
    <w:multiLevelType w:val="multilevel"/>
    <w:tmpl w:val="A980E884"/>
    <w:lvl w:ilvl="0" w:tentative="0">
      <w:start w:val="1"/>
      <w:numFmt w:val="decimal"/>
      <w:pStyle w:val="6"/>
      <w:suff w:val="space"/>
      <w:lvlText w:val="%1."/>
      <w:lvlJc w:val="left"/>
      <w:pPr>
        <w:tabs>
          <w:tab w:val="left" w:pos="6089"/>
        </w:tabs>
        <w:ind w:left="0" w:firstLine="0"/>
      </w:pPr>
      <w:rPr>
        <w:rFonts w:hint="default" w:ascii="宋体" w:hAnsi="宋体" w:eastAsia="宋体" w:cs="宋体"/>
      </w:rPr>
    </w:lvl>
    <w:lvl w:ilvl="1" w:tentative="0">
      <w:start w:val="1"/>
      <w:numFmt w:val="decimal"/>
      <w:pStyle w:val="4"/>
      <w:isLgl/>
      <w:suff w:val="space"/>
      <w:lvlText w:val="%1.%2"/>
      <w:lvlJc w:val="left"/>
      <w:pPr>
        <w:ind w:left="0" w:firstLine="0"/>
      </w:pPr>
      <w:rPr>
        <w:rFonts w:hint="default" w:ascii="宋体" w:hAnsi="宋体" w:eastAsia="宋体" w:cs="宋体"/>
        <w:lang w:val="en-US"/>
      </w:rPr>
    </w:lvl>
    <w:lvl w:ilvl="2" w:tentative="0">
      <w:start w:val="1"/>
      <w:numFmt w:val="decimal"/>
      <w:pStyle w:val="5"/>
      <w:isLgl/>
      <w:suff w:val="space"/>
      <w:lvlText w:val="%1.%2.%3"/>
      <w:lvlJc w:val="left"/>
      <w:pPr>
        <w:ind w:left="0" w:firstLine="0"/>
      </w:pPr>
      <w:rPr>
        <w:rFonts w:hint="default" w:ascii="宋体" w:hAnsi="宋体" w:eastAsia="宋体" w:cs="宋体"/>
        <w:b w:val="0"/>
        <w:i w:val="0"/>
      </w:rPr>
    </w:lvl>
    <w:lvl w:ilvl="3" w:tentative="0">
      <w:start w:val="1"/>
      <w:numFmt w:val="decimal"/>
      <w:isLgl/>
      <w:suff w:val="space"/>
      <w:lvlText w:val="%1.%2.%3.%4"/>
      <w:lvlJc w:val="left"/>
      <w:pPr>
        <w:ind w:left="0" w:firstLine="0"/>
      </w:pPr>
      <w:rPr>
        <w:rFonts w:hint="default" w:ascii="宋体" w:hAnsi="宋体" w:eastAsia="宋体" w:cs="宋体"/>
      </w:rPr>
    </w:lvl>
    <w:lvl w:ilvl="4" w:tentative="0">
      <w:start w:val="1"/>
      <w:numFmt w:val="decimal"/>
      <w:pStyle w:val="7"/>
      <w:isLgl/>
      <w:lvlText w:val="%1.%2.%3.%4.%5"/>
      <w:lvlJc w:val="left"/>
      <w:pPr>
        <w:tabs>
          <w:tab w:val="left" w:pos="420"/>
        </w:tabs>
        <w:ind w:left="0" w:firstLine="0"/>
      </w:pPr>
      <w:rPr>
        <w:rFonts w:hint="default" w:ascii="宋体" w:hAnsi="宋体" w:eastAsia="宋体" w:cs="宋体"/>
      </w:rPr>
    </w:lvl>
    <w:lvl w:ilvl="5" w:tentative="0">
      <w:start w:val="1"/>
      <w:numFmt w:val="decimal"/>
      <w:pStyle w:val="8"/>
      <w:isLgl/>
      <w:lvlText w:val="%1.%2.%3.%4.%5.%6"/>
      <w:lvlJc w:val="left"/>
      <w:pPr>
        <w:tabs>
          <w:tab w:val="left" w:pos="6086"/>
        </w:tabs>
        <w:ind w:left="3260" w:hanging="1563"/>
      </w:pPr>
      <w:rPr>
        <w:rFonts w:hint="default" w:ascii="宋体" w:hAnsi="宋体" w:eastAsia="宋体" w:cs="宋体"/>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FFFFFF89"/>
    <w:multiLevelType w:val="singleLevel"/>
    <w:tmpl w:val="FFFFFF89"/>
    <w:lvl w:ilvl="0" w:tentative="0">
      <w:start w:val="1"/>
      <w:numFmt w:val="bullet"/>
      <w:pStyle w:val="9"/>
      <w:lvlText w:val=""/>
      <w:lvlJc w:val="left"/>
      <w:pPr>
        <w:tabs>
          <w:tab w:val="left" w:pos="360"/>
        </w:tabs>
        <w:ind w:left="360" w:hanging="360"/>
      </w:pPr>
      <w:rPr>
        <w:rFonts w:hint="default" w:ascii="Symbol" w:hAnsi="Symbol"/>
      </w:rPr>
    </w:lvl>
  </w:abstractNum>
  <w:abstractNum w:abstractNumId="3">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lang w:val="en-US"/>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4">
    <w:nsid w:val="2C8E6FBD"/>
    <w:multiLevelType w:val="singleLevel"/>
    <w:tmpl w:val="2C8E6FBD"/>
    <w:lvl w:ilvl="0" w:tentative="0">
      <w:start w:val="1"/>
      <w:numFmt w:val="decimal"/>
      <w:suff w:val="space"/>
      <w:lvlText w:val="%1."/>
      <w:lvlJc w:val="left"/>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RkMTg5OTk5Yzg2NGQwYWM5YjYwMjhmMmM0ZTBjOGEifQ=="/>
  </w:docVars>
  <w:rsids>
    <w:rsidRoot w:val="00172A27"/>
    <w:rsid w:val="00003565"/>
    <w:rsid w:val="00004664"/>
    <w:rsid w:val="00004AC8"/>
    <w:rsid w:val="00004C63"/>
    <w:rsid w:val="00006A58"/>
    <w:rsid w:val="000076EF"/>
    <w:rsid w:val="00010702"/>
    <w:rsid w:val="00011490"/>
    <w:rsid w:val="000117A6"/>
    <w:rsid w:val="00012140"/>
    <w:rsid w:val="000136A5"/>
    <w:rsid w:val="0001565A"/>
    <w:rsid w:val="000159C0"/>
    <w:rsid w:val="00016BBD"/>
    <w:rsid w:val="0002084D"/>
    <w:rsid w:val="00021296"/>
    <w:rsid w:val="00021BBC"/>
    <w:rsid w:val="00025267"/>
    <w:rsid w:val="00025AE8"/>
    <w:rsid w:val="00032833"/>
    <w:rsid w:val="00034BF1"/>
    <w:rsid w:val="00034F54"/>
    <w:rsid w:val="00036A40"/>
    <w:rsid w:val="00037672"/>
    <w:rsid w:val="000402C0"/>
    <w:rsid w:val="00040510"/>
    <w:rsid w:val="00040C81"/>
    <w:rsid w:val="00041B5C"/>
    <w:rsid w:val="00046C9F"/>
    <w:rsid w:val="000475C1"/>
    <w:rsid w:val="000503A8"/>
    <w:rsid w:val="0005156F"/>
    <w:rsid w:val="00054F3C"/>
    <w:rsid w:val="00055224"/>
    <w:rsid w:val="000606EF"/>
    <w:rsid w:val="000612EB"/>
    <w:rsid w:val="000621FA"/>
    <w:rsid w:val="00063319"/>
    <w:rsid w:val="000638B8"/>
    <w:rsid w:val="00063B51"/>
    <w:rsid w:val="00065306"/>
    <w:rsid w:val="000669B4"/>
    <w:rsid w:val="0006701A"/>
    <w:rsid w:val="00071A4E"/>
    <w:rsid w:val="00071CBA"/>
    <w:rsid w:val="000721D3"/>
    <w:rsid w:val="00072990"/>
    <w:rsid w:val="00073525"/>
    <w:rsid w:val="00075B56"/>
    <w:rsid w:val="000778CC"/>
    <w:rsid w:val="00081569"/>
    <w:rsid w:val="00085A35"/>
    <w:rsid w:val="000865C8"/>
    <w:rsid w:val="00086F8F"/>
    <w:rsid w:val="00087F48"/>
    <w:rsid w:val="00093F4D"/>
    <w:rsid w:val="00095537"/>
    <w:rsid w:val="00095740"/>
    <w:rsid w:val="000962BE"/>
    <w:rsid w:val="000A16F7"/>
    <w:rsid w:val="000A4CC9"/>
    <w:rsid w:val="000B142D"/>
    <w:rsid w:val="000B2008"/>
    <w:rsid w:val="000B26DF"/>
    <w:rsid w:val="000B304A"/>
    <w:rsid w:val="000B3C9A"/>
    <w:rsid w:val="000B4B67"/>
    <w:rsid w:val="000B5C93"/>
    <w:rsid w:val="000B69B8"/>
    <w:rsid w:val="000B6CA3"/>
    <w:rsid w:val="000B7E70"/>
    <w:rsid w:val="000C095F"/>
    <w:rsid w:val="000C0BA9"/>
    <w:rsid w:val="000C0F9C"/>
    <w:rsid w:val="000C3567"/>
    <w:rsid w:val="000C4294"/>
    <w:rsid w:val="000C5664"/>
    <w:rsid w:val="000C74CC"/>
    <w:rsid w:val="000C7616"/>
    <w:rsid w:val="000C7A63"/>
    <w:rsid w:val="000D1B19"/>
    <w:rsid w:val="000D260C"/>
    <w:rsid w:val="000D37F5"/>
    <w:rsid w:val="000D4BD8"/>
    <w:rsid w:val="000D4EE4"/>
    <w:rsid w:val="000D5749"/>
    <w:rsid w:val="000D5AB5"/>
    <w:rsid w:val="000D6994"/>
    <w:rsid w:val="000E2B66"/>
    <w:rsid w:val="000E4401"/>
    <w:rsid w:val="000E593C"/>
    <w:rsid w:val="000E7049"/>
    <w:rsid w:val="000E74DC"/>
    <w:rsid w:val="000E7773"/>
    <w:rsid w:val="000F0103"/>
    <w:rsid w:val="000F1D2D"/>
    <w:rsid w:val="000F491A"/>
    <w:rsid w:val="000F4EBC"/>
    <w:rsid w:val="000F6910"/>
    <w:rsid w:val="000F7822"/>
    <w:rsid w:val="000F7CD5"/>
    <w:rsid w:val="0010114C"/>
    <w:rsid w:val="001012FC"/>
    <w:rsid w:val="00101802"/>
    <w:rsid w:val="00103CF6"/>
    <w:rsid w:val="00106700"/>
    <w:rsid w:val="0010739F"/>
    <w:rsid w:val="00107D5B"/>
    <w:rsid w:val="00110EDD"/>
    <w:rsid w:val="00110FEE"/>
    <w:rsid w:val="00111248"/>
    <w:rsid w:val="00112294"/>
    <w:rsid w:val="00113438"/>
    <w:rsid w:val="001139E3"/>
    <w:rsid w:val="00115167"/>
    <w:rsid w:val="001169D2"/>
    <w:rsid w:val="00117201"/>
    <w:rsid w:val="001178B4"/>
    <w:rsid w:val="00117F05"/>
    <w:rsid w:val="00120334"/>
    <w:rsid w:val="00120DDE"/>
    <w:rsid w:val="00121123"/>
    <w:rsid w:val="001230B9"/>
    <w:rsid w:val="0012434F"/>
    <w:rsid w:val="00126B8B"/>
    <w:rsid w:val="0013147E"/>
    <w:rsid w:val="001363CF"/>
    <w:rsid w:val="00136D94"/>
    <w:rsid w:val="00136E71"/>
    <w:rsid w:val="00137FA3"/>
    <w:rsid w:val="00141054"/>
    <w:rsid w:val="00141BB0"/>
    <w:rsid w:val="00142C5F"/>
    <w:rsid w:val="00143FD7"/>
    <w:rsid w:val="001446B1"/>
    <w:rsid w:val="001451C9"/>
    <w:rsid w:val="00145EC2"/>
    <w:rsid w:val="001507FD"/>
    <w:rsid w:val="00151BFF"/>
    <w:rsid w:val="00153627"/>
    <w:rsid w:val="00153DFF"/>
    <w:rsid w:val="001552AC"/>
    <w:rsid w:val="00155339"/>
    <w:rsid w:val="00160451"/>
    <w:rsid w:val="00160A72"/>
    <w:rsid w:val="00161B8C"/>
    <w:rsid w:val="00165C92"/>
    <w:rsid w:val="001710B0"/>
    <w:rsid w:val="00171E26"/>
    <w:rsid w:val="001729E7"/>
    <w:rsid w:val="00172A27"/>
    <w:rsid w:val="0017349B"/>
    <w:rsid w:val="0017529D"/>
    <w:rsid w:val="001765A9"/>
    <w:rsid w:val="001811F4"/>
    <w:rsid w:val="00181FCA"/>
    <w:rsid w:val="00182CB8"/>
    <w:rsid w:val="00183A4A"/>
    <w:rsid w:val="00187378"/>
    <w:rsid w:val="00190D94"/>
    <w:rsid w:val="00191CC6"/>
    <w:rsid w:val="00192B64"/>
    <w:rsid w:val="001A10AF"/>
    <w:rsid w:val="001A1B74"/>
    <w:rsid w:val="001A2DF0"/>
    <w:rsid w:val="001A36D8"/>
    <w:rsid w:val="001A4AB2"/>
    <w:rsid w:val="001A6C98"/>
    <w:rsid w:val="001A7D2F"/>
    <w:rsid w:val="001B06D5"/>
    <w:rsid w:val="001B2ACD"/>
    <w:rsid w:val="001B524A"/>
    <w:rsid w:val="001B54AD"/>
    <w:rsid w:val="001C1889"/>
    <w:rsid w:val="001C1ED4"/>
    <w:rsid w:val="001C21C8"/>
    <w:rsid w:val="001C694F"/>
    <w:rsid w:val="001D2BF1"/>
    <w:rsid w:val="001D2D5A"/>
    <w:rsid w:val="001D3B3D"/>
    <w:rsid w:val="001D65EB"/>
    <w:rsid w:val="001E30C7"/>
    <w:rsid w:val="001E384A"/>
    <w:rsid w:val="001E3C00"/>
    <w:rsid w:val="001E5C9F"/>
    <w:rsid w:val="001E6C89"/>
    <w:rsid w:val="001E6FB8"/>
    <w:rsid w:val="001E7CC1"/>
    <w:rsid w:val="001F1127"/>
    <w:rsid w:val="001F19C7"/>
    <w:rsid w:val="001F4291"/>
    <w:rsid w:val="001F618B"/>
    <w:rsid w:val="001F68B2"/>
    <w:rsid w:val="001F68BD"/>
    <w:rsid w:val="001F6F02"/>
    <w:rsid w:val="0020139E"/>
    <w:rsid w:val="00201695"/>
    <w:rsid w:val="00203AE5"/>
    <w:rsid w:val="002044C7"/>
    <w:rsid w:val="00211C85"/>
    <w:rsid w:val="00212D7C"/>
    <w:rsid w:val="00213E1C"/>
    <w:rsid w:val="0021472A"/>
    <w:rsid w:val="002154B5"/>
    <w:rsid w:val="002170F2"/>
    <w:rsid w:val="002176FE"/>
    <w:rsid w:val="00220566"/>
    <w:rsid w:val="0022071F"/>
    <w:rsid w:val="00222A63"/>
    <w:rsid w:val="00222DE4"/>
    <w:rsid w:val="00226496"/>
    <w:rsid w:val="00233BCB"/>
    <w:rsid w:val="00237C6F"/>
    <w:rsid w:val="00240150"/>
    <w:rsid w:val="00241CA9"/>
    <w:rsid w:val="002424FC"/>
    <w:rsid w:val="0024281F"/>
    <w:rsid w:val="002471B2"/>
    <w:rsid w:val="00247542"/>
    <w:rsid w:val="00247FFA"/>
    <w:rsid w:val="002514DF"/>
    <w:rsid w:val="0025443E"/>
    <w:rsid w:val="002545ED"/>
    <w:rsid w:val="002567B5"/>
    <w:rsid w:val="00257088"/>
    <w:rsid w:val="002577B4"/>
    <w:rsid w:val="0026093F"/>
    <w:rsid w:val="00261546"/>
    <w:rsid w:val="00262588"/>
    <w:rsid w:val="00262A68"/>
    <w:rsid w:val="00262C3E"/>
    <w:rsid w:val="00263235"/>
    <w:rsid w:val="00263C52"/>
    <w:rsid w:val="00264493"/>
    <w:rsid w:val="00265D42"/>
    <w:rsid w:val="00265F68"/>
    <w:rsid w:val="002711BE"/>
    <w:rsid w:val="002721F9"/>
    <w:rsid w:val="002729F8"/>
    <w:rsid w:val="0027482F"/>
    <w:rsid w:val="00274B89"/>
    <w:rsid w:val="00275FC8"/>
    <w:rsid w:val="002818CE"/>
    <w:rsid w:val="002858C2"/>
    <w:rsid w:val="002868A4"/>
    <w:rsid w:val="00287AE1"/>
    <w:rsid w:val="0029072F"/>
    <w:rsid w:val="00291732"/>
    <w:rsid w:val="00292B15"/>
    <w:rsid w:val="00294971"/>
    <w:rsid w:val="002949B0"/>
    <w:rsid w:val="0029513A"/>
    <w:rsid w:val="00295BA1"/>
    <w:rsid w:val="002962C7"/>
    <w:rsid w:val="002A06DE"/>
    <w:rsid w:val="002A1F4D"/>
    <w:rsid w:val="002A3C8C"/>
    <w:rsid w:val="002A4D5C"/>
    <w:rsid w:val="002A6D4B"/>
    <w:rsid w:val="002B0304"/>
    <w:rsid w:val="002B088A"/>
    <w:rsid w:val="002B0FA2"/>
    <w:rsid w:val="002B166E"/>
    <w:rsid w:val="002B2748"/>
    <w:rsid w:val="002B299C"/>
    <w:rsid w:val="002B4315"/>
    <w:rsid w:val="002B53AF"/>
    <w:rsid w:val="002B6C62"/>
    <w:rsid w:val="002B715A"/>
    <w:rsid w:val="002C0C85"/>
    <w:rsid w:val="002C2978"/>
    <w:rsid w:val="002C3412"/>
    <w:rsid w:val="002C417F"/>
    <w:rsid w:val="002C4546"/>
    <w:rsid w:val="002D2743"/>
    <w:rsid w:val="002D5779"/>
    <w:rsid w:val="002D6401"/>
    <w:rsid w:val="002D6F3B"/>
    <w:rsid w:val="002D7E1E"/>
    <w:rsid w:val="002E0005"/>
    <w:rsid w:val="002E1938"/>
    <w:rsid w:val="002E549A"/>
    <w:rsid w:val="002E65B4"/>
    <w:rsid w:val="002E72E7"/>
    <w:rsid w:val="002F03CF"/>
    <w:rsid w:val="002F2C7E"/>
    <w:rsid w:val="002F746A"/>
    <w:rsid w:val="002F7A89"/>
    <w:rsid w:val="00301BBF"/>
    <w:rsid w:val="00301F67"/>
    <w:rsid w:val="00302E65"/>
    <w:rsid w:val="0030358F"/>
    <w:rsid w:val="003043C4"/>
    <w:rsid w:val="00305C47"/>
    <w:rsid w:val="0030679D"/>
    <w:rsid w:val="00306A5C"/>
    <w:rsid w:val="003077A5"/>
    <w:rsid w:val="003135D4"/>
    <w:rsid w:val="00314B5C"/>
    <w:rsid w:val="0032389A"/>
    <w:rsid w:val="00324729"/>
    <w:rsid w:val="00331D00"/>
    <w:rsid w:val="0033344D"/>
    <w:rsid w:val="003340B6"/>
    <w:rsid w:val="00334AE8"/>
    <w:rsid w:val="0034011E"/>
    <w:rsid w:val="00341EEC"/>
    <w:rsid w:val="003439A0"/>
    <w:rsid w:val="0034400A"/>
    <w:rsid w:val="003444D9"/>
    <w:rsid w:val="003445D3"/>
    <w:rsid w:val="003446E9"/>
    <w:rsid w:val="00345ED8"/>
    <w:rsid w:val="00346CD4"/>
    <w:rsid w:val="0035083F"/>
    <w:rsid w:val="00352EDD"/>
    <w:rsid w:val="00354929"/>
    <w:rsid w:val="00356E5C"/>
    <w:rsid w:val="00362B75"/>
    <w:rsid w:val="003636DA"/>
    <w:rsid w:val="00364428"/>
    <w:rsid w:val="00367B44"/>
    <w:rsid w:val="00373CBC"/>
    <w:rsid w:val="00373CE3"/>
    <w:rsid w:val="0038071C"/>
    <w:rsid w:val="0038252C"/>
    <w:rsid w:val="00383099"/>
    <w:rsid w:val="003860BC"/>
    <w:rsid w:val="003873AC"/>
    <w:rsid w:val="00390E30"/>
    <w:rsid w:val="00390F98"/>
    <w:rsid w:val="00391896"/>
    <w:rsid w:val="00395D3A"/>
    <w:rsid w:val="00397749"/>
    <w:rsid w:val="003A0F64"/>
    <w:rsid w:val="003A3B09"/>
    <w:rsid w:val="003A3E86"/>
    <w:rsid w:val="003A42BC"/>
    <w:rsid w:val="003A4838"/>
    <w:rsid w:val="003A5F8D"/>
    <w:rsid w:val="003B0541"/>
    <w:rsid w:val="003B17D8"/>
    <w:rsid w:val="003B243A"/>
    <w:rsid w:val="003B3B16"/>
    <w:rsid w:val="003B426E"/>
    <w:rsid w:val="003B51C6"/>
    <w:rsid w:val="003B659E"/>
    <w:rsid w:val="003B669C"/>
    <w:rsid w:val="003B742F"/>
    <w:rsid w:val="003C04A4"/>
    <w:rsid w:val="003C0F01"/>
    <w:rsid w:val="003C165C"/>
    <w:rsid w:val="003C2A5A"/>
    <w:rsid w:val="003C3B79"/>
    <w:rsid w:val="003C4832"/>
    <w:rsid w:val="003C4AE7"/>
    <w:rsid w:val="003C54B9"/>
    <w:rsid w:val="003C7724"/>
    <w:rsid w:val="003D2D91"/>
    <w:rsid w:val="003D4163"/>
    <w:rsid w:val="003D5348"/>
    <w:rsid w:val="003D7283"/>
    <w:rsid w:val="003D7533"/>
    <w:rsid w:val="003D7D5A"/>
    <w:rsid w:val="003E0532"/>
    <w:rsid w:val="003E18C8"/>
    <w:rsid w:val="003E2354"/>
    <w:rsid w:val="003E2520"/>
    <w:rsid w:val="003F0A61"/>
    <w:rsid w:val="003F32EE"/>
    <w:rsid w:val="003F484F"/>
    <w:rsid w:val="003F6A9D"/>
    <w:rsid w:val="004009B0"/>
    <w:rsid w:val="00400AA2"/>
    <w:rsid w:val="00400CC6"/>
    <w:rsid w:val="00401A74"/>
    <w:rsid w:val="00401F7C"/>
    <w:rsid w:val="00402C56"/>
    <w:rsid w:val="00403223"/>
    <w:rsid w:val="004033C5"/>
    <w:rsid w:val="0040353B"/>
    <w:rsid w:val="0040397E"/>
    <w:rsid w:val="004051FB"/>
    <w:rsid w:val="00406424"/>
    <w:rsid w:val="00406690"/>
    <w:rsid w:val="00411CD1"/>
    <w:rsid w:val="004126A8"/>
    <w:rsid w:val="00413C5E"/>
    <w:rsid w:val="00413F17"/>
    <w:rsid w:val="00414B36"/>
    <w:rsid w:val="00414D80"/>
    <w:rsid w:val="0041643F"/>
    <w:rsid w:val="00420A01"/>
    <w:rsid w:val="0042152C"/>
    <w:rsid w:val="004240D6"/>
    <w:rsid w:val="00424BB8"/>
    <w:rsid w:val="00425DCE"/>
    <w:rsid w:val="00431D8E"/>
    <w:rsid w:val="0043294F"/>
    <w:rsid w:val="00432D80"/>
    <w:rsid w:val="0043379F"/>
    <w:rsid w:val="00433A4E"/>
    <w:rsid w:val="00434227"/>
    <w:rsid w:val="00436181"/>
    <w:rsid w:val="004366B8"/>
    <w:rsid w:val="004409F7"/>
    <w:rsid w:val="004419AC"/>
    <w:rsid w:val="00441AB6"/>
    <w:rsid w:val="004420E6"/>
    <w:rsid w:val="0044300F"/>
    <w:rsid w:val="00443308"/>
    <w:rsid w:val="00443370"/>
    <w:rsid w:val="00446014"/>
    <w:rsid w:val="0044629C"/>
    <w:rsid w:val="0044638A"/>
    <w:rsid w:val="00446F71"/>
    <w:rsid w:val="00455654"/>
    <w:rsid w:val="00456109"/>
    <w:rsid w:val="00457DF5"/>
    <w:rsid w:val="00460F8F"/>
    <w:rsid w:val="00461527"/>
    <w:rsid w:val="004638CE"/>
    <w:rsid w:val="00464936"/>
    <w:rsid w:val="00464BF1"/>
    <w:rsid w:val="00465816"/>
    <w:rsid w:val="004666C0"/>
    <w:rsid w:val="00466E21"/>
    <w:rsid w:val="00472584"/>
    <w:rsid w:val="004733AF"/>
    <w:rsid w:val="00473C0B"/>
    <w:rsid w:val="0047487D"/>
    <w:rsid w:val="00475ED9"/>
    <w:rsid w:val="00476CA0"/>
    <w:rsid w:val="00477351"/>
    <w:rsid w:val="004776B7"/>
    <w:rsid w:val="0048011B"/>
    <w:rsid w:val="00482482"/>
    <w:rsid w:val="004829D6"/>
    <w:rsid w:val="004845BB"/>
    <w:rsid w:val="00485FE9"/>
    <w:rsid w:val="0048715C"/>
    <w:rsid w:val="0049067F"/>
    <w:rsid w:val="004908C6"/>
    <w:rsid w:val="00490EF8"/>
    <w:rsid w:val="00491593"/>
    <w:rsid w:val="0049285C"/>
    <w:rsid w:val="00495301"/>
    <w:rsid w:val="00495910"/>
    <w:rsid w:val="004964CB"/>
    <w:rsid w:val="004A205D"/>
    <w:rsid w:val="004A43C1"/>
    <w:rsid w:val="004A4D97"/>
    <w:rsid w:val="004A4E80"/>
    <w:rsid w:val="004A508C"/>
    <w:rsid w:val="004A5AD1"/>
    <w:rsid w:val="004A6071"/>
    <w:rsid w:val="004A644D"/>
    <w:rsid w:val="004B1BB7"/>
    <w:rsid w:val="004B241D"/>
    <w:rsid w:val="004B7160"/>
    <w:rsid w:val="004C0C8B"/>
    <w:rsid w:val="004C4C19"/>
    <w:rsid w:val="004C57E1"/>
    <w:rsid w:val="004C7CED"/>
    <w:rsid w:val="004D266B"/>
    <w:rsid w:val="004D62FA"/>
    <w:rsid w:val="004D6C59"/>
    <w:rsid w:val="004D7449"/>
    <w:rsid w:val="004D77EE"/>
    <w:rsid w:val="004E0464"/>
    <w:rsid w:val="004E168D"/>
    <w:rsid w:val="004E25D4"/>
    <w:rsid w:val="004E25DD"/>
    <w:rsid w:val="004E4C73"/>
    <w:rsid w:val="004E67B9"/>
    <w:rsid w:val="004F0F7E"/>
    <w:rsid w:val="004F1199"/>
    <w:rsid w:val="004F15DC"/>
    <w:rsid w:val="004F1AC4"/>
    <w:rsid w:val="004F4988"/>
    <w:rsid w:val="004F4F99"/>
    <w:rsid w:val="004F5FED"/>
    <w:rsid w:val="004F7440"/>
    <w:rsid w:val="004F7D58"/>
    <w:rsid w:val="0050091B"/>
    <w:rsid w:val="00500D21"/>
    <w:rsid w:val="00504A16"/>
    <w:rsid w:val="00505884"/>
    <w:rsid w:val="00505911"/>
    <w:rsid w:val="0051388C"/>
    <w:rsid w:val="0051500E"/>
    <w:rsid w:val="00522D2A"/>
    <w:rsid w:val="005240A9"/>
    <w:rsid w:val="00526CF3"/>
    <w:rsid w:val="0053030B"/>
    <w:rsid w:val="00530603"/>
    <w:rsid w:val="00531CDA"/>
    <w:rsid w:val="00532AD6"/>
    <w:rsid w:val="0053361A"/>
    <w:rsid w:val="005351AB"/>
    <w:rsid w:val="0053572D"/>
    <w:rsid w:val="00536E10"/>
    <w:rsid w:val="00536F68"/>
    <w:rsid w:val="00540507"/>
    <w:rsid w:val="005445A1"/>
    <w:rsid w:val="00544E35"/>
    <w:rsid w:val="00546845"/>
    <w:rsid w:val="00552B2D"/>
    <w:rsid w:val="00553C25"/>
    <w:rsid w:val="00553DE7"/>
    <w:rsid w:val="005570C1"/>
    <w:rsid w:val="00561132"/>
    <w:rsid w:val="00562162"/>
    <w:rsid w:val="005625C9"/>
    <w:rsid w:val="005635E0"/>
    <w:rsid w:val="00563B71"/>
    <w:rsid w:val="00564686"/>
    <w:rsid w:val="00566B01"/>
    <w:rsid w:val="00566C97"/>
    <w:rsid w:val="00567E6D"/>
    <w:rsid w:val="005703BB"/>
    <w:rsid w:val="00570ED7"/>
    <w:rsid w:val="0057100D"/>
    <w:rsid w:val="00571160"/>
    <w:rsid w:val="005720D7"/>
    <w:rsid w:val="00572B9B"/>
    <w:rsid w:val="005737F0"/>
    <w:rsid w:val="005741CA"/>
    <w:rsid w:val="00574961"/>
    <w:rsid w:val="0058128D"/>
    <w:rsid w:val="0058247E"/>
    <w:rsid w:val="00585929"/>
    <w:rsid w:val="00585BFF"/>
    <w:rsid w:val="005871B3"/>
    <w:rsid w:val="00590C3A"/>
    <w:rsid w:val="00590F52"/>
    <w:rsid w:val="00591131"/>
    <w:rsid w:val="005923BC"/>
    <w:rsid w:val="0059264A"/>
    <w:rsid w:val="00595098"/>
    <w:rsid w:val="0059552A"/>
    <w:rsid w:val="00595B2D"/>
    <w:rsid w:val="005A055D"/>
    <w:rsid w:val="005A0895"/>
    <w:rsid w:val="005A1FE1"/>
    <w:rsid w:val="005A3339"/>
    <w:rsid w:val="005A5A38"/>
    <w:rsid w:val="005A78C1"/>
    <w:rsid w:val="005B1A98"/>
    <w:rsid w:val="005B1CEF"/>
    <w:rsid w:val="005B341A"/>
    <w:rsid w:val="005B4BBE"/>
    <w:rsid w:val="005B533D"/>
    <w:rsid w:val="005B70D5"/>
    <w:rsid w:val="005C2F32"/>
    <w:rsid w:val="005C537D"/>
    <w:rsid w:val="005C5E72"/>
    <w:rsid w:val="005D0109"/>
    <w:rsid w:val="005D2FCB"/>
    <w:rsid w:val="005D60C3"/>
    <w:rsid w:val="005E0AB2"/>
    <w:rsid w:val="005E1BDF"/>
    <w:rsid w:val="005E1C93"/>
    <w:rsid w:val="005E1F0D"/>
    <w:rsid w:val="005E36BA"/>
    <w:rsid w:val="005E39D8"/>
    <w:rsid w:val="005F00BC"/>
    <w:rsid w:val="005F1849"/>
    <w:rsid w:val="005F5A05"/>
    <w:rsid w:val="005F5AB0"/>
    <w:rsid w:val="005F700D"/>
    <w:rsid w:val="006002DE"/>
    <w:rsid w:val="0060097D"/>
    <w:rsid w:val="00601A5D"/>
    <w:rsid w:val="00601FA0"/>
    <w:rsid w:val="00604A5D"/>
    <w:rsid w:val="00605826"/>
    <w:rsid w:val="00611494"/>
    <w:rsid w:val="00611BAD"/>
    <w:rsid w:val="00613486"/>
    <w:rsid w:val="00613BC1"/>
    <w:rsid w:val="00614DA3"/>
    <w:rsid w:val="00614DDC"/>
    <w:rsid w:val="00615984"/>
    <w:rsid w:val="00617F48"/>
    <w:rsid w:val="006207E6"/>
    <w:rsid w:val="006228C8"/>
    <w:rsid w:val="00622AF0"/>
    <w:rsid w:val="00622E32"/>
    <w:rsid w:val="00623282"/>
    <w:rsid w:val="00623821"/>
    <w:rsid w:val="006259A2"/>
    <w:rsid w:val="006271A0"/>
    <w:rsid w:val="00627D40"/>
    <w:rsid w:val="00627E54"/>
    <w:rsid w:val="0063040E"/>
    <w:rsid w:val="00630950"/>
    <w:rsid w:val="00630BEB"/>
    <w:rsid w:val="0063179B"/>
    <w:rsid w:val="0063483F"/>
    <w:rsid w:val="00635890"/>
    <w:rsid w:val="00637798"/>
    <w:rsid w:val="006416B8"/>
    <w:rsid w:val="0064260F"/>
    <w:rsid w:val="00644452"/>
    <w:rsid w:val="006456B5"/>
    <w:rsid w:val="00645AC3"/>
    <w:rsid w:val="00645FFC"/>
    <w:rsid w:val="006462B3"/>
    <w:rsid w:val="00651AA6"/>
    <w:rsid w:val="00653191"/>
    <w:rsid w:val="006543C5"/>
    <w:rsid w:val="006622B7"/>
    <w:rsid w:val="006624C7"/>
    <w:rsid w:val="00663577"/>
    <w:rsid w:val="0066401A"/>
    <w:rsid w:val="006642EF"/>
    <w:rsid w:val="006643C1"/>
    <w:rsid w:val="00664790"/>
    <w:rsid w:val="00665D53"/>
    <w:rsid w:val="00667256"/>
    <w:rsid w:val="00670FB1"/>
    <w:rsid w:val="00671126"/>
    <w:rsid w:val="006713C0"/>
    <w:rsid w:val="00673708"/>
    <w:rsid w:val="006748DA"/>
    <w:rsid w:val="006757FD"/>
    <w:rsid w:val="00675A9F"/>
    <w:rsid w:val="00676783"/>
    <w:rsid w:val="0067797E"/>
    <w:rsid w:val="0068391F"/>
    <w:rsid w:val="00683C98"/>
    <w:rsid w:val="006849B4"/>
    <w:rsid w:val="0068536B"/>
    <w:rsid w:val="00685457"/>
    <w:rsid w:val="00685737"/>
    <w:rsid w:val="00691421"/>
    <w:rsid w:val="00691674"/>
    <w:rsid w:val="006925B3"/>
    <w:rsid w:val="00695AFB"/>
    <w:rsid w:val="00697CF1"/>
    <w:rsid w:val="006A0FA7"/>
    <w:rsid w:val="006A1DCF"/>
    <w:rsid w:val="006A40A1"/>
    <w:rsid w:val="006A4F19"/>
    <w:rsid w:val="006A57BD"/>
    <w:rsid w:val="006A7161"/>
    <w:rsid w:val="006B21A9"/>
    <w:rsid w:val="006B2B07"/>
    <w:rsid w:val="006B39DF"/>
    <w:rsid w:val="006B5341"/>
    <w:rsid w:val="006B6335"/>
    <w:rsid w:val="006B6384"/>
    <w:rsid w:val="006B6D7A"/>
    <w:rsid w:val="006B712C"/>
    <w:rsid w:val="006B7EC3"/>
    <w:rsid w:val="006C0CAE"/>
    <w:rsid w:val="006C2F0F"/>
    <w:rsid w:val="006C3CB6"/>
    <w:rsid w:val="006C515B"/>
    <w:rsid w:val="006C5979"/>
    <w:rsid w:val="006C673F"/>
    <w:rsid w:val="006D08B8"/>
    <w:rsid w:val="006D4CC2"/>
    <w:rsid w:val="006D5F43"/>
    <w:rsid w:val="006D6A89"/>
    <w:rsid w:val="006E02D1"/>
    <w:rsid w:val="006E0E29"/>
    <w:rsid w:val="006E0E90"/>
    <w:rsid w:val="006E2175"/>
    <w:rsid w:val="006E426B"/>
    <w:rsid w:val="006E5325"/>
    <w:rsid w:val="006E5CF4"/>
    <w:rsid w:val="006E6910"/>
    <w:rsid w:val="006E6A80"/>
    <w:rsid w:val="006E7801"/>
    <w:rsid w:val="006E7E4A"/>
    <w:rsid w:val="006F0029"/>
    <w:rsid w:val="006F2159"/>
    <w:rsid w:val="006F29BC"/>
    <w:rsid w:val="006F32EE"/>
    <w:rsid w:val="006F4B66"/>
    <w:rsid w:val="006F4C00"/>
    <w:rsid w:val="006F6A16"/>
    <w:rsid w:val="00702C8B"/>
    <w:rsid w:val="00704741"/>
    <w:rsid w:val="00706ED7"/>
    <w:rsid w:val="007079CC"/>
    <w:rsid w:val="007109BF"/>
    <w:rsid w:val="007115CB"/>
    <w:rsid w:val="00711AA2"/>
    <w:rsid w:val="00712F0B"/>
    <w:rsid w:val="007145D1"/>
    <w:rsid w:val="00714626"/>
    <w:rsid w:val="007151D0"/>
    <w:rsid w:val="007151D8"/>
    <w:rsid w:val="00725564"/>
    <w:rsid w:val="00725F29"/>
    <w:rsid w:val="00731240"/>
    <w:rsid w:val="00731586"/>
    <w:rsid w:val="00731A49"/>
    <w:rsid w:val="00736580"/>
    <w:rsid w:val="00741BE3"/>
    <w:rsid w:val="007435D5"/>
    <w:rsid w:val="0074416E"/>
    <w:rsid w:val="0074597B"/>
    <w:rsid w:val="00745E2A"/>
    <w:rsid w:val="00745F17"/>
    <w:rsid w:val="00747F2E"/>
    <w:rsid w:val="0075348E"/>
    <w:rsid w:val="00753535"/>
    <w:rsid w:val="00753B35"/>
    <w:rsid w:val="0075424D"/>
    <w:rsid w:val="007565C0"/>
    <w:rsid w:val="007573C9"/>
    <w:rsid w:val="00757618"/>
    <w:rsid w:val="00757812"/>
    <w:rsid w:val="007603E5"/>
    <w:rsid w:val="00762035"/>
    <w:rsid w:val="007627CA"/>
    <w:rsid w:val="00762A60"/>
    <w:rsid w:val="0076364E"/>
    <w:rsid w:val="00763B95"/>
    <w:rsid w:val="00763C76"/>
    <w:rsid w:val="00764777"/>
    <w:rsid w:val="00765B12"/>
    <w:rsid w:val="00767C20"/>
    <w:rsid w:val="00770261"/>
    <w:rsid w:val="00776091"/>
    <w:rsid w:val="007810F3"/>
    <w:rsid w:val="007835F7"/>
    <w:rsid w:val="0078647E"/>
    <w:rsid w:val="00786ABB"/>
    <w:rsid w:val="00790856"/>
    <w:rsid w:val="00790AF8"/>
    <w:rsid w:val="00792E0F"/>
    <w:rsid w:val="007946F7"/>
    <w:rsid w:val="007949D9"/>
    <w:rsid w:val="007A13C3"/>
    <w:rsid w:val="007A1D2B"/>
    <w:rsid w:val="007A224D"/>
    <w:rsid w:val="007A29C8"/>
    <w:rsid w:val="007A3AEC"/>
    <w:rsid w:val="007A660E"/>
    <w:rsid w:val="007A73CD"/>
    <w:rsid w:val="007A7559"/>
    <w:rsid w:val="007B1470"/>
    <w:rsid w:val="007B14B6"/>
    <w:rsid w:val="007B19C8"/>
    <w:rsid w:val="007B5199"/>
    <w:rsid w:val="007B6B25"/>
    <w:rsid w:val="007B6F70"/>
    <w:rsid w:val="007B7261"/>
    <w:rsid w:val="007C0D7E"/>
    <w:rsid w:val="007C1B0E"/>
    <w:rsid w:val="007C5110"/>
    <w:rsid w:val="007C5DB5"/>
    <w:rsid w:val="007C6346"/>
    <w:rsid w:val="007D32AC"/>
    <w:rsid w:val="007D3300"/>
    <w:rsid w:val="007D3EC2"/>
    <w:rsid w:val="007E095F"/>
    <w:rsid w:val="007E13C3"/>
    <w:rsid w:val="007E1932"/>
    <w:rsid w:val="007E1C9F"/>
    <w:rsid w:val="007E2BAF"/>
    <w:rsid w:val="007E62BD"/>
    <w:rsid w:val="007E6D4A"/>
    <w:rsid w:val="007F0F43"/>
    <w:rsid w:val="007F40F5"/>
    <w:rsid w:val="007F472D"/>
    <w:rsid w:val="007F5D26"/>
    <w:rsid w:val="007F5EC0"/>
    <w:rsid w:val="007F7847"/>
    <w:rsid w:val="007F7C25"/>
    <w:rsid w:val="008005E0"/>
    <w:rsid w:val="00800985"/>
    <w:rsid w:val="00802EBA"/>
    <w:rsid w:val="00803E0A"/>
    <w:rsid w:val="0080428E"/>
    <w:rsid w:val="00805534"/>
    <w:rsid w:val="008060D8"/>
    <w:rsid w:val="0080757D"/>
    <w:rsid w:val="00807672"/>
    <w:rsid w:val="00810CCE"/>
    <w:rsid w:val="00811F1B"/>
    <w:rsid w:val="00812465"/>
    <w:rsid w:val="008125FF"/>
    <w:rsid w:val="008132B9"/>
    <w:rsid w:val="00813DDF"/>
    <w:rsid w:val="00816273"/>
    <w:rsid w:val="008162B0"/>
    <w:rsid w:val="00816D46"/>
    <w:rsid w:val="00817322"/>
    <w:rsid w:val="00821D31"/>
    <w:rsid w:val="008245C5"/>
    <w:rsid w:val="00827D8D"/>
    <w:rsid w:val="008305EB"/>
    <w:rsid w:val="00830666"/>
    <w:rsid w:val="00832116"/>
    <w:rsid w:val="00832FFB"/>
    <w:rsid w:val="00834826"/>
    <w:rsid w:val="008356D5"/>
    <w:rsid w:val="00836CB8"/>
    <w:rsid w:val="008418A5"/>
    <w:rsid w:val="00844DBA"/>
    <w:rsid w:val="00850F4D"/>
    <w:rsid w:val="008513C9"/>
    <w:rsid w:val="008515E7"/>
    <w:rsid w:val="008534A5"/>
    <w:rsid w:val="0085437F"/>
    <w:rsid w:val="00855287"/>
    <w:rsid w:val="00855891"/>
    <w:rsid w:val="00856866"/>
    <w:rsid w:val="008601AE"/>
    <w:rsid w:val="00862700"/>
    <w:rsid w:val="008678B4"/>
    <w:rsid w:val="00867B14"/>
    <w:rsid w:val="008709BC"/>
    <w:rsid w:val="00871D25"/>
    <w:rsid w:val="00871DB3"/>
    <w:rsid w:val="0087399F"/>
    <w:rsid w:val="0087406B"/>
    <w:rsid w:val="0087535F"/>
    <w:rsid w:val="008761A3"/>
    <w:rsid w:val="00876F59"/>
    <w:rsid w:val="00877984"/>
    <w:rsid w:val="00880C91"/>
    <w:rsid w:val="00881940"/>
    <w:rsid w:val="00881FC1"/>
    <w:rsid w:val="008827A1"/>
    <w:rsid w:val="00882C65"/>
    <w:rsid w:val="00882C93"/>
    <w:rsid w:val="00883741"/>
    <w:rsid w:val="008845C7"/>
    <w:rsid w:val="0088475D"/>
    <w:rsid w:val="0088701F"/>
    <w:rsid w:val="00887BC5"/>
    <w:rsid w:val="008921C4"/>
    <w:rsid w:val="00892A46"/>
    <w:rsid w:val="00894205"/>
    <w:rsid w:val="008971FD"/>
    <w:rsid w:val="00897415"/>
    <w:rsid w:val="0089778F"/>
    <w:rsid w:val="008A3119"/>
    <w:rsid w:val="008A5346"/>
    <w:rsid w:val="008A5548"/>
    <w:rsid w:val="008A6BAB"/>
    <w:rsid w:val="008A71DA"/>
    <w:rsid w:val="008A71F9"/>
    <w:rsid w:val="008A73A8"/>
    <w:rsid w:val="008B1B63"/>
    <w:rsid w:val="008B2748"/>
    <w:rsid w:val="008B53CA"/>
    <w:rsid w:val="008B560F"/>
    <w:rsid w:val="008B6704"/>
    <w:rsid w:val="008C17C5"/>
    <w:rsid w:val="008C1AFD"/>
    <w:rsid w:val="008C2900"/>
    <w:rsid w:val="008C5C6A"/>
    <w:rsid w:val="008C662A"/>
    <w:rsid w:val="008D31F1"/>
    <w:rsid w:val="008D415F"/>
    <w:rsid w:val="008D59F9"/>
    <w:rsid w:val="008D6848"/>
    <w:rsid w:val="008D71E0"/>
    <w:rsid w:val="008E1F65"/>
    <w:rsid w:val="008E26E3"/>
    <w:rsid w:val="008E2820"/>
    <w:rsid w:val="008E531F"/>
    <w:rsid w:val="008E64BF"/>
    <w:rsid w:val="008F1C04"/>
    <w:rsid w:val="008F3E6A"/>
    <w:rsid w:val="008F3F6A"/>
    <w:rsid w:val="008F4707"/>
    <w:rsid w:val="008F6215"/>
    <w:rsid w:val="00900CD2"/>
    <w:rsid w:val="00901560"/>
    <w:rsid w:val="00903086"/>
    <w:rsid w:val="00903377"/>
    <w:rsid w:val="00904506"/>
    <w:rsid w:val="00904695"/>
    <w:rsid w:val="00904B42"/>
    <w:rsid w:val="00906D26"/>
    <w:rsid w:val="00913363"/>
    <w:rsid w:val="009159BA"/>
    <w:rsid w:val="00915F28"/>
    <w:rsid w:val="00917929"/>
    <w:rsid w:val="009208B8"/>
    <w:rsid w:val="00921E10"/>
    <w:rsid w:val="0092258C"/>
    <w:rsid w:val="00923D82"/>
    <w:rsid w:val="00925FA9"/>
    <w:rsid w:val="009269DF"/>
    <w:rsid w:val="00930F61"/>
    <w:rsid w:val="00930F8A"/>
    <w:rsid w:val="00932112"/>
    <w:rsid w:val="00933DF4"/>
    <w:rsid w:val="00933FF8"/>
    <w:rsid w:val="009347EA"/>
    <w:rsid w:val="00934B17"/>
    <w:rsid w:val="00937CE7"/>
    <w:rsid w:val="00940273"/>
    <w:rsid w:val="00941460"/>
    <w:rsid w:val="0094201D"/>
    <w:rsid w:val="00942C65"/>
    <w:rsid w:val="0094450C"/>
    <w:rsid w:val="00945FB7"/>
    <w:rsid w:val="009464F6"/>
    <w:rsid w:val="009473C7"/>
    <w:rsid w:val="009479E9"/>
    <w:rsid w:val="0095067A"/>
    <w:rsid w:val="00950D32"/>
    <w:rsid w:val="00952057"/>
    <w:rsid w:val="00952650"/>
    <w:rsid w:val="00956F20"/>
    <w:rsid w:val="00960E3C"/>
    <w:rsid w:val="00963097"/>
    <w:rsid w:val="00963F2C"/>
    <w:rsid w:val="009647FB"/>
    <w:rsid w:val="009660AB"/>
    <w:rsid w:val="00970039"/>
    <w:rsid w:val="009706C1"/>
    <w:rsid w:val="009709B1"/>
    <w:rsid w:val="00972774"/>
    <w:rsid w:val="00972F44"/>
    <w:rsid w:val="00975208"/>
    <w:rsid w:val="0097525E"/>
    <w:rsid w:val="00980750"/>
    <w:rsid w:val="0098093E"/>
    <w:rsid w:val="009821E1"/>
    <w:rsid w:val="00983770"/>
    <w:rsid w:val="009848A6"/>
    <w:rsid w:val="00985FBE"/>
    <w:rsid w:val="00987318"/>
    <w:rsid w:val="009910FD"/>
    <w:rsid w:val="00992A7A"/>
    <w:rsid w:val="00994DFA"/>
    <w:rsid w:val="00995B14"/>
    <w:rsid w:val="00995CE8"/>
    <w:rsid w:val="00995DB1"/>
    <w:rsid w:val="0099760F"/>
    <w:rsid w:val="009A0391"/>
    <w:rsid w:val="009A09CF"/>
    <w:rsid w:val="009A1B2D"/>
    <w:rsid w:val="009A3EEA"/>
    <w:rsid w:val="009A4692"/>
    <w:rsid w:val="009A48ED"/>
    <w:rsid w:val="009A57E5"/>
    <w:rsid w:val="009A6B72"/>
    <w:rsid w:val="009A6F21"/>
    <w:rsid w:val="009B2F7D"/>
    <w:rsid w:val="009B3BE1"/>
    <w:rsid w:val="009B5A6D"/>
    <w:rsid w:val="009B5C37"/>
    <w:rsid w:val="009C0545"/>
    <w:rsid w:val="009C2FC5"/>
    <w:rsid w:val="009C3C13"/>
    <w:rsid w:val="009C474F"/>
    <w:rsid w:val="009C526E"/>
    <w:rsid w:val="009C5FAE"/>
    <w:rsid w:val="009C61B9"/>
    <w:rsid w:val="009C6B54"/>
    <w:rsid w:val="009C73F6"/>
    <w:rsid w:val="009C7431"/>
    <w:rsid w:val="009C76B7"/>
    <w:rsid w:val="009D01EE"/>
    <w:rsid w:val="009D0A34"/>
    <w:rsid w:val="009D2C4D"/>
    <w:rsid w:val="009D4C4F"/>
    <w:rsid w:val="009D4EF7"/>
    <w:rsid w:val="009D5ED7"/>
    <w:rsid w:val="009D64F3"/>
    <w:rsid w:val="009D7C99"/>
    <w:rsid w:val="009E0ED6"/>
    <w:rsid w:val="009E2A34"/>
    <w:rsid w:val="009E3BF5"/>
    <w:rsid w:val="009E4040"/>
    <w:rsid w:val="009E455E"/>
    <w:rsid w:val="009E4CCB"/>
    <w:rsid w:val="009E4D41"/>
    <w:rsid w:val="009E4F3C"/>
    <w:rsid w:val="009E6750"/>
    <w:rsid w:val="009E70B0"/>
    <w:rsid w:val="009F1A1B"/>
    <w:rsid w:val="009F229E"/>
    <w:rsid w:val="009F41E4"/>
    <w:rsid w:val="009F451B"/>
    <w:rsid w:val="009F76FC"/>
    <w:rsid w:val="00A0141D"/>
    <w:rsid w:val="00A0417D"/>
    <w:rsid w:val="00A041AB"/>
    <w:rsid w:val="00A061B6"/>
    <w:rsid w:val="00A06A17"/>
    <w:rsid w:val="00A06F40"/>
    <w:rsid w:val="00A07F26"/>
    <w:rsid w:val="00A10E5F"/>
    <w:rsid w:val="00A11A5D"/>
    <w:rsid w:val="00A14178"/>
    <w:rsid w:val="00A22337"/>
    <w:rsid w:val="00A23868"/>
    <w:rsid w:val="00A2535E"/>
    <w:rsid w:val="00A255DC"/>
    <w:rsid w:val="00A25803"/>
    <w:rsid w:val="00A311A9"/>
    <w:rsid w:val="00A3476C"/>
    <w:rsid w:val="00A36793"/>
    <w:rsid w:val="00A36FF6"/>
    <w:rsid w:val="00A37114"/>
    <w:rsid w:val="00A37CD6"/>
    <w:rsid w:val="00A37CE4"/>
    <w:rsid w:val="00A4118D"/>
    <w:rsid w:val="00A42323"/>
    <w:rsid w:val="00A43A91"/>
    <w:rsid w:val="00A43FF1"/>
    <w:rsid w:val="00A443DF"/>
    <w:rsid w:val="00A44412"/>
    <w:rsid w:val="00A4496C"/>
    <w:rsid w:val="00A45649"/>
    <w:rsid w:val="00A4670E"/>
    <w:rsid w:val="00A47D14"/>
    <w:rsid w:val="00A50306"/>
    <w:rsid w:val="00A507EB"/>
    <w:rsid w:val="00A546BD"/>
    <w:rsid w:val="00A55CFD"/>
    <w:rsid w:val="00A55D1B"/>
    <w:rsid w:val="00A603D7"/>
    <w:rsid w:val="00A62F20"/>
    <w:rsid w:val="00A63160"/>
    <w:rsid w:val="00A649BE"/>
    <w:rsid w:val="00A67EB2"/>
    <w:rsid w:val="00A700AA"/>
    <w:rsid w:val="00A7072F"/>
    <w:rsid w:val="00A70A45"/>
    <w:rsid w:val="00A72B43"/>
    <w:rsid w:val="00A749C5"/>
    <w:rsid w:val="00A755C8"/>
    <w:rsid w:val="00A76D9F"/>
    <w:rsid w:val="00A76DE2"/>
    <w:rsid w:val="00A772DB"/>
    <w:rsid w:val="00A77D9A"/>
    <w:rsid w:val="00A80115"/>
    <w:rsid w:val="00A8105B"/>
    <w:rsid w:val="00A8237F"/>
    <w:rsid w:val="00A8256B"/>
    <w:rsid w:val="00A82869"/>
    <w:rsid w:val="00A82ECB"/>
    <w:rsid w:val="00A83A4A"/>
    <w:rsid w:val="00A84225"/>
    <w:rsid w:val="00A852C3"/>
    <w:rsid w:val="00A85795"/>
    <w:rsid w:val="00A85A77"/>
    <w:rsid w:val="00A8624A"/>
    <w:rsid w:val="00A91BDF"/>
    <w:rsid w:val="00A9219D"/>
    <w:rsid w:val="00A926E1"/>
    <w:rsid w:val="00A933A5"/>
    <w:rsid w:val="00A934E8"/>
    <w:rsid w:val="00A94D8A"/>
    <w:rsid w:val="00A9644C"/>
    <w:rsid w:val="00A97769"/>
    <w:rsid w:val="00A97E95"/>
    <w:rsid w:val="00AA30FC"/>
    <w:rsid w:val="00AA313B"/>
    <w:rsid w:val="00AA359D"/>
    <w:rsid w:val="00AA38DF"/>
    <w:rsid w:val="00AA5451"/>
    <w:rsid w:val="00AA6411"/>
    <w:rsid w:val="00AA6ED4"/>
    <w:rsid w:val="00AA7C0B"/>
    <w:rsid w:val="00AB08AE"/>
    <w:rsid w:val="00AB2895"/>
    <w:rsid w:val="00AB35CD"/>
    <w:rsid w:val="00AB3BEB"/>
    <w:rsid w:val="00AB4228"/>
    <w:rsid w:val="00AB427C"/>
    <w:rsid w:val="00AB6FFF"/>
    <w:rsid w:val="00AB7F90"/>
    <w:rsid w:val="00AC2C8B"/>
    <w:rsid w:val="00AC3D9A"/>
    <w:rsid w:val="00AC7187"/>
    <w:rsid w:val="00AC7594"/>
    <w:rsid w:val="00AC7B2F"/>
    <w:rsid w:val="00AD31FE"/>
    <w:rsid w:val="00AD44AF"/>
    <w:rsid w:val="00AD59DB"/>
    <w:rsid w:val="00AD6720"/>
    <w:rsid w:val="00AD6D45"/>
    <w:rsid w:val="00AE0A77"/>
    <w:rsid w:val="00AE2324"/>
    <w:rsid w:val="00AE282E"/>
    <w:rsid w:val="00AE5344"/>
    <w:rsid w:val="00AE7168"/>
    <w:rsid w:val="00AF2A50"/>
    <w:rsid w:val="00AF2F05"/>
    <w:rsid w:val="00AF3F33"/>
    <w:rsid w:val="00AF4164"/>
    <w:rsid w:val="00AF5F05"/>
    <w:rsid w:val="00AF7524"/>
    <w:rsid w:val="00B0086A"/>
    <w:rsid w:val="00B00BAC"/>
    <w:rsid w:val="00B01589"/>
    <w:rsid w:val="00B02662"/>
    <w:rsid w:val="00B0305E"/>
    <w:rsid w:val="00B0403B"/>
    <w:rsid w:val="00B04438"/>
    <w:rsid w:val="00B05488"/>
    <w:rsid w:val="00B11B53"/>
    <w:rsid w:val="00B132CD"/>
    <w:rsid w:val="00B14C46"/>
    <w:rsid w:val="00B17F37"/>
    <w:rsid w:val="00B201CC"/>
    <w:rsid w:val="00B20383"/>
    <w:rsid w:val="00B219D2"/>
    <w:rsid w:val="00B21DD4"/>
    <w:rsid w:val="00B2206D"/>
    <w:rsid w:val="00B24AF8"/>
    <w:rsid w:val="00B24CA2"/>
    <w:rsid w:val="00B24DC0"/>
    <w:rsid w:val="00B24EB3"/>
    <w:rsid w:val="00B252CE"/>
    <w:rsid w:val="00B2572F"/>
    <w:rsid w:val="00B25892"/>
    <w:rsid w:val="00B279EB"/>
    <w:rsid w:val="00B30F7A"/>
    <w:rsid w:val="00B344A1"/>
    <w:rsid w:val="00B347C1"/>
    <w:rsid w:val="00B363E9"/>
    <w:rsid w:val="00B402E9"/>
    <w:rsid w:val="00B40E2C"/>
    <w:rsid w:val="00B42E68"/>
    <w:rsid w:val="00B43FF8"/>
    <w:rsid w:val="00B45DC9"/>
    <w:rsid w:val="00B466E6"/>
    <w:rsid w:val="00B46C10"/>
    <w:rsid w:val="00B53CC3"/>
    <w:rsid w:val="00B54F56"/>
    <w:rsid w:val="00B566D7"/>
    <w:rsid w:val="00B56A6A"/>
    <w:rsid w:val="00B57A06"/>
    <w:rsid w:val="00B57F5C"/>
    <w:rsid w:val="00B6152A"/>
    <w:rsid w:val="00B6159C"/>
    <w:rsid w:val="00B61CCD"/>
    <w:rsid w:val="00B620D9"/>
    <w:rsid w:val="00B62733"/>
    <w:rsid w:val="00B642D3"/>
    <w:rsid w:val="00B6459A"/>
    <w:rsid w:val="00B6588B"/>
    <w:rsid w:val="00B66F26"/>
    <w:rsid w:val="00B672F7"/>
    <w:rsid w:val="00B7074A"/>
    <w:rsid w:val="00B70BE1"/>
    <w:rsid w:val="00B72684"/>
    <w:rsid w:val="00B74273"/>
    <w:rsid w:val="00B74E3A"/>
    <w:rsid w:val="00B761D7"/>
    <w:rsid w:val="00B7671B"/>
    <w:rsid w:val="00B77D14"/>
    <w:rsid w:val="00B828EC"/>
    <w:rsid w:val="00B86313"/>
    <w:rsid w:val="00B878E3"/>
    <w:rsid w:val="00B91492"/>
    <w:rsid w:val="00B919C9"/>
    <w:rsid w:val="00B9270F"/>
    <w:rsid w:val="00B9445A"/>
    <w:rsid w:val="00B968F2"/>
    <w:rsid w:val="00B971D7"/>
    <w:rsid w:val="00BA36F0"/>
    <w:rsid w:val="00BA3EF9"/>
    <w:rsid w:val="00BA68F0"/>
    <w:rsid w:val="00BB35A4"/>
    <w:rsid w:val="00BB5B8A"/>
    <w:rsid w:val="00BB7DE7"/>
    <w:rsid w:val="00BC0508"/>
    <w:rsid w:val="00BC0868"/>
    <w:rsid w:val="00BC13C2"/>
    <w:rsid w:val="00BC19C2"/>
    <w:rsid w:val="00BC21D6"/>
    <w:rsid w:val="00BC612E"/>
    <w:rsid w:val="00BC638A"/>
    <w:rsid w:val="00BC6871"/>
    <w:rsid w:val="00BD095B"/>
    <w:rsid w:val="00BD10B6"/>
    <w:rsid w:val="00BD12A0"/>
    <w:rsid w:val="00BD36AE"/>
    <w:rsid w:val="00BD47C8"/>
    <w:rsid w:val="00BD5945"/>
    <w:rsid w:val="00BD5EFA"/>
    <w:rsid w:val="00BD76A6"/>
    <w:rsid w:val="00BE0EA3"/>
    <w:rsid w:val="00BE201B"/>
    <w:rsid w:val="00BE3FB8"/>
    <w:rsid w:val="00BE7C40"/>
    <w:rsid w:val="00BF0CF8"/>
    <w:rsid w:val="00BF14BE"/>
    <w:rsid w:val="00BF210E"/>
    <w:rsid w:val="00BF25D7"/>
    <w:rsid w:val="00BF393B"/>
    <w:rsid w:val="00BF3C25"/>
    <w:rsid w:val="00BF3E17"/>
    <w:rsid w:val="00BF5674"/>
    <w:rsid w:val="00BF5978"/>
    <w:rsid w:val="00BF5CB1"/>
    <w:rsid w:val="00BF66C4"/>
    <w:rsid w:val="00BF6AA8"/>
    <w:rsid w:val="00BF79BA"/>
    <w:rsid w:val="00C01459"/>
    <w:rsid w:val="00C02CB5"/>
    <w:rsid w:val="00C05B7A"/>
    <w:rsid w:val="00C05E82"/>
    <w:rsid w:val="00C06A01"/>
    <w:rsid w:val="00C07CC9"/>
    <w:rsid w:val="00C10134"/>
    <w:rsid w:val="00C11C1F"/>
    <w:rsid w:val="00C129D3"/>
    <w:rsid w:val="00C13A2B"/>
    <w:rsid w:val="00C15B9B"/>
    <w:rsid w:val="00C15E7E"/>
    <w:rsid w:val="00C15F87"/>
    <w:rsid w:val="00C17324"/>
    <w:rsid w:val="00C173E9"/>
    <w:rsid w:val="00C2004E"/>
    <w:rsid w:val="00C203D5"/>
    <w:rsid w:val="00C20596"/>
    <w:rsid w:val="00C30112"/>
    <w:rsid w:val="00C307BB"/>
    <w:rsid w:val="00C32993"/>
    <w:rsid w:val="00C33F9A"/>
    <w:rsid w:val="00C35219"/>
    <w:rsid w:val="00C35F1A"/>
    <w:rsid w:val="00C36263"/>
    <w:rsid w:val="00C41664"/>
    <w:rsid w:val="00C41A6A"/>
    <w:rsid w:val="00C45F64"/>
    <w:rsid w:val="00C46FD0"/>
    <w:rsid w:val="00C5056B"/>
    <w:rsid w:val="00C50CD2"/>
    <w:rsid w:val="00C523EE"/>
    <w:rsid w:val="00C52532"/>
    <w:rsid w:val="00C5443D"/>
    <w:rsid w:val="00C55172"/>
    <w:rsid w:val="00C55403"/>
    <w:rsid w:val="00C55453"/>
    <w:rsid w:val="00C55629"/>
    <w:rsid w:val="00C5616A"/>
    <w:rsid w:val="00C56752"/>
    <w:rsid w:val="00C56F79"/>
    <w:rsid w:val="00C57D00"/>
    <w:rsid w:val="00C61BDA"/>
    <w:rsid w:val="00C61CC8"/>
    <w:rsid w:val="00C64FB4"/>
    <w:rsid w:val="00C67883"/>
    <w:rsid w:val="00C70525"/>
    <w:rsid w:val="00C71837"/>
    <w:rsid w:val="00C7311F"/>
    <w:rsid w:val="00C75E74"/>
    <w:rsid w:val="00C778C1"/>
    <w:rsid w:val="00C77AF3"/>
    <w:rsid w:val="00C81038"/>
    <w:rsid w:val="00C833F6"/>
    <w:rsid w:val="00C848BC"/>
    <w:rsid w:val="00C84E4C"/>
    <w:rsid w:val="00C851BF"/>
    <w:rsid w:val="00C855C2"/>
    <w:rsid w:val="00C85BC9"/>
    <w:rsid w:val="00C86CDD"/>
    <w:rsid w:val="00C874C4"/>
    <w:rsid w:val="00C90CDE"/>
    <w:rsid w:val="00C92C39"/>
    <w:rsid w:val="00C93AA2"/>
    <w:rsid w:val="00C93C5D"/>
    <w:rsid w:val="00C94D69"/>
    <w:rsid w:val="00C9507F"/>
    <w:rsid w:val="00C9634A"/>
    <w:rsid w:val="00CA0118"/>
    <w:rsid w:val="00CA25A1"/>
    <w:rsid w:val="00CA3C0C"/>
    <w:rsid w:val="00CA4BEA"/>
    <w:rsid w:val="00CA7C5B"/>
    <w:rsid w:val="00CB276A"/>
    <w:rsid w:val="00CB35A7"/>
    <w:rsid w:val="00CB55C8"/>
    <w:rsid w:val="00CC0257"/>
    <w:rsid w:val="00CC08E2"/>
    <w:rsid w:val="00CC1EEE"/>
    <w:rsid w:val="00CC2C88"/>
    <w:rsid w:val="00CC2FA6"/>
    <w:rsid w:val="00CC3F82"/>
    <w:rsid w:val="00CC5934"/>
    <w:rsid w:val="00CC5D99"/>
    <w:rsid w:val="00CC62AB"/>
    <w:rsid w:val="00CC6DA0"/>
    <w:rsid w:val="00CD06BB"/>
    <w:rsid w:val="00CD0DC6"/>
    <w:rsid w:val="00CD27FC"/>
    <w:rsid w:val="00CD3AA0"/>
    <w:rsid w:val="00CD57E8"/>
    <w:rsid w:val="00CD5D77"/>
    <w:rsid w:val="00CD64F0"/>
    <w:rsid w:val="00CD6CB6"/>
    <w:rsid w:val="00CE3A59"/>
    <w:rsid w:val="00CE4160"/>
    <w:rsid w:val="00CE66B6"/>
    <w:rsid w:val="00CE72BB"/>
    <w:rsid w:val="00CF03CB"/>
    <w:rsid w:val="00CF1447"/>
    <w:rsid w:val="00CF3686"/>
    <w:rsid w:val="00CF3CA5"/>
    <w:rsid w:val="00CF464E"/>
    <w:rsid w:val="00CF4AC1"/>
    <w:rsid w:val="00CF62BF"/>
    <w:rsid w:val="00CF6D28"/>
    <w:rsid w:val="00CF6F35"/>
    <w:rsid w:val="00D01E47"/>
    <w:rsid w:val="00D026FD"/>
    <w:rsid w:val="00D057C8"/>
    <w:rsid w:val="00D0598A"/>
    <w:rsid w:val="00D07654"/>
    <w:rsid w:val="00D117EB"/>
    <w:rsid w:val="00D12AA2"/>
    <w:rsid w:val="00D162A7"/>
    <w:rsid w:val="00D16EDA"/>
    <w:rsid w:val="00D17162"/>
    <w:rsid w:val="00D236BA"/>
    <w:rsid w:val="00D237CC"/>
    <w:rsid w:val="00D23D3E"/>
    <w:rsid w:val="00D24FA0"/>
    <w:rsid w:val="00D26CCF"/>
    <w:rsid w:val="00D30A94"/>
    <w:rsid w:val="00D31455"/>
    <w:rsid w:val="00D33C63"/>
    <w:rsid w:val="00D35004"/>
    <w:rsid w:val="00D352D6"/>
    <w:rsid w:val="00D36DC4"/>
    <w:rsid w:val="00D40195"/>
    <w:rsid w:val="00D41641"/>
    <w:rsid w:val="00D41E1C"/>
    <w:rsid w:val="00D42537"/>
    <w:rsid w:val="00D5256C"/>
    <w:rsid w:val="00D52A39"/>
    <w:rsid w:val="00D54367"/>
    <w:rsid w:val="00D543AD"/>
    <w:rsid w:val="00D545B5"/>
    <w:rsid w:val="00D54F96"/>
    <w:rsid w:val="00D56D27"/>
    <w:rsid w:val="00D606E9"/>
    <w:rsid w:val="00D66D61"/>
    <w:rsid w:val="00D71679"/>
    <w:rsid w:val="00D7359D"/>
    <w:rsid w:val="00D73CD1"/>
    <w:rsid w:val="00D73DA4"/>
    <w:rsid w:val="00D74061"/>
    <w:rsid w:val="00D74C01"/>
    <w:rsid w:val="00D76398"/>
    <w:rsid w:val="00D76E06"/>
    <w:rsid w:val="00D8029A"/>
    <w:rsid w:val="00D8210C"/>
    <w:rsid w:val="00D8266D"/>
    <w:rsid w:val="00D86A53"/>
    <w:rsid w:val="00D87DBD"/>
    <w:rsid w:val="00D926AF"/>
    <w:rsid w:val="00D92C55"/>
    <w:rsid w:val="00D94755"/>
    <w:rsid w:val="00D952A4"/>
    <w:rsid w:val="00D9633D"/>
    <w:rsid w:val="00DA04D6"/>
    <w:rsid w:val="00DA3B09"/>
    <w:rsid w:val="00DA4B01"/>
    <w:rsid w:val="00DA4EB2"/>
    <w:rsid w:val="00DA5B53"/>
    <w:rsid w:val="00DA7591"/>
    <w:rsid w:val="00DA798A"/>
    <w:rsid w:val="00DB0215"/>
    <w:rsid w:val="00DB0BCA"/>
    <w:rsid w:val="00DB2355"/>
    <w:rsid w:val="00DB2E53"/>
    <w:rsid w:val="00DB37C4"/>
    <w:rsid w:val="00DB4267"/>
    <w:rsid w:val="00DB58B7"/>
    <w:rsid w:val="00DB5CB6"/>
    <w:rsid w:val="00DB7BBB"/>
    <w:rsid w:val="00DB7BED"/>
    <w:rsid w:val="00DB7FE0"/>
    <w:rsid w:val="00DC0BEF"/>
    <w:rsid w:val="00DC1CDA"/>
    <w:rsid w:val="00DC1F53"/>
    <w:rsid w:val="00DC3BC4"/>
    <w:rsid w:val="00DC5433"/>
    <w:rsid w:val="00DC7142"/>
    <w:rsid w:val="00DD0B06"/>
    <w:rsid w:val="00DD0C49"/>
    <w:rsid w:val="00DD603F"/>
    <w:rsid w:val="00DD6CC8"/>
    <w:rsid w:val="00DD7B08"/>
    <w:rsid w:val="00DD7BBA"/>
    <w:rsid w:val="00DE06C9"/>
    <w:rsid w:val="00DE15D1"/>
    <w:rsid w:val="00DE5A6F"/>
    <w:rsid w:val="00DE5EBD"/>
    <w:rsid w:val="00DE741D"/>
    <w:rsid w:val="00DF0588"/>
    <w:rsid w:val="00DF38DA"/>
    <w:rsid w:val="00DF391E"/>
    <w:rsid w:val="00DF55D5"/>
    <w:rsid w:val="00DF5F8D"/>
    <w:rsid w:val="00DF6328"/>
    <w:rsid w:val="00DF6C87"/>
    <w:rsid w:val="00E00B36"/>
    <w:rsid w:val="00E026B4"/>
    <w:rsid w:val="00E028C3"/>
    <w:rsid w:val="00E03B34"/>
    <w:rsid w:val="00E03D27"/>
    <w:rsid w:val="00E05478"/>
    <w:rsid w:val="00E0584E"/>
    <w:rsid w:val="00E13756"/>
    <w:rsid w:val="00E153E5"/>
    <w:rsid w:val="00E15EAD"/>
    <w:rsid w:val="00E1637B"/>
    <w:rsid w:val="00E16ACF"/>
    <w:rsid w:val="00E23B31"/>
    <w:rsid w:val="00E243F2"/>
    <w:rsid w:val="00E262EF"/>
    <w:rsid w:val="00E26545"/>
    <w:rsid w:val="00E3043C"/>
    <w:rsid w:val="00E30FD6"/>
    <w:rsid w:val="00E31439"/>
    <w:rsid w:val="00E3153B"/>
    <w:rsid w:val="00E317C9"/>
    <w:rsid w:val="00E3358F"/>
    <w:rsid w:val="00E343D5"/>
    <w:rsid w:val="00E348B6"/>
    <w:rsid w:val="00E402F3"/>
    <w:rsid w:val="00E40E4B"/>
    <w:rsid w:val="00E418D5"/>
    <w:rsid w:val="00E41E08"/>
    <w:rsid w:val="00E41F48"/>
    <w:rsid w:val="00E42D7F"/>
    <w:rsid w:val="00E439EF"/>
    <w:rsid w:val="00E43C90"/>
    <w:rsid w:val="00E45E66"/>
    <w:rsid w:val="00E47746"/>
    <w:rsid w:val="00E50C50"/>
    <w:rsid w:val="00E51D29"/>
    <w:rsid w:val="00E529C7"/>
    <w:rsid w:val="00E56484"/>
    <w:rsid w:val="00E57F37"/>
    <w:rsid w:val="00E62775"/>
    <w:rsid w:val="00E64EDA"/>
    <w:rsid w:val="00E65CB6"/>
    <w:rsid w:val="00E66704"/>
    <w:rsid w:val="00E701D8"/>
    <w:rsid w:val="00E705DE"/>
    <w:rsid w:val="00E72270"/>
    <w:rsid w:val="00E72B8B"/>
    <w:rsid w:val="00E74B6F"/>
    <w:rsid w:val="00E7535F"/>
    <w:rsid w:val="00E75750"/>
    <w:rsid w:val="00E75DCF"/>
    <w:rsid w:val="00E81410"/>
    <w:rsid w:val="00E8196C"/>
    <w:rsid w:val="00E81F23"/>
    <w:rsid w:val="00E82C9F"/>
    <w:rsid w:val="00E83F8F"/>
    <w:rsid w:val="00E8492E"/>
    <w:rsid w:val="00E91079"/>
    <w:rsid w:val="00E91A68"/>
    <w:rsid w:val="00E94FBD"/>
    <w:rsid w:val="00E956EF"/>
    <w:rsid w:val="00E95BA1"/>
    <w:rsid w:val="00E96248"/>
    <w:rsid w:val="00E96F9A"/>
    <w:rsid w:val="00EA2108"/>
    <w:rsid w:val="00EA5B45"/>
    <w:rsid w:val="00EB074E"/>
    <w:rsid w:val="00EB2A48"/>
    <w:rsid w:val="00EB3243"/>
    <w:rsid w:val="00EB4055"/>
    <w:rsid w:val="00EB498E"/>
    <w:rsid w:val="00EB54E6"/>
    <w:rsid w:val="00EB5911"/>
    <w:rsid w:val="00EB5E6F"/>
    <w:rsid w:val="00EB74EC"/>
    <w:rsid w:val="00EB7944"/>
    <w:rsid w:val="00EC0CC1"/>
    <w:rsid w:val="00EC15D2"/>
    <w:rsid w:val="00EC2645"/>
    <w:rsid w:val="00EC380A"/>
    <w:rsid w:val="00EC402F"/>
    <w:rsid w:val="00EC4141"/>
    <w:rsid w:val="00EC4871"/>
    <w:rsid w:val="00EC65C2"/>
    <w:rsid w:val="00EC69A8"/>
    <w:rsid w:val="00ED1DBD"/>
    <w:rsid w:val="00ED2CBA"/>
    <w:rsid w:val="00ED68AD"/>
    <w:rsid w:val="00ED6C10"/>
    <w:rsid w:val="00ED7076"/>
    <w:rsid w:val="00EE00E1"/>
    <w:rsid w:val="00EE0D94"/>
    <w:rsid w:val="00EE0E5A"/>
    <w:rsid w:val="00EE2B38"/>
    <w:rsid w:val="00EE4213"/>
    <w:rsid w:val="00EE4965"/>
    <w:rsid w:val="00EE52E6"/>
    <w:rsid w:val="00EE5B03"/>
    <w:rsid w:val="00EE661A"/>
    <w:rsid w:val="00EE7C5B"/>
    <w:rsid w:val="00EF2366"/>
    <w:rsid w:val="00EF668C"/>
    <w:rsid w:val="00F00F24"/>
    <w:rsid w:val="00F020CA"/>
    <w:rsid w:val="00F03433"/>
    <w:rsid w:val="00F057E0"/>
    <w:rsid w:val="00F06C2B"/>
    <w:rsid w:val="00F105B2"/>
    <w:rsid w:val="00F116E7"/>
    <w:rsid w:val="00F13A99"/>
    <w:rsid w:val="00F247EE"/>
    <w:rsid w:val="00F25CB5"/>
    <w:rsid w:val="00F26D1B"/>
    <w:rsid w:val="00F34443"/>
    <w:rsid w:val="00F40212"/>
    <w:rsid w:val="00F40233"/>
    <w:rsid w:val="00F42998"/>
    <w:rsid w:val="00F4517F"/>
    <w:rsid w:val="00F46C34"/>
    <w:rsid w:val="00F50C4A"/>
    <w:rsid w:val="00F50D95"/>
    <w:rsid w:val="00F50DD1"/>
    <w:rsid w:val="00F50EB0"/>
    <w:rsid w:val="00F51A4E"/>
    <w:rsid w:val="00F51C1F"/>
    <w:rsid w:val="00F54B1C"/>
    <w:rsid w:val="00F5647A"/>
    <w:rsid w:val="00F56EE4"/>
    <w:rsid w:val="00F60ED3"/>
    <w:rsid w:val="00F60FE2"/>
    <w:rsid w:val="00F62BA9"/>
    <w:rsid w:val="00F63175"/>
    <w:rsid w:val="00F640AE"/>
    <w:rsid w:val="00F64C15"/>
    <w:rsid w:val="00F650BE"/>
    <w:rsid w:val="00F655CE"/>
    <w:rsid w:val="00F70777"/>
    <w:rsid w:val="00F75B12"/>
    <w:rsid w:val="00F77BDC"/>
    <w:rsid w:val="00F858E7"/>
    <w:rsid w:val="00F86036"/>
    <w:rsid w:val="00F90DAC"/>
    <w:rsid w:val="00F9129B"/>
    <w:rsid w:val="00F92D5A"/>
    <w:rsid w:val="00F94703"/>
    <w:rsid w:val="00F94FDB"/>
    <w:rsid w:val="00FA16DE"/>
    <w:rsid w:val="00FA2712"/>
    <w:rsid w:val="00FA3F40"/>
    <w:rsid w:val="00FA4197"/>
    <w:rsid w:val="00FA5095"/>
    <w:rsid w:val="00FA768D"/>
    <w:rsid w:val="00FB01CD"/>
    <w:rsid w:val="00FB2CB3"/>
    <w:rsid w:val="00FB2E98"/>
    <w:rsid w:val="00FB2F6F"/>
    <w:rsid w:val="00FB5719"/>
    <w:rsid w:val="00FC23C3"/>
    <w:rsid w:val="00FC4ADB"/>
    <w:rsid w:val="00FC5410"/>
    <w:rsid w:val="00FD00D9"/>
    <w:rsid w:val="00FD0A98"/>
    <w:rsid w:val="00FD1809"/>
    <w:rsid w:val="00FD1A90"/>
    <w:rsid w:val="00FD4887"/>
    <w:rsid w:val="00FE0CFC"/>
    <w:rsid w:val="00FE1C7E"/>
    <w:rsid w:val="00FE2A66"/>
    <w:rsid w:val="00FE7456"/>
    <w:rsid w:val="00FE7F65"/>
    <w:rsid w:val="00FF15B7"/>
    <w:rsid w:val="00FF3E9E"/>
    <w:rsid w:val="00FF57F4"/>
    <w:rsid w:val="00FF5DEA"/>
    <w:rsid w:val="00FF67A7"/>
    <w:rsid w:val="00FF7EC4"/>
    <w:rsid w:val="014D059F"/>
    <w:rsid w:val="01EA3F16"/>
    <w:rsid w:val="01F65FCB"/>
    <w:rsid w:val="025E15E3"/>
    <w:rsid w:val="028329F9"/>
    <w:rsid w:val="029D3FFE"/>
    <w:rsid w:val="02F25FBC"/>
    <w:rsid w:val="03943B0B"/>
    <w:rsid w:val="03A349F1"/>
    <w:rsid w:val="03CC18DB"/>
    <w:rsid w:val="04AC51BF"/>
    <w:rsid w:val="04B40DC0"/>
    <w:rsid w:val="04B95381"/>
    <w:rsid w:val="04E2514F"/>
    <w:rsid w:val="04E95F50"/>
    <w:rsid w:val="050B6777"/>
    <w:rsid w:val="05136C9B"/>
    <w:rsid w:val="06495464"/>
    <w:rsid w:val="06913FF1"/>
    <w:rsid w:val="06AE712D"/>
    <w:rsid w:val="06E810D4"/>
    <w:rsid w:val="06EA09AB"/>
    <w:rsid w:val="06EC2A9D"/>
    <w:rsid w:val="074E76F0"/>
    <w:rsid w:val="081A3D1F"/>
    <w:rsid w:val="082E5425"/>
    <w:rsid w:val="08962BFA"/>
    <w:rsid w:val="0898738D"/>
    <w:rsid w:val="092A587F"/>
    <w:rsid w:val="093F263F"/>
    <w:rsid w:val="097F2422"/>
    <w:rsid w:val="0A3F6F26"/>
    <w:rsid w:val="0ACE122F"/>
    <w:rsid w:val="0AF07AAF"/>
    <w:rsid w:val="0BA41798"/>
    <w:rsid w:val="0C2E2523"/>
    <w:rsid w:val="0C447303"/>
    <w:rsid w:val="0CC03A2F"/>
    <w:rsid w:val="0D006B6B"/>
    <w:rsid w:val="0D1C254B"/>
    <w:rsid w:val="0D206FB7"/>
    <w:rsid w:val="0D6A5EFF"/>
    <w:rsid w:val="0D7935BD"/>
    <w:rsid w:val="0D921674"/>
    <w:rsid w:val="0DB24A08"/>
    <w:rsid w:val="0DCD463A"/>
    <w:rsid w:val="0DE9729A"/>
    <w:rsid w:val="0E1B655B"/>
    <w:rsid w:val="0E885DAE"/>
    <w:rsid w:val="0EFF4F50"/>
    <w:rsid w:val="0F010301"/>
    <w:rsid w:val="0F2A17EF"/>
    <w:rsid w:val="0F3E01A7"/>
    <w:rsid w:val="0FD1565A"/>
    <w:rsid w:val="0FF74E29"/>
    <w:rsid w:val="0FF82E63"/>
    <w:rsid w:val="10577E13"/>
    <w:rsid w:val="10A53656"/>
    <w:rsid w:val="119B6414"/>
    <w:rsid w:val="133857F5"/>
    <w:rsid w:val="135A5572"/>
    <w:rsid w:val="135F1102"/>
    <w:rsid w:val="14267BB9"/>
    <w:rsid w:val="145B0D2D"/>
    <w:rsid w:val="148217B1"/>
    <w:rsid w:val="14A127E5"/>
    <w:rsid w:val="14BC6CC5"/>
    <w:rsid w:val="153E0A27"/>
    <w:rsid w:val="15416935"/>
    <w:rsid w:val="157E6292"/>
    <w:rsid w:val="15934A6C"/>
    <w:rsid w:val="16B17D4F"/>
    <w:rsid w:val="16D1487C"/>
    <w:rsid w:val="171467D2"/>
    <w:rsid w:val="17CB1014"/>
    <w:rsid w:val="17D760B4"/>
    <w:rsid w:val="184A0A45"/>
    <w:rsid w:val="184B770B"/>
    <w:rsid w:val="185F5569"/>
    <w:rsid w:val="18777296"/>
    <w:rsid w:val="18D01D1E"/>
    <w:rsid w:val="196F67FD"/>
    <w:rsid w:val="19F31E6C"/>
    <w:rsid w:val="1A8D179F"/>
    <w:rsid w:val="1AB93547"/>
    <w:rsid w:val="1B2C557B"/>
    <w:rsid w:val="1C3F6A0D"/>
    <w:rsid w:val="1C96116A"/>
    <w:rsid w:val="1CA4105D"/>
    <w:rsid w:val="1CD97816"/>
    <w:rsid w:val="1CDD1361"/>
    <w:rsid w:val="1CFD6AEF"/>
    <w:rsid w:val="1DB97DFB"/>
    <w:rsid w:val="1ED10788"/>
    <w:rsid w:val="1ED72167"/>
    <w:rsid w:val="1FF46C08"/>
    <w:rsid w:val="1FF500C3"/>
    <w:rsid w:val="20746F8B"/>
    <w:rsid w:val="20AB3548"/>
    <w:rsid w:val="20AE4FA9"/>
    <w:rsid w:val="20C96F67"/>
    <w:rsid w:val="211A253A"/>
    <w:rsid w:val="212E4CB8"/>
    <w:rsid w:val="21485A16"/>
    <w:rsid w:val="21B40469"/>
    <w:rsid w:val="21CA447C"/>
    <w:rsid w:val="21DF316B"/>
    <w:rsid w:val="21EE74CF"/>
    <w:rsid w:val="2273129E"/>
    <w:rsid w:val="227A1D4B"/>
    <w:rsid w:val="22E3669D"/>
    <w:rsid w:val="24423308"/>
    <w:rsid w:val="24423A24"/>
    <w:rsid w:val="24676BED"/>
    <w:rsid w:val="24736B59"/>
    <w:rsid w:val="24C04EC5"/>
    <w:rsid w:val="24FA4496"/>
    <w:rsid w:val="25243AD0"/>
    <w:rsid w:val="257B2ABA"/>
    <w:rsid w:val="25820965"/>
    <w:rsid w:val="25E80E25"/>
    <w:rsid w:val="25FE1F27"/>
    <w:rsid w:val="26201F3E"/>
    <w:rsid w:val="265C0805"/>
    <w:rsid w:val="265E0B0C"/>
    <w:rsid w:val="26AC1216"/>
    <w:rsid w:val="26C6392A"/>
    <w:rsid w:val="27437345"/>
    <w:rsid w:val="27543411"/>
    <w:rsid w:val="275740F1"/>
    <w:rsid w:val="278051F5"/>
    <w:rsid w:val="279336EA"/>
    <w:rsid w:val="27B84C89"/>
    <w:rsid w:val="280A19D7"/>
    <w:rsid w:val="280B4F3E"/>
    <w:rsid w:val="28152633"/>
    <w:rsid w:val="28982A3A"/>
    <w:rsid w:val="28CF7D89"/>
    <w:rsid w:val="28D4768A"/>
    <w:rsid w:val="28FA1BD4"/>
    <w:rsid w:val="292E5E90"/>
    <w:rsid w:val="296F3E66"/>
    <w:rsid w:val="29716C81"/>
    <w:rsid w:val="297B3F00"/>
    <w:rsid w:val="297E7FB7"/>
    <w:rsid w:val="29BB480D"/>
    <w:rsid w:val="2A01372A"/>
    <w:rsid w:val="2A721FA6"/>
    <w:rsid w:val="2AAA498A"/>
    <w:rsid w:val="2ACB2954"/>
    <w:rsid w:val="2ADC4B86"/>
    <w:rsid w:val="2B9F7CD4"/>
    <w:rsid w:val="2BEF3853"/>
    <w:rsid w:val="2BF444D3"/>
    <w:rsid w:val="2C11336A"/>
    <w:rsid w:val="2C7076F9"/>
    <w:rsid w:val="2C857DBA"/>
    <w:rsid w:val="2CA32FBB"/>
    <w:rsid w:val="2CA439CC"/>
    <w:rsid w:val="2CF96358"/>
    <w:rsid w:val="2D3F5855"/>
    <w:rsid w:val="2DB706BB"/>
    <w:rsid w:val="2E136A66"/>
    <w:rsid w:val="2E372A60"/>
    <w:rsid w:val="2E99041B"/>
    <w:rsid w:val="2EEA1C1B"/>
    <w:rsid w:val="2F9B4141"/>
    <w:rsid w:val="2F9B699A"/>
    <w:rsid w:val="30995EA3"/>
    <w:rsid w:val="309F4D47"/>
    <w:rsid w:val="30A1659C"/>
    <w:rsid w:val="311346E6"/>
    <w:rsid w:val="31232385"/>
    <w:rsid w:val="312A571E"/>
    <w:rsid w:val="317E6FB5"/>
    <w:rsid w:val="319D60E6"/>
    <w:rsid w:val="31C14FCC"/>
    <w:rsid w:val="31F35F4D"/>
    <w:rsid w:val="321C658C"/>
    <w:rsid w:val="3221681F"/>
    <w:rsid w:val="326435A9"/>
    <w:rsid w:val="32812A4A"/>
    <w:rsid w:val="3299107C"/>
    <w:rsid w:val="337C6FC0"/>
    <w:rsid w:val="34280137"/>
    <w:rsid w:val="348D6945"/>
    <w:rsid w:val="34AD38BA"/>
    <w:rsid w:val="34F51968"/>
    <w:rsid w:val="352029FD"/>
    <w:rsid w:val="359D13EE"/>
    <w:rsid w:val="36327EBA"/>
    <w:rsid w:val="36852F67"/>
    <w:rsid w:val="36BF2E7A"/>
    <w:rsid w:val="36E47182"/>
    <w:rsid w:val="36EA7EB1"/>
    <w:rsid w:val="37D768E7"/>
    <w:rsid w:val="386025F7"/>
    <w:rsid w:val="38A208D4"/>
    <w:rsid w:val="38C034DC"/>
    <w:rsid w:val="39CA5BD2"/>
    <w:rsid w:val="39E76736"/>
    <w:rsid w:val="3A280B24"/>
    <w:rsid w:val="3A713FA0"/>
    <w:rsid w:val="3ABE36A6"/>
    <w:rsid w:val="3AE6638E"/>
    <w:rsid w:val="3B0B3BFF"/>
    <w:rsid w:val="3B213501"/>
    <w:rsid w:val="3B286032"/>
    <w:rsid w:val="3B33518F"/>
    <w:rsid w:val="3BA07B34"/>
    <w:rsid w:val="3BA349A7"/>
    <w:rsid w:val="3BB149FB"/>
    <w:rsid w:val="3C0839FD"/>
    <w:rsid w:val="3CEB3807"/>
    <w:rsid w:val="3D2539CD"/>
    <w:rsid w:val="3D8430E8"/>
    <w:rsid w:val="3D864515"/>
    <w:rsid w:val="3DF83EF8"/>
    <w:rsid w:val="3E1D6DB6"/>
    <w:rsid w:val="3E653E7B"/>
    <w:rsid w:val="3EA01E45"/>
    <w:rsid w:val="3EB949E4"/>
    <w:rsid w:val="3EBF6A19"/>
    <w:rsid w:val="3F5D444D"/>
    <w:rsid w:val="3F605FCA"/>
    <w:rsid w:val="3F771E6F"/>
    <w:rsid w:val="3FED5566"/>
    <w:rsid w:val="4000156B"/>
    <w:rsid w:val="403E25EA"/>
    <w:rsid w:val="404577E6"/>
    <w:rsid w:val="406F3D87"/>
    <w:rsid w:val="40711049"/>
    <w:rsid w:val="40766C97"/>
    <w:rsid w:val="407C4B53"/>
    <w:rsid w:val="40B0596E"/>
    <w:rsid w:val="40E34453"/>
    <w:rsid w:val="40F65D30"/>
    <w:rsid w:val="41060947"/>
    <w:rsid w:val="414339E3"/>
    <w:rsid w:val="41AD2980"/>
    <w:rsid w:val="41E40AE4"/>
    <w:rsid w:val="422D0CDB"/>
    <w:rsid w:val="423C170F"/>
    <w:rsid w:val="425A26D5"/>
    <w:rsid w:val="429736E7"/>
    <w:rsid w:val="42B96EC7"/>
    <w:rsid w:val="42E836F2"/>
    <w:rsid w:val="431E4FB7"/>
    <w:rsid w:val="43374462"/>
    <w:rsid w:val="435F780D"/>
    <w:rsid w:val="43CC013F"/>
    <w:rsid w:val="4400509B"/>
    <w:rsid w:val="4423303D"/>
    <w:rsid w:val="44F05476"/>
    <w:rsid w:val="454934CA"/>
    <w:rsid w:val="45A51D14"/>
    <w:rsid w:val="45D21141"/>
    <w:rsid w:val="46C042A0"/>
    <w:rsid w:val="46C101D0"/>
    <w:rsid w:val="46C213F6"/>
    <w:rsid w:val="47450157"/>
    <w:rsid w:val="47602379"/>
    <w:rsid w:val="47640605"/>
    <w:rsid w:val="47B240AF"/>
    <w:rsid w:val="47D3403D"/>
    <w:rsid w:val="47F108B7"/>
    <w:rsid w:val="480F3E46"/>
    <w:rsid w:val="48171BE2"/>
    <w:rsid w:val="48350F84"/>
    <w:rsid w:val="485A072D"/>
    <w:rsid w:val="487149E9"/>
    <w:rsid w:val="488B6F2B"/>
    <w:rsid w:val="48C52F78"/>
    <w:rsid w:val="496A7B44"/>
    <w:rsid w:val="4993047C"/>
    <w:rsid w:val="4A162E25"/>
    <w:rsid w:val="4A314C42"/>
    <w:rsid w:val="4A563E35"/>
    <w:rsid w:val="4A9862D9"/>
    <w:rsid w:val="4AA85A1E"/>
    <w:rsid w:val="4AF37D2B"/>
    <w:rsid w:val="4B1F0FAE"/>
    <w:rsid w:val="4BAE7EDE"/>
    <w:rsid w:val="4C87154F"/>
    <w:rsid w:val="4CBB2851"/>
    <w:rsid w:val="4CC3053D"/>
    <w:rsid w:val="4D7B3903"/>
    <w:rsid w:val="4DAB0B1E"/>
    <w:rsid w:val="4DCE3887"/>
    <w:rsid w:val="4EA46F4E"/>
    <w:rsid w:val="4EDA79F5"/>
    <w:rsid w:val="4F41354B"/>
    <w:rsid w:val="4F6D2183"/>
    <w:rsid w:val="50462B8D"/>
    <w:rsid w:val="50A637E2"/>
    <w:rsid w:val="50B16E15"/>
    <w:rsid w:val="50E06040"/>
    <w:rsid w:val="52286D61"/>
    <w:rsid w:val="52EE7B5D"/>
    <w:rsid w:val="53995BE2"/>
    <w:rsid w:val="53A77200"/>
    <w:rsid w:val="53BB2EA7"/>
    <w:rsid w:val="53D2230C"/>
    <w:rsid w:val="54311159"/>
    <w:rsid w:val="543F16AA"/>
    <w:rsid w:val="54D01EF2"/>
    <w:rsid w:val="54F72C5D"/>
    <w:rsid w:val="550751A9"/>
    <w:rsid w:val="55154643"/>
    <w:rsid w:val="55551B92"/>
    <w:rsid w:val="55A11F41"/>
    <w:rsid w:val="55F50DA0"/>
    <w:rsid w:val="560138FE"/>
    <w:rsid w:val="56F00FFE"/>
    <w:rsid w:val="57077057"/>
    <w:rsid w:val="574602DB"/>
    <w:rsid w:val="576F5222"/>
    <w:rsid w:val="57763155"/>
    <w:rsid w:val="579C2146"/>
    <w:rsid w:val="57AE1554"/>
    <w:rsid w:val="57D6543B"/>
    <w:rsid w:val="57DE59B5"/>
    <w:rsid w:val="582251DD"/>
    <w:rsid w:val="58243307"/>
    <w:rsid w:val="58666156"/>
    <w:rsid w:val="58860971"/>
    <w:rsid w:val="58CE383A"/>
    <w:rsid w:val="596E4BBE"/>
    <w:rsid w:val="598453EE"/>
    <w:rsid w:val="5A155CC7"/>
    <w:rsid w:val="5A2C537C"/>
    <w:rsid w:val="5A9442A4"/>
    <w:rsid w:val="5B0F6869"/>
    <w:rsid w:val="5BA91710"/>
    <w:rsid w:val="5BAF5017"/>
    <w:rsid w:val="5CAA0BFC"/>
    <w:rsid w:val="5CD219EA"/>
    <w:rsid w:val="5CFA191D"/>
    <w:rsid w:val="5D145629"/>
    <w:rsid w:val="5DA573E6"/>
    <w:rsid w:val="5DFF7999"/>
    <w:rsid w:val="5E243D90"/>
    <w:rsid w:val="5E3C202A"/>
    <w:rsid w:val="5F897B1B"/>
    <w:rsid w:val="5F8F38E0"/>
    <w:rsid w:val="5FF9560C"/>
    <w:rsid w:val="60456E7E"/>
    <w:rsid w:val="6117737B"/>
    <w:rsid w:val="613C26F4"/>
    <w:rsid w:val="614B68F6"/>
    <w:rsid w:val="61786DB6"/>
    <w:rsid w:val="62296F89"/>
    <w:rsid w:val="627C7813"/>
    <w:rsid w:val="62BE04ED"/>
    <w:rsid w:val="62C04947"/>
    <w:rsid w:val="62FA1DC7"/>
    <w:rsid w:val="63386C0E"/>
    <w:rsid w:val="63615644"/>
    <w:rsid w:val="63DF479A"/>
    <w:rsid w:val="63F924B5"/>
    <w:rsid w:val="64022DDE"/>
    <w:rsid w:val="642B2C86"/>
    <w:rsid w:val="64307C97"/>
    <w:rsid w:val="64624686"/>
    <w:rsid w:val="6538233D"/>
    <w:rsid w:val="65480FD6"/>
    <w:rsid w:val="668D68D0"/>
    <w:rsid w:val="66991FF5"/>
    <w:rsid w:val="66C91001"/>
    <w:rsid w:val="67163706"/>
    <w:rsid w:val="6735173C"/>
    <w:rsid w:val="67451100"/>
    <w:rsid w:val="684073FF"/>
    <w:rsid w:val="68A91127"/>
    <w:rsid w:val="68EC454E"/>
    <w:rsid w:val="68F80938"/>
    <w:rsid w:val="690A2962"/>
    <w:rsid w:val="692D6500"/>
    <w:rsid w:val="69927D96"/>
    <w:rsid w:val="69C76F69"/>
    <w:rsid w:val="6A175BAC"/>
    <w:rsid w:val="6A4152E4"/>
    <w:rsid w:val="6A4C6D32"/>
    <w:rsid w:val="6ACC4D53"/>
    <w:rsid w:val="6B9D6DB9"/>
    <w:rsid w:val="6BD4276B"/>
    <w:rsid w:val="6BD44C4F"/>
    <w:rsid w:val="6C1E5CE2"/>
    <w:rsid w:val="6C2910C5"/>
    <w:rsid w:val="6C30610F"/>
    <w:rsid w:val="6C33515E"/>
    <w:rsid w:val="6CD77A20"/>
    <w:rsid w:val="6CE42A34"/>
    <w:rsid w:val="6D0B23D7"/>
    <w:rsid w:val="6D312146"/>
    <w:rsid w:val="6DBE3839"/>
    <w:rsid w:val="6DCE5BFC"/>
    <w:rsid w:val="6E20564B"/>
    <w:rsid w:val="6E233E20"/>
    <w:rsid w:val="6E2D0B14"/>
    <w:rsid w:val="6E903EB5"/>
    <w:rsid w:val="6E9901BC"/>
    <w:rsid w:val="6F275331"/>
    <w:rsid w:val="6F7E073C"/>
    <w:rsid w:val="6F99334B"/>
    <w:rsid w:val="6FBD7F24"/>
    <w:rsid w:val="6FC975B0"/>
    <w:rsid w:val="703D4520"/>
    <w:rsid w:val="70B30B1E"/>
    <w:rsid w:val="70DF737C"/>
    <w:rsid w:val="70FA6B4A"/>
    <w:rsid w:val="711A34D1"/>
    <w:rsid w:val="718C5DA6"/>
    <w:rsid w:val="71D65A6D"/>
    <w:rsid w:val="72063304"/>
    <w:rsid w:val="726F604C"/>
    <w:rsid w:val="727A2E5D"/>
    <w:rsid w:val="72AD63B2"/>
    <w:rsid w:val="72D251EC"/>
    <w:rsid w:val="72EE4103"/>
    <w:rsid w:val="73422B8C"/>
    <w:rsid w:val="73541D4A"/>
    <w:rsid w:val="736A15A5"/>
    <w:rsid w:val="73786CE7"/>
    <w:rsid w:val="7386076C"/>
    <w:rsid w:val="73AD50D5"/>
    <w:rsid w:val="74116287"/>
    <w:rsid w:val="741268AA"/>
    <w:rsid w:val="74467602"/>
    <w:rsid w:val="74472CBF"/>
    <w:rsid w:val="74741C95"/>
    <w:rsid w:val="75070D9A"/>
    <w:rsid w:val="77215877"/>
    <w:rsid w:val="77AC3489"/>
    <w:rsid w:val="788C00D4"/>
    <w:rsid w:val="78AF1F93"/>
    <w:rsid w:val="78CA1598"/>
    <w:rsid w:val="7A646987"/>
    <w:rsid w:val="7AC4171B"/>
    <w:rsid w:val="7B294E22"/>
    <w:rsid w:val="7B3D4917"/>
    <w:rsid w:val="7B910FC6"/>
    <w:rsid w:val="7BF32BDC"/>
    <w:rsid w:val="7C4F354B"/>
    <w:rsid w:val="7C601D49"/>
    <w:rsid w:val="7CA7738F"/>
    <w:rsid w:val="7CCA0524"/>
    <w:rsid w:val="7D384885"/>
    <w:rsid w:val="7D976FC0"/>
    <w:rsid w:val="7DAA417D"/>
    <w:rsid w:val="7DBA51DF"/>
    <w:rsid w:val="7DD46650"/>
    <w:rsid w:val="7E0908EF"/>
    <w:rsid w:val="7E81783D"/>
    <w:rsid w:val="7E867AE4"/>
    <w:rsid w:val="7F072BCD"/>
    <w:rsid w:val="7F5027ED"/>
    <w:rsid w:val="7F554121"/>
    <w:rsid w:val="7F8F24AF"/>
    <w:rsid w:val="7F9745B4"/>
    <w:rsid w:val="7FEC65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Times New Roman"/>
      <w:kern w:val="2"/>
      <w:sz w:val="24"/>
      <w:szCs w:val="24"/>
      <w:lang w:val="en-US" w:eastAsia="zh-CN" w:bidi="ar-SA"/>
    </w:rPr>
  </w:style>
  <w:style w:type="paragraph" w:styleId="3">
    <w:name w:val="heading 1"/>
    <w:basedOn w:val="1"/>
    <w:next w:val="1"/>
    <w:link w:val="31"/>
    <w:qFormat/>
    <w:uiPriority w:val="0"/>
    <w:pPr>
      <w:keepNext/>
      <w:keepLines/>
      <w:tabs>
        <w:tab w:val="left" w:pos="0"/>
      </w:tabs>
      <w:outlineLvl w:val="0"/>
    </w:pPr>
    <w:rPr>
      <w:b/>
      <w:bCs/>
      <w:kern w:val="44"/>
      <w:szCs w:val="44"/>
    </w:rPr>
  </w:style>
  <w:style w:type="paragraph" w:styleId="4">
    <w:name w:val="heading 2"/>
    <w:basedOn w:val="1"/>
    <w:next w:val="1"/>
    <w:link w:val="33"/>
    <w:qFormat/>
    <w:uiPriority w:val="0"/>
    <w:pPr>
      <w:keepNext/>
      <w:keepLines/>
      <w:numPr>
        <w:ilvl w:val="1"/>
        <w:numId w:val="1"/>
      </w:numPr>
      <w:outlineLvl w:val="1"/>
    </w:pPr>
    <w:rPr>
      <w:rFonts w:hAnsi="Arial"/>
      <w:b/>
      <w:bCs/>
      <w:kern w:val="0"/>
      <w:szCs w:val="32"/>
    </w:rPr>
  </w:style>
  <w:style w:type="paragraph" w:styleId="5">
    <w:name w:val="heading 3"/>
    <w:basedOn w:val="1"/>
    <w:next w:val="1"/>
    <w:link w:val="43"/>
    <w:qFormat/>
    <w:uiPriority w:val="9"/>
    <w:pPr>
      <w:numPr>
        <w:ilvl w:val="2"/>
        <w:numId w:val="1"/>
      </w:numPr>
      <w:outlineLvl w:val="2"/>
    </w:pPr>
    <w:rPr>
      <w:kern w:val="0"/>
    </w:rPr>
  </w:style>
  <w:style w:type="paragraph" w:styleId="6">
    <w:name w:val="heading 4"/>
    <w:basedOn w:val="1"/>
    <w:next w:val="1"/>
    <w:link w:val="40"/>
    <w:qFormat/>
    <w:uiPriority w:val="0"/>
    <w:pPr>
      <w:keepNext/>
      <w:keepLines/>
      <w:numPr>
        <w:ilvl w:val="0"/>
        <w:numId w:val="1"/>
      </w:numPr>
      <w:tabs>
        <w:tab w:val="left" w:pos="0"/>
      </w:tabs>
      <w:outlineLvl w:val="3"/>
    </w:pPr>
    <w:rPr>
      <w:rFonts w:ascii="Cambria" w:hAnsi="Cambria"/>
      <w:bCs/>
      <w:szCs w:val="28"/>
    </w:rPr>
  </w:style>
  <w:style w:type="paragraph" w:styleId="7">
    <w:name w:val="heading 5"/>
    <w:basedOn w:val="1"/>
    <w:next w:val="1"/>
    <w:link w:val="26"/>
    <w:qFormat/>
    <w:uiPriority w:val="0"/>
    <w:pPr>
      <w:keepNext/>
      <w:keepLines/>
      <w:numPr>
        <w:ilvl w:val="4"/>
        <w:numId w:val="1"/>
      </w:numPr>
      <w:tabs>
        <w:tab w:val="left" w:pos="0"/>
      </w:tabs>
      <w:spacing w:before="40" w:after="50"/>
      <w:outlineLvl w:val="4"/>
    </w:pPr>
    <w:rPr>
      <w:bCs/>
      <w:szCs w:val="28"/>
    </w:rPr>
  </w:style>
  <w:style w:type="paragraph" w:styleId="8">
    <w:name w:val="heading 6"/>
    <w:basedOn w:val="1"/>
    <w:next w:val="1"/>
    <w:link w:val="47"/>
    <w:unhideWhenUsed/>
    <w:qFormat/>
    <w:uiPriority w:val="9"/>
    <w:pPr>
      <w:keepNext/>
      <w:keepLines/>
      <w:numPr>
        <w:ilvl w:val="5"/>
        <w:numId w:val="1"/>
      </w:numPr>
      <w:tabs>
        <w:tab w:val="left" w:pos="420"/>
      </w:tabs>
      <w:spacing w:before="240" w:after="64" w:line="320" w:lineRule="auto"/>
      <w:outlineLvl w:val="5"/>
    </w:pPr>
    <w:rPr>
      <w:rFonts w:asciiTheme="majorHAnsi" w:hAnsiTheme="majorHAnsi" w:eastAsiaTheme="majorEastAsia" w:cstheme="majorBidi"/>
      <w:bCs/>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9"/>
    <w:qFormat/>
    <w:uiPriority w:val="0"/>
    <w:pPr>
      <w:spacing w:after="120" w:line="300" w:lineRule="auto"/>
    </w:pPr>
    <w:rPr>
      <w:rFonts w:ascii="Calibri" w:eastAsia="仿宋_GB2312"/>
    </w:rPr>
  </w:style>
  <w:style w:type="paragraph" w:styleId="9">
    <w:name w:val="List Bullet"/>
    <w:basedOn w:val="1"/>
    <w:unhideWhenUsed/>
    <w:qFormat/>
    <w:uiPriority w:val="99"/>
    <w:pPr>
      <w:widowControl/>
      <w:numPr>
        <w:ilvl w:val="0"/>
        <w:numId w:val="2"/>
      </w:numPr>
      <w:spacing w:after="200" w:line="276" w:lineRule="auto"/>
      <w:contextualSpacing/>
      <w:jc w:val="left"/>
    </w:pPr>
    <w:rPr>
      <w:rFonts w:asciiTheme="minorHAnsi" w:hAnsiTheme="minorHAnsi" w:eastAsiaTheme="minorEastAsia" w:cstheme="minorBidi"/>
      <w:kern w:val="0"/>
      <w:sz w:val="22"/>
      <w:szCs w:val="22"/>
      <w:lang w:eastAsia="en-US"/>
    </w:rPr>
  </w:style>
  <w:style w:type="paragraph" w:styleId="10">
    <w:name w:val="Document Map"/>
    <w:basedOn w:val="1"/>
    <w:link w:val="30"/>
    <w:unhideWhenUsed/>
    <w:qFormat/>
    <w:uiPriority w:val="99"/>
    <w:rPr>
      <w:kern w:val="0"/>
    </w:rPr>
  </w:style>
  <w:style w:type="paragraph" w:styleId="11">
    <w:name w:val="annotation text"/>
    <w:basedOn w:val="1"/>
    <w:link w:val="42"/>
    <w:unhideWhenUsed/>
    <w:qFormat/>
    <w:uiPriority w:val="99"/>
    <w:pPr>
      <w:jc w:val="left"/>
    </w:pPr>
    <w:rPr>
      <w:kern w:val="0"/>
    </w:rPr>
  </w:style>
  <w:style w:type="paragraph" w:styleId="12">
    <w:name w:val="Balloon Text"/>
    <w:basedOn w:val="1"/>
    <w:link w:val="41"/>
    <w:unhideWhenUsed/>
    <w:qFormat/>
    <w:uiPriority w:val="99"/>
    <w:pPr>
      <w:spacing w:line="240" w:lineRule="auto"/>
    </w:pPr>
    <w:rPr>
      <w:kern w:val="0"/>
      <w:sz w:val="18"/>
      <w:szCs w:val="18"/>
    </w:rPr>
  </w:style>
  <w:style w:type="paragraph" w:styleId="13">
    <w:name w:val="footer"/>
    <w:basedOn w:val="1"/>
    <w:link w:val="32"/>
    <w:unhideWhenUsed/>
    <w:qFormat/>
    <w:uiPriority w:val="99"/>
    <w:pPr>
      <w:tabs>
        <w:tab w:val="center" w:pos="4153"/>
        <w:tab w:val="right" w:pos="8306"/>
      </w:tabs>
      <w:snapToGrid w:val="0"/>
      <w:spacing w:line="240" w:lineRule="auto"/>
      <w:jc w:val="left"/>
    </w:pPr>
    <w:rPr>
      <w:kern w:val="0"/>
      <w:sz w:val="18"/>
      <w:szCs w:val="18"/>
    </w:rPr>
  </w:style>
  <w:style w:type="paragraph" w:styleId="14">
    <w:name w:val="header"/>
    <w:basedOn w:val="1"/>
    <w:link w:val="36"/>
    <w:unhideWhenUsed/>
    <w:qFormat/>
    <w:uiPriority w:val="99"/>
    <w:pPr>
      <w:pBdr>
        <w:bottom w:val="single" w:color="auto" w:sz="6" w:space="1"/>
      </w:pBdr>
      <w:tabs>
        <w:tab w:val="center" w:pos="4153"/>
        <w:tab w:val="right" w:pos="8306"/>
      </w:tabs>
      <w:snapToGrid w:val="0"/>
      <w:spacing w:line="240" w:lineRule="auto"/>
      <w:jc w:val="center"/>
    </w:pPr>
    <w:rPr>
      <w:kern w:val="0"/>
      <w:sz w:val="18"/>
      <w:szCs w:val="18"/>
    </w:rPr>
  </w:style>
  <w:style w:type="paragraph" w:styleId="15">
    <w:name w:val="toc 1"/>
    <w:basedOn w:val="1"/>
    <w:next w:val="1"/>
    <w:qFormat/>
    <w:uiPriority w:val="39"/>
    <w:pPr>
      <w:tabs>
        <w:tab w:val="right" w:leader="dot" w:pos="8296"/>
      </w:tabs>
    </w:pPr>
  </w:style>
  <w:style w:type="paragraph" w:styleId="16">
    <w:name w:val="toc 2"/>
    <w:basedOn w:val="1"/>
    <w:next w:val="1"/>
    <w:qFormat/>
    <w:uiPriority w:val="39"/>
    <w:pPr>
      <w:spacing w:line="300" w:lineRule="auto"/>
      <w:ind w:left="420" w:leftChars="200"/>
    </w:pPr>
    <w:rPr>
      <w:rFonts w:ascii="Times New Roman" w:eastAsia="仿宋_GB2312"/>
    </w:rPr>
  </w:style>
  <w:style w:type="paragraph" w:styleId="17">
    <w:name w:val="Normal (Web)"/>
    <w:basedOn w:val="1"/>
    <w:unhideWhenUsed/>
    <w:qFormat/>
    <w:uiPriority w:val="99"/>
  </w:style>
  <w:style w:type="paragraph" w:styleId="18">
    <w:name w:val="Title"/>
    <w:basedOn w:val="1"/>
    <w:next w:val="1"/>
    <w:link w:val="38"/>
    <w:qFormat/>
    <w:uiPriority w:val="10"/>
    <w:pPr>
      <w:spacing w:before="240" w:after="60"/>
      <w:jc w:val="center"/>
      <w:outlineLvl w:val="0"/>
    </w:pPr>
    <w:rPr>
      <w:rFonts w:ascii="Calibri Light" w:hAnsi="Calibri Light"/>
      <w:b/>
      <w:bCs/>
      <w:sz w:val="32"/>
      <w:szCs w:val="32"/>
    </w:rPr>
  </w:style>
  <w:style w:type="paragraph" w:styleId="19">
    <w:name w:val="annotation subject"/>
    <w:basedOn w:val="11"/>
    <w:next w:val="11"/>
    <w:link w:val="34"/>
    <w:unhideWhenUsed/>
    <w:qFormat/>
    <w:uiPriority w:val="99"/>
    <w:rPr>
      <w:b/>
      <w:bCs/>
    </w:rPr>
  </w:style>
  <w:style w:type="table" w:styleId="21">
    <w:name w:val="Table Gri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Hyperlink"/>
    <w:unhideWhenUsed/>
    <w:qFormat/>
    <w:uiPriority w:val="99"/>
    <w:rPr>
      <w:color w:val="0000FF"/>
      <w:u w:val="single"/>
    </w:rPr>
  </w:style>
  <w:style w:type="character" w:styleId="24">
    <w:name w:val="annotation reference"/>
    <w:unhideWhenUsed/>
    <w:qFormat/>
    <w:uiPriority w:val="99"/>
    <w:rPr>
      <w:sz w:val="21"/>
      <w:szCs w:val="21"/>
    </w:rPr>
  </w:style>
  <w:style w:type="paragraph" w:customStyle="1" w:styleId="25">
    <w:name w:val="样式2"/>
    <w:basedOn w:val="1"/>
    <w:link w:val="37"/>
    <w:qFormat/>
    <w:uiPriority w:val="99"/>
    <w:pPr>
      <w:numPr>
        <w:ilvl w:val="3"/>
        <w:numId w:val="3"/>
      </w:numPr>
    </w:pPr>
    <w:rPr>
      <w:kern w:val="0"/>
    </w:rPr>
  </w:style>
  <w:style w:type="character" w:customStyle="1" w:styleId="26">
    <w:name w:val="标题 5 字符"/>
    <w:link w:val="7"/>
    <w:semiHidden/>
    <w:qFormat/>
    <w:uiPriority w:val="9"/>
    <w:rPr>
      <w:rFonts w:ascii="宋体" w:hAnsi="宋体" w:eastAsia="宋体"/>
      <w:bCs/>
      <w:kern w:val="2"/>
      <w:sz w:val="24"/>
      <w:szCs w:val="28"/>
    </w:rPr>
  </w:style>
  <w:style w:type="paragraph" w:customStyle="1" w:styleId="27">
    <w:name w:val="样式1"/>
    <w:basedOn w:val="1"/>
    <w:qFormat/>
    <w:uiPriority w:val="99"/>
  </w:style>
  <w:style w:type="paragraph" w:customStyle="1" w:styleId="28">
    <w:name w:val="列出段落1"/>
    <w:basedOn w:val="1"/>
    <w:link w:val="29"/>
    <w:qFormat/>
    <w:uiPriority w:val="34"/>
    <w:pPr>
      <w:widowControl/>
      <w:spacing w:after="200" w:line="276" w:lineRule="auto"/>
      <w:ind w:left="720"/>
      <w:contextualSpacing/>
    </w:pPr>
    <w:rPr>
      <w:rFonts w:ascii="Calibri"/>
      <w:kern w:val="0"/>
      <w:sz w:val="20"/>
      <w:szCs w:val="20"/>
      <w:lang w:eastAsia="en-US" w:bidi="en-US"/>
    </w:rPr>
  </w:style>
  <w:style w:type="character" w:customStyle="1" w:styleId="29">
    <w:name w:val="列出段落 Char"/>
    <w:link w:val="28"/>
    <w:qFormat/>
    <w:uiPriority w:val="34"/>
    <w:rPr>
      <w:lang w:eastAsia="en-US" w:bidi="en-US"/>
    </w:rPr>
  </w:style>
  <w:style w:type="character" w:customStyle="1" w:styleId="30">
    <w:name w:val="文档结构图 字符"/>
    <w:link w:val="10"/>
    <w:semiHidden/>
    <w:qFormat/>
    <w:uiPriority w:val="99"/>
    <w:rPr>
      <w:rFonts w:ascii="宋体" w:hAnsi="Times New Roman" w:eastAsia="宋体" w:cs="Times New Roman"/>
      <w:sz w:val="24"/>
      <w:szCs w:val="24"/>
    </w:rPr>
  </w:style>
  <w:style w:type="character" w:customStyle="1" w:styleId="31">
    <w:name w:val="标题 1 字符"/>
    <w:link w:val="3"/>
    <w:qFormat/>
    <w:uiPriority w:val="0"/>
    <w:rPr>
      <w:rFonts w:ascii="宋体" w:hAnsi="宋体"/>
      <w:b/>
      <w:bCs/>
      <w:kern w:val="44"/>
      <w:sz w:val="24"/>
      <w:szCs w:val="44"/>
    </w:rPr>
  </w:style>
  <w:style w:type="character" w:customStyle="1" w:styleId="32">
    <w:name w:val="页脚 字符"/>
    <w:link w:val="13"/>
    <w:qFormat/>
    <w:uiPriority w:val="99"/>
    <w:rPr>
      <w:rFonts w:ascii="宋体" w:hAnsi="Times New Roman" w:eastAsia="宋体" w:cs="Times New Roman"/>
      <w:sz w:val="18"/>
      <w:szCs w:val="18"/>
    </w:rPr>
  </w:style>
  <w:style w:type="character" w:customStyle="1" w:styleId="33">
    <w:name w:val="标题 2 字符"/>
    <w:link w:val="4"/>
    <w:qFormat/>
    <w:uiPriority w:val="0"/>
    <w:rPr>
      <w:rFonts w:ascii="宋体" w:hAnsi="Arial"/>
      <w:b/>
      <w:bCs/>
      <w:sz w:val="24"/>
      <w:szCs w:val="32"/>
    </w:rPr>
  </w:style>
  <w:style w:type="character" w:customStyle="1" w:styleId="34">
    <w:name w:val="批注主题 字符"/>
    <w:link w:val="19"/>
    <w:semiHidden/>
    <w:qFormat/>
    <w:uiPriority w:val="99"/>
    <w:rPr>
      <w:rFonts w:ascii="宋体" w:hAnsi="Times New Roman" w:eastAsia="宋体" w:cs="Times New Roman"/>
      <w:b/>
      <w:bCs/>
      <w:sz w:val="24"/>
      <w:szCs w:val="24"/>
    </w:rPr>
  </w:style>
  <w:style w:type="character" w:customStyle="1" w:styleId="35">
    <w:name w:val="标题 4 字符"/>
    <w:qFormat/>
    <w:uiPriority w:val="99"/>
    <w:rPr>
      <w:rFonts w:ascii="Cambria" w:hAnsi="Cambria"/>
      <w:b/>
      <w:bCs/>
      <w:sz w:val="28"/>
      <w:szCs w:val="28"/>
    </w:rPr>
  </w:style>
  <w:style w:type="character" w:customStyle="1" w:styleId="36">
    <w:name w:val="页眉 字符"/>
    <w:link w:val="14"/>
    <w:qFormat/>
    <w:uiPriority w:val="99"/>
    <w:rPr>
      <w:rFonts w:ascii="宋体" w:hAnsi="Times New Roman" w:eastAsia="宋体" w:cs="Times New Roman"/>
      <w:sz w:val="18"/>
      <w:szCs w:val="18"/>
    </w:rPr>
  </w:style>
  <w:style w:type="character" w:customStyle="1" w:styleId="37">
    <w:name w:val="样式2 Char"/>
    <w:link w:val="25"/>
    <w:qFormat/>
    <w:uiPriority w:val="0"/>
    <w:rPr>
      <w:rFonts w:ascii="宋体" w:hAnsi="Times New Roman"/>
      <w:sz w:val="24"/>
      <w:szCs w:val="24"/>
    </w:rPr>
  </w:style>
  <w:style w:type="character" w:customStyle="1" w:styleId="38">
    <w:name w:val="标题 字符"/>
    <w:link w:val="18"/>
    <w:qFormat/>
    <w:uiPriority w:val="10"/>
    <w:rPr>
      <w:rFonts w:ascii="Calibri Light" w:hAnsi="Calibri Light" w:cs="Times New Roman"/>
      <w:b/>
      <w:bCs/>
      <w:kern w:val="2"/>
      <w:sz w:val="32"/>
      <w:szCs w:val="32"/>
    </w:rPr>
  </w:style>
  <w:style w:type="character" w:customStyle="1" w:styleId="39">
    <w:name w:val="正文文本 字符"/>
    <w:link w:val="2"/>
    <w:qFormat/>
    <w:uiPriority w:val="0"/>
    <w:rPr>
      <w:rFonts w:eastAsia="仿宋_GB2312"/>
      <w:kern w:val="2"/>
      <w:sz w:val="24"/>
      <w:szCs w:val="24"/>
    </w:rPr>
  </w:style>
  <w:style w:type="character" w:customStyle="1" w:styleId="40">
    <w:name w:val="标题 4 字符1"/>
    <w:link w:val="6"/>
    <w:qFormat/>
    <w:uiPriority w:val="0"/>
    <w:rPr>
      <w:rFonts w:ascii="Cambria" w:hAnsi="Cambria" w:eastAsia="宋体"/>
      <w:bCs/>
      <w:sz w:val="24"/>
      <w:szCs w:val="28"/>
    </w:rPr>
  </w:style>
  <w:style w:type="character" w:customStyle="1" w:styleId="41">
    <w:name w:val="批注框文本 字符"/>
    <w:link w:val="12"/>
    <w:semiHidden/>
    <w:qFormat/>
    <w:uiPriority w:val="99"/>
    <w:rPr>
      <w:rFonts w:ascii="宋体" w:hAnsi="Times New Roman" w:eastAsia="宋体" w:cs="Times New Roman"/>
      <w:sz w:val="18"/>
      <w:szCs w:val="18"/>
    </w:rPr>
  </w:style>
  <w:style w:type="character" w:customStyle="1" w:styleId="42">
    <w:name w:val="批注文字 字符"/>
    <w:link w:val="11"/>
    <w:qFormat/>
    <w:uiPriority w:val="99"/>
    <w:rPr>
      <w:rFonts w:ascii="宋体" w:hAnsi="Times New Roman" w:eastAsia="宋体" w:cs="Times New Roman"/>
      <w:sz w:val="24"/>
      <w:szCs w:val="24"/>
    </w:rPr>
  </w:style>
  <w:style w:type="character" w:customStyle="1" w:styleId="43">
    <w:name w:val="标题 3 字符"/>
    <w:link w:val="5"/>
    <w:qFormat/>
    <w:uiPriority w:val="0"/>
    <w:rPr>
      <w:rFonts w:ascii="宋体" w:hAnsi="宋体" w:eastAsia="宋体"/>
      <w:sz w:val="24"/>
      <w:szCs w:val="24"/>
    </w:rPr>
  </w:style>
  <w:style w:type="character" w:customStyle="1" w:styleId="44">
    <w:name w:val="正文文本 Char1"/>
    <w:semiHidden/>
    <w:qFormat/>
    <w:uiPriority w:val="99"/>
    <w:rPr>
      <w:rFonts w:ascii="宋体" w:hAnsi="Times New Roman"/>
      <w:kern w:val="2"/>
      <w:sz w:val="24"/>
      <w:szCs w:val="24"/>
    </w:rPr>
  </w:style>
  <w:style w:type="paragraph" w:customStyle="1" w:styleId="45">
    <w:name w:val="列出段落2"/>
    <w:basedOn w:val="1"/>
    <w:qFormat/>
    <w:uiPriority w:val="99"/>
    <w:pPr>
      <w:ind w:firstLine="420"/>
    </w:pPr>
  </w:style>
  <w:style w:type="paragraph" w:customStyle="1" w:styleId="46">
    <w:name w:val="列出段落3"/>
    <w:basedOn w:val="1"/>
    <w:qFormat/>
    <w:uiPriority w:val="34"/>
    <w:pPr>
      <w:widowControl/>
      <w:spacing w:after="200" w:line="276" w:lineRule="auto"/>
      <w:ind w:left="720"/>
      <w:contextualSpacing/>
    </w:pPr>
    <w:rPr>
      <w:rFonts w:ascii="Calibri"/>
      <w:kern w:val="0"/>
      <w:sz w:val="20"/>
      <w:szCs w:val="20"/>
      <w:lang w:eastAsia="en-US" w:bidi="en-US"/>
    </w:rPr>
  </w:style>
  <w:style w:type="character" w:customStyle="1" w:styleId="47">
    <w:name w:val="标题 6 字符"/>
    <w:basedOn w:val="22"/>
    <w:link w:val="8"/>
    <w:semiHidden/>
    <w:qFormat/>
    <w:uiPriority w:val="9"/>
    <w:rPr>
      <w:rFonts w:asciiTheme="majorHAnsi" w:hAnsiTheme="majorHAnsi" w:eastAsiaTheme="majorEastAsia" w:cstheme="majorBidi"/>
      <w:bCs/>
      <w:kern w:val="2"/>
      <w:sz w:val="24"/>
      <w:szCs w:val="24"/>
    </w:rPr>
  </w:style>
  <w:style w:type="paragraph" w:customStyle="1" w:styleId="48">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73DE4C-B733-4864-B1CE-35EB1D6FD47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748</Words>
  <Characters>4268</Characters>
  <Lines>35</Lines>
  <Paragraphs>10</Paragraphs>
  <TotalTime>0</TotalTime>
  <ScaleCrop>false</ScaleCrop>
  <LinksUpToDate>false</LinksUpToDate>
  <CharactersWithSpaces>5006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2022-08-09T00:57:00Z</dcterms:created>
  <dc:creator>叶耿</dc:creator>
  <cp:lastModifiedBy>张庆莹</cp:lastModifiedBy>
  <cp:lastPrinted>2024-08-19T02:40:00Z</cp:lastPrinted>
  <dcterms:modified xsi:type="dcterms:W3CDTF">2025-09-16T09:38:03Z</dcterms:modified>
  <dc:title>综合数据网管理平台数据质量治理</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18425B19ED0D4F8C8FCAECF6D834B2D4</vt:lpwstr>
  </property>
</Properties>
</file>