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1DCA1">
      <w:pPr>
        <w:wordWrap w:val="0"/>
        <w:ind w:right="600"/>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发包人合同编号： </w:t>
      </w:r>
    </w:p>
    <w:p w14:paraId="75B04CE6">
      <w:pPr>
        <w:wordWrap w:val="0"/>
        <w:ind w:right="600"/>
        <w:rPr>
          <w:rFonts w:hint="eastAsia" w:ascii="黑体" w:hAnsi="黑体" w:eastAsia="黑体" w:cs="黑体"/>
          <w:sz w:val="28"/>
          <w:szCs w:val="28"/>
          <w:highlight w:val="none"/>
        </w:rPr>
      </w:pPr>
      <w:r>
        <w:rPr>
          <w:rFonts w:hint="eastAsia" w:ascii="黑体" w:hAnsi="黑体" w:eastAsia="黑体" w:cs="黑体"/>
          <w:sz w:val="28"/>
          <w:szCs w:val="28"/>
          <w:highlight w:val="none"/>
        </w:rPr>
        <w:t>承包人合同编号：</w:t>
      </w:r>
    </w:p>
    <w:p w14:paraId="6F0D10AB">
      <w:pPr>
        <w:ind w:left="723" w:hanging="723" w:hangingChars="200"/>
        <w:jc w:val="center"/>
        <w:rPr>
          <w:b/>
          <w:bCs/>
          <w:sz w:val="36"/>
          <w:szCs w:val="36"/>
          <w:highlight w:val="none"/>
          <w:u w:val="single"/>
        </w:rPr>
      </w:pPr>
    </w:p>
    <w:p w14:paraId="11EE3490">
      <w:pPr>
        <w:ind w:left="723" w:hanging="723" w:hangingChars="200"/>
        <w:jc w:val="center"/>
        <w:rPr>
          <w:b/>
          <w:bCs/>
          <w:sz w:val="36"/>
          <w:szCs w:val="36"/>
          <w:highlight w:val="none"/>
          <w:u w:val="single"/>
        </w:rPr>
      </w:pPr>
    </w:p>
    <w:p w14:paraId="26F09BC3">
      <w:pPr>
        <w:ind w:left="723" w:hanging="723" w:hangingChars="200"/>
        <w:jc w:val="center"/>
        <w:rPr>
          <w:b/>
          <w:bCs/>
          <w:sz w:val="36"/>
          <w:szCs w:val="36"/>
          <w:highlight w:val="none"/>
          <w:u w:val="single"/>
        </w:rPr>
      </w:pPr>
    </w:p>
    <w:p w14:paraId="1590CC93">
      <w:pPr>
        <w:ind w:left="723" w:hanging="723" w:hangingChars="200"/>
        <w:jc w:val="center"/>
        <w:rPr>
          <w:b/>
          <w:bCs/>
          <w:sz w:val="36"/>
          <w:szCs w:val="36"/>
          <w:highlight w:val="none"/>
          <w:u w:val="single"/>
        </w:rPr>
      </w:pPr>
    </w:p>
    <w:p w14:paraId="2201E22E">
      <w:pPr>
        <w:ind w:left="723" w:hanging="723" w:hangingChars="200"/>
        <w:jc w:val="center"/>
        <w:rPr>
          <w:b/>
          <w:bCs/>
          <w:sz w:val="36"/>
          <w:szCs w:val="36"/>
          <w:highlight w:val="none"/>
          <w:u w:val="single"/>
        </w:rPr>
      </w:pPr>
    </w:p>
    <w:p w14:paraId="5E7D4E5B">
      <w:pPr>
        <w:ind w:left="723" w:hanging="723" w:hangingChars="200"/>
        <w:jc w:val="center"/>
        <w:rPr>
          <w:b/>
          <w:bCs/>
          <w:sz w:val="36"/>
          <w:szCs w:val="36"/>
          <w:highlight w:val="none"/>
          <w:u w:val="single"/>
        </w:rPr>
      </w:pPr>
    </w:p>
    <w:p w14:paraId="28D3216C">
      <w:pPr>
        <w:spacing w:line="360" w:lineRule="auto"/>
        <w:jc w:val="center"/>
        <w:outlineLvl w:val="0"/>
        <w:rPr>
          <w:rFonts w:ascii="黑体" w:hAnsi="黑体" w:eastAsia="黑体"/>
          <w:b/>
          <w:bCs/>
          <w:sz w:val="72"/>
          <w:szCs w:val="72"/>
          <w:highlight w:val="none"/>
        </w:rPr>
      </w:pPr>
      <w:r>
        <w:rPr>
          <w:rFonts w:hint="eastAsia" w:ascii="黑体" w:hAnsi="黑体" w:eastAsia="黑体"/>
          <w:b/>
          <w:bCs/>
          <w:sz w:val="72"/>
          <w:szCs w:val="72"/>
          <w:highlight w:val="none"/>
          <w:u w:val="single"/>
        </w:rPr>
        <w:t xml:space="preserve"> </w:t>
      </w:r>
      <w:r>
        <w:rPr>
          <w:rFonts w:hint="eastAsia" w:ascii="黑体" w:hAnsi="黑体" w:eastAsia="黑体"/>
          <w:b/>
          <w:bCs/>
          <w:sz w:val="72"/>
          <w:szCs w:val="72"/>
          <w:highlight w:val="none"/>
          <w:u w:val="single"/>
          <w:lang w:val="en-US" w:eastAsia="zh-CN"/>
        </w:rPr>
        <w:t>威宁五里岗光伏电站2025年楼梯门修复及加高两侧护栏处理</w:t>
      </w:r>
      <w:bookmarkStart w:id="1" w:name="_GoBack"/>
      <w:bookmarkEnd w:id="1"/>
      <w:r>
        <w:rPr>
          <w:rFonts w:hint="eastAsia" w:ascii="黑体" w:hAnsi="黑体" w:eastAsia="黑体"/>
          <w:b/>
          <w:bCs/>
          <w:sz w:val="72"/>
          <w:szCs w:val="72"/>
          <w:highlight w:val="none"/>
          <w:u w:val="single"/>
          <w:lang w:val="en-US" w:eastAsia="zh-CN"/>
        </w:rPr>
        <w:t xml:space="preserve"> </w:t>
      </w:r>
      <w:r>
        <w:rPr>
          <w:rFonts w:hint="eastAsia" w:ascii="黑体" w:hAnsi="黑体" w:eastAsia="黑体"/>
          <w:b/>
          <w:bCs/>
          <w:sz w:val="72"/>
          <w:szCs w:val="72"/>
          <w:highlight w:val="none"/>
          <w:lang w:eastAsia="zh-CN"/>
        </w:rPr>
        <w:t>项目</w:t>
      </w:r>
      <w:r>
        <w:rPr>
          <w:rFonts w:hint="eastAsia" w:ascii="黑体" w:hAnsi="黑体" w:eastAsia="黑体"/>
          <w:b/>
          <w:bCs/>
          <w:sz w:val="72"/>
          <w:szCs w:val="72"/>
          <w:highlight w:val="none"/>
        </w:rPr>
        <w:t>承包合同</w:t>
      </w:r>
    </w:p>
    <w:p w14:paraId="7FA781C7">
      <w:pPr>
        <w:spacing w:line="360" w:lineRule="auto"/>
        <w:rPr>
          <w:sz w:val="24"/>
          <w:highlight w:val="none"/>
        </w:rPr>
      </w:pPr>
      <w:r>
        <w:rPr>
          <w:sz w:val="24"/>
          <w:highlight w:val="none"/>
        </w:rPr>
        <w:t xml:space="preserve"> </w:t>
      </w:r>
    </w:p>
    <w:p w14:paraId="240A4888">
      <w:pPr>
        <w:spacing w:line="360" w:lineRule="auto"/>
        <w:rPr>
          <w:sz w:val="24"/>
          <w:highlight w:val="none"/>
        </w:rPr>
      </w:pPr>
      <w:r>
        <w:rPr>
          <w:sz w:val="24"/>
          <w:highlight w:val="none"/>
        </w:rPr>
        <w:t xml:space="preserve"> </w:t>
      </w:r>
    </w:p>
    <w:p w14:paraId="04E858CF">
      <w:pPr>
        <w:spacing w:line="360" w:lineRule="auto"/>
        <w:rPr>
          <w:sz w:val="24"/>
          <w:highlight w:val="none"/>
        </w:rPr>
      </w:pPr>
      <w:r>
        <w:rPr>
          <w:sz w:val="24"/>
          <w:highlight w:val="none"/>
        </w:rPr>
        <w:t xml:space="preserve">  </w:t>
      </w:r>
    </w:p>
    <w:p w14:paraId="4449763E">
      <w:pPr>
        <w:spacing w:line="360" w:lineRule="auto"/>
        <w:rPr>
          <w:sz w:val="24"/>
          <w:highlight w:val="none"/>
        </w:rPr>
      </w:pPr>
      <w:r>
        <w:rPr>
          <w:sz w:val="24"/>
          <w:highlight w:val="none"/>
        </w:rPr>
        <w:t xml:space="preserve"> </w:t>
      </w:r>
    </w:p>
    <w:p w14:paraId="1008A033">
      <w:pPr>
        <w:spacing w:line="360" w:lineRule="auto"/>
        <w:rPr>
          <w:sz w:val="24"/>
          <w:highlight w:val="none"/>
        </w:rPr>
      </w:pPr>
      <w:r>
        <w:rPr>
          <w:sz w:val="24"/>
          <w:highlight w:val="none"/>
        </w:rPr>
        <w:t xml:space="preserve"> </w:t>
      </w:r>
    </w:p>
    <w:p w14:paraId="65FAF694">
      <w:pPr>
        <w:spacing w:line="360" w:lineRule="auto"/>
        <w:rPr>
          <w:sz w:val="24"/>
          <w:highlight w:val="none"/>
        </w:rPr>
      </w:pPr>
      <w:r>
        <w:rPr>
          <w:sz w:val="24"/>
          <w:highlight w:val="none"/>
        </w:rPr>
        <w:t xml:space="preserve"> </w:t>
      </w:r>
    </w:p>
    <w:p w14:paraId="647BE9CE">
      <w:pPr>
        <w:spacing w:line="360" w:lineRule="auto"/>
        <w:rPr>
          <w:sz w:val="24"/>
          <w:highlight w:val="none"/>
        </w:rPr>
      </w:pPr>
      <w:r>
        <w:rPr>
          <w:sz w:val="24"/>
          <w:highlight w:val="none"/>
        </w:rPr>
        <w:t xml:space="preserve"> </w:t>
      </w:r>
    </w:p>
    <w:p w14:paraId="0CC6D569">
      <w:pPr>
        <w:rPr>
          <w:highlight w:val="none"/>
        </w:rPr>
      </w:pPr>
    </w:p>
    <w:p w14:paraId="309EC7F1">
      <w:pPr>
        <w:pStyle w:val="12"/>
        <w:rPr>
          <w:highlight w:val="none"/>
        </w:rPr>
      </w:pPr>
    </w:p>
    <w:p w14:paraId="2704E63F"/>
    <w:p w14:paraId="4D5C2E41">
      <w:pPr>
        <w:spacing w:line="360" w:lineRule="auto"/>
        <w:rPr>
          <w:sz w:val="24"/>
          <w:highlight w:val="none"/>
        </w:rPr>
      </w:pPr>
    </w:p>
    <w:p w14:paraId="68C158B7">
      <w:pPr>
        <w:spacing w:line="360" w:lineRule="auto"/>
        <w:rPr>
          <w:sz w:val="24"/>
          <w:highlight w:val="none"/>
        </w:rPr>
      </w:pPr>
    </w:p>
    <w:p w14:paraId="4DF1067D">
      <w:pPr>
        <w:autoSpaceDE w:val="0"/>
        <w:autoSpaceDN w:val="0"/>
        <w:spacing w:line="560" w:lineRule="exact"/>
        <w:ind w:firstLine="1680" w:firstLineChars="600"/>
        <w:rPr>
          <w:rFonts w:hint="default" w:ascii="黑体" w:hAnsi="黑体" w:eastAsia="黑体" w:cs="黑体"/>
          <w:color w:val="auto"/>
          <w:kern w:val="0"/>
          <w:sz w:val="28"/>
          <w:szCs w:val="28"/>
          <w:highlight w:val="none"/>
          <w:u w:val="single"/>
          <w:lang w:val="en-US" w:eastAsia="zh-CN"/>
        </w:rPr>
      </w:pPr>
      <w:r>
        <w:rPr>
          <w:rFonts w:hint="eastAsia" w:ascii="黑体" w:hAnsi="黑体" w:eastAsia="黑体" w:cs="黑体"/>
          <w:color w:val="auto"/>
          <w:kern w:val="0"/>
          <w:sz w:val="28"/>
          <w:szCs w:val="28"/>
          <w:highlight w:val="none"/>
        </w:rPr>
        <w:t>甲    方：</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u w:val="single"/>
          <w:lang w:val="en-US" w:eastAsia="zh-CN"/>
        </w:rPr>
        <w:t>南方电网综合能源贵州有限公司威宁分公司</w:t>
      </w:r>
    </w:p>
    <w:p w14:paraId="3A69D5C3">
      <w:pPr>
        <w:autoSpaceDE w:val="0"/>
        <w:autoSpaceDN w:val="0"/>
        <w:spacing w:line="560" w:lineRule="exact"/>
        <w:ind w:firstLine="1680" w:firstLineChars="600"/>
        <w:rPr>
          <w:rFonts w:hint="eastAsia" w:ascii="黑体" w:hAnsi="黑体" w:eastAsia="黑体" w:cs="黑体"/>
          <w:color w:val="auto"/>
          <w:kern w:val="0"/>
          <w:sz w:val="28"/>
          <w:szCs w:val="28"/>
          <w:highlight w:val="none"/>
          <w:u w:val="single"/>
        </w:rPr>
      </w:pPr>
      <w:r>
        <w:rPr>
          <w:rFonts w:hint="eastAsia" w:ascii="黑体" w:hAnsi="黑体" w:eastAsia="黑体" w:cs="黑体"/>
          <w:color w:val="auto"/>
          <w:kern w:val="0"/>
          <w:sz w:val="28"/>
          <w:szCs w:val="28"/>
          <w:highlight w:val="none"/>
        </w:rPr>
        <w:t>乙    方：</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u w:val="single"/>
          <w:lang w:val="en-US" w:eastAsia="zh-CN"/>
        </w:rPr>
        <w:t xml:space="preserve">     </w:t>
      </w:r>
      <w:r>
        <w:rPr>
          <w:rFonts w:hint="eastAsia" w:ascii="黑体" w:hAnsi="黑体" w:eastAsia="黑体" w:cs="黑体"/>
          <w:color w:val="auto"/>
          <w:kern w:val="0"/>
          <w:sz w:val="28"/>
          <w:szCs w:val="28"/>
          <w:highlight w:val="none"/>
          <w:u w:val="single"/>
        </w:rPr>
        <w:t xml:space="preserve">  </w:t>
      </w:r>
    </w:p>
    <w:p w14:paraId="3D33268C">
      <w:pPr>
        <w:autoSpaceDE w:val="0"/>
        <w:autoSpaceDN w:val="0"/>
        <w:spacing w:line="560" w:lineRule="exact"/>
        <w:ind w:firstLine="1680" w:firstLineChars="600"/>
        <w:rPr>
          <w:rFonts w:hint="eastAsia" w:ascii="黑体" w:hAnsi="黑体" w:eastAsia="黑体" w:cs="黑体"/>
          <w:color w:val="auto"/>
          <w:kern w:val="0"/>
          <w:sz w:val="28"/>
          <w:szCs w:val="28"/>
          <w:highlight w:val="none"/>
          <w:u w:val="single"/>
        </w:rPr>
      </w:pPr>
      <w:r>
        <w:rPr>
          <w:rFonts w:hint="eastAsia" w:ascii="黑体" w:hAnsi="黑体" w:eastAsia="黑体" w:cs="黑体"/>
          <w:color w:val="auto"/>
          <w:kern w:val="0"/>
          <w:sz w:val="28"/>
          <w:szCs w:val="28"/>
          <w:highlight w:val="none"/>
          <w:u w:val="none"/>
        </w:rPr>
        <w:t>签订地点：</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u w:val="single"/>
          <w:lang w:val="en-US" w:eastAsia="zh-CN"/>
        </w:rPr>
        <w:t xml:space="preserve">         </w:t>
      </w:r>
      <w:r>
        <w:rPr>
          <w:rFonts w:hint="eastAsia" w:ascii="黑体" w:hAnsi="黑体" w:eastAsia="黑体" w:cs="黑体"/>
          <w:color w:val="auto"/>
          <w:kern w:val="0"/>
          <w:sz w:val="28"/>
          <w:szCs w:val="28"/>
          <w:highlight w:val="none"/>
          <w:u w:val="single"/>
        </w:rPr>
        <w:t xml:space="preserve">     </w:t>
      </w:r>
    </w:p>
    <w:p w14:paraId="6CC26425">
      <w:pPr>
        <w:autoSpaceDE w:val="0"/>
        <w:autoSpaceDN w:val="0"/>
        <w:spacing w:line="600" w:lineRule="exact"/>
        <w:ind w:firstLine="1680" w:firstLineChars="600"/>
        <w:jc w:val="left"/>
        <w:rPr>
          <w:rFonts w:hint="eastAsia"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rPr>
        <w:t>签订日期：</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rPr>
        <w:t>年</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rPr>
        <w:t>月</w:t>
      </w:r>
      <w:r>
        <w:rPr>
          <w:rFonts w:hint="eastAsia" w:ascii="黑体" w:hAnsi="黑体" w:eastAsia="黑体" w:cs="黑体"/>
          <w:color w:val="auto"/>
          <w:kern w:val="0"/>
          <w:sz w:val="28"/>
          <w:szCs w:val="28"/>
          <w:highlight w:val="none"/>
          <w:u w:val="single"/>
        </w:rPr>
        <w:t xml:space="preserve">    </w:t>
      </w:r>
      <w:r>
        <w:rPr>
          <w:rFonts w:hint="eastAsia" w:ascii="黑体" w:hAnsi="黑体" w:eastAsia="黑体" w:cs="黑体"/>
          <w:color w:val="auto"/>
          <w:kern w:val="0"/>
          <w:sz w:val="28"/>
          <w:szCs w:val="28"/>
          <w:highlight w:val="none"/>
        </w:rPr>
        <w:t>日</w:t>
      </w:r>
    </w:p>
    <w:p w14:paraId="655E424D">
      <w:pPr>
        <w:rPr>
          <w:highlight w:val="none"/>
        </w:rPr>
      </w:pPr>
    </w:p>
    <w:p w14:paraId="2C57BFF5">
      <w:pPr>
        <w:rPr>
          <w:highlight w:val="none"/>
        </w:rPr>
      </w:pPr>
    </w:p>
    <w:tbl>
      <w:tblPr>
        <w:tblStyle w:val="13"/>
        <w:tblW w:w="9180" w:type="dxa"/>
        <w:tblInd w:w="0" w:type="dxa"/>
        <w:tblLayout w:type="fixed"/>
        <w:tblCellMar>
          <w:top w:w="0" w:type="dxa"/>
          <w:left w:w="0" w:type="dxa"/>
          <w:bottom w:w="0" w:type="dxa"/>
          <w:right w:w="0" w:type="dxa"/>
        </w:tblCellMar>
      </w:tblPr>
      <w:tblGrid>
        <w:gridCol w:w="1243"/>
        <w:gridCol w:w="2107"/>
        <w:gridCol w:w="1667"/>
        <w:gridCol w:w="1335"/>
        <w:gridCol w:w="2828"/>
      </w:tblGrid>
      <w:tr w14:paraId="20007296">
        <w:tblPrEx>
          <w:tblCellMar>
            <w:top w:w="0" w:type="dxa"/>
            <w:left w:w="0" w:type="dxa"/>
            <w:bottom w:w="0" w:type="dxa"/>
            <w:right w:w="0" w:type="dxa"/>
          </w:tblCellMar>
        </w:tblPrEx>
        <w:trPr>
          <w:trHeight w:val="763" w:hRule="atLeast"/>
        </w:trPr>
        <w:tc>
          <w:tcPr>
            <w:tcW w:w="1243"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4B039EF6">
            <w:pPr>
              <w:jc w:val="center"/>
              <w:rPr>
                <w:szCs w:val="21"/>
                <w:highlight w:val="none"/>
              </w:rPr>
            </w:pPr>
            <w:r>
              <w:rPr>
                <w:rFonts w:hint="eastAsia"/>
                <w:szCs w:val="21"/>
                <w:highlight w:val="none"/>
              </w:rPr>
              <w:t>甲</w:t>
            </w:r>
            <w:r>
              <w:rPr>
                <w:szCs w:val="21"/>
                <w:highlight w:val="none"/>
              </w:rPr>
              <w:t>方</w:t>
            </w:r>
          </w:p>
          <w:p w14:paraId="3C81B1CA">
            <w:pPr>
              <w:jc w:val="center"/>
              <w:rPr>
                <w:szCs w:val="21"/>
                <w:highlight w:val="none"/>
              </w:rPr>
            </w:pPr>
            <w:r>
              <w:rPr>
                <w:szCs w:val="21"/>
                <w:highlight w:val="none"/>
              </w:rPr>
              <w:t>（发包人）</w:t>
            </w: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7DF9F13">
            <w:pPr>
              <w:ind w:firstLine="420"/>
              <w:rPr>
                <w:szCs w:val="21"/>
                <w:highlight w:val="none"/>
              </w:rPr>
            </w:pPr>
            <w:r>
              <w:rPr>
                <w:szCs w:val="21"/>
                <w:highlight w:val="none"/>
              </w:rPr>
              <w:t>单位名称</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1F0013B2">
            <w:pPr>
              <w:rPr>
                <w:rFonts w:hint="eastAsia" w:asciiTheme="minorEastAsia" w:hAnsiTheme="minorEastAsia" w:eastAsiaTheme="minorEastAsia" w:cstheme="minorEastAsia"/>
                <w:sz w:val="24"/>
                <w:szCs w:val="24"/>
                <w:highlight w:val="none"/>
              </w:rPr>
            </w:pPr>
          </w:p>
        </w:tc>
      </w:tr>
      <w:tr w14:paraId="24D46471">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6F22F81D">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2308D85C">
            <w:pPr>
              <w:ind w:firstLine="420"/>
              <w:rPr>
                <w:szCs w:val="21"/>
                <w:highlight w:val="none"/>
              </w:rPr>
            </w:pPr>
            <w:r>
              <w:rPr>
                <w:szCs w:val="21"/>
                <w:highlight w:val="none"/>
              </w:rPr>
              <w:t>法定代表人</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D7C3CEA">
            <w:pPr>
              <w:rPr>
                <w:rFonts w:hint="eastAsia" w:asciiTheme="minorEastAsia" w:hAnsiTheme="minorEastAsia" w:eastAsiaTheme="minorEastAsia" w:cstheme="minorEastAsia"/>
                <w:sz w:val="24"/>
                <w:szCs w:val="24"/>
                <w:highlight w:val="none"/>
              </w:rPr>
            </w:pPr>
          </w:p>
        </w:tc>
      </w:tr>
      <w:tr w14:paraId="47ED926C">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39155191">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4EF0DC1">
            <w:pPr>
              <w:ind w:firstLine="0"/>
              <w:jc w:val="center"/>
              <w:rPr>
                <w:rFonts w:hint="default" w:eastAsia="宋体"/>
                <w:szCs w:val="21"/>
                <w:highlight w:val="none"/>
                <w:lang w:val="en-US" w:eastAsia="zh-CN"/>
              </w:rPr>
            </w:pPr>
            <w:r>
              <w:rPr>
                <w:rFonts w:hint="eastAsia"/>
                <w:szCs w:val="21"/>
                <w:highlight w:val="none"/>
                <w:lang w:val="en-US" w:eastAsia="zh-CN"/>
              </w:rPr>
              <w:t>统一社会信用代码</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13AB4AF0">
            <w:pPr>
              <w:rPr>
                <w:rFonts w:hint="eastAsia" w:asciiTheme="minorEastAsia" w:hAnsiTheme="minorEastAsia" w:eastAsiaTheme="minorEastAsia" w:cstheme="minorEastAsia"/>
                <w:sz w:val="24"/>
                <w:szCs w:val="24"/>
                <w:highlight w:val="none"/>
              </w:rPr>
            </w:pPr>
          </w:p>
        </w:tc>
      </w:tr>
      <w:tr w14:paraId="4A1034F4">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06E207E2">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2059F428">
            <w:pPr>
              <w:ind w:firstLine="420"/>
              <w:rPr>
                <w:szCs w:val="21"/>
                <w:highlight w:val="none"/>
              </w:rPr>
            </w:pPr>
            <w:r>
              <w:rPr>
                <w:szCs w:val="21"/>
                <w:highlight w:val="none"/>
              </w:rPr>
              <w:t>联系人</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4052812">
            <w:pPr>
              <w:rPr>
                <w:rFonts w:hint="eastAsia" w:asciiTheme="minorEastAsia" w:hAnsiTheme="minorEastAsia" w:eastAsiaTheme="minorEastAsia" w:cstheme="minorEastAsia"/>
                <w:sz w:val="24"/>
                <w:szCs w:val="24"/>
                <w:highlight w:val="none"/>
              </w:rPr>
            </w:pPr>
          </w:p>
        </w:tc>
      </w:tr>
      <w:tr w14:paraId="44EB4317">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13E5FE0E">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1D84848A">
            <w:pPr>
              <w:ind w:firstLine="420"/>
              <w:rPr>
                <w:szCs w:val="21"/>
                <w:highlight w:val="none"/>
              </w:rPr>
            </w:pPr>
            <w:r>
              <w:rPr>
                <w:szCs w:val="21"/>
                <w:highlight w:val="none"/>
              </w:rPr>
              <w:t>通讯地址</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CA6E5E1">
            <w:pPr>
              <w:jc w:val="left"/>
              <w:rPr>
                <w:rFonts w:hint="eastAsia" w:asciiTheme="minorEastAsia" w:hAnsiTheme="minorEastAsia" w:eastAsiaTheme="minorEastAsia" w:cstheme="minorEastAsia"/>
                <w:sz w:val="24"/>
                <w:szCs w:val="24"/>
                <w:highlight w:val="none"/>
              </w:rPr>
            </w:pPr>
          </w:p>
        </w:tc>
      </w:tr>
      <w:tr w14:paraId="03173EA4">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63E860A5">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A8A7F07">
            <w:pPr>
              <w:ind w:firstLine="420"/>
              <w:rPr>
                <w:szCs w:val="21"/>
                <w:highlight w:val="none"/>
              </w:rPr>
            </w:pPr>
            <w:r>
              <w:rPr>
                <w:szCs w:val="21"/>
                <w:highlight w:val="none"/>
              </w:rPr>
              <w:t>电话</w:t>
            </w:r>
          </w:p>
        </w:tc>
        <w:tc>
          <w:tcPr>
            <w:tcW w:w="166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277A859">
            <w:pPr>
              <w:rPr>
                <w:rFonts w:hint="eastAsia" w:asciiTheme="minorEastAsia" w:hAnsiTheme="minorEastAsia" w:eastAsiaTheme="minorEastAsia" w:cstheme="minorEastAsia"/>
                <w:sz w:val="24"/>
                <w:szCs w:val="24"/>
                <w:highlight w:val="none"/>
              </w:rPr>
            </w:pPr>
          </w:p>
        </w:tc>
        <w:tc>
          <w:tcPr>
            <w:tcW w:w="133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5AE98DA">
            <w:pPr>
              <w:rPr>
                <w:rFonts w:hint="eastAsia" w:asciiTheme="minorEastAsia" w:hAnsiTheme="minorEastAsia" w:eastAsiaTheme="minorEastAsia" w:cstheme="minorEastAsia"/>
                <w:sz w:val="24"/>
                <w:szCs w:val="24"/>
                <w:highlight w:val="none"/>
              </w:rPr>
            </w:pPr>
          </w:p>
        </w:tc>
        <w:tc>
          <w:tcPr>
            <w:tcW w:w="2828"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E78532C">
            <w:pPr>
              <w:rPr>
                <w:rFonts w:hint="eastAsia" w:asciiTheme="minorEastAsia" w:hAnsiTheme="minorEastAsia" w:eastAsiaTheme="minorEastAsia" w:cstheme="minorEastAsia"/>
                <w:sz w:val="24"/>
                <w:szCs w:val="24"/>
                <w:highlight w:val="none"/>
              </w:rPr>
            </w:pPr>
          </w:p>
        </w:tc>
      </w:tr>
      <w:tr w14:paraId="58086AD3">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4CFA7414">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6A183B5">
            <w:pPr>
              <w:ind w:firstLine="420"/>
              <w:rPr>
                <w:szCs w:val="21"/>
                <w:highlight w:val="none"/>
              </w:rPr>
            </w:pPr>
            <w:r>
              <w:rPr>
                <w:szCs w:val="21"/>
                <w:highlight w:val="none"/>
              </w:rPr>
              <w:t>电子邮箱</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CD5770A">
            <w:pPr>
              <w:rPr>
                <w:rFonts w:hint="eastAsia" w:asciiTheme="minorEastAsia" w:hAnsiTheme="minorEastAsia" w:eastAsiaTheme="minorEastAsia" w:cstheme="minorEastAsia"/>
                <w:sz w:val="24"/>
                <w:szCs w:val="24"/>
                <w:highlight w:val="none"/>
              </w:rPr>
            </w:pPr>
          </w:p>
        </w:tc>
      </w:tr>
      <w:tr w14:paraId="251B5DC0">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4EC3BACF">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978F9AB">
            <w:pPr>
              <w:ind w:firstLine="420"/>
              <w:rPr>
                <w:szCs w:val="21"/>
                <w:highlight w:val="none"/>
              </w:rPr>
            </w:pPr>
            <w:r>
              <w:rPr>
                <w:szCs w:val="21"/>
                <w:highlight w:val="none"/>
              </w:rPr>
              <w:t>开户银行</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19A14FF">
            <w:pPr>
              <w:jc w:val="left"/>
              <w:rPr>
                <w:rFonts w:hint="eastAsia" w:asciiTheme="minorEastAsia" w:hAnsiTheme="minorEastAsia" w:eastAsiaTheme="minorEastAsia" w:cstheme="minorEastAsia"/>
                <w:sz w:val="24"/>
                <w:szCs w:val="24"/>
                <w:highlight w:val="none"/>
              </w:rPr>
            </w:pPr>
          </w:p>
        </w:tc>
      </w:tr>
      <w:tr w14:paraId="062D1101">
        <w:tblPrEx>
          <w:tblCellMar>
            <w:top w:w="0" w:type="dxa"/>
            <w:left w:w="0" w:type="dxa"/>
            <w:bottom w:w="0" w:type="dxa"/>
            <w:right w:w="0" w:type="dxa"/>
          </w:tblCellMar>
        </w:tblPrEx>
        <w:trPr>
          <w:trHeight w:val="763" w:hRule="atLeast"/>
        </w:trPr>
        <w:tc>
          <w:tcPr>
            <w:tcW w:w="1243" w:type="dxa"/>
            <w:vMerge w:val="continue"/>
            <w:tcBorders>
              <w:left w:val="single" w:color="auto" w:sz="4" w:space="0"/>
              <w:bottom w:val="single" w:color="auto" w:sz="4" w:space="0"/>
              <w:right w:val="single" w:color="auto" w:sz="4" w:space="0"/>
            </w:tcBorders>
            <w:vAlign w:val="center"/>
          </w:tcPr>
          <w:p w14:paraId="3BB58000">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3440B27">
            <w:pPr>
              <w:ind w:firstLine="420"/>
              <w:rPr>
                <w:szCs w:val="21"/>
                <w:highlight w:val="none"/>
              </w:rPr>
            </w:pPr>
            <w:r>
              <w:rPr>
                <w:rFonts w:hint="eastAsia"/>
                <w:szCs w:val="21"/>
                <w:highlight w:val="none"/>
                <w:lang w:val="en-US" w:eastAsia="zh-CN"/>
              </w:rPr>
              <w:t>账</w:t>
            </w:r>
            <w:r>
              <w:rPr>
                <w:szCs w:val="21"/>
                <w:highlight w:val="none"/>
              </w:rPr>
              <w:t>号</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B33BF71">
            <w:pPr>
              <w:rPr>
                <w:rFonts w:hint="eastAsia" w:asciiTheme="minorEastAsia" w:hAnsiTheme="minorEastAsia" w:eastAsiaTheme="minorEastAsia" w:cstheme="minorEastAsia"/>
                <w:sz w:val="24"/>
                <w:szCs w:val="24"/>
                <w:highlight w:val="none"/>
              </w:rPr>
            </w:pPr>
          </w:p>
        </w:tc>
      </w:tr>
      <w:tr w14:paraId="044ED80C">
        <w:tblPrEx>
          <w:tblCellMar>
            <w:top w:w="0" w:type="dxa"/>
            <w:left w:w="0" w:type="dxa"/>
            <w:bottom w:w="0" w:type="dxa"/>
            <w:right w:w="0" w:type="dxa"/>
          </w:tblCellMar>
        </w:tblPrEx>
        <w:trPr>
          <w:trHeight w:val="763" w:hRule="atLeast"/>
        </w:trPr>
        <w:tc>
          <w:tcPr>
            <w:tcW w:w="1243" w:type="dxa"/>
            <w:vMerge w:val="restart"/>
            <w:tcBorders>
              <w:top w:val="nil"/>
              <w:left w:val="single" w:color="auto" w:sz="4" w:space="0"/>
              <w:right w:val="single" w:color="auto" w:sz="4" w:space="0"/>
            </w:tcBorders>
            <w:tcMar>
              <w:top w:w="0" w:type="dxa"/>
              <w:left w:w="108" w:type="dxa"/>
              <w:bottom w:w="0" w:type="dxa"/>
              <w:right w:w="108" w:type="dxa"/>
            </w:tcMar>
            <w:vAlign w:val="center"/>
          </w:tcPr>
          <w:p w14:paraId="0A263C81">
            <w:pPr>
              <w:jc w:val="center"/>
              <w:rPr>
                <w:szCs w:val="21"/>
                <w:highlight w:val="none"/>
              </w:rPr>
            </w:pPr>
            <w:r>
              <w:rPr>
                <w:rFonts w:hint="eastAsia"/>
                <w:szCs w:val="21"/>
                <w:highlight w:val="none"/>
              </w:rPr>
              <w:t>乙</w:t>
            </w:r>
            <w:r>
              <w:rPr>
                <w:szCs w:val="21"/>
                <w:highlight w:val="none"/>
              </w:rPr>
              <w:t>方</w:t>
            </w:r>
          </w:p>
          <w:p w14:paraId="3CD3E7BA">
            <w:pPr>
              <w:jc w:val="center"/>
              <w:rPr>
                <w:szCs w:val="21"/>
                <w:highlight w:val="none"/>
              </w:rPr>
            </w:pPr>
            <w:r>
              <w:rPr>
                <w:szCs w:val="21"/>
                <w:highlight w:val="none"/>
              </w:rPr>
              <w:t>（承包人）</w:t>
            </w: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C0405DA">
            <w:pPr>
              <w:ind w:firstLine="420"/>
              <w:rPr>
                <w:szCs w:val="21"/>
                <w:highlight w:val="none"/>
              </w:rPr>
            </w:pPr>
            <w:r>
              <w:rPr>
                <w:szCs w:val="21"/>
                <w:highlight w:val="none"/>
              </w:rPr>
              <w:t>单位名称</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7AF3CF3">
            <w:pPr>
              <w:rPr>
                <w:rFonts w:hint="eastAsia" w:asciiTheme="minorEastAsia" w:hAnsiTheme="minorEastAsia" w:eastAsiaTheme="minorEastAsia" w:cstheme="minorEastAsia"/>
                <w:color w:val="000000"/>
                <w:sz w:val="24"/>
                <w:szCs w:val="24"/>
                <w:highlight w:val="none"/>
              </w:rPr>
            </w:pPr>
          </w:p>
        </w:tc>
      </w:tr>
      <w:tr w14:paraId="23290BBC">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49CA205F">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D3E6EF2">
            <w:pPr>
              <w:ind w:firstLine="420"/>
              <w:rPr>
                <w:szCs w:val="21"/>
                <w:highlight w:val="none"/>
              </w:rPr>
            </w:pPr>
            <w:r>
              <w:rPr>
                <w:szCs w:val="21"/>
                <w:highlight w:val="none"/>
              </w:rPr>
              <w:t>法定代表人</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7A0439D">
            <w:pPr>
              <w:rPr>
                <w:rFonts w:hint="eastAsia" w:asciiTheme="minorEastAsia" w:hAnsiTheme="minorEastAsia" w:eastAsiaTheme="minorEastAsia" w:cstheme="minorEastAsia"/>
                <w:color w:val="000000"/>
                <w:sz w:val="24"/>
                <w:szCs w:val="24"/>
                <w:highlight w:val="none"/>
              </w:rPr>
            </w:pPr>
          </w:p>
        </w:tc>
      </w:tr>
      <w:tr w14:paraId="4D341314">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0FFCFD97">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CFD2BCE">
            <w:pPr>
              <w:ind w:firstLine="0"/>
              <w:jc w:val="center"/>
              <w:rPr>
                <w:szCs w:val="21"/>
                <w:highlight w:val="none"/>
              </w:rPr>
            </w:pPr>
            <w:r>
              <w:rPr>
                <w:rFonts w:hint="eastAsia"/>
                <w:szCs w:val="21"/>
                <w:highlight w:val="none"/>
                <w:lang w:val="en-US" w:eastAsia="zh-CN"/>
              </w:rPr>
              <w:t>统一社会信用代码</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656F3D6">
            <w:pPr>
              <w:rPr>
                <w:rFonts w:hint="eastAsia" w:asciiTheme="minorEastAsia" w:hAnsiTheme="minorEastAsia" w:eastAsiaTheme="minorEastAsia" w:cstheme="minorEastAsia"/>
                <w:color w:val="000000"/>
                <w:sz w:val="24"/>
                <w:szCs w:val="24"/>
                <w:highlight w:val="none"/>
              </w:rPr>
            </w:pPr>
          </w:p>
        </w:tc>
      </w:tr>
      <w:tr w14:paraId="27E1A8D4">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254618FC">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2972C53">
            <w:pPr>
              <w:ind w:firstLine="420"/>
              <w:rPr>
                <w:szCs w:val="21"/>
                <w:highlight w:val="none"/>
              </w:rPr>
            </w:pPr>
            <w:r>
              <w:rPr>
                <w:szCs w:val="21"/>
                <w:highlight w:val="none"/>
              </w:rPr>
              <w:t>联系人</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36ACDD5">
            <w:pPr>
              <w:rPr>
                <w:rFonts w:hint="eastAsia" w:asciiTheme="minorEastAsia" w:hAnsiTheme="minorEastAsia" w:eastAsiaTheme="minorEastAsia" w:cstheme="minorEastAsia"/>
                <w:color w:val="000000"/>
                <w:sz w:val="24"/>
                <w:szCs w:val="24"/>
                <w:highlight w:val="none"/>
              </w:rPr>
            </w:pPr>
          </w:p>
        </w:tc>
      </w:tr>
      <w:tr w14:paraId="03121726">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3355D626">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830FF6D">
            <w:pPr>
              <w:ind w:firstLine="480"/>
              <w:rPr>
                <w:szCs w:val="21"/>
                <w:highlight w:val="none"/>
              </w:rPr>
            </w:pPr>
            <w:r>
              <w:rPr>
                <w:szCs w:val="21"/>
                <w:highlight w:val="none"/>
              </w:rPr>
              <w:t>通讯地址</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ACE1757">
            <w:pPr>
              <w:jc w:val="left"/>
              <w:rPr>
                <w:rFonts w:hint="eastAsia" w:asciiTheme="minorEastAsia" w:hAnsiTheme="minorEastAsia" w:eastAsiaTheme="minorEastAsia" w:cstheme="minorEastAsia"/>
                <w:color w:val="000000"/>
                <w:sz w:val="24"/>
                <w:szCs w:val="24"/>
                <w:highlight w:val="none"/>
              </w:rPr>
            </w:pPr>
          </w:p>
        </w:tc>
      </w:tr>
      <w:tr w14:paraId="7FBF82D8">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1A84E528">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40E452A">
            <w:pPr>
              <w:ind w:firstLine="480"/>
              <w:rPr>
                <w:szCs w:val="21"/>
                <w:highlight w:val="none"/>
              </w:rPr>
            </w:pPr>
            <w:r>
              <w:rPr>
                <w:szCs w:val="21"/>
                <w:highlight w:val="none"/>
              </w:rPr>
              <w:t>电话</w:t>
            </w:r>
          </w:p>
        </w:tc>
        <w:tc>
          <w:tcPr>
            <w:tcW w:w="166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24370E6">
            <w:pPr>
              <w:rPr>
                <w:rFonts w:hint="eastAsia" w:asciiTheme="minorEastAsia" w:hAnsiTheme="minorEastAsia" w:eastAsiaTheme="minorEastAsia" w:cstheme="minorEastAsia"/>
                <w:sz w:val="24"/>
                <w:szCs w:val="24"/>
                <w:highlight w:val="none"/>
              </w:rPr>
            </w:pPr>
          </w:p>
        </w:tc>
        <w:tc>
          <w:tcPr>
            <w:tcW w:w="133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E637467">
            <w:pPr>
              <w:ind w:firstLine="199" w:firstLineChars="0"/>
              <w:rPr>
                <w:rFonts w:hint="eastAsia" w:asciiTheme="minorEastAsia" w:hAnsiTheme="minorEastAsia" w:eastAsiaTheme="minorEastAsia" w:cstheme="minorEastAsia"/>
                <w:sz w:val="24"/>
                <w:szCs w:val="24"/>
                <w:highlight w:val="none"/>
              </w:rPr>
            </w:pPr>
          </w:p>
        </w:tc>
        <w:tc>
          <w:tcPr>
            <w:tcW w:w="2828"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5143D0B">
            <w:pPr>
              <w:rPr>
                <w:rFonts w:hint="eastAsia" w:asciiTheme="minorEastAsia" w:hAnsiTheme="minorEastAsia" w:eastAsiaTheme="minorEastAsia" w:cstheme="minorEastAsia"/>
                <w:sz w:val="24"/>
                <w:szCs w:val="24"/>
                <w:highlight w:val="none"/>
              </w:rPr>
            </w:pPr>
          </w:p>
        </w:tc>
      </w:tr>
      <w:tr w14:paraId="1E3AB7C7">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6102C35F">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388C5A9">
            <w:pPr>
              <w:ind w:firstLine="480"/>
              <w:rPr>
                <w:szCs w:val="21"/>
                <w:highlight w:val="none"/>
              </w:rPr>
            </w:pPr>
            <w:r>
              <w:rPr>
                <w:szCs w:val="21"/>
                <w:highlight w:val="none"/>
              </w:rPr>
              <w:t>电子邮箱</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9D3967E">
            <w:pPr>
              <w:rPr>
                <w:rFonts w:hint="eastAsia" w:asciiTheme="minorEastAsia" w:hAnsiTheme="minorEastAsia" w:eastAsiaTheme="minorEastAsia" w:cstheme="minorEastAsia"/>
                <w:color w:val="000000"/>
                <w:sz w:val="24"/>
                <w:szCs w:val="24"/>
                <w:highlight w:val="none"/>
              </w:rPr>
            </w:pPr>
          </w:p>
        </w:tc>
      </w:tr>
      <w:tr w14:paraId="1E097DD1">
        <w:tblPrEx>
          <w:tblCellMar>
            <w:top w:w="0" w:type="dxa"/>
            <w:left w:w="0" w:type="dxa"/>
            <w:bottom w:w="0" w:type="dxa"/>
            <w:right w:w="0" w:type="dxa"/>
          </w:tblCellMar>
        </w:tblPrEx>
        <w:trPr>
          <w:trHeight w:val="763" w:hRule="atLeast"/>
        </w:trPr>
        <w:tc>
          <w:tcPr>
            <w:tcW w:w="1243" w:type="dxa"/>
            <w:vMerge w:val="continue"/>
            <w:tcBorders>
              <w:left w:val="single" w:color="auto" w:sz="4" w:space="0"/>
              <w:right w:val="single" w:color="auto" w:sz="4" w:space="0"/>
            </w:tcBorders>
            <w:vAlign w:val="center"/>
          </w:tcPr>
          <w:p w14:paraId="0C811BD9">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1F339F5F">
            <w:pPr>
              <w:ind w:firstLine="480"/>
              <w:rPr>
                <w:szCs w:val="21"/>
                <w:highlight w:val="none"/>
              </w:rPr>
            </w:pPr>
            <w:r>
              <w:rPr>
                <w:szCs w:val="21"/>
                <w:highlight w:val="none"/>
              </w:rPr>
              <w:t>开户银行</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D07E1C7">
            <w:pPr>
              <w:rPr>
                <w:rFonts w:hint="eastAsia" w:asciiTheme="minorEastAsia" w:hAnsiTheme="minorEastAsia" w:eastAsiaTheme="minorEastAsia" w:cstheme="minorEastAsia"/>
                <w:color w:val="000000"/>
                <w:sz w:val="24"/>
                <w:szCs w:val="24"/>
                <w:highlight w:val="none"/>
              </w:rPr>
            </w:pPr>
          </w:p>
        </w:tc>
      </w:tr>
      <w:tr w14:paraId="5E61BFF1">
        <w:tblPrEx>
          <w:tblCellMar>
            <w:top w:w="0" w:type="dxa"/>
            <w:left w:w="0" w:type="dxa"/>
            <w:bottom w:w="0" w:type="dxa"/>
            <w:right w:w="0" w:type="dxa"/>
          </w:tblCellMar>
        </w:tblPrEx>
        <w:trPr>
          <w:trHeight w:val="763" w:hRule="atLeast"/>
        </w:trPr>
        <w:tc>
          <w:tcPr>
            <w:tcW w:w="1243" w:type="dxa"/>
            <w:vMerge w:val="continue"/>
            <w:tcBorders>
              <w:left w:val="single" w:color="auto" w:sz="4" w:space="0"/>
              <w:bottom w:val="single" w:color="auto" w:sz="4" w:space="0"/>
              <w:right w:val="single" w:color="auto" w:sz="4" w:space="0"/>
            </w:tcBorders>
            <w:vAlign w:val="center"/>
          </w:tcPr>
          <w:p w14:paraId="47EC9018">
            <w:pPr>
              <w:widowControl/>
              <w:jc w:val="left"/>
              <w:rPr>
                <w:szCs w:val="21"/>
                <w:highlight w:val="none"/>
              </w:rPr>
            </w:pPr>
          </w:p>
        </w:tc>
        <w:tc>
          <w:tcPr>
            <w:tcW w:w="210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66E75B2">
            <w:pPr>
              <w:ind w:firstLine="480"/>
              <w:rPr>
                <w:szCs w:val="21"/>
                <w:highlight w:val="none"/>
              </w:rPr>
            </w:pPr>
            <w:r>
              <w:rPr>
                <w:rFonts w:hint="eastAsia"/>
                <w:szCs w:val="21"/>
                <w:highlight w:val="none"/>
                <w:lang w:val="en-US" w:eastAsia="zh-CN"/>
              </w:rPr>
              <w:t>账</w:t>
            </w:r>
            <w:r>
              <w:rPr>
                <w:szCs w:val="21"/>
                <w:highlight w:val="none"/>
              </w:rPr>
              <w:t>号</w:t>
            </w:r>
          </w:p>
        </w:tc>
        <w:tc>
          <w:tcPr>
            <w:tcW w:w="5830" w:type="dxa"/>
            <w:gridSpan w:val="3"/>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0749285">
            <w:pPr>
              <w:rPr>
                <w:rFonts w:hint="eastAsia" w:asciiTheme="minorEastAsia" w:hAnsiTheme="minorEastAsia" w:eastAsiaTheme="minorEastAsia" w:cstheme="minorEastAsia"/>
                <w:color w:val="000000"/>
                <w:sz w:val="24"/>
                <w:szCs w:val="24"/>
                <w:highlight w:val="none"/>
              </w:rPr>
            </w:pPr>
          </w:p>
        </w:tc>
      </w:tr>
    </w:tbl>
    <w:p w14:paraId="28B5F718">
      <w:pPr>
        <w:spacing w:line="300" w:lineRule="auto"/>
        <w:ind w:firstLine="560" w:firstLineChars="200"/>
        <w:jc w:val="center"/>
        <w:rPr>
          <w:rFonts w:ascii="宋体" w:hAnsi="宋体"/>
          <w:sz w:val="28"/>
          <w:szCs w:val="28"/>
          <w:highlight w:val="none"/>
        </w:rPr>
      </w:pPr>
    </w:p>
    <w:p w14:paraId="7171F6AA">
      <w:pPr>
        <w:spacing w:line="300" w:lineRule="auto"/>
        <w:ind w:firstLine="560" w:firstLineChars="200"/>
        <w:jc w:val="left"/>
        <w:rPr>
          <w:rFonts w:ascii="宋体" w:hAnsi="宋体"/>
          <w:sz w:val="28"/>
          <w:szCs w:val="28"/>
          <w:highlight w:val="none"/>
        </w:rPr>
      </w:pPr>
      <w:r>
        <w:rPr>
          <w:rFonts w:hint="eastAsia" w:ascii="宋体" w:hAnsi="宋体"/>
          <w:sz w:val="28"/>
          <w:szCs w:val="28"/>
          <w:highlight w:val="none"/>
        </w:rPr>
        <w:t>遵照《中华人民共和国</w:t>
      </w:r>
      <w:r>
        <w:rPr>
          <w:rFonts w:hint="eastAsia"/>
          <w:sz w:val="28"/>
          <w:szCs w:val="28"/>
          <w:highlight w:val="none"/>
        </w:rPr>
        <w:t>民法典</w:t>
      </w:r>
      <w:r>
        <w:rPr>
          <w:rFonts w:hint="eastAsia" w:ascii="宋体" w:hAnsi="宋体"/>
          <w:sz w:val="28"/>
          <w:szCs w:val="28"/>
          <w:highlight w:val="none"/>
        </w:rPr>
        <w:t>》及其它相关的法律、法规的规定，为明确双方的权利、义务和经济责任，本着平等互利的原则，甲、乙双方就</w:t>
      </w:r>
      <w:r>
        <w:rPr>
          <w:rFonts w:hint="eastAsia" w:ascii="宋体" w:hAnsi="宋体"/>
          <w:sz w:val="28"/>
          <w:szCs w:val="28"/>
          <w:highlight w:val="none"/>
          <w:lang w:eastAsia="zh-CN"/>
        </w:rPr>
        <w:t>（技改检修项目）</w:t>
      </w:r>
      <w:r>
        <w:rPr>
          <w:rFonts w:hint="eastAsia" w:ascii="宋体" w:hAnsi="宋体"/>
          <w:sz w:val="28"/>
          <w:szCs w:val="28"/>
          <w:highlight w:val="none"/>
        </w:rPr>
        <w:t>，经友好协商，特订立本合同，双方共同遵守，合同条款如下：</w:t>
      </w:r>
    </w:p>
    <w:p w14:paraId="03190C29">
      <w:pPr>
        <w:spacing w:line="300" w:lineRule="auto"/>
        <w:outlineLvl w:val="0"/>
        <w:rPr>
          <w:rFonts w:ascii="宋体" w:hAnsi="宋体"/>
          <w:sz w:val="28"/>
          <w:szCs w:val="28"/>
          <w:highlight w:val="none"/>
        </w:rPr>
      </w:pPr>
      <w:r>
        <w:rPr>
          <w:rFonts w:hint="eastAsia" w:ascii="宋体" w:hAnsi="宋体"/>
          <w:b/>
          <w:sz w:val="28"/>
          <w:szCs w:val="28"/>
          <w:highlight w:val="none"/>
        </w:rPr>
        <w:t>第一条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工程项目</w:t>
      </w:r>
    </w:p>
    <w:p w14:paraId="068D0174">
      <w:pPr>
        <w:spacing w:line="300" w:lineRule="auto"/>
        <w:outlineLvl w:val="1"/>
        <w:rPr>
          <w:rFonts w:hint="default" w:ascii="宋体" w:hAnsi="宋体" w:eastAsia="宋体"/>
          <w:b/>
          <w:sz w:val="28"/>
          <w:szCs w:val="28"/>
          <w:highlight w:val="none"/>
          <w:u w:val="single"/>
          <w:lang w:val="en-US" w:eastAsia="zh-CN"/>
        </w:rPr>
      </w:pPr>
      <w:r>
        <w:rPr>
          <w:rFonts w:hint="eastAsia" w:ascii="宋体" w:hAnsi="宋体"/>
          <w:sz w:val="28"/>
          <w:szCs w:val="28"/>
          <w:highlight w:val="none"/>
        </w:rPr>
        <w:t>1、工程名称：</w:t>
      </w:r>
      <w:r>
        <w:rPr>
          <w:rFonts w:hint="eastAsia" w:ascii="宋体" w:hAnsi="宋体"/>
          <w:sz w:val="28"/>
          <w:szCs w:val="28"/>
          <w:highlight w:val="none"/>
          <w:lang w:val="en-US" w:eastAsia="zh-CN"/>
        </w:rPr>
        <w:t>威宁五里岗光伏电站2025年楼梯门修复及加高两侧护栏处理项目</w:t>
      </w:r>
    </w:p>
    <w:p w14:paraId="2CA6A65C">
      <w:pPr>
        <w:spacing w:line="300" w:lineRule="auto"/>
        <w:outlineLvl w:val="0"/>
        <w:rPr>
          <w:rFonts w:ascii="宋体" w:hAnsi="宋体"/>
          <w:b/>
          <w:sz w:val="28"/>
          <w:szCs w:val="28"/>
          <w:highlight w:val="none"/>
        </w:rPr>
      </w:pPr>
      <w:r>
        <w:rPr>
          <w:rFonts w:hint="eastAsia" w:ascii="宋体" w:hAnsi="宋体"/>
          <w:b/>
          <w:sz w:val="28"/>
          <w:szCs w:val="28"/>
          <w:highlight w:val="none"/>
        </w:rPr>
        <w:t>第二条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工程承包范围及主要施工内容</w:t>
      </w:r>
    </w:p>
    <w:p w14:paraId="2F725F87">
      <w:pPr>
        <w:widowControl/>
        <w:spacing w:line="300" w:lineRule="auto"/>
        <w:jc w:val="left"/>
        <w:rPr>
          <w:rFonts w:ascii="宋体" w:hAnsi="宋体"/>
          <w:sz w:val="28"/>
          <w:szCs w:val="28"/>
          <w:highlight w:val="none"/>
        </w:rPr>
      </w:pPr>
      <w:r>
        <w:rPr>
          <w:rFonts w:hint="eastAsia" w:ascii="宋体" w:hAnsi="宋体"/>
          <w:sz w:val="28"/>
          <w:szCs w:val="28"/>
          <w:highlight w:val="none"/>
        </w:rPr>
        <w:t>1、本工程主要承包范围为：</w:t>
      </w:r>
    </w:p>
    <w:p w14:paraId="0E0D8E4F">
      <w:pPr>
        <w:widowControl/>
        <w:spacing w:line="300" w:lineRule="auto"/>
        <w:ind w:firstLine="560" w:firstLineChars="200"/>
        <w:jc w:val="left"/>
        <w:rPr>
          <w:rFonts w:ascii="宋体" w:hAnsi="宋体"/>
          <w:sz w:val="28"/>
          <w:szCs w:val="28"/>
          <w:highlight w:val="none"/>
        </w:rPr>
      </w:pPr>
      <w:r>
        <w:rPr>
          <w:rFonts w:hint="eastAsia" w:ascii="宋体" w:hAnsi="宋体"/>
          <w:sz w:val="28"/>
          <w:szCs w:val="28"/>
          <w:highlight w:val="none"/>
        </w:rPr>
        <w:t>具体工作内容按采购阶段的技术协议</w:t>
      </w:r>
      <w:r>
        <w:rPr>
          <w:rFonts w:hint="eastAsia"/>
          <w:sz w:val="28"/>
          <w:szCs w:val="28"/>
          <w:highlight w:val="none"/>
        </w:rPr>
        <w:t>执行</w:t>
      </w:r>
      <w:r>
        <w:rPr>
          <w:rFonts w:hint="eastAsia" w:ascii="宋体" w:hAnsi="宋体"/>
          <w:sz w:val="28"/>
          <w:szCs w:val="28"/>
          <w:highlight w:val="none"/>
        </w:rPr>
        <w:t>。</w:t>
      </w:r>
    </w:p>
    <w:p w14:paraId="2FFECDC2">
      <w:pPr>
        <w:widowControl/>
        <w:spacing w:line="300" w:lineRule="auto"/>
        <w:jc w:val="left"/>
        <w:rPr>
          <w:rFonts w:ascii="宋体" w:hAnsi="宋体"/>
          <w:sz w:val="28"/>
          <w:szCs w:val="28"/>
          <w:highlight w:val="none"/>
        </w:rPr>
      </w:pPr>
      <w:r>
        <w:rPr>
          <w:rFonts w:hint="eastAsia" w:ascii="宋体" w:hAnsi="宋体"/>
          <w:sz w:val="28"/>
          <w:szCs w:val="28"/>
          <w:highlight w:val="none"/>
        </w:rPr>
        <w:t>2、乙方负责为完成本合同下工程所需要的</w:t>
      </w:r>
      <w:r>
        <w:rPr>
          <w:rFonts w:hint="eastAsia" w:ascii="宋体" w:hAnsi="宋体"/>
          <w:spacing w:val="-8"/>
          <w:sz w:val="28"/>
          <w:szCs w:val="28"/>
          <w:highlight w:val="none"/>
        </w:rPr>
        <w:t>安全、健康及环保</w:t>
      </w:r>
      <w:r>
        <w:rPr>
          <w:rFonts w:hint="eastAsia" w:ascii="宋体" w:hAnsi="宋体"/>
          <w:sz w:val="28"/>
          <w:szCs w:val="28"/>
          <w:highlight w:val="none"/>
        </w:rPr>
        <w:t>防护措施（包括保护临近构筑物、设备设施的防护）的布设以及拆除。</w:t>
      </w:r>
    </w:p>
    <w:p w14:paraId="41DFCB7D">
      <w:pPr>
        <w:widowControl/>
        <w:spacing w:line="300" w:lineRule="auto"/>
        <w:jc w:val="left"/>
        <w:rPr>
          <w:rFonts w:ascii="宋体" w:hAnsi="宋体"/>
          <w:sz w:val="28"/>
          <w:szCs w:val="28"/>
          <w:highlight w:val="none"/>
        </w:rPr>
      </w:pPr>
      <w:r>
        <w:rPr>
          <w:rFonts w:hint="eastAsia" w:ascii="宋体" w:hAnsi="宋体"/>
          <w:sz w:val="28"/>
          <w:szCs w:val="28"/>
          <w:highlight w:val="none"/>
        </w:rPr>
        <w:t>3、乙方负责本工程所有材料的运输，所有运输费用已包含在合同总价中。</w:t>
      </w:r>
    </w:p>
    <w:p w14:paraId="6DF68F6B">
      <w:pPr>
        <w:widowControl/>
        <w:spacing w:line="300" w:lineRule="auto"/>
        <w:jc w:val="left"/>
        <w:rPr>
          <w:rFonts w:ascii="宋体" w:hAnsi="宋体"/>
          <w:sz w:val="28"/>
          <w:szCs w:val="28"/>
          <w:highlight w:val="none"/>
        </w:rPr>
      </w:pPr>
      <w:r>
        <w:rPr>
          <w:rFonts w:hint="eastAsia" w:ascii="宋体" w:hAnsi="宋体"/>
          <w:sz w:val="28"/>
          <w:szCs w:val="28"/>
          <w:highlight w:val="none"/>
        </w:rPr>
        <w:t>4、工程完工后，乙方应及时清理、清洁作业场地，将废料、垃圾运至厂外或甲方指定地点。</w:t>
      </w:r>
    </w:p>
    <w:p w14:paraId="00412E0D">
      <w:pPr>
        <w:widowControl/>
        <w:spacing w:line="300" w:lineRule="auto"/>
        <w:jc w:val="left"/>
        <w:rPr>
          <w:rFonts w:ascii="宋体" w:hAnsi="宋体"/>
          <w:sz w:val="28"/>
          <w:szCs w:val="28"/>
          <w:highlight w:val="none"/>
        </w:rPr>
      </w:pPr>
      <w:r>
        <w:rPr>
          <w:rFonts w:hint="eastAsia" w:ascii="宋体" w:hAnsi="宋体"/>
          <w:sz w:val="28"/>
          <w:szCs w:val="28"/>
          <w:highlight w:val="none"/>
        </w:rPr>
        <w:t>5、如上述条款与技术协议不一致，按技术协议执行。</w:t>
      </w:r>
    </w:p>
    <w:p w14:paraId="2A4875F3">
      <w:pPr>
        <w:spacing w:line="300" w:lineRule="auto"/>
        <w:outlineLvl w:val="0"/>
        <w:rPr>
          <w:rFonts w:ascii="宋体" w:hAnsi="宋体"/>
          <w:b/>
          <w:sz w:val="28"/>
          <w:szCs w:val="28"/>
          <w:highlight w:val="none"/>
        </w:rPr>
      </w:pPr>
      <w:r>
        <w:rPr>
          <w:rFonts w:hint="eastAsia" w:ascii="宋体" w:hAnsi="宋体"/>
          <w:b/>
          <w:sz w:val="28"/>
          <w:szCs w:val="28"/>
          <w:highlight w:val="none"/>
        </w:rPr>
        <w:t>第三条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承包方式</w:t>
      </w:r>
    </w:p>
    <w:p w14:paraId="725C0B62">
      <w:pPr>
        <w:widowControl/>
        <w:spacing w:line="300" w:lineRule="auto"/>
        <w:ind w:firstLine="560" w:firstLineChars="200"/>
        <w:jc w:val="left"/>
        <w:rPr>
          <w:rFonts w:ascii="宋体" w:hAnsi="宋体"/>
          <w:sz w:val="28"/>
          <w:szCs w:val="28"/>
          <w:highlight w:val="none"/>
        </w:rPr>
      </w:pPr>
      <w:r>
        <w:rPr>
          <w:rFonts w:hint="eastAsia" w:ascii="宋体" w:hAnsi="宋体"/>
          <w:sz w:val="28"/>
          <w:szCs w:val="28"/>
          <w:highlight w:val="none"/>
        </w:rPr>
        <w:t>本工程采用乙方包工、包安全、包质量、包施工机械、包工期的总承包方式。</w:t>
      </w:r>
    </w:p>
    <w:p w14:paraId="4D309BDE">
      <w:pPr>
        <w:spacing w:line="300" w:lineRule="auto"/>
        <w:outlineLvl w:val="0"/>
        <w:rPr>
          <w:rFonts w:ascii="宋体" w:hAnsi="宋体"/>
          <w:sz w:val="28"/>
          <w:szCs w:val="28"/>
          <w:highlight w:val="none"/>
        </w:rPr>
      </w:pPr>
      <w:r>
        <w:rPr>
          <w:rFonts w:hint="eastAsia" w:ascii="宋体" w:hAnsi="宋体"/>
          <w:b/>
          <w:sz w:val="28"/>
          <w:szCs w:val="28"/>
          <w:highlight w:val="none"/>
        </w:rPr>
        <w:t>第四条 合同工期</w:t>
      </w:r>
    </w:p>
    <w:p w14:paraId="661C3464">
      <w:pPr>
        <w:spacing w:line="300" w:lineRule="auto"/>
        <w:rPr>
          <w:sz w:val="28"/>
          <w:szCs w:val="28"/>
          <w:highlight w:val="none"/>
        </w:rPr>
      </w:pPr>
      <w:r>
        <w:rPr>
          <w:rFonts w:hint="eastAsia" w:ascii="宋体" w:hAnsi="宋体"/>
          <w:sz w:val="28"/>
          <w:szCs w:val="28"/>
          <w:highlight w:val="none"/>
        </w:rPr>
        <w:t>1、本项目从合同签订之日起到</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年</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月</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日之前完成本</w:t>
      </w:r>
      <w:r>
        <w:rPr>
          <w:rFonts w:hint="eastAsia" w:ascii="宋体" w:hAnsi="宋体"/>
          <w:sz w:val="28"/>
          <w:szCs w:val="28"/>
          <w:highlight w:val="none"/>
          <w:lang w:eastAsia="zh-CN"/>
        </w:rPr>
        <w:t>合同</w:t>
      </w:r>
      <w:r>
        <w:rPr>
          <w:rFonts w:hint="eastAsia" w:ascii="宋体" w:hAnsi="宋体"/>
          <w:sz w:val="28"/>
          <w:szCs w:val="28"/>
          <w:highlight w:val="none"/>
        </w:rPr>
        <w:t>范围的全部工作内容。其中具体的工期要求以采购文件中的技术要求为准。</w:t>
      </w:r>
    </w:p>
    <w:p w14:paraId="1BA89601">
      <w:pPr>
        <w:spacing w:line="300" w:lineRule="auto"/>
        <w:rPr>
          <w:rFonts w:ascii="宋体" w:hAnsi="宋体"/>
          <w:sz w:val="28"/>
          <w:szCs w:val="28"/>
          <w:highlight w:val="none"/>
        </w:rPr>
      </w:pPr>
      <w:r>
        <w:rPr>
          <w:rFonts w:hint="eastAsia" w:ascii="宋体" w:hAnsi="宋体"/>
          <w:sz w:val="28"/>
          <w:szCs w:val="28"/>
          <w:highlight w:val="none"/>
        </w:rPr>
        <w:t>2、乙方必须按合同工期完成合同规定的施工内容，不得以任何理由拖延工期（符合调整工期除外），若因乙方原因造成拖延工期，乙方将承担违约责任；给甲方造成损失的应当承担赔偿责任。</w:t>
      </w:r>
    </w:p>
    <w:p w14:paraId="1FB0E07E">
      <w:pPr>
        <w:spacing w:line="300" w:lineRule="auto"/>
        <w:rPr>
          <w:rFonts w:ascii="宋体" w:hAnsi="宋体"/>
          <w:sz w:val="28"/>
          <w:szCs w:val="28"/>
          <w:highlight w:val="none"/>
        </w:rPr>
      </w:pPr>
      <w:r>
        <w:rPr>
          <w:rFonts w:hint="eastAsia" w:ascii="宋体" w:hAnsi="宋体"/>
          <w:sz w:val="28"/>
          <w:szCs w:val="28"/>
          <w:highlight w:val="none"/>
        </w:rPr>
        <w:t>3、调整合同工期的条件：</w:t>
      </w:r>
    </w:p>
    <w:p w14:paraId="2C7A557A">
      <w:pPr>
        <w:spacing w:line="300" w:lineRule="auto"/>
        <w:ind w:firstLine="560" w:firstLineChars="200"/>
        <w:jc w:val="left"/>
        <w:rPr>
          <w:rFonts w:ascii="宋体" w:hAnsi="宋体"/>
          <w:sz w:val="28"/>
          <w:szCs w:val="28"/>
          <w:highlight w:val="none"/>
        </w:rPr>
      </w:pPr>
      <w:r>
        <w:rPr>
          <w:rFonts w:hint="eastAsia" w:ascii="宋体" w:hAnsi="宋体"/>
          <w:sz w:val="28"/>
          <w:szCs w:val="28"/>
          <w:highlight w:val="none"/>
        </w:rPr>
        <w:t>3.1 甲方书面确认的不可抗力灾害（如：地震、洪灾、台风登陆、战争等）造成的工期延误；</w:t>
      </w:r>
    </w:p>
    <w:p w14:paraId="658F341B">
      <w:pPr>
        <w:spacing w:line="300" w:lineRule="auto"/>
        <w:ind w:firstLine="560" w:firstLineChars="200"/>
        <w:jc w:val="left"/>
        <w:rPr>
          <w:rFonts w:ascii="宋体" w:hAnsi="宋体"/>
          <w:sz w:val="28"/>
          <w:szCs w:val="28"/>
          <w:highlight w:val="none"/>
        </w:rPr>
      </w:pPr>
      <w:r>
        <w:rPr>
          <w:rFonts w:hint="eastAsia" w:ascii="宋体" w:hAnsi="宋体"/>
          <w:sz w:val="28"/>
          <w:szCs w:val="28"/>
          <w:highlight w:val="none"/>
        </w:rPr>
        <w:t>3.2 甲方书面确认的非乙方责任造成的工期延误。</w:t>
      </w:r>
    </w:p>
    <w:p w14:paraId="71AF0E05">
      <w:pPr>
        <w:spacing w:line="300" w:lineRule="auto"/>
        <w:outlineLvl w:val="0"/>
        <w:rPr>
          <w:rFonts w:ascii="宋体" w:hAnsi="宋体"/>
          <w:b/>
          <w:sz w:val="28"/>
          <w:szCs w:val="28"/>
          <w:highlight w:val="none"/>
        </w:rPr>
      </w:pPr>
      <w:r>
        <w:rPr>
          <w:rFonts w:hint="eastAsia" w:ascii="宋体" w:hAnsi="宋体"/>
          <w:b/>
          <w:sz w:val="28"/>
          <w:szCs w:val="28"/>
          <w:highlight w:val="none"/>
        </w:rPr>
        <w:t>第五条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质量及验收标准</w:t>
      </w:r>
    </w:p>
    <w:p w14:paraId="64B33808">
      <w:pPr>
        <w:spacing w:line="300" w:lineRule="auto"/>
        <w:rPr>
          <w:rFonts w:ascii="宋体" w:hAnsi="宋体"/>
          <w:sz w:val="28"/>
          <w:szCs w:val="28"/>
          <w:highlight w:val="none"/>
        </w:rPr>
      </w:pPr>
      <w:r>
        <w:rPr>
          <w:rFonts w:hint="eastAsia" w:ascii="宋体" w:hAnsi="宋体"/>
          <w:sz w:val="28"/>
          <w:szCs w:val="28"/>
          <w:highlight w:val="none"/>
        </w:rPr>
        <w:t>1、乙方应按规定负责对乙方采购的原材料及备件使用前的检验工作。未经检验合格的材料/备件不得使用于本工程。不得使用应当淘汰的危及生产安全的工艺、设备。</w:t>
      </w:r>
    </w:p>
    <w:p w14:paraId="25A0DA0B">
      <w:pPr>
        <w:spacing w:line="300" w:lineRule="auto"/>
        <w:rPr>
          <w:rFonts w:ascii="宋体" w:hAnsi="宋体"/>
          <w:b/>
          <w:sz w:val="28"/>
          <w:szCs w:val="28"/>
          <w:highlight w:val="none"/>
          <w:u w:val="single"/>
        </w:rPr>
      </w:pPr>
      <w:r>
        <w:rPr>
          <w:rFonts w:hint="eastAsia" w:ascii="宋体" w:hAnsi="宋体"/>
          <w:sz w:val="28"/>
          <w:szCs w:val="28"/>
          <w:highlight w:val="none"/>
        </w:rPr>
        <w:t>2、本工程的质量标准：遵照国家、行业、甲方的管理标准、该项目招标技术条件书或双方约定的技术协议的标准执行。</w:t>
      </w:r>
    </w:p>
    <w:p w14:paraId="70D4F0B8">
      <w:pPr>
        <w:spacing w:line="300" w:lineRule="auto"/>
        <w:rPr>
          <w:rFonts w:ascii="宋体" w:hAnsi="宋体"/>
          <w:sz w:val="28"/>
          <w:szCs w:val="28"/>
          <w:highlight w:val="none"/>
        </w:rPr>
      </w:pPr>
      <w:r>
        <w:rPr>
          <w:rFonts w:hint="eastAsia" w:ascii="宋体" w:hAnsi="宋体"/>
          <w:sz w:val="28"/>
          <w:szCs w:val="28"/>
          <w:highlight w:val="none"/>
        </w:rPr>
        <w:t>3、本工程按国家相关标准进行验收，工程质量应达到国家或专业的质量检验评定标准的合格条件，属乙方责任造成的质量问题则由乙方承担违约责任，工期不顺延，返工所发生的费用由乙方承担；因甲方责任需返工则由甲方承担责任，返工费用由甲方承担，工期相应顺延。</w:t>
      </w:r>
    </w:p>
    <w:p w14:paraId="319F3F86">
      <w:pPr>
        <w:pStyle w:val="7"/>
        <w:spacing w:line="300" w:lineRule="auto"/>
        <w:ind w:left="0" w:leftChars="0"/>
        <w:rPr>
          <w:rFonts w:ascii="宋体" w:hAnsi="宋体"/>
          <w:sz w:val="28"/>
          <w:szCs w:val="28"/>
          <w:highlight w:val="none"/>
        </w:rPr>
      </w:pPr>
      <w:r>
        <w:rPr>
          <w:rFonts w:hint="eastAsia" w:ascii="宋体" w:hAnsi="宋体"/>
          <w:sz w:val="28"/>
          <w:szCs w:val="28"/>
          <w:highlight w:val="none"/>
        </w:rPr>
        <w:t>4、上述国家标准如与承包方所执行的标准不一致时，按较高标准执行。</w:t>
      </w:r>
    </w:p>
    <w:p w14:paraId="57945304">
      <w:pPr>
        <w:spacing w:line="300" w:lineRule="auto"/>
        <w:outlineLvl w:val="0"/>
        <w:rPr>
          <w:rFonts w:ascii="宋体" w:hAnsi="宋体"/>
          <w:sz w:val="28"/>
          <w:szCs w:val="28"/>
          <w:highlight w:val="none"/>
        </w:rPr>
      </w:pPr>
      <w:r>
        <w:rPr>
          <w:rFonts w:hint="eastAsia" w:ascii="宋体" w:hAnsi="宋体"/>
          <w:b/>
          <w:sz w:val="28"/>
          <w:szCs w:val="28"/>
          <w:highlight w:val="none"/>
        </w:rPr>
        <w:t>第六条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合同价款</w:t>
      </w:r>
    </w:p>
    <w:p w14:paraId="7D16897E">
      <w:pPr>
        <w:numPr>
          <w:ilvl w:val="0"/>
          <w:numId w:val="1"/>
        </w:numPr>
        <w:spacing w:line="300" w:lineRule="auto"/>
        <w:ind w:left="238" w:hanging="238" w:hangingChars="85"/>
        <w:rPr>
          <w:rFonts w:ascii="宋体" w:hAnsi="宋体"/>
          <w:sz w:val="28"/>
          <w:szCs w:val="28"/>
          <w:highlight w:val="none"/>
        </w:rPr>
      </w:pPr>
      <w:r>
        <w:rPr>
          <w:rFonts w:hint="eastAsia" w:ascii="宋体" w:hAnsi="宋体"/>
          <w:sz w:val="28"/>
          <w:szCs w:val="28"/>
          <w:highlight w:val="none"/>
        </w:rPr>
        <w:t>本项目以</w:t>
      </w:r>
      <w:r>
        <w:rPr>
          <w:rFonts w:hint="eastAsia" w:ascii="宋体" w:hAnsi="宋体"/>
          <w:sz w:val="28"/>
          <w:szCs w:val="28"/>
          <w:highlight w:val="none"/>
          <w:lang w:val="en-US" w:eastAsia="zh-CN"/>
        </w:rPr>
        <w:t>固</w:t>
      </w:r>
      <w:r>
        <w:rPr>
          <w:rFonts w:hint="eastAsia" w:ascii="宋体" w:hAnsi="宋体"/>
          <w:sz w:val="28"/>
          <w:szCs w:val="28"/>
          <w:highlight w:val="none"/>
        </w:rPr>
        <w:t>定总价方式承揽，合同总价为</w:t>
      </w:r>
      <w:r>
        <w:rPr>
          <w:rFonts w:hint="eastAsia" w:ascii="宋体" w:hAnsi="宋体" w:eastAsia="宋体" w:cs="宋体"/>
          <w:color w:val="000000"/>
          <w:sz w:val="28"/>
          <w:szCs w:val="28"/>
          <w:lang w:val="en-US" w:eastAsia="zh-CN"/>
        </w:rPr>
        <w:t>人民币含税价小写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税率为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%，其中，不含税价为小写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宋体" w:hAnsi="宋体"/>
          <w:sz w:val="28"/>
          <w:szCs w:val="28"/>
          <w:highlight w:val="none"/>
        </w:rPr>
        <w:t>，</w:t>
      </w:r>
      <w:r>
        <w:rPr>
          <w:rFonts w:hint="eastAsia" w:ascii="宋体" w:hAnsi="宋体"/>
          <w:sz w:val="28"/>
          <w:szCs w:val="28"/>
          <w:highlight w:val="none"/>
          <w:lang w:val="en-US" w:eastAsia="zh-CN"/>
        </w:rPr>
        <w:t xml:space="preserve"> </w:t>
      </w:r>
      <w:r>
        <w:rPr>
          <w:rFonts w:hint="eastAsia" w:ascii="宋体" w:hAnsi="宋体"/>
          <w:sz w:val="28"/>
          <w:szCs w:val="28"/>
          <w:highlight w:val="none"/>
        </w:rPr>
        <w:t>实际价款根据实际完成工程量</w:t>
      </w:r>
      <w:r>
        <w:rPr>
          <w:rFonts w:hint="eastAsia" w:ascii="宋体" w:hAnsi="宋体"/>
          <w:sz w:val="28"/>
          <w:szCs w:val="28"/>
          <w:highlight w:val="none"/>
          <w:lang w:val="en-US" w:eastAsia="zh-CN"/>
        </w:rPr>
        <w:t>及中标</w:t>
      </w:r>
      <w:r>
        <w:rPr>
          <w:rFonts w:hint="eastAsia" w:ascii="宋体" w:hAnsi="宋体"/>
          <w:sz w:val="28"/>
          <w:szCs w:val="28"/>
          <w:highlight w:val="none"/>
        </w:rPr>
        <w:t>价结算。</w:t>
      </w:r>
    </w:p>
    <w:p w14:paraId="7CFD818C">
      <w:pPr>
        <w:spacing w:line="360" w:lineRule="auto"/>
        <w:ind w:firstLine="560" w:firstLineChars="200"/>
        <w:rPr>
          <w:sz w:val="28"/>
          <w:szCs w:val="28"/>
          <w:highlight w:val="none"/>
        </w:rPr>
      </w:pPr>
      <w:r>
        <w:rPr>
          <w:sz w:val="28"/>
          <w:szCs w:val="28"/>
          <w:highlight w:val="none"/>
        </w:rPr>
        <w:t xml:space="preserve">发票开具情况详见下表： </w:t>
      </w:r>
    </w:p>
    <w:tbl>
      <w:tblPr>
        <w:tblStyle w:val="13"/>
        <w:tblW w:w="8489" w:type="dxa"/>
        <w:jc w:val="center"/>
        <w:tblLayout w:type="fixed"/>
        <w:tblCellMar>
          <w:top w:w="0" w:type="dxa"/>
          <w:left w:w="108" w:type="dxa"/>
          <w:bottom w:w="0" w:type="dxa"/>
          <w:right w:w="108" w:type="dxa"/>
        </w:tblCellMar>
      </w:tblPr>
      <w:tblGrid>
        <w:gridCol w:w="773"/>
        <w:gridCol w:w="4536"/>
        <w:gridCol w:w="1701"/>
        <w:gridCol w:w="1479"/>
      </w:tblGrid>
      <w:tr w14:paraId="785C2B75">
        <w:tblPrEx>
          <w:tblCellMar>
            <w:top w:w="0" w:type="dxa"/>
            <w:left w:w="108" w:type="dxa"/>
            <w:bottom w:w="0" w:type="dxa"/>
            <w:right w:w="108" w:type="dxa"/>
          </w:tblCellMar>
        </w:tblPrEx>
        <w:trPr>
          <w:trHeight w:val="480"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3E18A803">
            <w:pPr>
              <w:widowControl/>
              <w:jc w:val="center"/>
              <w:rPr>
                <w:b/>
                <w:bCs/>
                <w:kern w:val="0"/>
                <w:sz w:val="24"/>
                <w:szCs w:val="24"/>
                <w:highlight w:val="none"/>
              </w:rPr>
            </w:pPr>
            <w:r>
              <w:rPr>
                <w:b/>
                <w:bCs/>
                <w:kern w:val="0"/>
                <w:sz w:val="24"/>
                <w:szCs w:val="24"/>
                <w:highlight w:val="none"/>
              </w:rPr>
              <w:t>序号</w:t>
            </w:r>
          </w:p>
        </w:tc>
        <w:tc>
          <w:tcPr>
            <w:tcW w:w="4536" w:type="dxa"/>
            <w:tcBorders>
              <w:top w:val="single" w:color="auto" w:sz="4" w:space="0"/>
              <w:left w:val="nil"/>
              <w:bottom w:val="single" w:color="auto" w:sz="4" w:space="0"/>
              <w:right w:val="single" w:color="auto" w:sz="4" w:space="0"/>
            </w:tcBorders>
            <w:vAlign w:val="center"/>
          </w:tcPr>
          <w:p w14:paraId="684D89A2">
            <w:pPr>
              <w:widowControl/>
              <w:jc w:val="center"/>
              <w:rPr>
                <w:b/>
                <w:bCs/>
                <w:kern w:val="0"/>
                <w:sz w:val="24"/>
                <w:szCs w:val="24"/>
                <w:highlight w:val="none"/>
              </w:rPr>
            </w:pPr>
            <w:r>
              <w:rPr>
                <w:b/>
                <w:bCs/>
                <w:kern w:val="0"/>
                <w:sz w:val="24"/>
                <w:szCs w:val="24"/>
                <w:highlight w:val="none"/>
              </w:rPr>
              <w:t>项目名称</w:t>
            </w:r>
          </w:p>
        </w:tc>
        <w:tc>
          <w:tcPr>
            <w:tcW w:w="1701" w:type="dxa"/>
            <w:tcBorders>
              <w:top w:val="single" w:color="auto" w:sz="4" w:space="0"/>
              <w:left w:val="nil"/>
              <w:bottom w:val="single" w:color="auto" w:sz="4" w:space="0"/>
              <w:right w:val="single" w:color="auto" w:sz="4" w:space="0"/>
            </w:tcBorders>
            <w:vAlign w:val="center"/>
          </w:tcPr>
          <w:p w14:paraId="636F31BB">
            <w:pPr>
              <w:widowControl/>
              <w:jc w:val="center"/>
              <w:rPr>
                <w:b/>
                <w:bCs/>
                <w:kern w:val="0"/>
                <w:sz w:val="24"/>
                <w:szCs w:val="24"/>
                <w:highlight w:val="none"/>
              </w:rPr>
            </w:pPr>
            <w:r>
              <w:rPr>
                <w:b/>
                <w:bCs/>
                <w:kern w:val="0"/>
                <w:sz w:val="24"/>
                <w:szCs w:val="24"/>
                <w:highlight w:val="none"/>
              </w:rPr>
              <w:t>光伏发电项目</w:t>
            </w:r>
          </w:p>
        </w:tc>
        <w:tc>
          <w:tcPr>
            <w:tcW w:w="1479" w:type="dxa"/>
            <w:tcBorders>
              <w:top w:val="single" w:color="auto" w:sz="4" w:space="0"/>
              <w:left w:val="nil"/>
              <w:bottom w:val="single" w:color="auto" w:sz="4" w:space="0"/>
              <w:right w:val="single" w:color="auto" w:sz="4" w:space="0"/>
            </w:tcBorders>
            <w:vAlign w:val="center"/>
          </w:tcPr>
          <w:p w14:paraId="44B05025">
            <w:pPr>
              <w:widowControl/>
              <w:jc w:val="center"/>
              <w:rPr>
                <w:b/>
                <w:bCs/>
                <w:kern w:val="0"/>
                <w:sz w:val="24"/>
                <w:szCs w:val="24"/>
                <w:highlight w:val="none"/>
              </w:rPr>
            </w:pPr>
            <w:r>
              <w:rPr>
                <w:b/>
                <w:bCs/>
                <w:kern w:val="0"/>
                <w:sz w:val="24"/>
                <w:szCs w:val="24"/>
                <w:highlight w:val="none"/>
              </w:rPr>
              <w:t>备注</w:t>
            </w:r>
          </w:p>
        </w:tc>
      </w:tr>
      <w:tr w14:paraId="270079F5">
        <w:tblPrEx>
          <w:tblCellMar>
            <w:top w:w="0" w:type="dxa"/>
            <w:left w:w="108" w:type="dxa"/>
            <w:bottom w:w="0" w:type="dxa"/>
            <w:right w:w="108" w:type="dxa"/>
          </w:tblCellMar>
        </w:tblPrEx>
        <w:trPr>
          <w:trHeight w:val="480" w:hRule="atLeast"/>
          <w:jc w:val="center"/>
        </w:trPr>
        <w:tc>
          <w:tcPr>
            <w:tcW w:w="8489" w:type="dxa"/>
            <w:gridSpan w:val="4"/>
            <w:tcBorders>
              <w:top w:val="single" w:color="auto" w:sz="4" w:space="0"/>
              <w:left w:val="single" w:color="auto" w:sz="4" w:space="0"/>
              <w:bottom w:val="single" w:color="auto" w:sz="4" w:space="0"/>
              <w:right w:val="single" w:color="auto" w:sz="4" w:space="0"/>
            </w:tcBorders>
            <w:vAlign w:val="center"/>
          </w:tcPr>
          <w:p w14:paraId="55CA304F">
            <w:pPr>
              <w:widowControl/>
              <w:jc w:val="left"/>
              <w:rPr>
                <w:b/>
                <w:kern w:val="0"/>
                <w:sz w:val="24"/>
                <w:szCs w:val="24"/>
                <w:highlight w:val="none"/>
              </w:rPr>
            </w:pPr>
            <w:r>
              <w:rPr>
                <w:b/>
                <w:kern w:val="0"/>
                <w:sz w:val="24"/>
                <w:szCs w:val="24"/>
                <w:highlight w:val="none"/>
              </w:rPr>
              <w:t>一、增值税票（1</w:t>
            </w:r>
            <w:r>
              <w:rPr>
                <w:rFonts w:hint="eastAsia"/>
                <w:b/>
                <w:kern w:val="0"/>
                <w:sz w:val="24"/>
                <w:szCs w:val="24"/>
                <w:highlight w:val="none"/>
              </w:rPr>
              <w:t>3</w:t>
            </w:r>
            <w:r>
              <w:rPr>
                <w:b/>
                <w:kern w:val="0"/>
                <w:sz w:val="24"/>
                <w:szCs w:val="24"/>
                <w:highlight w:val="none"/>
              </w:rPr>
              <w:t>%）</w:t>
            </w:r>
          </w:p>
        </w:tc>
      </w:tr>
      <w:tr w14:paraId="6B7B8625">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30DFA1C6">
            <w:pPr>
              <w:widowControl/>
              <w:jc w:val="center"/>
              <w:rPr>
                <w:kern w:val="0"/>
                <w:sz w:val="24"/>
                <w:szCs w:val="24"/>
                <w:highlight w:val="none"/>
              </w:rPr>
            </w:pPr>
            <w:r>
              <w:rPr>
                <w:kern w:val="0"/>
                <w:sz w:val="24"/>
                <w:szCs w:val="24"/>
                <w:highlight w:val="none"/>
              </w:rPr>
              <w:t>1</w:t>
            </w:r>
          </w:p>
        </w:tc>
        <w:tc>
          <w:tcPr>
            <w:tcW w:w="4536" w:type="dxa"/>
            <w:tcBorders>
              <w:top w:val="nil"/>
              <w:left w:val="nil"/>
              <w:bottom w:val="single" w:color="auto" w:sz="4" w:space="0"/>
              <w:right w:val="single" w:color="auto" w:sz="4" w:space="0"/>
            </w:tcBorders>
            <w:vAlign w:val="center"/>
          </w:tcPr>
          <w:p w14:paraId="2FB526C9">
            <w:pPr>
              <w:widowControl/>
              <w:jc w:val="left"/>
              <w:rPr>
                <w:kern w:val="0"/>
                <w:sz w:val="24"/>
                <w:szCs w:val="24"/>
                <w:highlight w:val="none"/>
              </w:rPr>
            </w:pPr>
            <w:r>
              <w:rPr>
                <w:kern w:val="0"/>
                <w:sz w:val="24"/>
                <w:szCs w:val="24"/>
                <w:highlight w:val="none"/>
              </w:rPr>
              <w:t>设备费</w:t>
            </w:r>
          </w:p>
        </w:tc>
        <w:tc>
          <w:tcPr>
            <w:tcW w:w="1701" w:type="dxa"/>
            <w:tcBorders>
              <w:top w:val="nil"/>
              <w:left w:val="nil"/>
              <w:bottom w:val="single" w:color="auto" w:sz="4" w:space="0"/>
              <w:right w:val="single" w:color="auto" w:sz="4" w:space="0"/>
            </w:tcBorders>
            <w:vAlign w:val="center"/>
          </w:tcPr>
          <w:p w14:paraId="704299DC">
            <w:pPr>
              <w:widowControl/>
              <w:jc w:val="center"/>
              <w:rPr>
                <w:sz w:val="24"/>
                <w:szCs w:val="24"/>
                <w:highlight w:val="none"/>
              </w:rPr>
            </w:pPr>
          </w:p>
        </w:tc>
        <w:tc>
          <w:tcPr>
            <w:tcW w:w="1479" w:type="dxa"/>
            <w:tcBorders>
              <w:top w:val="nil"/>
              <w:left w:val="nil"/>
              <w:bottom w:val="single" w:color="auto" w:sz="4" w:space="0"/>
              <w:right w:val="single" w:color="auto" w:sz="4" w:space="0"/>
            </w:tcBorders>
            <w:vAlign w:val="center"/>
          </w:tcPr>
          <w:p w14:paraId="4BFDAE8D">
            <w:pPr>
              <w:widowControl/>
              <w:jc w:val="left"/>
              <w:rPr>
                <w:kern w:val="0"/>
                <w:sz w:val="24"/>
                <w:szCs w:val="24"/>
                <w:highlight w:val="none"/>
              </w:rPr>
            </w:pPr>
            <w:r>
              <w:rPr>
                <w:kern w:val="0"/>
                <w:sz w:val="24"/>
                <w:szCs w:val="24"/>
                <w:highlight w:val="none"/>
              </w:rPr>
              <w:t>　</w:t>
            </w:r>
          </w:p>
        </w:tc>
      </w:tr>
      <w:tr w14:paraId="406BAF6D">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496CF34C">
            <w:pPr>
              <w:widowControl/>
              <w:jc w:val="center"/>
              <w:rPr>
                <w:b/>
                <w:bCs/>
                <w:kern w:val="0"/>
                <w:sz w:val="24"/>
                <w:szCs w:val="24"/>
                <w:highlight w:val="none"/>
              </w:rPr>
            </w:pPr>
            <w:r>
              <w:rPr>
                <w:b/>
                <w:bCs/>
                <w:kern w:val="0"/>
                <w:sz w:val="24"/>
                <w:szCs w:val="24"/>
                <w:highlight w:val="none"/>
              </w:rPr>
              <w:t>2</w:t>
            </w:r>
          </w:p>
        </w:tc>
        <w:tc>
          <w:tcPr>
            <w:tcW w:w="4536" w:type="dxa"/>
            <w:tcBorders>
              <w:top w:val="nil"/>
              <w:left w:val="nil"/>
              <w:bottom w:val="single" w:color="auto" w:sz="4" w:space="0"/>
              <w:right w:val="single" w:color="auto" w:sz="4" w:space="0"/>
            </w:tcBorders>
            <w:vAlign w:val="center"/>
          </w:tcPr>
          <w:p w14:paraId="68DFB362">
            <w:pPr>
              <w:widowControl/>
              <w:jc w:val="left"/>
              <w:rPr>
                <w:b/>
                <w:bCs/>
                <w:kern w:val="0"/>
                <w:sz w:val="24"/>
                <w:szCs w:val="24"/>
                <w:highlight w:val="none"/>
              </w:rPr>
            </w:pPr>
            <w:r>
              <w:rPr>
                <w:b/>
                <w:bCs/>
                <w:kern w:val="0"/>
                <w:sz w:val="24"/>
                <w:szCs w:val="24"/>
                <w:highlight w:val="none"/>
              </w:rPr>
              <w:t>小计</w:t>
            </w:r>
          </w:p>
        </w:tc>
        <w:tc>
          <w:tcPr>
            <w:tcW w:w="1701" w:type="dxa"/>
            <w:tcBorders>
              <w:top w:val="nil"/>
              <w:left w:val="nil"/>
              <w:bottom w:val="single" w:color="auto" w:sz="4" w:space="0"/>
              <w:right w:val="single" w:color="auto" w:sz="4" w:space="0"/>
            </w:tcBorders>
            <w:vAlign w:val="center"/>
          </w:tcPr>
          <w:p w14:paraId="451A75EA">
            <w:pPr>
              <w:widowControl/>
              <w:jc w:val="center"/>
              <w:rPr>
                <w:b/>
                <w:bCs/>
                <w:sz w:val="24"/>
                <w:szCs w:val="24"/>
                <w:highlight w:val="none"/>
              </w:rPr>
            </w:pPr>
          </w:p>
        </w:tc>
        <w:tc>
          <w:tcPr>
            <w:tcW w:w="1479" w:type="dxa"/>
            <w:tcBorders>
              <w:top w:val="nil"/>
              <w:left w:val="nil"/>
              <w:bottom w:val="single" w:color="auto" w:sz="4" w:space="0"/>
              <w:right w:val="single" w:color="auto" w:sz="4" w:space="0"/>
            </w:tcBorders>
            <w:vAlign w:val="center"/>
          </w:tcPr>
          <w:p w14:paraId="04F03176">
            <w:pPr>
              <w:widowControl/>
              <w:jc w:val="left"/>
              <w:rPr>
                <w:b/>
                <w:bCs/>
                <w:kern w:val="0"/>
                <w:sz w:val="24"/>
                <w:szCs w:val="24"/>
                <w:highlight w:val="none"/>
              </w:rPr>
            </w:pPr>
            <w:r>
              <w:rPr>
                <w:b/>
                <w:bCs/>
                <w:kern w:val="0"/>
                <w:sz w:val="24"/>
                <w:szCs w:val="24"/>
                <w:highlight w:val="none"/>
              </w:rPr>
              <w:t>　</w:t>
            </w:r>
          </w:p>
        </w:tc>
      </w:tr>
      <w:tr w14:paraId="76AE39CD">
        <w:tblPrEx>
          <w:tblCellMar>
            <w:top w:w="0" w:type="dxa"/>
            <w:left w:w="108" w:type="dxa"/>
            <w:bottom w:w="0" w:type="dxa"/>
            <w:right w:w="108" w:type="dxa"/>
          </w:tblCellMar>
        </w:tblPrEx>
        <w:trPr>
          <w:trHeight w:val="480" w:hRule="atLeast"/>
          <w:jc w:val="center"/>
        </w:trPr>
        <w:tc>
          <w:tcPr>
            <w:tcW w:w="8489" w:type="dxa"/>
            <w:gridSpan w:val="4"/>
            <w:tcBorders>
              <w:top w:val="single" w:color="auto" w:sz="4" w:space="0"/>
              <w:left w:val="single" w:color="auto" w:sz="4" w:space="0"/>
              <w:bottom w:val="single" w:color="auto" w:sz="4" w:space="0"/>
              <w:right w:val="single" w:color="auto" w:sz="4" w:space="0"/>
            </w:tcBorders>
            <w:vAlign w:val="center"/>
          </w:tcPr>
          <w:p w14:paraId="433AF9A9">
            <w:pPr>
              <w:widowControl/>
              <w:jc w:val="left"/>
              <w:rPr>
                <w:b/>
                <w:kern w:val="0"/>
                <w:sz w:val="24"/>
                <w:szCs w:val="24"/>
                <w:highlight w:val="none"/>
              </w:rPr>
            </w:pPr>
            <w:r>
              <w:rPr>
                <w:b/>
                <w:kern w:val="0"/>
                <w:sz w:val="24"/>
                <w:szCs w:val="24"/>
                <w:highlight w:val="none"/>
              </w:rPr>
              <w:t>二、增值税票（</w:t>
            </w:r>
            <w:r>
              <w:rPr>
                <w:rFonts w:hint="eastAsia"/>
                <w:b/>
                <w:kern w:val="0"/>
                <w:sz w:val="24"/>
                <w:szCs w:val="24"/>
                <w:highlight w:val="none"/>
              </w:rPr>
              <w:t>9</w:t>
            </w:r>
            <w:r>
              <w:rPr>
                <w:b/>
                <w:kern w:val="0"/>
                <w:sz w:val="24"/>
                <w:szCs w:val="24"/>
                <w:highlight w:val="none"/>
              </w:rPr>
              <w:t>%）</w:t>
            </w:r>
          </w:p>
        </w:tc>
      </w:tr>
      <w:tr w14:paraId="547788D6">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5FBF4100">
            <w:pPr>
              <w:widowControl/>
              <w:jc w:val="center"/>
              <w:rPr>
                <w:kern w:val="0"/>
                <w:sz w:val="24"/>
                <w:szCs w:val="24"/>
                <w:highlight w:val="none"/>
              </w:rPr>
            </w:pPr>
            <w:r>
              <w:rPr>
                <w:kern w:val="0"/>
                <w:sz w:val="24"/>
                <w:szCs w:val="24"/>
                <w:highlight w:val="none"/>
              </w:rPr>
              <w:t>1</w:t>
            </w:r>
          </w:p>
        </w:tc>
        <w:tc>
          <w:tcPr>
            <w:tcW w:w="4536" w:type="dxa"/>
            <w:tcBorders>
              <w:top w:val="nil"/>
              <w:left w:val="nil"/>
              <w:bottom w:val="single" w:color="auto" w:sz="4" w:space="0"/>
              <w:right w:val="single" w:color="auto" w:sz="4" w:space="0"/>
            </w:tcBorders>
            <w:vAlign w:val="center"/>
          </w:tcPr>
          <w:p w14:paraId="543A8B68">
            <w:pPr>
              <w:widowControl/>
              <w:jc w:val="left"/>
              <w:rPr>
                <w:kern w:val="0"/>
                <w:sz w:val="24"/>
                <w:szCs w:val="24"/>
                <w:highlight w:val="none"/>
              </w:rPr>
            </w:pPr>
            <w:r>
              <w:rPr>
                <w:kern w:val="0"/>
                <w:sz w:val="24"/>
                <w:szCs w:val="24"/>
                <w:highlight w:val="none"/>
              </w:rPr>
              <w:t>施工费</w:t>
            </w:r>
          </w:p>
        </w:tc>
        <w:tc>
          <w:tcPr>
            <w:tcW w:w="1701" w:type="dxa"/>
            <w:tcBorders>
              <w:top w:val="nil"/>
              <w:left w:val="nil"/>
              <w:bottom w:val="single" w:color="auto" w:sz="4" w:space="0"/>
              <w:right w:val="single" w:color="auto" w:sz="4" w:space="0"/>
            </w:tcBorders>
            <w:vAlign w:val="center"/>
          </w:tcPr>
          <w:p w14:paraId="000111D4">
            <w:pPr>
              <w:widowControl/>
              <w:jc w:val="center"/>
              <w:rPr>
                <w:rFonts w:hint="default" w:eastAsia="宋体"/>
                <w:kern w:val="0"/>
                <w:sz w:val="24"/>
                <w:szCs w:val="24"/>
                <w:highlight w:val="none"/>
                <w:lang w:val="en-US" w:eastAsia="zh-CN"/>
              </w:rPr>
            </w:pPr>
          </w:p>
        </w:tc>
        <w:tc>
          <w:tcPr>
            <w:tcW w:w="1479" w:type="dxa"/>
            <w:tcBorders>
              <w:top w:val="nil"/>
              <w:left w:val="nil"/>
              <w:bottom w:val="single" w:color="auto" w:sz="4" w:space="0"/>
              <w:right w:val="single" w:color="auto" w:sz="4" w:space="0"/>
            </w:tcBorders>
            <w:vAlign w:val="center"/>
          </w:tcPr>
          <w:p w14:paraId="65287EC6">
            <w:pPr>
              <w:widowControl/>
              <w:jc w:val="left"/>
              <w:rPr>
                <w:kern w:val="0"/>
                <w:sz w:val="24"/>
                <w:szCs w:val="24"/>
                <w:highlight w:val="none"/>
              </w:rPr>
            </w:pPr>
            <w:r>
              <w:rPr>
                <w:kern w:val="0"/>
                <w:sz w:val="24"/>
                <w:szCs w:val="24"/>
                <w:highlight w:val="none"/>
              </w:rPr>
              <w:t>　</w:t>
            </w:r>
          </w:p>
        </w:tc>
      </w:tr>
      <w:tr w14:paraId="3E4D0256">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46F9438D">
            <w:pPr>
              <w:widowControl/>
              <w:jc w:val="center"/>
              <w:rPr>
                <w:b/>
                <w:bCs/>
                <w:kern w:val="0"/>
                <w:sz w:val="24"/>
                <w:szCs w:val="24"/>
                <w:highlight w:val="none"/>
              </w:rPr>
            </w:pPr>
            <w:r>
              <w:rPr>
                <w:rFonts w:hint="eastAsia"/>
                <w:b/>
                <w:bCs/>
                <w:kern w:val="0"/>
                <w:sz w:val="24"/>
                <w:szCs w:val="24"/>
                <w:highlight w:val="none"/>
              </w:rPr>
              <w:t>2</w:t>
            </w:r>
          </w:p>
        </w:tc>
        <w:tc>
          <w:tcPr>
            <w:tcW w:w="4536" w:type="dxa"/>
            <w:tcBorders>
              <w:top w:val="nil"/>
              <w:left w:val="nil"/>
              <w:bottom w:val="single" w:color="auto" w:sz="4" w:space="0"/>
              <w:right w:val="single" w:color="auto" w:sz="4" w:space="0"/>
            </w:tcBorders>
            <w:vAlign w:val="center"/>
          </w:tcPr>
          <w:p w14:paraId="0D8E4879">
            <w:pPr>
              <w:widowControl/>
              <w:jc w:val="left"/>
              <w:rPr>
                <w:b/>
                <w:bCs/>
                <w:kern w:val="0"/>
                <w:sz w:val="24"/>
                <w:szCs w:val="24"/>
                <w:highlight w:val="none"/>
              </w:rPr>
            </w:pPr>
            <w:r>
              <w:rPr>
                <w:b/>
                <w:bCs/>
                <w:kern w:val="0"/>
                <w:sz w:val="24"/>
                <w:szCs w:val="24"/>
                <w:highlight w:val="none"/>
              </w:rPr>
              <w:t>小计</w:t>
            </w:r>
          </w:p>
        </w:tc>
        <w:tc>
          <w:tcPr>
            <w:tcW w:w="1701" w:type="dxa"/>
            <w:tcBorders>
              <w:top w:val="nil"/>
              <w:left w:val="nil"/>
              <w:bottom w:val="single" w:color="auto" w:sz="4" w:space="0"/>
              <w:right w:val="single" w:color="auto" w:sz="4" w:space="0"/>
            </w:tcBorders>
            <w:vAlign w:val="center"/>
          </w:tcPr>
          <w:p w14:paraId="619D8D86">
            <w:pPr>
              <w:jc w:val="center"/>
              <w:rPr>
                <w:b/>
                <w:bCs/>
                <w:sz w:val="24"/>
                <w:szCs w:val="24"/>
                <w:highlight w:val="none"/>
              </w:rPr>
            </w:pPr>
          </w:p>
        </w:tc>
        <w:tc>
          <w:tcPr>
            <w:tcW w:w="1479" w:type="dxa"/>
            <w:tcBorders>
              <w:top w:val="nil"/>
              <w:left w:val="nil"/>
              <w:bottom w:val="single" w:color="auto" w:sz="4" w:space="0"/>
              <w:right w:val="single" w:color="auto" w:sz="4" w:space="0"/>
            </w:tcBorders>
            <w:vAlign w:val="center"/>
          </w:tcPr>
          <w:p w14:paraId="02430769">
            <w:pPr>
              <w:widowControl/>
              <w:jc w:val="left"/>
              <w:rPr>
                <w:b/>
                <w:bCs/>
                <w:kern w:val="0"/>
                <w:sz w:val="24"/>
                <w:szCs w:val="24"/>
                <w:highlight w:val="none"/>
              </w:rPr>
            </w:pPr>
            <w:r>
              <w:rPr>
                <w:b/>
                <w:bCs/>
                <w:kern w:val="0"/>
                <w:sz w:val="24"/>
                <w:szCs w:val="24"/>
                <w:highlight w:val="none"/>
              </w:rPr>
              <w:t>　</w:t>
            </w:r>
          </w:p>
        </w:tc>
      </w:tr>
      <w:tr w14:paraId="2E7CDD6C">
        <w:tblPrEx>
          <w:tblCellMar>
            <w:top w:w="0" w:type="dxa"/>
            <w:left w:w="108" w:type="dxa"/>
            <w:bottom w:w="0" w:type="dxa"/>
            <w:right w:w="108" w:type="dxa"/>
          </w:tblCellMar>
        </w:tblPrEx>
        <w:trPr>
          <w:trHeight w:val="480" w:hRule="atLeast"/>
          <w:jc w:val="center"/>
        </w:trPr>
        <w:tc>
          <w:tcPr>
            <w:tcW w:w="8489" w:type="dxa"/>
            <w:gridSpan w:val="4"/>
            <w:tcBorders>
              <w:top w:val="single" w:color="auto" w:sz="4" w:space="0"/>
              <w:left w:val="single" w:color="auto" w:sz="4" w:space="0"/>
              <w:bottom w:val="single" w:color="auto" w:sz="4" w:space="0"/>
              <w:right w:val="single" w:color="auto" w:sz="4" w:space="0"/>
            </w:tcBorders>
            <w:vAlign w:val="center"/>
          </w:tcPr>
          <w:p w14:paraId="2C111312">
            <w:pPr>
              <w:widowControl/>
              <w:jc w:val="left"/>
              <w:rPr>
                <w:b/>
                <w:kern w:val="0"/>
                <w:sz w:val="24"/>
                <w:szCs w:val="24"/>
                <w:highlight w:val="none"/>
              </w:rPr>
            </w:pPr>
            <w:r>
              <w:rPr>
                <w:b/>
                <w:kern w:val="0"/>
                <w:sz w:val="24"/>
                <w:szCs w:val="24"/>
                <w:highlight w:val="none"/>
              </w:rPr>
              <w:t>三、增值税票（6%）</w:t>
            </w:r>
          </w:p>
        </w:tc>
      </w:tr>
      <w:tr w14:paraId="4C0D9F2C">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71D9EA43">
            <w:pPr>
              <w:widowControl/>
              <w:jc w:val="center"/>
              <w:rPr>
                <w:kern w:val="0"/>
                <w:sz w:val="24"/>
                <w:szCs w:val="24"/>
                <w:highlight w:val="none"/>
              </w:rPr>
            </w:pPr>
            <w:r>
              <w:rPr>
                <w:kern w:val="0"/>
                <w:sz w:val="24"/>
                <w:szCs w:val="24"/>
                <w:highlight w:val="none"/>
              </w:rPr>
              <w:t>1</w:t>
            </w:r>
          </w:p>
        </w:tc>
        <w:tc>
          <w:tcPr>
            <w:tcW w:w="4536" w:type="dxa"/>
            <w:tcBorders>
              <w:top w:val="nil"/>
              <w:left w:val="nil"/>
              <w:bottom w:val="single" w:color="auto" w:sz="4" w:space="0"/>
              <w:right w:val="single" w:color="auto" w:sz="4" w:space="0"/>
            </w:tcBorders>
            <w:vAlign w:val="center"/>
          </w:tcPr>
          <w:p w14:paraId="6059AA5B">
            <w:pPr>
              <w:widowControl/>
              <w:jc w:val="left"/>
              <w:rPr>
                <w:kern w:val="0"/>
                <w:sz w:val="24"/>
                <w:szCs w:val="24"/>
                <w:highlight w:val="none"/>
              </w:rPr>
            </w:pPr>
            <w:r>
              <w:rPr>
                <w:kern w:val="0"/>
                <w:sz w:val="24"/>
                <w:szCs w:val="24"/>
                <w:highlight w:val="none"/>
              </w:rPr>
              <w:t>服务费</w:t>
            </w:r>
          </w:p>
        </w:tc>
        <w:tc>
          <w:tcPr>
            <w:tcW w:w="1701" w:type="dxa"/>
            <w:tcBorders>
              <w:top w:val="nil"/>
              <w:left w:val="nil"/>
              <w:bottom w:val="single" w:color="auto" w:sz="4" w:space="0"/>
              <w:right w:val="single" w:color="auto" w:sz="4" w:space="0"/>
            </w:tcBorders>
            <w:vAlign w:val="center"/>
          </w:tcPr>
          <w:p w14:paraId="7AC916CB">
            <w:pPr>
              <w:jc w:val="center"/>
              <w:rPr>
                <w:rFonts w:hint="default" w:eastAsia="宋体"/>
                <w:sz w:val="24"/>
                <w:szCs w:val="24"/>
                <w:highlight w:val="none"/>
                <w:lang w:val="en-US" w:eastAsia="zh-CN"/>
              </w:rPr>
            </w:pPr>
          </w:p>
        </w:tc>
        <w:tc>
          <w:tcPr>
            <w:tcW w:w="1479" w:type="dxa"/>
            <w:tcBorders>
              <w:top w:val="nil"/>
              <w:left w:val="nil"/>
              <w:bottom w:val="single" w:color="auto" w:sz="4" w:space="0"/>
              <w:right w:val="single" w:color="auto" w:sz="4" w:space="0"/>
            </w:tcBorders>
            <w:vAlign w:val="center"/>
          </w:tcPr>
          <w:p w14:paraId="27C7E679">
            <w:pPr>
              <w:widowControl/>
              <w:jc w:val="left"/>
              <w:rPr>
                <w:kern w:val="0"/>
                <w:sz w:val="24"/>
                <w:szCs w:val="24"/>
                <w:highlight w:val="none"/>
              </w:rPr>
            </w:pPr>
          </w:p>
        </w:tc>
      </w:tr>
      <w:tr w14:paraId="4C7A275F">
        <w:tblPrEx>
          <w:tblCellMar>
            <w:top w:w="0" w:type="dxa"/>
            <w:left w:w="108" w:type="dxa"/>
            <w:bottom w:w="0" w:type="dxa"/>
            <w:right w:w="108" w:type="dxa"/>
          </w:tblCellMar>
        </w:tblPrEx>
        <w:trPr>
          <w:trHeight w:val="480" w:hRule="atLeast"/>
          <w:jc w:val="center"/>
        </w:trPr>
        <w:tc>
          <w:tcPr>
            <w:tcW w:w="773" w:type="dxa"/>
            <w:tcBorders>
              <w:top w:val="nil"/>
              <w:left w:val="single" w:color="auto" w:sz="4" w:space="0"/>
              <w:bottom w:val="single" w:color="auto" w:sz="4" w:space="0"/>
              <w:right w:val="single" w:color="auto" w:sz="4" w:space="0"/>
            </w:tcBorders>
            <w:vAlign w:val="center"/>
          </w:tcPr>
          <w:p w14:paraId="1D0C3731">
            <w:pPr>
              <w:widowControl/>
              <w:jc w:val="center"/>
              <w:rPr>
                <w:b/>
                <w:kern w:val="0"/>
                <w:sz w:val="24"/>
                <w:szCs w:val="24"/>
                <w:highlight w:val="none"/>
              </w:rPr>
            </w:pPr>
            <w:r>
              <w:rPr>
                <w:rFonts w:hint="eastAsia"/>
                <w:b/>
                <w:kern w:val="0"/>
                <w:sz w:val="24"/>
                <w:szCs w:val="24"/>
                <w:highlight w:val="none"/>
              </w:rPr>
              <w:t>2</w:t>
            </w:r>
          </w:p>
        </w:tc>
        <w:tc>
          <w:tcPr>
            <w:tcW w:w="4536" w:type="dxa"/>
            <w:tcBorders>
              <w:top w:val="nil"/>
              <w:left w:val="nil"/>
              <w:bottom w:val="single" w:color="auto" w:sz="4" w:space="0"/>
              <w:right w:val="single" w:color="auto" w:sz="4" w:space="0"/>
            </w:tcBorders>
            <w:vAlign w:val="center"/>
          </w:tcPr>
          <w:p w14:paraId="73149075">
            <w:pPr>
              <w:widowControl/>
              <w:jc w:val="left"/>
              <w:rPr>
                <w:b/>
                <w:bCs/>
                <w:kern w:val="0"/>
                <w:sz w:val="24"/>
                <w:szCs w:val="24"/>
                <w:highlight w:val="none"/>
              </w:rPr>
            </w:pPr>
            <w:r>
              <w:rPr>
                <w:b/>
                <w:bCs/>
                <w:kern w:val="0"/>
                <w:sz w:val="24"/>
                <w:szCs w:val="24"/>
                <w:highlight w:val="none"/>
              </w:rPr>
              <w:t>小计</w:t>
            </w:r>
          </w:p>
        </w:tc>
        <w:tc>
          <w:tcPr>
            <w:tcW w:w="1701" w:type="dxa"/>
            <w:tcBorders>
              <w:top w:val="nil"/>
              <w:left w:val="nil"/>
              <w:bottom w:val="single" w:color="auto" w:sz="4" w:space="0"/>
              <w:right w:val="single" w:color="auto" w:sz="4" w:space="0"/>
            </w:tcBorders>
            <w:vAlign w:val="center"/>
          </w:tcPr>
          <w:p w14:paraId="2781E626">
            <w:pPr>
              <w:jc w:val="center"/>
              <w:rPr>
                <w:rFonts w:hint="eastAsia" w:eastAsia="宋体"/>
                <w:b/>
                <w:bCs/>
                <w:sz w:val="24"/>
                <w:szCs w:val="24"/>
                <w:highlight w:val="none"/>
                <w:lang w:val="en-US" w:eastAsia="zh-CN"/>
              </w:rPr>
            </w:pPr>
          </w:p>
        </w:tc>
        <w:tc>
          <w:tcPr>
            <w:tcW w:w="1479" w:type="dxa"/>
            <w:tcBorders>
              <w:top w:val="nil"/>
              <w:left w:val="nil"/>
              <w:bottom w:val="single" w:color="auto" w:sz="4" w:space="0"/>
              <w:right w:val="single" w:color="auto" w:sz="4" w:space="0"/>
            </w:tcBorders>
            <w:vAlign w:val="center"/>
          </w:tcPr>
          <w:p w14:paraId="34099289">
            <w:pPr>
              <w:widowControl/>
              <w:jc w:val="left"/>
              <w:rPr>
                <w:b/>
                <w:bCs/>
                <w:kern w:val="0"/>
                <w:sz w:val="24"/>
                <w:szCs w:val="24"/>
                <w:highlight w:val="none"/>
              </w:rPr>
            </w:pPr>
          </w:p>
        </w:tc>
      </w:tr>
      <w:tr w14:paraId="49904517">
        <w:tblPrEx>
          <w:tblCellMar>
            <w:top w:w="0" w:type="dxa"/>
            <w:left w:w="108" w:type="dxa"/>
            <w:bottom w:w="0" w:type="dxa"/>
            <w:right w:w="108" w:type="dxa"/>
          </w:tblCellMar>
        </w:tblPrEx>
        <w:trPr>
          <w:trHeight w:val="480" w:hRule="atLeast"/>
          <w:jc w:val="center"/>
        </w:trPr>
        <w:tc>
          <w:tcPr>
            <w:tcW w:w="5309" w:type="dxa"/>
            <w:gridSpan w:val="2"/>
            <w:tcBorders>
              <w:top w:val="nil"/>
              <w:left w:val="single" w:color="auto" w:sz="4" w:space="0"/>
              <w:bottom w:val="single" w:color="auto" w:sz="4" w:space="0"/>
              <w:right w:val="single" w:color="auto" w:sz="4" w:space="0"/>
            </w:tcBorders>
            <w:vAlign w:val="center"/>
          </w:tcPr>
          <w:p w14:paraId="09D125D1">
            <w:pPr>
              <w:widowControl/>
              <w:jc w:val="left"/>
              <w:rPr>
                <w:b/>
                <w:bCs/>
                <w:kern w:val="0"/>
                <w:sz w:val="24"/>
                <w:szCs w:val="24"/>
                <w:highlight w:val="none"/>
              </w:rPr>
            </w:pPr>
            <w:r>
              <w:rPr>
                <w:rFonts w:hint="eastAsia"/>
                <w:b/>
                <w:bCs/>
                <w:kern w:val="0"/>
                <w:sz w:val="24"/>
                <w:szCs w:val="24"/>
                <w:highlight w:val="none"/>
              </w:rPr>
              <w:t>四</w:t>
            </w:r>
            <w:r>
              <w:rPr>
                <w:b/>
                <w:bCs/>
                <w:kern w:val="0"/>
                <w:sz w:val="24"/>
                <w:szCs w:val="24"/>
                <w:highlight w:val="none"/>
              </w:rPr>
              <w:t>、合计</w:t>
            </w:r>
          </w:p>
        </w:tc>
        <w:tc>
          <w:tcPr>
            <w:tcW w:w="1701" w:type="dxa"/>
            <w:tcBorders>
              <w:top w:val="nil"/>
              <w:left w:val="nil"/>
              <w:bottom w:val="single" w:color="auto" w:sz="4" w:space="0"/>
              <w:right w:val="single" w:color="auto" w:sz="4" w:space="0"/>
            </w:tcBorders>
            <w:vAlign w:val="center"/>
          </w:tcPr>
          <w:p w14:paraId="37BF06F8">
            <w:pPr>
              <w:widowControl/>
              <w:jc w:val="center"/>
              <w:rPr>
                <w:b/>
                <w:bCs/>
                <w:kern w:val="0"/>
                <w:sz w:val="24"/>
                <w:szCs w:val="24"/>
                <w:highlight w:val="none"/>
              </w:rPr>
            </w:pPr>
          </w:p>
        </w:tc>
        <w:tc>
          <w:tcPr>
            <w:tcW w:w="1479" w:type="dxa"/>
            <w:tcBorders>
              <w:top w:val="nil"/>
              <w:left w:val="nil"/>
              <w:bottom w:val="single" w:color="auto" w:sz="4" w:space="0"/>
              <w:right w:val="single" w:color="auto" w:sz="4" w:space="0"/>
            </w:tcBorders>
            <w:vAlign w:val="center"/>
          </w:tcPr>
          <w:p w14:paraId="204AFFD0">
            <w:pPr>
              <w:widowControl/>
              <w:jc w:val="left"/>
              <w:rPr>
                <w:b/>
                <w:kern w:val="0"/>
                <w:sz w:val="24"/>
                <w:szCs w:val="24"/>
                <w:highlight w:val="none"/>
              </w:rPr>
            </w:pPr>
            <w:r>
              <w:rPr>
                <w:b/>
                <w:kern w:val="0"/>
                <w:sz w:val="24"/>
                <w:szCs w:val="24"/>
                <w:highlight w:val="none"/>
              </w:rPr>
              <w:t>一+二+三</w:t>
            </w:r>
          </w:p>
        </w:tc>
      </w:tr>
    </w:tbl>
    <w:p w14:paraId="10FE9A49">
      <w:pPr>
        <w:pStyle w:val="12"/>
        <w:rPr>
          <w:highlight w:val="none"/>
        </w:rPr>
      </w:pPr>
    </w:p>
    <w:p w14:paraId="48EB13E5">
      <w:pPr>
        <w:pStyle w:val="4"/>
        <w:spacing w:line="300" w:lineRule="auto"/>
        <w:ind w:firstLine="0" w:firstLineChars="0"/>
        <w:rPr>
          <w:sz w:val="28"/>
          <w:szCs w:val="28"/>
          <w:highlight w:val="none"/>
        </w:rPr>
      </w:pPr>
      <w:r>
        <w:rPr>
          <w:rFonts w:hint="eastAsia"/>
          <w:sz w:val="28"/>
          <w:szCs w:val="28"/>
          <w:highlight w:val="none"/>
        </w:rPr>
        <w:t>2、合同总价包含该项目拆除、回收废料、安全文明施工费、及相关保险、税金、政策性文件规定及合同包含的所有风险、责任、采取各项安健环措施所发生的费用，以及甲方认为需要列入总价的费用，除无法预计量的材料外。</w:t>
      </w:r>
    </w:p>
    <w:p w14:paraId="20081088">
      <w:pPr>
        <w:pStyle w:val="4"/>
        <w:spacing w:line="300" w:lineRule="auto"/>
        <w:ind w:firstLine="0" w:firstLineChars="0"/>
        <w:rPr>
          <w:sz w:val="28"/>
          <w:szCs w:val="28"/>
          <w:highlight w:val="none"/>
        </w:rPr>
      </w:pPr>
      <w:r>
        <w:rPr>
          <w:rFonts w:hint="eastAsia"/>
          <w:sz w:val="28"/>
          <w:szCs w:val="28"/>
          <w:highlight w:val="none"/>
        </w:rPr>
        <w:t>3、合同的价格见附件。</w:t>
      </w:r>
    </w:p>
    <w:p w14:paraId="7255F29A">
      <w:pPr>
        <w:pStyle w:val="4"/>
        <w:spacing w:line="300" w:lineRule="auto"/>
        <w:ind w:firstLine="0" w:firstLineChars="0"/>
        <w:rPr>
          <w:sz w:val="28"/>
          <w:szCs w:val="28"/>
          <w:highlight w:val="none"/>
        </w:rPr>
      </w:pPr>
      <w:r>
        <w:rPr>
          <w:rFonts w:hint="eastAsia"/>
          <w:sz w:val="28"/>
          <w:szCs w:val="28"/>
          <w:highlight w:val="none"/>
        </w:rPr>
        <w:t>4、本合同价格为完成依据技术协议所确定的工作内容而发生的一切费用。</w:t>
      </w:r>
    </w:p>
    <w:p w14:paraId="3B3690B6">
      <w:pPr>
        <w:pStyle w:val="4"/>
        <w:spacing w:line="300" w:lineRule="auto"/>
        <w:ind w:firstLine="0" w:firstLineChars="0"/>
        <w:rPr>
          <w:rFonts w:hint="eastAsia"/>
          <w:sz w:val="28"/>
          <w:szCs w:val="28"/>
          <w:highlight w:val="none"/>
        </w:rPr>
      </w:pPr>
      <w:r>
        <w:rPr>
          <w:rFonts w:hint="eastAsia"/>
          <w:sz w:val="28"/>
          <w:szCs w:val="28"/>
          <w:highlight w:val="none"/>
        </w:rPr>
        <w:t>5、乙方不得以任何理由要求增加合同费用(除第八条外)。</w:t>
      </w:r>
    </w:p>
    <w:p w14:paraId="3CC7643B">
      <w:pPr>
        <w:snapToGrid w:val="0"/>
        <w:spacing w:before="120" w:beforeLines="50" w:line="360" w:lineRule="auto"/>
        <w:ind w:firstLine="0" w:firstLineChars="0"/>
        <w:jc w:val="left"/>
        <w:rPr>
          <w:color w:val="auto"/>
          <w:sz w:val="28"/>
          <w:szCs w:val="28"/>
          <w:highlight w:val="none"/>
          <w:lang w:eastAsia="zh-CN"/>
        </w:rPr>
      </w:pPr>
      <w:r>
        <w:rPr>
          <w:rFonts w:hint="eastAsia"/>
          <w:sz w:val="28"/>
          <w:szCs w:val="28"/>
          <w:highlight w:val="none"/>
          <w:lang w:val="en-US" w:eastAsia="zh-CN"/>
        </w:rPr>
        <w:t>6、乙方应于本合同签订后</w:t>
      </w:r>
      <w:r>
        <w:rPr>
          <w:rFonts w:hint="eastAsia"/>
          <w:sz w:val="28"/>
          <w:szCs w:val="28"/>
          <w:highlight w:val="none"/>
          <w:u w:val="single"/>
          <w:lang w:val="en-US" w:eastAsia="zh-CN"/>
        </w:rPr>
        <w:t xml:space="preserve">  </w:t>
      </w:r>
      <w:r>
        <w:rPr>
          <w:rFonts w:hint="eastAsia"/>
          <w:sz w:val="28"/>
          <w:szCs w:val="28"/>
          <w:highlight w:val="none"/>
          <w:lang w:val="en-US" w:eastAsia="zh-CN"/>
        </w:rPr>
        <w:t>日内向甲方开具合同总额10%的履约保函或保险单，</w:t>
      </w:r>
      <w:r>
        <w:rPr>
          <w:rFonts w:hint="eastAsia"/>
          <w:color w:val="auto"/>
          <w:sz w:val="28"/>
          <w:szCs w:val="28"/>
          <w:highlight w:val="none"/>
          <w:lang w:eastAsia="zh-CN"/>
        </w:rPr>
        <w:t>履约保函或保险单</w:t>
      </w:r>
      <w:r>
        <w:rPr>
          <w:color w:val="auto"/>
          <w:sz w:val="28"/>
          <w:szCs w:val="28"/>
          <w:highlight w:val="none"/>
          <w:lang w:eastAsia="zh-CN"/>
        </w:rPr>
        <w:t>的有效期应涵盖至本合同竣工验收结束，如果工程发生了延期，</w:t>
      </w:r>
      <w:r>
        <w:rPr>
          <w:rFonts w:hint="eastAsia"/>
          <w:color w:val="auto"/>
          <w:sz w:val="28"/>
          <w:szCs w:val="28"/>
          <w:highlight w:val="none"/>
          <w:lang w:val="en-US" w:eastAsia="zh-CN"/>
        </w:rPr>
        <w:t>乙方</w:t>
      </w:r>
      <w:r>
        <w:rPr>
          <w:color w:val="auto"/>
          <w:sz w:val="28"/>
          <w:szCs w:val="28"/>
          <w:highlight w:val="none"/>
          <w:lang w:eastAsia="zh-CN"/>
        </w:rPr>
        <w:t>需于保函到期10个工作日前另行提供保函，免费延长有效期，否则，视为</w:t>
      </w:r>
      <w:r>
        <w:rPr>
          <w:rFonts w:hint="eastAsia"/>
          <w:color w:val="auto"/>
          <w:sz w:val="28"/>
          <w:szCs w:val="28"/>
          <w:highlight w:val="none"/>
          <w:lang w:val="en-US" w:eastAsia="zh-CN"/>
        </w:rPr>
        <w:t>乙方</w:t>
      </w:r>
      <w:r>
        <w:rPr>
          <w:color w:val="auto"/>
          <w:sz w:val="28"/>
          <w:szCs w:val="28"/>
          <w:highlight w:val="none"/>
          <w:lang w:eastAsia="zh-CN"/>
        </w:rPr>
        <w:t>违约，</w:t>
      </w:r>
      <w:r>
        <w:rPr>
          <w:rFonts w:hint="eastAsia"/>
          <w:color w:val="auto"/>
          <w:sz w:val="28"/>
          <w:szCs w:val="28"/>
          <w:highlight w:val="none"/>
          <w:lang w:val="en-US" w:eastAsia="zh-CN"/>
        </w:rPr>
        <w:t>甲方</w:t>
      </w:r>
      <w:r>
        <w:rPr>
          <w:color w:val="auto"/>
          <w:sz w:val="28"/>
          <w:szCs w:val="28"/>
          <w:highlight w:val="none"/>
          <w:lang w:eastAsia="zh-CN"/>
        </w:rPr>
        <w:t>有权全额提取</w:t>
      </w:r>
      <w:r>
        <w:rPr>
          <w:rFonts w:hint="eastAsia"/>
          <w:color w:val="auto"/>
          <w:sz w:val="28"/>
          <w:szCs w:val="28"/>
          <w:highlight w:val="none"/>
          <w:lang w:eastAsia="zh-CN"/>
        </w:rPr>
        <w:t>履约保函或保险单</w:t>
      </w:r>
      <w:r>
        <w:rPr>
          <w:rFonts w:hint="eastAsia"/>
          <w:color w:val="auto"/>
          <w:sz w:val="28"/>
          <w:szCs w:val="28"/>
          <w:highlight w:val="none"/>
          <w:lang w:val="en-US" w:eastAsia="zh-CN"/>
        </w:rPr>
        <w:t>或扣留相应金额的合同款作为履约保证金</w:t>
      </w:r>
      <w:r>
        <w:rPr>
          <w:color w:val="auto"/>
          <w:sz w:val="28"/>
          <w:szCs w:val="28"/>
          <w:highlight w:val="none"/>
          <w:lang w:eastAsia="zh-CN"/>
        </w:rPr>
        <w:t xml:space="preserve">。 </w:t>
      </w:r>
    </w:p>
    <w:p w14:paraId="0904ED36">
      <w:pPr>
        <w:spacing w:line="300" w:lineRule="auto"/>
        <w:outlineLvl w:val="0"/>
        <w:rPr>
          <w:rFonts w:ascii="宋体" w:hAnsi="宋体"/>
          <w:b/>
          <w:bCs/>
          <w:sz w:val="28"/>
          <w:szCs w:val="28"/>
          <w:highlight w:val="none"/>
        </w:rPr>
      </w:pPr>
      <w:r>
        <w:rPr>
          <w:rFonts w:hint="eastAsia" w:ascii="宋体" w:hAnsi="宋体"/>
          <w:b/>
          <w:sz w:val="28"/>
          <w:szCs w:val="28"/>
          <w:highlight w:val="none"/>
        </w:rPr>
        <w:t>第七条</w:t>
      </w:r>
      <w:r>
        <w:rPr>
          <w:rFonts w:hint="eastAsia" w:ascii="宋体" w:hAnsi="宋体"/>
          <w:b/>
          <w:sz w:val="28"/>
          <w:szCs w:val="28"/>
          <w:highlight w:val="none"/>
          <w:lang w:val="en-US" w:eastAsia="zh-CN"/>
        </w:rPr>
        <w:t xml:space="preserve"> </w:t>
      </w:r>
      <w:r>
        <w:rPr>
          <w:rFonts w:hint="eastAsia" w:ascii="宋体" w:hAnsi="宋体"/>
          <w:b/>
          <w:bCs/>
          <w:sz w:val="28"/>
          <w:szCs w:val="28"/>
          <w:highlight w:val="none"/>
        </w:rPr>
        <w:t>付款方式及结算办法</w:t>
      </w:r>
    </w:p>
    <w:p w14:paraId="3F20421E">
      <w:pPr>
        <w:spacing w:line="300" w:lineRule="auto"/>
        <w:ind w:left="280" w:hanging="280" w:hangingChars="100"/>
        <w:rPr>
          <w:rFonts w:ascii="宋体" w:hAnsi="宋体"/>
          <w:sz w:val="28"/>
          <w:szCs w:val="28"/>
          <w:highlight w:val="none"/>
          <w:u w:val="single"/>
        </w:rPr>
      </w:pPr>
      <w:r>
        <w:rPr>
          <w:rFonts w:hint="eastAsia" w:ascii="宋体" w:hAnsi="宋体"/>
          <w:sz w:val="28"/>
          <w:szCs w:val="28"/>
          <w:highlight w:val="none"/>
        </w:rPr>
        <w:t>1、预付款：</w:t>
      </w:r>
      <w:r>
        <w:rPr>
          <w:rFonts w:hint="eastAsia" w:ascii="宋体" w:hAnsi="宋体"/>
          <w:sz w:val="28"/>
          <w:szCs w:val="28"/>
          <w:highlight w:val="none"/>
          <w:u w:val="single"/>
        </w:rPr>
        <w:t>无。</w:t>
      </w:r>
    </w:p>
    <w:p w14:paraId="309F172D">
      <w:pPr>
        <w:spacing w:line="300" w:lineRule="auto"/>
        <w:ind w:left="0" w:firstLine="0" w:firstLineChars="0"/>
        <w:rPr>
          <w:rFonts w:ascii="宋体" w:hAnsi="宋体"/>
          <w:sz w:val="28"/>
          <w:szCs w:val="28"/>
          <w:highlight w:val="none"/>
          <w:u w:val="single"/>
        </w:rPr>
      </w:pPr>
      <w:r>
        <w:rPr>
          <w:rFonts w:hint="eastAsia" w:ascii="宋体" w:hAnsi="宋体"/>
          <w:sz w:val="28"/>
          <w:szCs w:val="28"/>
          <w:highlight w:val="none"/>
        </w:rPr>
        <w:t>2、进度款：</w:t>
      </w:r>
      <w:r>
        <w:rPr>
          <w:rFonts w:hint="eastAsia" w:ascii="宋体" w:hAnsi="宋体"/>
          <w:sz w:val="28"/>
          <w:szCs w:val="28"/>
          <w:highlight w:val="none"/>
          <w:lang w:val="en-US" w:eastAsia="zh-CN"/>
        </w:rPr>
        <w:t>收到乙方开具的履约保函或保险单后，</w:t>
      </w:r>
      <w:r>
        <w:rPr>
          <w:rFonts w:hint="eastAsia" w:ascii="宋体" w:hAnsi="宋体"/>
          <w:sz w:val="28"/>
          <w:szCs w:val="28"/>
          <w:highlight w:val="none"/>
        </w:rPr>
        <w:t>甲方每月支付至完工进度的80%，在收到乙方请款资料、增值税专用发票并审核无误后30个工作日内付款。</w:t>
      </w:r>
    </w:p>
    <w:p w14:paraId="2E58FA9F">
      <w:pPr>
        <w:spacing w:line="300" w:lineRule="auto"/>
        <w:rPr>
          <w:rFonts w:ascii="宋体" w:hAnsi="宋体"/>
          <w:sz w:val="28"/>
          <w:szCs w:val="28"/>
          <w:highlight w:val="none"/>
        </w:rPr>
      </w:pPr>
      <w:r>
        <w:rPr>
          <w:rFonts w:hint="eastAsia" w:ascii="宋体" w:hAnsi="宋体"/>
          <w:sz w:val="28"/>
          <w:szCs w:val="28"/>
          <w:highlight w:val="none"/>
        </w:rPr>
        <w:t>3、竣工款：工程全部竣工，由乙方提交工程竣工申请，甲方组织竣工验收合格并签发竣工验收文件，完成竣工结算报告后，在收到乙方请款资料、竣工验收文件及增值税专用发票并审核无误后三十个工作日内，支付工程款至合同总额的</w:t>
      </w:r>
      <w:r>
        <w:rPr>
          <w:rFonts w:hint="eastAsia" w:ascii="宋体" w:hAnsi="宋体"/>
          <w:b/>
          <w:sz w:val="28"/>
          <w:szCs w:val="28"/>
          <w:highlight w:val="none"/>
          <w:u w:val="single"/>
        </w:rPr>
        <w:t>9</w:t>
      </w:r>
      <w:r>
        <w:rPr>
          <w:rFonts w:hint="default" w:ascii="宋体" w:hAnsi="宋体"/>
          <w:b/>
          <w:sz w:val="28"/>
          <w:szCs w:val="28"/>
          <w:highlight w:val="none"/>
          <w:u w:val="single"/>
          <w:lang w:val="en-US"/>
        </w:rPr>
        <w:t>7</w:t>
      </w:r>
      <w:r>
        <w:rPr>
          <w:rFonts w:hint="eastAsia" w:ascii="宋体" w:hAnsi="宋体"/>
          <w:b/>
          <w:sz w:val="28"/>
          <w:szCs w:val="28"/>
          <w:highlight w:val="none"/>
          <w:u w:val="single"/>
        </w:rPr>
        <w:t xml:space="preserve">% </w:t>
      </w:r>
      <w:r>
        <w:rPr>
          <w:rFonts w:hint="eastAsia" w:ascii="宋体" w:hAnsi="宋体"/>
          <w:sz w:val="28"/>
          <w:szCs w:val="28"/>
          <w:highlight w:val="none"/>
        </w:rPr>
        <w:t>。支付竣工款时，本合同发票应开至结算报告金额的100%。</w:t>
      </w:r>
    </w:p>
    <w:p w14:paraId="61D1501C">
      <w:pPr>
        <w:tabs>
          <w:tab w:val="left" w:pos="7830"/>
        </w:tabs>
        <w:spacing w:line="300" w:lineRule="auto"/>
        <w:rPr>
          <w:rFonts w:ascii="宋体" w:hAnsi="宋体"/>
          <w:sz w:val="28"/>
          <w:szCs w:val="28"/>
          <w:highlight w:val="none"/>
        </w:rPr>
      </w:pPr>
      <w:r>
        <w:rPr>
          <w:rFonts w:hint="eastAsia" w:ascii="宋体" w:hAnsi="宋体"/>
          <w:sz w:val="28"/>
          <w:szCs w:val="28"/>
          <w:highlight w:val="none"/>
        </w:rPr>
        <w:t>4、质保金：本工程质保金为合同总额的</w:t>
      </w:r>
      <w:r>
        <w:rPr>
          <w:rFonts w:hint="default" w:ascii="宋体" w:hAnsi="宋体"/>
          <w:b/>
          <w:sz w:val="28"/>
          <w:szCs w:val="28"/>
          <w:highlight w:val="none"/>
          <w:u w:val="single"/>
          <w:lang w:val="en-US"/>
        </w:rPr>
        <w:t>3</w:t>
      </w:r>
      <w:r>
        <w:rPr>
          <w:rFonts w:hint="eastAsia" w:ascii="宋体" w:hAnsi="宋体"/>
          <w:b/>
          <w:sz w:val="28"/>
          <w:szCs w:val="28"/>
          <w:highlight w:val="none"/>
          <w:u w:val="single"/>
        </w:rPr>
        <w:t>%</w:t>
      </w:r>
      <w:r>
        <w:rPr>
          <w:rFonts w:hint="eastAsia" w:ascii="宋体" w:hAnsi="宋体"/>
          <w:sz w:val="28"/>
          <w:szCs w:val="28"/>
          <w:highlight w:val="none"/>
        </w:rPr>
        <w:t>。在竣工验收文件签发</w:t>
      </w:r>
      <w:r>
        <w:rPr>
          <w:rFonts w:hint="default" w:ascii="宋体" w:hAnsi="宋体"/>
          <w:sz w:val="28"/>
          <w:szCs w:val="28"/>
          <w:highlight w:val="none"/>
          <w:lang w:val="en-US"/>
        </w:rPr>
        <w:t>24</w:t>
      </w:r>
      <w:r>
        <w:rPr>
          <w:rFonts w:hint="eastAsia" w:ascii="宋体" w:hAnsi="宋体"/>
          <w:sz w:val="28"/>
          <w:szCs w:val="28"/>
          <w:highlight w:val="none"/>
        </w:rPr>
        <w:t>个月后，由乙方提出质保金支付申请，经甲方对质保期间的工程质量验收合格后，向乙方付清余款。如在质保期内发生质量问题，乙方未能按甲方要求及时处理，甲方有权扣除质保金。质保金支付后，乙方仍然有义务按本合同第九条履行质保义务。</w:t>
      </w:r>
    </w:p>
    <w:p w14:paraId="39BED847">
      <w:pPr>
        <w:tabs>
          <w:tab w:val="left" w:pos="7830"/>
        </w:tabs>
        <w:spacing w:line="300" w:lineRule="auto"/>
        <w:rPr>
          <w:rFonts w:hint="eastAsia" w:ascii="宋体" w:hAnsi="宋体"/>
          <w:sz w:val="28"/>
          <w:szCs w:val="28"/>
          <w:highlight w:val="none"/>
        </w:rPr>
      </w:pPr>
      <w:r>
        <w:rPr>
          <w:rFonts w:hint="eastAsia" w:ascii="宋体" w:hAnsi="宋体"/>
          <w:sz w:val="28"/>
          <w:szCs w:val="28"/>
          <w:highlight w:val="none"/>
        </w:rPr>
        <w:t>5、如乙方开具增值税专用发票时税率与合同规定不一致，按国家税务总局对本合同业务规定可开具税率进行结算，根据原签订合同的不含税金额不变原则计算合同结算额。</w:t>
      </w:r>
    </w:p>
    <w:p w14:paraId="023E18EC">
      <w:pPr>
        <w:tabs>
          <w:tab w:val="left" w:pos="7830"/>
        </w:tabs>
        <w:spacing w:line="300" w:lineRule="auto"/>
        <w:rPr>
          <w:rFonts w:hint="eastAsia" w:ascii="宋体" w:hAnsi="宋体"/>
          <w:sz w:val="28"/>
          <w:szCs w:val="28"/>
          <w:highlight w:val="none"/>
        </w:rPr>
      </w:pPr>
      <w:r>
        <w:rPr>
          <w:rFonts w:hint="eastAsia" w:ascii="宋体" w:hAnsi="宋体"/>
          <w:sz w:val="28"/>
          <w:szCs w:val="28"/>
          <w:highlight w:val="none"/>
        </w:rPr>
        <w:t>6、乙方须按甲方财务部门支付计划的相关规定，于拟付款月之前一个月的15至20日向甲方申报付款计划，并提交付款支撑材料。</w:t>
      </w:r>
    </w:p>
    <w:p w14:paraId="394383CD">
      <w:pPr>
        <w:numPr>
          <w:ilvl w:val="-1"/>
          <w:numId w:val="0"/>
        </w:numPr>
        <w:snapToGrid/>
        <w:spacing w:before="0" w:beforeLines="-2147483648" w:line="300" w:lineRule="auto"/>
        <w:ind w:left="0" w:leftChars="0" w:firstLine="0" w:firstLineChars="0"/>
        <w:jc w:val="left"/>
        <w:rPr>
          <w:rFonts w:hint="eastAsia" w:ascii="宋体" w:hAnsi="宋体"/>
          <w:sz w:val="28"/>
          <w:szCs w:val="28"/>
          <w:highlight w:val="none"/>
        </w:rPr>
      </w:pPr>
      <w:r>
        <w:rPr>
          <w:rFonts w:hint="eastAsia" w:ascii="宋体" w:hAnsi="宋体" w:cs="Times New Roman"/>
          <w:sz w:val="28"/>
          <w:szCs w:val="28"/>
          <w:highlight w:val="none"/>
          <w:lang w:val="en-US" w:eastAsia="zh-CN"/>
        </w:rPr>
        <w:t>7</w:t>
      </w:r>
      <w:r>
        <w:rPr>
          <w:rFonts w:hint="eastAsia" w:ascii="宋体" w:hAnsi="宋体" w:eastAsia="宋体" w:cs="Times New Roman"/>
          <w:sz w:val="28"/>
          <w:szCs w:val="28"/>
          <w:highlight w:val="none"/>
          <w:lang w:val="en-US" w:eastAsia="zh-CN"/>
        </w:rPr>
        <w:t>、</w:t>
      </w:r>
      <w:r>
        <w:rPr>
          <w:rFonts w:hint="eastAsia" w:ascii="宋体" w:hAnsi="宋体"/>
          <w:sz w:val="28"/>
          <w:szCs w:val="28"/>
          <w:highlight w:val="none"/>
        </w:rPr>
        <w:t>为保障本工程施工建设顺利进行，确保</w:t>
      </w:r>
      <w:r>
        <w:rPr>
          <w:rFonts w:hint="eastAsia" w:ascii="宋体" w:hAnsi="宋体"/>
          <w:sz w:val="28"/>
          <w:szCs w:val="28"/>
          <w:highlight w:val="none"/>
          <w:lang w:eastAsia="zh-CN"/>
        </w:rPr>
        <w:t>乙方</w:t>
      </w:r>
      <w:r>
        <w:rPr>
          <w:rFonts w:hint="eastAsia" w:ascii="宋体" w:hAnsi="宋体"/>
          <w:sz w:val="28"/>
          <w:szCs w:val="28"/>
          <w:highlight w:val="none"/>
        </w:rPr>
        <w:t>人员（尤其是农民工）合法权益，</w:t>
      </w:r>
      <w:r>
        <w:rPr>
          <w:rFonts w:hint="eastAsia" w:ascii="宋体" w:hAnsi="宋体" w:eastAsia="宋体" w:cs="Times New Roman"/>
          <w:sz w:val="28"/>
          <w:szCs w:val="28"/>
          <w:highlight w:val="none"/>
          <w:lang w:eastAsia="zh-CN"/>
        </w:rPr>
        <w:t>乙方应</w:t>
      </w:r>
      <w:r>
        <w:rPr>
          <w:rFonts w:hint="eastAsia" w:ascii="宋体" w:hAnsi="宋体" w:eastAsia="宋体" w:cs="Times New Roman"/>
          <w:sz w:val="28"/>
          <w:szCs w:val="28"/>
          <w:highlight w:val="none"/>
        </w:rPr>
        <w:t>实行人工费用和其他工程款分账管理制度，</w:t>
      </w:r>
      <w:r>
        <w:rPr>
          <w:rFonts w:hint="eastAsia" w:ascii="宋体" w:hAnsi="宋体" w:eastAsia="宋体" w:cs="Times New Roman"/>
          <w:sz w:val="28"/>
          <w:szCs w:val="28"/>
          <w:highlight w:val="none"/>
          <w:lang w:eastAsia="zh-CN"/>
        </w:rPr>
        <w:t>于本合同签订之日起</w:t>
      </w:r>
      <w:r>
        <w:rPr>
          <w:rFonts w:hint="eastAsia" w:ascii="宋体" w:hAnsi="宋体" w:eastAsia="宋体" w:cs="Times New Roman"/>
          <w:sz w:val="28"/>
          <w:szCs w:val="28"/>
          <w:highlight w:val="none"/>
          <w:lang w:val="en-US" w:eastAsia="zh-CN"/>
        </w:rPr>
        <w:t>10个工作日内</w:t>
      </w:r>
      <w:r>
        <w:rPr>
          <w:rFonts w:hint="eastAsia" w:ascii="宋体" w:hAnsi="宋体" w:eastAsia="宋体" w:cs="Times New Roman"/>
          <w:sz w:val="28"/>
          <w:szCs w:val="28"/>
          <w:highlight w:val="none"/>
        </w:rPr>
        <w:t>在工程项目所在地银行</w:t>
      </w:r>
      <w:r>
        <w:rPr>
          <w:rFonts w:hint="eastAsia" w:ascii="宋体" w:hAnsi="宋体" w:cs="宋体"/>
          <w:sz w:val="28"/>
          <w:szCs w:val="28"/>
          <w:highlight w:val="none"/>
        </w:rPr>
        <w:t>开设专门用于支付农民工工资的一般账户</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简称“专项账户”）</w:t>
      </w:r>
      <w:r>
        <w:rPr>
          <w:rFonts w:hint="eastAsia" w:ascii="宋体" w:hAnsi="宋体" w:eastAsia="宋体" w:cs="Times New Roman"/>
          <w:sz w:val="28"/>
          <w:szCs w:val="28"/>
          <w:highlight w:val="none"/>
        </w:rPr>
        <w:t>，直接代发农民工工资</w:t>
      </w:r>
      <w:r>
        <w:rPr>
          <w:rFonts w:hint="eastAsia" w:ascii="宋体" w:hAnsi="宋体" w:eastAsia="宋体" w:cs="Times New Roman"/>
          <w:sz w:val="28"/>
          <w:szCs w:val="28"/>
          <w:highlight w:val="none"/>
          <w:lang w:eastAsia="zh-CN"/>
        </w:rPr>
        <w:t>；</w:t>
      </w:r>
      <w:r>
        <w:rPr>
          <w:rFonts w:hint="eastAsia" w:ascii="宋体" w:hAnsi="宋体" w:eastAsia="宋体"/>
          <w:sz w:val="28"/>
          <w:szCs w:val="28"/>
          <w:highlight w:val="none"/>
          <w:lang w:eastAsia="zh-CN"/>
        </w:rPr>
        <w:t>甲方</w:t>
      </w:r>
      <w:r>
        <w:rPr>
          <w:rFonts w:hint="eastAsia" w:ascii="宋体" w:hAnsi="宋体"/>
          <w:sz w:val="28"/>
          <w:szCs w:val="28"/>
          <w:highlight w:val="none"/>
        </w:rPr>
        <w:t>有权查询该账户发放记录和流水，只能支付给有用工关系证明材料、在现场建立有施工记录的农民工。</w:t>
      </w:r>
      <w:r>
        <w:rPr>
          <w:rFonts w:hint="eastAsia" w:ascii="宋体" w:hAnsi="宋体"/>
          <w:sz w:val="28"/>
          <w:szCs w:val="28"/>
          <w:highlight w:val="none"/>
          <w:lang w:eastAsia="zh-CN"/>
        </w:rPr>
        <w:t>甲方</w:t>
      </w:r>
      <w:r>
        <w:rPr>
          <w:rFonts w:hint="eastAsia" w:ascii="宋体" w:hAnsi="宋体"/>
          <w:sz w:val="28"/>
          <w:szCs w:val="28"/>
          <w:highlight w:val="none"/>
        </w:rPr>
        <w:t>拨付</w:t>
      </w:r>
      <w:r>
        <w:rPr>
          <w:rFonts w:hint="eastAsia" w:ascii="宋体" w:hAnsi="宋体"/>
          <w:sz w:val="28"/>
          <w:szCs w:val="28"/>
          <w:highlight w:val="none"/>
          <w:lang w:val="en-US" w:eastAsia="zh-CN"/>
        </w:rPr>
        <w:t>合同款项</w:t>
      </w:r>
      <w:r>
        <w:rPr>
          <w:rFonts w:hint="eastAsia" w:ascii="宋体" w:hAnsi="宋体"/>
          <w:sz w:val="28"/>
          <w:szCs w:val="28"/>
          <w:highlight w:val="none"/>
        </w:rPr>
        <w:t>时，须收到</w:t>
      </w:r>
      <w:r>
        <w:rPr>
          <w:rFonts w:hint="eastAsia" w:ascii="宋体" w:hAnsi="宋体"/>
          <w:sz w:val="28"/>
          <w:szCs w:val="28"/>
          <w:highlight w:val="none"/>
          <w:lang w:eastAsia="zh-CN"/>
        </w:rPr>
        <w:t>乙方</w:t>
      </w:r>
      <w:r>
        <w:rPr>
          <w:rFonts w:hint="eastAsia" w:ascii="宋体" w:hAnsi="宋体"/>
          <w:sz w:val="28"/>
          <w:szCs w:val="28"/>
          <w:highlight w:val="none"/>
        </w:rPr>
        <w:t>的</w:t>
      </w:r>
      <w:r>
        <w:rPr>
          <w:rFonts w:hint="eastAsia" w:ascii="宋体" w:hAnsi="宋体"/>
          <w:sz w:val="28"/>
          <w:szCs w:val="28"/>
          <w:highlight w:val="none"/>
          <w:lang w:eastAsia="zh-CN"/>
        </w:rPr>
        <w:t>农</w:t>
      </w:r>
      <w:r>
        <w:rPr>
          <w:rFonts w:hint="eastAsia" w:ascii="宋体" w:hAnsi="宋体"/>
          <w:sz w:val="28"/>
          <w:szCs w:val="28"/>
          <w:highlight w:val="none"/>
        </w:rPr>
        <w:t>民工工资发放记录，不拖欠</w:t>
      </w:r>
      <w:r>
        <w:rPr>
          <w:rFonts w:hint="eastAsia" w:ascii="宋体" w:hAnsi="宋体"/>
          <w:sz w:val="28"/>
          <w:szCs w:val="28"/>
          <w:highlight w:val="none"/>
          <w:lang w:eastAsia="zh-CN"/>
        </w:rPr>
        <w:t>农</w:t>
      </w:r>
      <w:r>
        <w:rPr>
          <w:rFonts w:hint="eastAsia" w:ascii="宋体" w:hAnsi="宋体"/>
          <w:sz w:val="28"/>
          <w:szCs w:val="28"/>
          <w:highlight w:val="none"/>
        </w:rPr>
        <w:t>民工工资承诺书，并且查阅专用支付账户发放</w:t>
      </w:r>
      <w:r>
        <w:rPr>
          <w:rFonts w:hint="eastAsia" w:ascii="宋体" w:hAnsi="宋体"/>
          <w:sz w:val="28"/>
          <w:szCs w:val="28"/>
          <w:highlight w:val="none"/>
          <w:lang w:eastAsia="zh-CN"/>
        </w:rPr>
        <w:t>农</w:t>
      </w:r>
      <w:r>
        <w:rPr>
          <w:rFonts w:hint="eastAsia" w:ascii="宋体" w:hAnsi="宋体"/>
          <w:sz w:val="28"/>
          <w:szCs w:val="28"/>
          <w:highlight w:val="none"/>
        </w:rPr>
        <w:t>民工工资记录，经监理</w:t>
      </w:r>
      <w:r>
        <w:rPr>
          <w:rFonts w:hint="eastAsia" w:ascii="宋体" w:hAnsi="宋体"/>
          <w:sz w:val="28"/>
          <w:szCs w:val="28"/>
          <w:highlight w:val="none"/>
          <w:lang w:eastAsia="zh-CN"/>
        </w:rPr>
        <w:t>（</w:t>
      </w:r>
      <w:r>
        <w:rPr>
          <w:rFonts w:hint="eastAsia" w:ascii="宋体" w:hAnsi="宋体"/>
          <w:sz w:val="28"/>
          <w:szCs w:val="28"/>
          <w:highlight w:val="none"/>
          <w:lang w:val="en-US" w:eastAsia="zh-CN"/>
        </w:rPr>
        <w:t>如有）</w:t>
      </w:r>
      <w:r>
        <w:rPr>
          <w:rFonts w:hint="eastAsia" w:ascii="宋体" w:hAnsi="宋体"/>
          <w:sz w:val="28"/>
          <w:szCs w:val="28"/>
          <w:highlight w:val="none"/>
        </w:rPr>
        <w:t>、</w:t>
      </w:r>
      <w:r>
        <w:rPr>
          <w:rFonts w:hint="eastAsia" w:ascii="宋体" w:hAnsi="宋体"/>
          <w:sz w:val="28"/>
          <w:szCs w:val="28"/>
          <w:highlight w:val="none"/>
          <w:lang w:eastAsia="zh-CN"/>
        </w:rPr>
        <w:t>甲方</w:t>
      </w:r>
      <w:r>
        <w:rPr>
          <w:rFonts w:hint="eastAsia" w:ascii="宋体" w:hAnsi="宋体"/>
          <w:sz w:val="28"/>
          <w:szCs w:val="28"/>
          <w:highlight w:val="none"/>
        </w:rPr>
        <w:t>核实后才能付款。否则，</w:t>
      </w:r>
      <w:r>
        <w:rPr>
          <w:rFonts w:hint="eastAsia" w:ascii="宋体" w:hAnsi="宋体"/>
          <w:sz w:val="28"/>
          <w:szCs w:val="28"/>
          <w:highlight w:val="none"/>
          <w:lang w:eastAsia="zh-CN"/>
        </w:rPr>
        <w:t>甲方</w:t>
      </w:r>
      <w:r>
        <w:rPr>
          <w:rFonts w:hint="eastAsia" w:ascii="宋体" w:hAnsi="宋体"/>
          <w:sz w:val="28"/>
          <w:szCs w:val="28"/>
          <w:highlight w:val="none"/>
        </w:rPr>
        <w:t>有权扣除农民工工资，也可在项目所在地人力资源社会保障行政部门和建设行政主管部门监督见证下直接支付农民工工资，再将剩余金额拨付给</w:t>
      </w:r>
      <w:r>
        <w:rPr>
          <w:rFonts w:hint="eastAsia" w:ascii="宋体" w:hAnsi="宋体"/>
          <w:sz w:val="28"/>
          <w:szCs w:val="28"/>
          <w:highlight w:val="none"/>
          <w:lang w:eastAsia="zh-CN"/>
        </w:rPr>
        <w:t>乙方</w:t>
      </w:r>
      <w:r>
        <w:rPr>
          <w:rFonts w:hint="eastAsia" w:ascii="宋体" w:hAnsi="宋体"/>
          <w:sz w:val="28"/>
          <w:szCs w:val="28"/>
          <w:highlight w:val="none"/>
        </w:rPr>
        <w:t>。</w:t>
      </w:r>
      <w:r>
        <w:rPr>
          <w:rFonts w:hint="eastAsia" w:ascii="宋体" w:hAnsi="宋体" w:eastAsia="宋体" w:cs="Times New Roman"/>
          <w:sz w:val="28"/>
          <w:szCs w:val="28"/>
          <w:highlight w:val="none"/>
          <w:lang w:eastAsia="zh-CN"/>
        </w:rPr>
        <w:t>甲方</w:t>
      </w:r>
      <w:r>
        <w:rPr>
          <w:rFonts w:hint="eastAsia" w:ascii="宋体" w:hAnsi="宋体" w:eastAsia="宋体" w:cs="Times New Roman"/>
          <w:sz w:val="28"/>
          <w:szCs w:val="28"/>
          <w:highlight w:val="none"/>
        </w:rPr>
        <w:t>有权定期或不定期监督、了解农民工工资专用账户资金情况。</w:t>
      </w:r>
      <w:r>
        <w:rPr>
          <w:rFonts w:hint="eastAsia" w:ascii="宋体" w:hAnsi="宋体"/>
          <w:sz w:val="28"/>
          <w:szCs w:val="28"/>
          <w:highlight w:val="none"/>
          <w:lang w:eastAsia="zh-CN"/>
        </w:rPr>
        <w:t>乙方其他工程款设立专用账户，</w:t>
      </w:r>
      <w:r>
        <w:rPr>
          <w:rFonts w:hint="eastAsia" w:ascii="宋体" w:hAnsi="宋体"/>
          <w:sz w:val="28"/>
          <w:szCs w:val="28"/>
          <w:highlight w:val="none"/>
        </w:rPr>
        <w:t>并与该帐户开户银行签订监管协议，开户银行应履行防止承包方挪用建设资金的监督义务，及时通知</w:t>
      </w:r>
      <w:r>
        <w:rPr>
          <w:rFonts w:hint="eastAsia" w:ascii="宋体" w:hAnsi="宋体"/>
          <w:sz w:val="28"/>
          <w:szCs w:val="28"/>
          <w:highlight w:val="none"/>
          <w:lang w:eastAsia="zh-CN"/>
        </w:rPr>
        <w:t>甲方</w:t>
      </w:r>
      <w:r>
        <w:rPr>
          <w:rFonts w:hint="eastAsia" w:ascii="宋体" w:hAnsi="宋体"/>
          <w:sz w:val="28"/>
          <w:szCs w:val="28"/>
          <w:highlight w:val="none"/>
        </w:rPr>
        <w:t>相关情况。（本条款仅适用于使用农民工的情形；若本工程不使用农民工，乙方应在施工前向甲方出具不使用农民工的承诺函，甲方有权在施工期间开展检查）</w:t>
      </w:r>
    </w:p>
    <w:p w14:paraId="7E13CCD9">
      <w:pPr>
        <w:spacing w:before="0" w:beforeLines="-2147483648" w:line="300" w:lineRule="auto"/>
        <w:ind w:firstLine="560" w:firstLineChars="200"/>
        <w:jc w:val="left"/>
        <w:rPr>
          <w:rFonts w:hint="eastAsia" w:ascii="宋体" w:hAnsi="宋体"/>
          <w:sz w:val="28"/>
          <w:szCs w:val="28"/>
          <w:highlight w:val="none"/>
          <w:lang w:eastAsia="zh-CN"/>
        </w:rPr>
      </w:pPr>
      <w:r>
        <w:rPr>
          <w:rFonts w:hint="eastAsia" w:ascii="宋体" w:hAnsi="宋体" w:cs="Times New Roman"/>
          <w:sz w:val="28"/>
          <w:szCs w:val="28"/>
          <w:highlight w:val="none"/>
          <w:lang w:eastAsia="zh-CN"/>
        </w:rPr>
        <w:t>在</w:t>
      </w:r>
      <w:r>
        <w:rPr>
          <w:rFonts w:hint="eastAsia" w:ascii="宋体" w:hAnsi="宋体" w:cs="Times New Roman"/>
          <w:sz w:val="28"/>
          <w:szCs w:val="28"/>
          <w:highlight w:val="none"/>
          <w:lang w:val="en-US" w:eastAsia="zh-CN"/>
        </w:rPr>
        <w:t>申请支付合同款项</w:t>
      </w:r>
      <w:r>
        <w:rPr>
          <w:rFonts w:hint="eastAsia" w:ascii="宋体" w:hAnsi="宋体" w:cs="Times New Roman"/>
          <w:sz w:val="28"/>
          <w:szCs w:val="28"/>
          <w:highlight w:val="none"/>
          <w:lang w:eastAsia="zh-CN"/>
        </w:rPr>
        <w:t>时，乙方应列明付款金额中包含的人工费用金额，甲方按本合同约定</w:t>
      </w:r>
      <w:r>
        <w:rPr>
          <w:rFonts w:hint="eastAsia" w:ascii="宋体" w:hAnsi="宋体" w:eastAsia="宋体" w:cs="Times New Roman"/>
          <w:sz w:val="28"/>
          <w:szCs w:val="28"/>
          <w:highlight w:val="none"/>
        </w:rPr>
        <w:t>将应付工程款中的人工费单独拨付到</w:t>
      </w:r>
      <w:r>
        <w:rPr>
          <w:rFonts w:hint="eastAsia" w:ascii="宋体" w:hAnsi="宋体" w:cs="Times New Roman"/>
          <w:sz w:val="28"/>
          <w:szCs w:val="28"/>
          <w:highlight w:val="none"/>
          <w:lang w:eastAsia="zh-CN"/>
        </w:rPr>
        <w:t>乙方</w:t>
      </w:r>
      <w:r>
        <w:rPr>
          <w:rFonts w:hint="eastAsia" w:ascii="宋体" w:hAnsi="宋体" w:eastAsia="宋体" w:cs="Times New Roman"/>
          <w:sz w:val="28"/>
          <w:szCs w:val="28"/>
          <w:highlight w:val="none"/>
        </w:rPr>
        <w:t>开设的农民工工资专用</w:t>
      </w:r>
      <w:r>
        <w:rPr>
          <w:rFonts w:hint="eastAsia" w:ascii="宋体" w:hAnsi="宋体" w:eastAsia="宋体" w:cs="Times New Roman"/>
          <w:sz w:val="28"/>
          <w:szCs w:val="28"/>
          <w:highlight w:val="none"/>
          <w:lang w:eastAsia="zh-CN"/>
        </w:rPr>
        <w:t>支付</w:t>
      </w:r>
      <w:r>
        <w:rPr>
          <w:rFonts w:hint="eastAsia" w:ascii="宋体" w:hAnsi="宋体" w:eastAsia="宋体" w:cs="Times New Roman"/>
          <w:sz w:val="28"/>
          <w:szCs w:val="28"/>
          <w:highlight w:val="none"/>
        </w:rPr>
        <w:t>账户</w:t>
      </w:r>
      <w:r>
        <w:rPr>
          <w:rFonts w:hint="eastAsia" w:ascii="宋体" w:hAnsi="宋体" w:cs="Times New Roman"/>
          <w:sz w:val="28"/>
          <w:szCs w:val="28"/>
          <w:highlight w:val="none"/>
          <w:lang w:eastAsia="zh-CN"/>
        </w:rPr>
        <w:t>，</w:t>
      </w:r>
      <w:r>
        <w:rPr>
          <w:rFonts w:hint="eastAsia" w:ascii="宋体" w:hAnsi="宋体" w:eastAsia="宋体" w:cs="Times New Roman"/>
          <w:sz w:val="28"/>
          <w:szCs w:val="28"/>
          <w:highlight w:val="none"/>
        </w:rPr>
        <w:t>保障农民工工资按时足额支付。</w:t>
      </w:r>
    </w:p>
    <w:p w14:paraId="3C80A4ED">
      <w:pPr>
        <w:snapToGrid/>
        <w:spacing w:before="0" w:beforeLines="-2147483648" w:line="300" w:lineRule="auto"/>
        <w:ind w:firstLine="560" w:firstLineChars="200"/>
        <w:jc w:val="left"/>
        <w:rPr>
          <w:rFonts w:hint="eastAsia" w:ascii="宋体" w:hAnsi="宋体"/>
          <w:sz w:val="28"/>
          <w:szCs w:val="28"/>
          <w:highlight w:val="none"/>
        </w:rPr>
      </w:pPr>
      <w:r>
        <w:rPr>
          <w:rFonts w:hint="eastAsia" w:ascii="宋体" w:hAnsi="宋体"/>
          <w:sz w:val="28"/>
          <w:szCs w:val="28"/>
          <w:highlight w:val="none"/>
          <w:lang w:eastAsia="zh-CN"/>
        </w:rPr>
        <w:t>乙方</w:t>
      </w:r>
      <w:r>
        <w:rPr>
          <w:rFonts w:hint="eastAsia" w:ascii="宋体" w:hAnsi="宋体"/>
          <w:sz w:val="28"/>
          <w:szCs w:val="28"/>
          <w:highlight w:val="none"/>
        </w:rPr>
        <w:t>不得以工程款未到位为由，克扣或拖欠</w:t>
      </w:r>
      <w:r>
        <w:rPr>
          <w:rFonts w:hint="eastAsia" w:ascii="宋体" w:hAnsi="宋体"/>
          <w:sz w:val="28"/>
          <w:szCs w:val="28"/>
          <w:highlight w:val="none"/>
          <w:lang w:eastAsia="zh-CN"/>
        </w:rPr>
        <w:t>施工</w:t>
      </w:r>
      <w:r>
        <w:rPr>
          <w:rFonts w:hint="eastAsia" w:ascii="宋体" w:hAnsi="宋体"/>
          <w:sz w:val="28"/>
          <w:szCs w:val="28"/>
          <w:highlight w:val="none"/>
        </w:rPr>
        <w:t>人员工资，不得将经营风险转嫁给</w:t>
      </w:r>
      <w:r>
        <w:rPr>
          <w:rFonts w:hint="eastAsia" w:ascii="宋体" w:hAnsi="宋体"/>
          <w:sz w:val="28"/>
          <w:szCs w:val="28"/>
          <w:highlight w:val="none"/>
          <w:lang w:eastAsia="zh-CN"/>
        </w:rPr>
        <w:t>施工</w:t>
      </w:r>
      <w:r>
        <w:rPr>
          <w:rFonts w:hint="eastAsia" w:ascii="宋体" w:hAnsi="宋体"/>
          <w:sz w:val="28"/>
          <w:szCs w:val="28"/>
          <w:highlight w:val="none"/>
        </w:rPr>
        <w:t>人员。</w:t>
      </w:r>
      <w:r>
        <w:rPr>
          <w:rFonts w:hint="eastAsia" w:ascii="宋体" w:hAnsi="宋体"/>
          <w:sz w:val="28"/>
          <w:szCs w:val="28"/>
          <w:highlight w:val="none"/>
          <w:lang w:eastAsia="zh-CN"/>
        </w:rPr>
        <w:t>乙方</w:t>
      </w:r>
      <w:r>
        <w:rPr>
          <w:rFonts w:hint="eastAsia" w:ascii="宋体" w:hAnsi="宋体"/>
          <w:sz w:val="28"/>
          <w:szCs w:val="28"/>
          <w:highlight w:val="none"/>
        </w:rPr>
        <w:t>承诺：为保证工程进度，若发生</w:t>
      </w:r>
      <w:r>
        <w:rPr>
          <w:rFonts w:hint="eastAsia" w:ascii="宋体" w:hAnsi="宋体"/>
          <w:sz w:val="28"/>
          <w:szCs w:val="28"/>
          <w:highlight w:val="none"/>
          <w:lang w:eastAsia="zh-CN"/>
        </w:rPr>
        <w:t>乙方</w:t>
      </w:r>
      <w:r>
        <w:rPr>
          <w:rFonts w:hint="eastAsia" w:ascii="宋体" w:hAnsi="宋体"/>
          <w:sz w:val="28"/>
          <w:szCs w:val="28"/>
          <w:highlight w:val="none"/>
        </w:rPr>
        <w:t>拖欠材料款和农民工工资事宜，</w:t>
      </w:r>
      <w:r>
        <w:rPr>
          <w:rFonts w:hint="eastAsia" w:ascii="宋体" w:hAnsi="宋体"/>
          <w:sz w:val="28"/>
          <w:szCs w:val="28"/>
          <w:highlight w:val="none"/>
          <w:lang w:eastAsia="zh-CN"/>
        </w:rPr>
        <w:t>甲方</w:t>
      </w:r>
      <w:r>
        <w:rPr>
          <w:rFonts w:hint="eastAsia" w:ascii="宋体" w:hAnsi="宋体"/>
          <w:sz w:val="28"/>
          <w:szCs w:val="28"/>
          <w:highlight w:val="none"/>
        </w:rPr>
        <w:t>有权直接按</w:t>
      </w:r>
      <w:r>
        <w:rPr>
          <w:rFonts w:hint="eastAsia" w:ascii="宋体" w:hAnsi="宋体"/>
          <w:sz w:val="28"/>
          <w:szCs w:val="28"/>
          <w:highlight w:val="none"/>
          <w:lang w:eastAsia="zh-CN"/>
        </w:rPr>
        <w:t>乙方</w:t>
      </w:r>
      <w:r>
        <w:rPr>
          <w:rFonts w:hint="eastAsia" w:ascii="宋体" w:hAnsi="宋体"/>
          <w:sz w:val="28"/>
          <w:szCs w:val="28"/>
          <w:highlight w:val="none"/>
        </w:rPr>
        <w:t>拖欠的材料款和农民工工资数额将款项支付给相应的权利人，相应款项从应支付给</w:t>
      </w:r>
      <w:r>
        <w:rPr>
          <w:rFonts w:hint="eastAsia" w:ascii="宋体" w:hAnsi="宋体"/>
          <w:sz w:val="28"/>
          <w:szCs w:val="28"/>
          <w:highlight w:val="none"/>
          <w:lang w:eastAsia="zh-CN"/>
        </w:rPr>
        <w:t>乙方</w:t>
      </w:r>
      <w:r>
        <w:rPr>
          <w:rFonts w:hint="eastAsia" w:ascii="宋体" w:hAnsi="宋体"/>
          <w:sz w:val="28"/>
          <w:szCs w:val="28"/>
          <w:highlight w:val="none"/>
        </w:rPr>
        <w:t>的合同款中扣除。</w:t>
      </w:r>
    </w:p>
    <w:p w14:paraId="2ADA81D6">
      <w:pPr>
        <w:snapToGrid/>
        <w:spacing w:before="0" w:beforeLines="-2147483648" w:line="300" w:lineRule="auto"/>
        <w:ind w:firstLine="560" w:firstLineChars="200"/>
        <w:jc w:val="left"/>
        <w:rPr>
          <w:rFonts w:hint="eastAsia" w:ascii="宋体" w:hAnsi="宋体"/>
          <w:sz w:val="28"/>
          <w:szCs w:val="28"/>
          <w:highlight w:val="none"/>
        </w:rPr>
      </w:pPr>
      <w:r>
        <w:rPr>
          <w:rFonts w:hint="eastAsia" w:ascii="宋体" w:hAnsi="宋体"/>
          <w:sz w:val="28"/>
          <w:szCs w:val="28"/>
          <w:highlight w:val="none"/>
          <w:lang w:eastAsia="zh-CN"/>
        </w:rPr>
        <w:t>乙方</w:t>
      </w:r>
      <w:r>
        <w:rPr>
          <w:rFonts w:hint="eastAsia" w:ascii="宋体" w:hAnsi="宋体"/>
          <w:sz w:val="28"/>
          <w:szCs w:val="28"/>
          <w:highlight w:val="none"/>
        </w:rPr>
        <w:t>将工程转包、违法分包致使出现</w:t>
      </w:r>
      <w:r>
        <w:rPr>
          <w:rFonts w:hint="eastAsia" w:ascii="宋体" w:hAnsi="宋体"/>
          <w:sz w:val="28"/>
          <w:szCs w:val="28"/>
          <w:highlight w:val="none"/>
          <w:lang w:eastAsia="zh-CN"/>
        </w:rPr>
        <w:t>乙方</w:t>
      </w:r>
      <w:r>
        <w:rPr>
          <w:rFonts w:hint="eastAsia" w:ascii="宋体" w:hAnsi="宋体"/>
          <w:sz w:val="28"/>
          <w:szCs w:val="28"/>
          <w:highlight w:val="none"/>
        </w:rPr>
        <w:t>人员工资拖欠的，由</w:t>
      </w:r>
      <w:r>
        <w:rPr>
          <w:rFonts w:hint="eastAsia" w:ascii="宋体" w:hAnsi="宋体"/>
          <w:sz w:val="28"/>
          <w:szCs w:val="28"/>
          <w:highlight w:val="none"/>
          <w:lang w:eastAsia="zh-CN"/>
        </w:rPr>
        <w:t>乙方</w:t>
      </w:r>
      <w:r>
        <w:rPr>
          <w:rFonts w:hint="eastAsia" w:ascii="宋体" w:hAnsi="宋体"/>
          <w:sz w:val="28"/>
          <w:szCs w:val="28"/>
          <w:highlight w:val="none"/>
        </w:rPr>
        <w:t>依法承担清偿责任。</w:t>
      </w:r>
    </w:p>
    <w:p w14:paraId="2564817E">
      <w:pPr>
        <w:snapToGrid/>
        <w:spacing w:before="0" w:beforeLines="-2147483648" w:line="300" w:lineRule="auto"/>
        <w:ind w:firstLine="560" w:firstLineChars="200"/>
        <w:jc w:val="left"/>
        <w:rPr>
          <w:rFonts w:hint="eastAsia" w:ascii="宋体" w:hAnsi="宋体"/>
          <w:sz w:val="28"/>
          <w:szCs w:val="28"/>
          <w:highlight w:val="none"/>
        </w:rPr>
      </w:pPr>
      <w:r>
        <w:rPr>
          <w:rFonts w:hint="eastAsia" w:ascii="宋体" w:hAnsi="宋体" w:eastAsia="宋体" w:cs="Times New Roman"/>
          <w:sz w:val="28"/>
          <w:szCs w:val="28"/>
          <w:highlight w:val="none"/>
          <w:lang w:eastAsia="zh-CN"/>
        </w:rPr>
        <w:t>乙方</w:t>
      </w:r>
      <w:r>
        <w:rPr>
          <w:rFonts w:hint="eastAsia" w:ascii="宋体" w:hAnsi="宋体" w:eastAsia="宋体" w:cs="Times New Roman"/>
          <w:sz w:val="28"/>
          <w:szCs w:val="28"/>
          <w:highlight w:val="none"/>
        </w:rPr>
        <w:t>应当完善履行对分包商的资质审查和监督义务，特别应监督分包商的劳动用工和工资发放行为，农民工实名制管理制度的实施，劳动计酬手册的建立以及施工现场作业农民工的身份信息、劳动考勤、工资结算等信息的信息化实名制管理情况。</w:t>
      </w:r>
    </w:p>
    <w:p w14:paraId="049AE4D5">
      <w:pPr>
        <w:snapToGrid/>
        <w:spacing w:before="0" w:beforeLines="-2147483648" w:line="300" w:lineRule="auto"/>
        <w:ind w:firstLine="560" w:firstLineChars="200"/>
        <w:jc w:val="left"/>
        <w:rPr>
          <w:rFonts w:hint="eastAsia" w:ascii="宋体" w:hAnsi="宋体"/>
          <w:sz w:val="28"/>
          <w:szCs w:val="28"/>
          <w:highlight w:val="none"/>
        </w:rPr>
      </w:pPr>
      <w:r>
        <w:rPr>
          <w:rFonts w:hint="eastAsia" w:ascii="宋体" w:hAnsi="宋体"/>
          <w:sz w:val="28"/>
          <w:szCs w:val="28"/>
          <w:highlight w:val="none"/>
          <w:lang w:eastAsia="zh-CN"/>
        </w:rPr>
        <w:t>甲方</w:t>
      </w:r>
      <w:r>
        <w:rPr>
          <w:rFonts w:hint="eastAsia" w:ascii="宋体" w:hAnsi="宋体"/>
          <w:sz w:val="28"/>
          <w:szCs w:val="28"/>
          <w:highlight w:val="none"/>
        </w:rPr>
        <w:t>对</w:t>
      </w:r>
      <w:r>
        <w:rPr>
          <w:rFonts w:hint="eastAsia" w:ascii="宋体" w:hAnsi="宋体"/>
          <w:sz w:val="28"/>
          <w:szCs w:val="28"/>
          <w:highlight w:val="none"/>
          <w:lang w:eastAsia="zh-CN"/>
        </w:rPr>
        <w:t>乙方</w:t>
      </w:r>
      <w:r>
        <w:rPr>
          <w:rFonts w:hint="eastAsia" w:ascii="宋体" w:hAnsi="宋体"/>
          <w:sz w:val="28"/>
          <w:szCs w:val="28"/>
          <w:highlight w:val="none"/>
        </w:rPr>
        <w:t>与分包商之间的法律与经济纠纷不承担任何责任和义务。</w:t>
      </w:r>
    </w:p>
    <w:p w14:paraId="5930ABB9">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highlight w:val="none"/>
          <w:lang w:val="en-US" w:eastAsia="zh-CN"/>
        </w:rPr>
        <w:t>甲</w:t>
      </w:r>
      <w:r>
        <w:rPr>
          <w:rFonts w:hint="eastAsia" w:ascii="宋体" w:hAnsi="宋体" w:eastAsia="宋体" w:cs="宋体"/>
          <w:sz w:val="28"/>
          <w:szCs w:val="28"/>
          <w:highlight w:val="none"/>
        </w:rPr>
        <w:t>方采取以下第（ </w:t>
      </w:r>
      <w:r>
        <w:rPr>
          <w:rFonts w:hint="eastAsia" w:ascii="宋体" w:hAnsi="宋体" w:cs="宋体"/>
          <w:sz w:val="28"/>
          <w:szCs w:val="28"/>
          <w:highlight w:val="none"/>
          <w:lang w:val="en-US" w:eastAsia="zh-CN"/>
        </w:rPr>
        <w:t>A</w:t>
      </w:r>
      <w:r>
        <w:rPr>
          <w:rFonts w:hint="eastAsia" w:ascii="宋体" w:hAnsi="宋体" w:eastAsia="宋体" w:cs="宋体"/>
          <w:sz w:val="28"/>
          <w:szCs w:val="28"/>
          <w:highlight w:val="none"/>
        </w:rPr>
        <w:t> ）</w:t>
      </w:r>
      <w:r>
        <w:rPr>
          <w:rFonts w:hint="eastAsia" w:ascii="宋体" w:hAnsi="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3818C356">
      <w:pPr>
        <w:spacing w:line="300" w:lineRule="auto"/>
        <w:ind w:left="828" w:leftChars="1" w:hanging="826" w:hangingChars="294"/>
        <w:outlineLvl w:val="0"/>
        <w:rPr>
          <w:rFonts w:ascii="宋体" w:hAnsi="宋体"/>
          <w:b/>
          <w:bCs/>
          <w:sz w:val="28"/>
          <w:szCs w:val="28"/>
          <w:highlight w:val="none"/>
        </w:rPr>
      </w:pPr>
      <w:r>
        <w:rPr>
          <w:rFonts w:hint="eastAsia" w:ascii="宋体" w:hAnsi="宋体"/>
          <w:b/>
          <w:bCs/>
          <w:sz w:val="28"/>
          <w:szCs w:val="28"/>
          <w:highlight w:val="none"/>
        </w:rPr>
        <w:t>第八条</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调整合同价款</w:t>
      </w:r>
    </w:p>
    <w:p w14:paraId="30897D60">
      <w:pPr>
        <w:spacing w:line="300" w:lineRule="auto"/>
        <w:jc w:val="left"/>
        <w:rPr>
          <w:rFonts w:ascii="宋体" w:hAnsi="宋体"/>
          <w:sz w:val="28"/>
          <w:szCs w:val="28"/>
          <w:highlight w:val="none"/>
        </w:rPr>
      </w:pPr>
      <w:r>
        <w:rPr>
          <w:rFonts w:hint="eastAsia" w:ascii="宋体" w:hAnsi="宋体"/>
          <w:sz w:val="28"/>
          <w:szCs w:val="28"/>
          <w:highlight w:val="none"/>
        </w:rPr>
        <w:t>1、以</w:t>
      </w:r>
      <w:r>
        <w:rPr>
          <w:rFonts w:hint="eastAsia" w:ascii="宋体" w:hAnsi="宋体"/>
          <w:sz w:val="28"/>
          <w:szCs w:val="28"/>
          <w:highlight w:val="none"/>
          <w:lang w:val="en-US" w:eastAsia="zh-CN"/>
        </w:rPr>
        <w:t>固</w:t>
      </w:r>
      <w:r>
        <w:rPr>
          <w:rFonts w:hint="eastAsia" w:ascii="宋体" w:hAnsi="宋体"/>
          <w:sz w:val="28"/>
          <w:szCs w:val="28"/>
          <w:highlight w:val="none"/>
        </w:rPr>
        <w:t>定总价方式承揽本项工程，价款根据实际完成工程量</w:t>
      </w:r>
      <w:r>
        <w:rPr>
          <w:rFonts w:hint="eastAsia" w:ascii="宋体" w:hAnsi="宋体"/>
          <w:sz w:val="28"/>
          <w:szCs w:val="28"/>
          <w:highlight w:val="none"/>
          <w:lang w:val="en-US" w:eastAsia="zh-CN"/>
        </w:rPr>
        <w:t>及中标价</w:t>
      </w:r>
      <w:r>
        <w:rPr>
          <w:rFonts w:hint="eastAsia" w:ascii="宋体" w:hAnsi="宋体"/>
          <w:sz w:val="28"/>
          <w:szCs w:val="28"/>
          <w:highlight w:val="none"/>
        </w:rPr>
        <w:t>结算。</w:t>
      </w:r>
    </w:p>
    <w:p w14:paraId="6008095B">
      <w:pPr>
        <w:spacing w:line="300" w:lineRule="auto"/>
        <w:rPr>
          <w:rFonts w:ascii="宋体" w:hAnsi="宋体"/>
          <w:sz w:val="28"/>
          <w:szCs w:val="28"/>
          <w:highlight w:val="none"/>
        </w:rPr>
      </w:pPr>
      <w:r>
        <w:rPr>
          <w:rFonts w:hint="eastAsia" w:ascii="宋体" w:hAnsi="宋体"/>
          <w:sz w:val="28"/>
          <w:szCs w:val="28"/>
          <w:highlight w:val="none"/>
        </w:rPr>
        <w:t>2、其他</w:t>
      </w:r>
    </w:p>
    <w:p w14:paraId="43076F67">
      <w:pPr>
        <w:spacing w:line="300" w:lineRule="auto"/>
        <w:ind w:firstLine="560" w:firstLineChars="200"/>
        <w:jc w:val="left"/>
        <w:rPr>
          <w:rFonts w:hint="eastAsia" w:ascii="宋体" w:hAnsi="宋体"/>
          <w:sz w:val="28"/>
          <w:szCs w:val="28"/>
          <w:highlight w:val="none"/>
        </w:rPr>
      </w:pPr>
      <w:r>
        <w:rPr>
          <w:rFonts w:hint="eastAsia" w:ascii="宋体" w:hAnsi="宋体"/>
          <w:sz w:val="28"/>
          <w:szCs w:val="28"/>
          <w:highlight w:val="none"/>
          <w:lang w:eastAsia="zh-CN"/>
        </w:rPr>
        <w:t>如</w:t>
      </w:r>
      <w:r>
        <w:rPr>
          <w:rFonts w:hint="eastAsia" w:ascii="宋体" w:hAnsi="宋体"/>
          <w:sz w:val="28"/>
          <w:szCs w:val="28"/>
          <w:highlight w:val="none"/>
        </w:rPr>
        <w:t>因乙方违章收到甲方或监理方考核通知单，由甲方在合同竣工款支付时扣除。</w:t>
      </w:r>
    </w:p>
    <w:p w14:paraId="79174543">
      <w:pPr>
        <w:spacing w:line="300" w:lineRule="auto"/>
        <w:ind w:left="828" w:leftChars="1" w:hanging="826" w:hangingChars="294"/>
        <w:outlineLvl w:val="0"/>
        <w:rPr>
          <w:rFonts w:ascii="宋体" w:hAnsi="宋体"/>
          <w:b/>
          <w:bCs/>
          <w:sz w:val="28"/>
          <w:szCs w:val="28"/>
          <w:highlight w:val="none"/>
        </w:rPr>
      </w:pPr>
      <w:r>
        <w:rPr>
          <w:rFonts w:hint="eastAsia" w:ascii="宋体" w:hAnsi="宋体"/>
          <w:b/>
          <w:bCs/>
          <w:sz w:val="28"/>
          <w:szCs w:val="28"/>
          <w:highlight w:val="none"/>
        </w:rPr>
        <w:t>第九条</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质保期</w:t>
      </w:r>
    </w:p>
    <w:p w14:paraId="2EF2EBE3">
      <w:pPr>
        <w:spacing w:line="300" w:lineRule="auto"/>
        <w:rPr>
          <w:rFonts w:ascii="宋体" w:hAnsi="宋体"/>
          <w:sz w:val="28"/>
          <w:szCs w:val="28"/>
          <w:highlight w:val="none"/>
        </w:rPr>
      </w:pPr>
      <w:r>
        <w:rPr>
          <w:rFonts w:hint="eastAsia" w:ascii="宋体" w:hAnsi="宋体"/>
          <w:sz w:val="28"/>
          <w:szCs w:val="28"/>
          <w:highlight w:val="none"/>
        </w:rPr>
        <w:t>1、质量保修范围为：乙方承包范围内的所有在列工程。</w:t>
      </w:r>
    </w:p>
    <w:p w14:paraId="457C358D">
      <w:pPr>
        <w:spacing w:line="300" w:lineRule="auto"/>
        <w:rPr>
          <w:rFonts w:ascii="宋体" w:hAnsi="宋体"/>
          <w:sz w:val="28"/>
          <w:szCs w:val="28"/>
          <w:highlight w:val="none"/>
        </w:rPr>
      </w:pPr>
      <w:r>
        <w:rPr>
          <w:rFonts w:hint="eastAsia" w:ascii="宋体" w:hAnsi="宋体"/>
          <w:sz w:val="28"/>
          <w:szCs w:val="28"/>
          <w:highlight w:val="none"/>
        </w:rPr>
        <w:t>2、本工程的质保期具体如下，自整体工程竣工验收合格并交付甲方之日起开始计算；</w:t>
      </w:r>
    </w:p>
    <w:tbl>
      <w:tblPr>
        <w:tblStyle w:val="13"/>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1"/>
        <w:gridCol w:w="4431"/>
      </w:tblGrid>
      <w:tr w14:paraId="4D1B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4431" w:type="dxa"/>
          </w:tcPr>
          <w:p w14:paraId="1D5CC0C1">
            <w:pPr>
              <w:pStyle w:val="17"/>
              <w:spacing w:line="240" w:lineRule="auto"/>
              <w:rPr>
                <w:sz w:val="28"/>
                <w:szCs w:val="28"/>
                <w:highlight w:val="none"/>
              </w:rPr>
            </w:pPr>
            <w:r>
              <w:rPr>
                <w:sz w:val="28"/>
                <w:szCs w:val="28"/>
                <w:highlight w:val="none"/>
              </w:rPr>
              <w:t>项目</w:t>
            </w:r>
          </w:p>
        </w:tc>
        <w:tc>
          <w:tcPr>
            <w:tcW w:w="4431" w:type="dxa"/>
          </w:tcPr>
          <w:p w14:paraId="2A62BDD1">
            <w:pPr>
              <w:pStyle w:val="17"/>
              <w:spacing w:line="240" w:lineRule="auto"/>
              <w:rPr>
                <w:sz w:val="28"/>
                <w:szCs w:val="28"/>
                <w:highlight w:val="none"/>
              </w:rPr>
            </w:pPr>
            <w:r>
              <w:rPr>
                <w:sz w:val="28"/>
                <w:szCs w:val="28"/>
                <w:highlight w:val="none"/>
              </w:rPr>
              <w:t>质保期（年）</w:t>
            </w:r>
          </w:p>
        </w:tc>
      </w:tr>
      <w:tr w14:paraId="0176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4A11E2A0">
            <w:pPr>
              <w:pStyle w:val="18"/>
              <w:spacing w:line="240" w:lineRule="auto"/>
              <w:jc w:val="center"/>
              <w:rPr>
                <w:sz w:val="28"/>
                <w:szCs w:val="28"/>
                <w:highlight w:val="none"/>
              </w:rPr>
            </w:pPr>
          </w:p>
        </w:tc>
        <w:tc>
          <w:tcPr>
            <w:tcW w:w="4431" w:type="dxa"/>
          </w:tcPr>
          <w:p w14:paraId="604DDA58">
            <w:pPr>
              <w:pStyle w:val="18"/>
              <w:spacing w:line="240" w:lineRule="auto"/>
              <w:jc w:val="center"/>
              <w:rPr>
                <w:sz w:val="28"/>
                <w:szCs w:val="28"/>
                <w:highlight w:val="none"/>
              </w:rPr>
            </w:pPr>
          </w:p>
        </w:tc>
      </w:tr>
      <w:tr w14:paraId="73C0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3E2F88E8">
            <w:pPr>
              <w:pStyle w:val="18"/>
              <w:spacing w:line="240" w:lineRule="auto"/>
              <w:jc w:val="center"/>
              <w:rPr>
                <w:sz w:val="28"/>
                <w:szCs w:val="28"/>
                <w:highlight w:val="none"/>
              </w:rPr>
            </w:pPr>
          </w:p>
        </w:tc>
        <w:tc>
          <w:tcPr>
            <w:tcW w:w="4431" w:type="dxa"/>
          </w:tcPr>
          <w:p w14:paraId="4292A473">
            <w:pPr>
              <w:pStyle w:val="18"/>
              <w:spacing w:line="240" w:lineRule="auto"/>
              <w:jc w:val="center"/>
              <w:rPr>
                <w:sz w:val="28"/>
                <w:szCs w:val="28"/>
                <w:highlight w:val="none"/>
              </w:rPr>
            </w:pPr>
          </w:p>
        </w:tc>
      </w:tr>
      <w:tr w14:paraId="0C70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69BE5B93">
            <w:pPr>
              <w:pStyle w:val="18"/>
              <w:spacing w:line="240" w:lineRule="auto"/>
              <w:jc w:val="center"/>
              <w:rPr>
                <w:sz w:val="28"/>
                <w:szCs w:val="28"/>
                <w:highlight w:val="none"/>
              </w:rPr>
            </w:pPr>
          </w:p>
        </w:tc>
        <w:tc>
          <w:tcPr>
            <w:tcW w:w="4431" w:type="dxa"/>
          </w:tcPr>
          <w:p w14:paraId="4CA19299">
            <w:pPr>
              <w:pStyle w:val="18"/>
              <w:spacing w:line="240" w:lineRule="auto"/>
              <w:jc w:val="center"/>
              <w:rPr>
                <w:sz w:val="28"/>
                <w:szCs w:val="28"/>
                <w:highlight w:val="none"/>
              </w:rPr>
            </w:pPr>
          </w:p>
        </w:tc>
      </w:tr>
      <w:tr w14:paraId="1411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2B22982E">
            <w:pPr>
              <w:pStyle w:val="18"/>
              <w:spacing w:line="240" w:lineRule="auto"/>
              <w:jc w:val="center"/>
              <w:rPr>
                <w:sz w:val="28"/>
                <w:szCs w:val="28"/>
                <w:highlight w:val="none"/>
              </w:rPr>
            </w:pPr>
          </w:p>
        </w:tc>
        <w:tc>
          <w:tcPr>
            <w:tcW w:w="4431" w:type="dxa"/>
          </w:tcPr>
          <w:p w14:paraId="0B392338">
            <w:pPr>
              <w:pStyle w:val="18"/>
              <w:spacing w:line="240" w:lineRule="auto"/>
              <w:jc w:val="center"/>
              <w:rPr>
                <w:sz w:val="28"/>
                <w:szCs w:val="28"/>
                <w:highlight w:val="none"/>
              </w:rPr>
            </w:pPr>
          </w:p>
        </w:tc>
      </w:tr>
      <w:tr w14:paraId="5BDF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7A6FEB87">
            <w:pPr>
              <w:pStyle w:val="18"/>
              <w:spacing w:line="240" w:lineRule="auto"/>
              <w:jc w:val="center"/>
              <w:rPr>
                <w:sz w:val="28"/>
                <w:szCs w:val="28"/>
                <w:highlight w:val="none"/>
              </w:rPr>
            </w:pPr>
          </w:p>
        </w:tc>
        <w:tc>
          <w:tcPr>
            <w:tcW w:w="4431" w:type="dxa"/>
          </w:tcPr>
          <w:p w14:paraId="292BA100">
            <w:pPr>
              <w:pStyle w:val="18"/>
              <w:spacing w:line="240" w:lineRule="auto"/>
              <w:jc w:val="center"/>
              <w:rPr>
                <w:sz w:val="28"/>
                <w:szCs w:val="28"/>
                <w:highlight w:val="none"/>
              </w:rPr>
            </w:pPr>
          </w:p>
        </w:tc>
      </w:tr>
      <w:tr w14:paraId="20EE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31" w:type="dxa"/>
          </w:tcPr>
          <w:p w14:paraId="25A8A437">
            <w:pPr>
              <w:pStyle w:val="18"/>
              <w:spacing w:line="240" w:lineRule="auto"/>
              <w:jc w:val="center"/>
              <w:rPr>
                <w:sz w:val="28"/>
                <w:szCs w:val="28"/>
                <w:highlight w:val="none"/>
              </w:rPr>
            </w:pPr>
          </w:p>
        </w:tc>
        <w:tc>
          <w:tcPr>
            <w:tcW w:w="4431" w:type="dxa"/>
          </w:tcPr>
          <w:p w14:paraId="5658B581">
            <w:pPr>
              <w:pStyle w:val="18"/>
              <w:spacing w:line="240" w:lineRule="auto"/>
              <w:jc w:val="center"/>
              <w:rPr>
                <w:sz w:val="28"/>
                <w:szCs w:val="28"/>
                <w:highlight w:val="none"/>
              </w:rPr>
            </w:pPr>
          </w:p>
        </w:tc>
      </w:tr>
    </w:tbl>
    <w:p w14:paraId="514D09D0">
      <w:pPr>
        <w:spacing w:line="300" w:lineRule="auto"/>
        <w:rPr>
          <w:rFonts w:ascii="宋体" w:hAnsi="宋体"/>
          <w:sz w:val="28"/>
          <w:szCs w:val="28"/>
          <w:highlight w:val="none"/>
        </w:rPr>
      </w:pPr>
      <w:r>
        <w:rPr>
          <w:rFonts w:hint="eastAsia" w:ascii="宋体" w:hAnsi="宋体"/>
          <w:sz w:val="28"/>
          <w:szCs w:val="28"/>
          <w:highlight w:val="none"/>
        </w:rPr>
        <w:t>3、在保修期内，凡因乙方原因造成的故障、质量缺陷应由乙方无偿修理，并应在接到书面或电话修理通知后</w:t>
      </w:r>
      <w:r>
        <w:rPr>
          <w:rFonts w:hint="eastAsia" w:ascii="宋体" w:hAnsi="宋体"/>
          <w:sz w:val="28"/>
          <w:szCs w:val="28"/>
          <w:highlight w:val="none"/>
          <w:u w:val="single"/>
        </w:rPr>
        <w:t xml:space="preserve"> </w:t>
      </w:r>
      <w:r>
        <w:rPr>
          <w:rFonts w:hint="eastAsia" w:ascii="宋体" w:hAnsi="宋体"/>
          <w:b/>
          <w:sz w:val="28"/>
          <w:szCs w:val="28"/>
          <w:highlight w:val="none"/>
          <w:u w:val="single"/>
        </w:rPr>
        <w:t>24</w:t>
      </w:r>
      <w:r>
        <w:rPr>
          <w:rFonts w:hint="eastAsia" w:ascii="宋体" w:hAnsi="宋体"/>
          <w:sz w:val="28"/>
          <w:szCs w:val="28"/>
          <w:highlight w:val="none"/>
          <w:u w:val="single"/>
        </w:rPr>
        <w:t xml:space="preserve"> </w:t>
      </w:r>
      <w:r>
        <w:rPr>
          <w:rFonts w:hint="eastAsia" w:ascii="宋体" w:hAnsi="宋体"/>
          <w:sz w:val="28"/>
          <w:szCs w:val="28"/>
          <w:highlight w:val="none"/>
        </w:rPr>
        <w:t>小时内派人进行修理。</w:t>
      </w:r>
    </w:p>
    <w:p w14:paraId="32D6D9B8">
      <w:pPr>
        <w:spacing w:line="300" w:lineRule="auto"/>
        <w:rPr>
          <w:rFonts w:ascii="宋体" w:hAnsi="宋体"/>
          <w:sz w:val="28"/>
          <w:szCs w:val="28"/>
          <w:highlight w:val="none"/>
        </w:rPr>
      </w:pPr>
      <w:r>
        <w:rPr>
          <w:rFonts w:hint="eastAsia" w:ascii="宋体" w:hAnsi="宋体"/>
          <w:sz w:val="28"/>
          <w:szCs w:val="28"/>
          <w:highlight w:val="none"/>
        </w:rPr>
        <w:t>4、如上述条款与技术协议不一致，按技术协议执行。</w:t>
      </w:r>
    </w:p>
    <w:p w14:paraId="40E883BA">
      <w:pPr>
        <w:spacing w:line="300" w:lineRule="auto"/>
        <w:outlineLvl w:val="0"/>
        <w:rPr>
          <w:rFonts w:ascii="宋体" w:hAnsi="宋体"/>
          <w:sz w:val="28"/>
          <w:szCs w:val="28"/>
          <w:highlight w:val="none"/>
        </w:rPr>
      </w:pPr>
      <w:r>
        <w:rPr>
          <w:rFonts w:hint="eastAsia" w:ascii="宋体" w:hAnsi="宋体"/>
          <w:b/>
          <w:sz w:val="28"/>
          <w:szCs w:val="28"/>
          <w:highlight w:val="none"/>
        </w:rPr>
        <w:t>第十条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双方责任</w:t>
      </w:r>
    </w:p>
    <w:p w14:paraId="15105DB9">
      <w:pPr>
        <w:spacing w:line="300" w:lineRule="auto"/>
        <w:outlineLvl w:val="1"/>
        <w:rPr>
          <w:rFonts w:ascii="宋体" w:hAnsi="宋体"/>
          <w:b/>
          <w:sz w:val="28"/>
          <w:szCs w:val="28"/>
          <w:highlight w:val="none"/>
        </w:rPr>
      </w:pPr>
      <w:r>
        <w:rPr>
          <w:rFonts w:hint="eastAsia" w:ascii="宋体" w:hAnsi="宋体"/>
          <w:b/>
          <w:sz w:val="28"/>
          <w:szCs w:val="28"/>
          <w:highlight w:val="none"/>
        </w:rPr>
        <w:t>一、甲方责任</w:t>
      </w:r>
    </w:p>
    <w:p w14:paraId="7D3901B5">
      <w:pPr>
        <w:spacing w:line="300" w:lineRule="auto"/>
        <w:rPr>
          <w:rFonts w:ascii="宋体" w:hAnsi="宋体"/>
          <w:sz w:val="28"/>
          <w:szCs w:val="28"/>
          <w:highlight w:val="none"/>
        </w:rPr>
      </w:pPr>
      <w:r>
        <w:rPr>
          <w:rFonts w:hint="eastAsia" w:ascii="宋体" w:hAnsi="宋体"/>
          <w:sz w:val="28"/>
          <w:szCs w:val="28"/>
          <w:highlight w:val="none"/>
        </w:rPr>
        <w:t>1、负责为乙方提供适当的施工场地、施工用水、电源等。</w:t>
      </w:r>
    </w:p>
    <w:p w14:paraId="557DBA19">
      <w:pPr>
        <w:spacing w:line="300" w:lineRule="auto"/>
        <w:rPr>
          <w:rFonts w:ascii="宋体" w:hAnsi="宋体"/>
          <w:sz w:val="28"/>
          <w:szCs w:val="28"/>
          <w:highlight w:val="none"/>
        </w:rPr>
      </w:pPr>
      <w:r>
        <w:rPr>
          <w:rFonts w:hint="eastAsia" w:ascii="宋体" w:hAnsi="宋体"/>
          <w:sz w:val="28"/>
          <w:szCs w:val="28"/>
          <w:highlight w:val="none"/>
        </w:rPr>
        <w:t>2、负责施工范围的技术、安全、健康及环保交底工作，包括向乙方提供工程的具体要求及施工要点等。</w:t>
      </w:r>
    </w:p>
    <w:p w14:paraId="52265422">
      <w:pPr>
        <w:tabs>
          <w:tab w:val="left" w:pos="540"/>
          <w:tab w:val="left" w:pos="720"/>
        </w:tabs>
        <w:spacing w:line="300" w:lineRule="auto"/>
        <w:rPr>
          <w:rFonts w:ascii="宋体" w:hAnsi="宋体"/>
          <w:sz w:val="28"/>
          <w:szCs w:val="28"/>
          <w:highlight w:val="none"/>
        </w:rPr>
      </w:pPr>
      <w:r>
        <w:rPr>
          <w:rFonts w:hint="eastAsia" w:ascii="宋体" w:hAnsi="宋体"/>
          <w:sz w:val="28"/>
          <w:szCs w:val="28"/>
          <w:highlight w:val="none"/>
        </w:rPr>
        <w:t>3、负责指定专人负责该工程的协调及管理工作，</w:t>
      </w:r>
      <w:r>
        <w:rPr>
          <w:rFonts w:hint="eastAsia" w:ascii="宋体" w:hAnsi="宋体"/>
          <w:bCs/>
          <w:sz w:val="28"/>
          <w:szCs w:val="28"/>
          <w:highlight w:val="none"/>
        </w:rPr>
        <w:t>帮助解决合同中的未尽事宜</w:t>
      </w:r>
      <w:r>
        <w:rPr>
          <w:rFonts w:hint="eastAsia" w:ascii="宋体" w:hAnsi="宋体"/>
          <w:sz w:val="28"/>
          <w:szCs w:val="28"/>
          <w:highlight w:val="none"/>
        </w:rPr>
        <w:t>。按时拨付工程款。</w:t>
      </w:r>
    </w:p>
    <w:p w14:paraId="42E099D7">
      <w:pPr>
        <w:spacing w:line="300" w:lineRule="auto"/>
        <w:rPr>
          <w:rFonts w:ascii="宋体" w:hAnsi="宋体"/>
          <w:sz w:val="28"/>
          <w:szCs w:val="28"/>
          <w:highlight w:val="none"/>
        </w:rPr>
      </w:pPr>
      <w:r>
        <w:rPr>
          <w:rFonts w:hint="eastAsia" w:ascii="宋体" w:hAnsi="宋体"/>
          <w:sz w:val="28"/>
          <w:szCs w:val="28"/>
          <w:highlight w:val="none"/>
        </w:rPr>
        <w:t>4、负责工程质量、进度等的检查、监督与验收，并按规定进行现场签证，办理验收手续，参与质量事故的调查与处理，监督工程进度和质量。</w:t>
      </w:r>
    </w:p>
    <w:p w14:paraId="0BDCD92B">
      <w:pPr>
        <w:spacing w:line="300" w:lineRule="auto"/>
        <w:rPr>
          <w:rFonts w:ascii="宋体" w:hAnsi="宋体"/>
          <w:sz w:val="28"/>
          <w:szCs w:val="28"/>
          <w:highlight w:val="none"/>
        </w:rPr>
      </w:pPr>
      <w:r>
        <w:rPr>
          <w:rFonts w:hint="eastAsia" w:ascii="宋体" w:hAnsi="宋体"/>
          <w:sz w:val="28"/>
          <w:szCs w:val="28"/>
          <w:highlight w:val="none"/>
        </w:rPr>
        <w:t>5、</w:t>
      </w:r>
      <w:r>
        <w:rPr>
          <w:rFonts w:hint="eastAsia" w:ascii="宋体" w:hAnsi="宋体"/>
          <w:spacing w:val="-6"/>
          <w:sz w:val="28"/>
          <w:szCs w:val="28"/>
          <w:highlight w:val="none"/>
        </w:rPr>
        <w:t>因甲方过错原因造成的一切人员伤亡、设备和财产损失均由甲方负责并赔偿相关的经济损失。</w:t>
      </w:r>
    </w:p>
    <w:p w14:paraId="07B2E8EE">
      <w:pPr>
        <w:spacing w:line="300" w:lineRule="auto"/>
        <w:outlineLvl w:val="1"/>
        <w:rPr>
          <w:rFonts w:ascii="宋体" w:hAnsi="宋体"/>
          <w:b/>
          <w:sz w:val="28"/>
          <w:szCs w:val="28"/>
          <w:highlight w:val="none"/>
        </w:rPr>
      </w:pPr>
      <w:r>
        <w:rPr>
          <w:rFonts w:hint="eastAsia" w:ascii="宋体" w:hAnsi="宋体"/>
          <w:b/>
          <w:sz w:val="28"/>
          <w:szCs w:val="28"/>
          <w:highlight w:val="none"/>
        </w:rPr>
        <w:t>二、乙方责任</w:t>
      </w:r>
    </w:p>
    <w:p w14:paraId="0670DD8C">
      <w:pPr>
        <w:tabs>
          <w:tab w:val="left" w:pos="1080"/>
        </w:tabs>
        <w:spacing w:line="300" w:lineRule="auto"/>
        <w:rPr>
          <w:rFonts w:ascii="宋体" w:hAnsi="宋体"/>
          <w:sz w:val="28"/>
          <w:szCs w:val="28"/>
          <w:highlight w:val="none"/>
        </w:rPr>
      </w:pPr>
      <w:r>
        <w:rPr>
          <w:rFonts w:hint="eastAsia" w:ascii="宋体" w:hAnsi="宋体"/>
          <w:sz w:val="28"/>
          <w:szCs w:val="28"/>
          <w:highlight w:val="none"/>
        </w:rPr>
        <w:t>1、施工前提交施工措施、安全措施和技术方案，经甲方有关部门审批确定后方能进入施工现场。根据甲方的要求，极力配合甲方的工作。</w:t>
      </w:r>
    </w:p>
    <w:p w14:paraId="5D07D428">
      <w:pPr>
        <w:tabs>
          <w:tab w:val="left" w:pos="1080"/>
        </w:tabs>
        <w:spacing w:line="300" w:lineRule="auto"/>
        <w:rPr>
          <w:rFonts w:ascii="宋体" w:hAnsi="宋体"/>
          <w:sz w:val="28"/>
          <w:szCs w:val="28"/>
          <w:highlight w:val="none"/>
        </w:rPr>
      </w:pPr>
      <w:r>
        <w:rPr>
          <w:rFonts w:hint="eastAsia" w:ascii="宋体" w:hAnsi="宋体"/>
          <w:sz w:val="28"/>
          <w:szCs w:val="28"/>
          <w:highlight w:val="none"/>
        </w:rPr>
        <w:t>2、</w:t>
      </w:r>
      <w:r>
        <w:rPr>
          <w:rFonts w:hint="eastAsia"/>
          <w:spacing w:val="-6"/>
          <w:sz w:val="28"/>
          <w:szCs w:val="28"/>
          <w:highlight w:val="none"/>
        </w:rPr>
        <w:t>遵守甲方的各项安全管理规章制度，委派专人负责工程的质量及安全管理。</w:t>
      </w:r>
    </w:p>
    <w:p w14:paraId="45C727FF">
      <w:pPr>
        <w:spacing w:line="300" w:lineRule="auto"/>
        <w:rPr>
          <w:rFonts w:ascii="宋体" w:hAnsi="宋体"/>
          <w:sz w:val="28"/>
          <w:szCs w:val="28"/>
          <w:highlight w:val="none"/>
        </w:rPr>
      </w:pPr>
      <w:r>
        <w:rPr>
          <w:rFonts w:hint="eastAsia" w:ascii="宋体" w:hAnsi="宋体"/>
          <w:sz w:val="28"/>
          <w:szCs w:val="28"/>
          <w:highlight w:val="none"/>
        </w:rPr>
        <w:t>3、服从甲方和监理的现场施工协调，做好施工前的一切准备工作，准时组织施工人员、机械设备进场施工。</w:t>
      </w:r>
    </w:p>
    <w:p w14:paraId="5637EE2B">
      <w:pPr>
        <w:spacing w:line="300" w:lineRule="auto"/>
        <w:rPr>
          <w:rFonts w:ascii="宋体" w:hAnsi="宋体"/>
          <w:sz w:val="28"/>
          <w:szCs w:val="28"/>
          <w:highlight w:val="none"/>
        </w:rPr>
      </w:pPr>
      <w:r>
        <w:rPr>
          <w:rFonts w:hint="eastAsia" w:ascii="宋体" w:hAnsi="宋体"/>
          <w:sz w:val="28"/>
          <w:szCs w:val="28"/>
          <w:highlight w:val="none"/>
        </w:rPr>
        <w:t>4、严格按照施工图施工，未经甲方书面同意不得随意变更设计。如果设计变更超出原设计标准或规模，须经建设单位书面审批同意。服务期间所需工具、器械、人身保护及其他消耗性检修材料由乙方自备，并向甲方提供检验合格有效证明。</w:t>
      </w:r>
    </w:p>
    <w:p w14:paraId="751B0160">
      <w:pPr>
        <w:spacing w:line="300" w:lineRule="auto"/>
        <w:rPr>
          <w:rFonts w:ascii="宋体" w:hAnsi="宋体"/>
          <w:sz w:val="28"/>
          <w:szCs w:val="28"/>
          <w:highlight w:val="none"/>
        </w:rPr>
      </w:pPr>
      <w:r>
        <w:rPr>
          <w:rFonts w:hint="eastAsia" w:ascii="宋体" w:hAnsi="宋体"/>
          <w:sz w:val="28"/>
          <w:szCs w:val="28"/>
          <w:highlight w:val="none"/>
        </w:rPr>
        <w:t>5、编制施工方案，按规定时间开工和竣工，及时向甲方提出隐蔽工程验收通知和竣工报告。在服务期间应遵守甲方现场管理和各项安全规定，并服从甲方有关规定、接受质量、安全、进度、现场文明施工、定置摆放等方面监督检查与考核，对甲方提出的不符合项立即进行整改。</w:t>
      </w:r>
    </w:p>
    <w:p w14:paraId="5D605950">
      <w:pPr>
        <w:spacing w:line="300" w:lineRule="auto"/>
        <w:rPr>
          <w:rFonts w:ascii="宋体" w:hAnsi="宋体"/>
          <w:sz w:val="28"/>
          <w:szCs w:val="28"/>
          <w:highlight w:val="none"/>
        </w:rPr>
      </w:pPr>
      <w:r>
        <w:rPr>
          <w:rFonts w:hint="eastAsia" w:ascii="宋体" w:hAnsi="宋体"/>
          <w:sz w:val="28"/>
          <w:szCs w:val="28"/>
          <w:highlight w:val="none"/>
        </w:rPr>
        <w:t>6、负责编制竣工资料并按照甲方档案管理的要求提供竣工资料。乙方保证服务质量及工期，确保工程效果满足生产及技术要求。</w:t>
      </w:r>
    </w:p>
    <w:p w14:paraId="4CB67440">
      <w:pPr>
        <w:spacing w:line="300" w:lineRule="auto"/>
        <w:rPr>
          <w:rFonts w:ascii="宋体" w:hAnsi="宋体"/>
          <w:sz w:val="28"/>
          <w:szCs w:val="28"/>
          <w:highlight w:val="none"/>
        </w:rPr>
      </w:pPr>
      <w:r>
        <w:rPr>
          <w:rFonts w:hint="eastAsia" w:ascii="宋体" w:hAnsi="宋体"/>
          <w:sz w:val="28"/>
          <w:szCs w:val="28"/>
          <w:highlight w:val="none"/>
        </w:rPr>
        <w:t>7、乙方应负责依照工程所在地政府相关机构的规定为乙方人员购买保险，并承担所需费用。</w:t>
      </w:r>
    </w:p>
    <w:p w14:paraId="3AC7C6B5">
      <w:pPr>
        <w:spacing w:line="300" w:lineRule="auto"/>
        <w:rPr>
          <w:rFonts w:ascii="宋体" w:hAnsi="宋体"/>
          <w:spacing w:val="-6"/>
          <w:sz w:val="28"/>
          <w:szCs w:val="28"/>
          <w:highlight w:val="none"/>
        </w:rPr>
      </w:pPr>
      <w:r>
        <w:rPr>
          <w:rFonts w:hint="eastAsia" w:ascii="宋体" w:hAnsi="宋体"/>
          <w:sz w:val="28"/>
          <w:szCs w:val="28"/>
          <w:highlight w:val="none"/>
        </w:rPr>
        <w:t>8、非因甲方过错原因</w:t>
      </w:r>
      <w:r>
        <w:rPr>
          <w:rFonts w:hint="eastAsia" w:ascii="宋体" w:hAnsi="宋体"/>
          <w:spacing w:val="-6"/>
          <w:sz w:val="28"/>
          <w:szCs w:val="28"/>
          <w:highlight w:val="none"/>
        </w:rPr>
        <w:t>造成的一切人员伤亡、设备和财产损失均由乙方负责并赔偿相关的经济损失。</w:t>
      </w:r>
    </w:p>
    <w:p w14:paraId="10128B14">
      <w:pPr>
        <w:spacing w:line="300" w:lineRule="auto"/>
        <w:rPr>
          <w:rFonts w:ascii="宋体" w:hAnsi="宋体"/>
          <w:sz w:val="28"/>
          <w:szCs w:val="28"/>
          <w:highlight w:val="none"/>
        </w:rPr>
      </w:pPr>
      <w:r>
        <w:rPr>
          <w:rFonts w:hint="eastAsia" w:ascii="宋体" w:hAnsi="宋体"/>
          <w:sz w:val="28"/>
          <w:szCs w:val="28"/>
          <w:highlight w:val="none"/>
        </w:rPr>
        <w:t>9、负责为所派人员配置工程所需工机具、PPE(个人防护用品)。</w:t>
      </w:r>
    </w:p>
    <w:p w14:paraId="1DC37E02">
      <w:pPr>
        <w:spacing w:line="300" w:lineRule="auto"/>
        <w:rPr>
          <w:rFonts w:ascii="宋体" w:hAnsi="宋体"/>
          <w:sz w:val="28"/>
          <w:szCs w:val="28"/>
          <w:highlight w:val="none"/>
        </w:rPr>
      </w:pPr>
      <w:r>
        <w:rPr>
          <w:rFonts w:hint="eastAsia" w:ascii="宋体" w:hAnsi="宋体"/>
          <w:sz w:val="28"/>
          <w:szCs w:val="28"/>
          <w:highlight w:val="none"/>
        </w:rPr>
        <w:t>10、涉及到知识产权的问题，由乙方负责。</w:t>
      </w:r>
    </w:p>
    <w:p w14:paraId="621CC906">
      <w:pPr>
        <w:spacing w:line="300" w:lineRule="auto"/>
        <w:rPr>
          <w:rFonts w:ascii="宋体" w:hAnsi="宋体"/>
          <w:sz w:val="28"/>
          <w:szCs w:val="28"/>
          <w:highlight w:val="none"/>
        </w:rPr>
      </w:pPr>
      <w:r>
        <w:rPr>
          <w:rFonts w:hint="eastAsia" w:ascii="宋体" w:hAnsi="宋体"/>
          <w:sz w:val="28"/>
          <w:szCs w:val="28"/>
          <w:highlight w:val="none"/>
        </w:rPr>
        <w:t>11、乙方的工作人员要求及工作职责按双方签订的技术协议标准执行。</w:t>
      </w:r>
    </w:p>
    <w:p w14:paraId="6ED34DE2">
      <w:pPr>
        <w:spacing w:line="300" w:lineRule="auto"/>
        <w:rPr>
          <w:rFonts w:hint="eastAsia" w:ascii="宋体" w:hAnsi="宋体"/>
          <w:kern w:val="0"/>
          <w:sz w:val="28"/>
          <w:szCs w:val="28"/>
          <w:highlight w:val="none"/>
        </w:rPr>
      </w:pPr>
      <w:r>
        <w:rPr>
          <w:rFonts w:hint="eastAsia" w:ascii="宋体" w:hAnsi="宋体"/>
          <w:kern w:val="0"/>
          <w:sz w:val="28"/>
          <w:szCs w:val="28"/>
          <w:highlight w:val="none"/>
        </w:rPr>
        <w:t>12、工程实施过程中，本工程的用工人员不得参与其他工程作业。</w:t>
      </w:r>
    </w:p>
    <w:p w14:paraId="75ED0F6A">
      <w:pPr>
        <w:snapToGrid/>
        <w:spacing w:before="0" w:beforeLines="-2147483648" w:line="300" w:lineRule="auto"/>
        <w:ind w:firstLine="0" w:firstLineChars="0"/>
        <w:rPr>
          <w:rFonts w:hint="eastAsia" w:ascii="宋体" w:hAnsi="宋体"/>
          <w:kern w:val="0"/>
          <w:sz w:val="28"/>
          <w:szCs w:val="28"/>
          <w:highlight w:val="none"/>
        </w:rPr>
      </w:pPr>
      <w:r>
        <w:rPr>
          <w:rFonts w:hint="eastAsia" w:ascii="宋体" w:hAnsi="宋体" w:eastAsia="宋体" w:cs="Times New Roman"/>
          <w:kern w:val="0"/>
          <w:sz w:val="28"/>
          <w:szCs w:val="28"/>
          <w:highlight w:val="none"/>
          <w:lang w:val="en-US" w:eastAsia="zh-CN"/>
        </w:rPr>
        <w:t>13、</w:t>
      </w:r>
      <w:r>
        <w:rPr>
          <w:rFonts w:hint="eastAsia" w:ascii="宋体" w:hAnsi="宋体"/>
          <w:kern w:val="0"/>
          <w:sz w:val="28"/>
          <w:szCs w:val="28"/>
          <w:highlight w:val="none"/>
          <w:lang w:val="en-US" w:eastAsia="zh-CN"/>
        </w:rPr>
        <w:t>乙方</w:t>
      </w:r>
      <w:r>
        <w:rPr>
          <w:rFonts w:hint="eastAsia" w:ascii="宋体" w:hAnsi="宋体"/>
          <w:kern w:val="0"/>
          <w:sz w:val="28"/>
          <w:szCs w:val="28"/>
          <w:highlight w:val="none"/>
        </w:rPr>
        <w:t>应当与其人员（</w:t>
      </w:r>
      <w:r>
        <w:rPr>
          <w:rFonts w:hint="eastAsia" w:ascii="宋体" w:hAnsi="宋体"/>
          <w:kern w:val="0"/>
          <w:sz w:val="28"/>
          <w:szCs w:val="28"/>
          <w:highlight w:val="none"/>
          <w:lang w:eastAsia="zh-CN"/>
        </w:rPr>
        <w:t>尤</w:t>
      </w:r>
      <w:r>
        <w:rPr>
          <w:rFonts w:hint="eastAsia" w:ascii="宋体" w:hAnsi="宋体"/>
          <w:kern w:val="0"/>
          <w:sz w:val="28"/>
          <w:szCs w:val="28"/>
          <w:highlight w:val="none"/>
        </w:rPr>
        <w:t>其是农民工）按照法律规定签署劳动合同，明确各方权利义务，其中应对工资支付标准、支付时间、支付方式、支付周期、具体支付日期等作出明确安排。</w:t>
      </w:r>
    </w:p>
    <w:p w14:paraId="20743D37">
      <w:pPr>
        <w:snapToGrid/>
        <w:spacing w:before="0" w:beforeLines="-2147483648" w:line="300" w:lineRule="auto"/>
        <w:ind w:firstLine="0" w:firstLineChars="0"/>
        <w:rPr>
          <w:rFonts w:hint="eastAsia" w:ascii="宋体" w:hAnsi="宋体"/>
          <w:kern w:val="0"/>
          <w:sz w:val="28"/>
          <w:szCs w:val="28"/>
          <w:highlight w:val="none"/>
          <w:u w:val="none"/>
        </w:rPr>
      </w:pPr>
      <w:r>
        <w:rPr>
          <w:rFonts w:hint="eastAsia" w:ascii="宋体" w:hAnsi="宋体" w:eastAsia="宋体" w:cs="Times New Roman"/>
          <w:kern w:val="0"/>
          <w:sz w:val="28"/>
          <w:szCs w:val="28"/>
          <w:highlight w:val="none"/>
          <w:lang w:val="en-US" w:eastAsia="zh-CN"/>
        </w:rPr>
        <w:t>14、</w:t>
      </w:r>
      <w:r>
        <w:rPr>
          <w:rFonts w:hint="eastAsia" w:ascii="宋体" w:hAnsi="宋体"/>
          <w:kern w:val="0"/>
          <w:sz w:val="28"/>
          <w:szCs w:val="28"/>
          <w:highlight w:val="none"/>
          <w:lang w:val="en-US" w:eastAsia="zh-CN"/>
        </w:rPr>
        <w:t>乙方</w:t>
      </w:r>
      <w:r>
        <w:rPr>
          <w:rFonts w:hint="eastAsia" w:ascii="宋体" w:hAnsi="宋体"/>
          <w:kern w:val="0"/>
          <w:sz w:val="28"/>
          <w:szCs w:val="28"/>
          <w:highlight w:val="none"/>
          <w:u w:val="none"/>
        </w:rPr>
        <w:t>应当在施工现场醒目位置设立维权信息告示牌，明示下列事项：（一）建设单位、施工总承包单位及所在项目部、分包单位、相关行业工程建设主管部门、劳资专管员等基本信息；（二）当地最低工资标准、工资支付日期等基本信息；（三）投诉举报电话、劳动争议调解仲裁申请渠道、法律援助申请渠道、12348公共法律服务热线等信息。</w:t>
      </w:r>
    </w:p>
    <w:p w14:paraId="44616BC6">
      <w:pPr>
        <w:snapToGrid/>
        <w:spacing w:before="0" w:beforeLines="-2147483648" w:line="300" w:lineRule="auto"/>
        <w:ind w:firstLine="0" w:firstLineChars="0"/>
        <w:rPr>
          <w:rFonts w:hint="eastAsia" w:ascii="宋体" w:hAnsi="宋体"/>
          <w:kern w:val="0"/>
          <w:sz w:val="28"/>
          <w:szCs w:val="28"/>
          <w:highlight w:val="none"/>
        </w:rPr>
      </w:pPr>
      <w:r>
        <w:rPr>
          <w:rFonts w:hint="eastAsia" w:ascii="宋体" w:hAnsi="宋体" w:eastAsia="宋体" w:cs="Times New Roman"/>
          <w:kern w:val="0"/>
          <w:sz w:val="28"/>
          <w:szCs w:val="28"/>
          <w:highlight w:val="none"/>
          <w:lang w:val="en-US" w:eastAsia="zh-CN"/>
        </w:rPr>
        <w:t>15、</w:t>
      </w:r>
      <w:r>
        <w:rPr>
          <w:rFonts w:hint="eastAsia" w:ascii="宋体" w:hAnsi="宋体"/>
          <w:kern w:val="0"/>
          <w:sz w:val="28"/>
          <w:szCs w:val="28"/>
          <w:highlight w:val="none"/>
          <w:lang w:val="en-US" w:eastAsia="zh-CN"/>
        </w:rPr>
        <w:t>乙方</w:t>
      </w:r>
      <w:r>
        <w:rPr>
          <w:rFonts w:hint="eastAsia" w:ascii="宋体" w:hAnsi="宋体"/>
          <w:kern w:val="0"/>
          <w:sz w:val="28"/>
          <w:szCs w:val="28"/>
          <w:highlight w:val="none"/>
        </w:rPr>
        <w:t>应当每月定期向</w:t>
      </w:r>
      <w:r>
        <w:rPr>
          <w:rFonts w:hint="eastAsia" w:ascii="宋体" w:hAnsi="宋体"/>
          <w:kern w:val="0"/>
          <w:sz w:val="28"/>
          <w:szCs w:val="28"/>
          <w:highlight w:val="none"/>
          <w:lang w:eastAsia="zh-CN"/>
        </w:rPr>
        <w:t>甲方</w:t>
      </w:r>
      <w:r>
        <w:rPr>
          <w:rFonts w:hint="eastAsia" w:ascii="宋体" w:hAnsi="宋体"/>
          <w:kern w:val="0"/>
          <w:sz w:val="28"/>
          <w:szCs w:val="28"/>
          <w:highlight w:val="none"/>
        </w:rPr>
        <w:t>报告工程进度情况与现场管理情况，并提交农民工</w:t>
      </w:r>
      <w:r>
        <w:rPr>
          <w:rFonts w:hint="eastAsia" w:ascii="宋体" w:hAnsi="宋体" w:cs="Times New Roman"/>
          <w:kern w:val="0"/>
          <w:sz w:val="28"/>
          <w:szCs w:val="28"/>
          <w:highlight w:val="none"/>
        </w:rPr>
        <w:t>工资支付的银行流水与用工人员签</w:t>
      </w:r>
      <w:r>
        <w:rPr>
          <w:rFonts w:hint="eastAsia" w:ascii="宋体" w:hAnsi="宋体" w:cs="Times New Roman"/>
          <w:kern w:val="0"/>
          <w:sz w:val="28"/>
          <w:szCs w:val="28"/>
          <w:highlight w:val="none"/>
          <w:lang w:eastAsia="zh-CN"/>
        </w:rPr>
        <w:t>字</w:t>
      </w:r>
      <w:r>
        <w:rPr>
          <w:rFonts w:hint="eastAsia" w:ascii="宋体" w:hAnsi="宋体" w:cs="Times New Roman"/>
          <w:kern w:val="0"/>
          <w:sz w:val="28"/>
          <w:szCs w:val="28"/>
          <w:highlight w:val="none"/>
        </w:rPr>
        <w:t>的工资领取证明等材料。</w:t>
      </w:r>
    </w:p>
    <w:p w14:paraId="7B4CD317">
      <w:pPr>
        <w:snapToGrid/>
        <w:spacing w:before="0" w:beforeLines="-2147483648" w:line="300" w:lineRule="auto"/>
        <w:ind w:firstLine="0" w:firstLineChars="0"/>
        <w:rPr>
          <w:rFonts w:hint="eastAsia" w:ascii="宋体" w:hAnsi="宋体" w:eastAsia="宋体" w:cs="Times New Roman"/>
          <w:kern w:val="0"/>
          <w:sz w:val="28"/>
          <w:szCs w:val="28"/>
          <w:highlight w:val="none"/>
        </w:rPr>
      </w:pPr>
      <w:r>
        <w:rPr>
          <w:rFonts w:hint="eastAsia" w:ascii="宋体" w:hAnsi="宋体" w:eastAsia="宋体" w:cs="Times New Roman"/>
          <w:kern w:val="0"/>
          <w:sz w:val="28"/>
          <w:szCs w:val="28"/>
          <w:highlight w:val="none"/>
          <w:lang w:val="en-US" w:eastAsia="zh-CN"/>
        </w:rPr>
        <w:t>16、乙方</w:t>
      </w:r>
      <w:r>
        <w:rPr>
          <w:rFonts w:hint="eastAsia" w:ascii="宋体" w:hAnsi="宋体" w:eastAsia="宋体" w:cs="Times New Roman"/>
          <w:kern w:val="0"/>
          <w:sz w:val="28"/>
          <w:szCs w:val="28"/>
          <w:highlight w:val="none"/>
        </w:rPr>
        <w:t>在施工现场配备劳资专管员，劳资专管员姓名</w:t>
      </w:r>
      <w:r>
        <w:rPr>
          <w:rFonts w:hint="eastAsia" w:ascii="宋体" w:hAnsi="宋体" w:cs="Times New Roman"/>
          <w:kern w:val="0"/>
          <w:sz w:val="28"/>
          <w:szCs w:val="28"/>
          <w:highlight w:val="none"/>
          <w:lang w:eastAsia="zh-CN"/>
        </w:rPr>
        <w:t>：</w:t>
      </w:r>
      <w:r>
        <w:rPr>
          <w:rFonts w:hint="eastAsia" w:ascii="宋体" w:hAnsi="宋体" w:cs="Times New Roman"/>
          <w:kern w:val="0"/>
          <w:sz w:val="28"/>
          <w:szCs w:val="28"/>
          <w:highlight w:val="none"/>
          <w:lang w:val="en-US" w:eastAsia="zh-CN"/>
        </w:rPr>
        <w:t xml:space="preserve">    （身份证号：    ）、</w:t>
      </w:r>
      <w:r>
        <w:rPr>
          <w:rFonts w:hint="eastAsia" w:ascii="宋体" w:hAnsi="宋体" w:eastAsia="宋体" w:cs="Times New Roman"/>
          <w:kern w:val="0"/>
          <w:sz w:val="28"/>
          <w:szCs w:val="28"/>
          <w:highlight w:val="none"/>
        </w:rPr>
        <w:t>联系方式</w:t>
      </w:r>
      <w:r>
        <w:rPr>
          <w:rFonts w:hint="eastAsia" w:ascii="宋体" w:hAnsi="宋体" w:cs="Times New Roman"/>
          <w:kern w:val="0"/>
          <w:sz w:val="28"/>
          <w:szCs w:val="28"/>
          <w:highlight w:val="none"/>
          <w:lang w:eastAsia="zh-CN"/>
        </w:rPr>
        <w:t>：</w:t>
      </w:r>
      <w:r>
        <w:rPr>
          <w:rFonts w:hint="eastAsia" w:ascii="宋体" w:hAnsi="宋体" w:cs="Times New Roman"/>
          <w:kern w:val="0"/>
          <w:sz w:val="28"/>
          <w:szCs w:val="28"/>
          <w:highlight w:val="none"/>
          <w:lang w:val="en-US" w:eastAsia="zh-CN"/>
        </w:rPr>
        <w:t xml:space="preserve">       </w:t>
      </w:r>
      <w:r>
        <w:rPr>
          <w:rFonts w:hint="eastAsia" w:ascii="宋体" w:hAnsi="宋体" w:eastAsia="宋体" w:cs="Times New Roman"/>
          <w:kern w:val="0"/>
          <w:sz w:val="28"/>
          <w:szCs w:val="28"/>
          <w:highlight w:val="none"/>
        </w:rPr>
        <w:t>；</w:t>
      </w:r>
    </w:p>
    <w:p w14:paraId="26EC6CB3">
      <w:pPr>
        <w:spacing w:before="0" w:beforeLines="-2147483648" w:line="300" w:lineRule="auto"/>
        <w:ind w:firstLine="0" w:firstLineChars="0"/>
        <w:rPr>
          <w:rFonts w:hint="eastAsia" w:ascii="宋体" w:hAnsi="宋体" w:eastAsia="宋体" w:cs="Times New Roman"/>
          <w:kern w:val="0"/>
          <w:sz w:val="28"/>
          <w:szCs w:val="28"/>
          <w:highlight w:val="none"/>
        </w:rPr>
      </w:pPr>
      <w:r>
        <w:rPr>
          <w:rFonts w:hint="eastAsia" w:ascii="宋体" w:hAnsi="宋体" w:eastAsia="宋体" w:cs="Times New Roman"/>
          <w:kern w:val="0"/>
          <w:sz w:val="28"/>
          <w:szCs w:val="28"/>
          <w:highlight w:val="none"/>
          <w:lang w:val="en-US" w:eastAsia="zh-CN"/>
        </w:rPr>
        <w:t>17、乙方</w:t>
      </w:r>
      <w:r>
        <w:rPr>
          <w:rFonts w:hint="eastAsia" w:ascii="宋体" w:hAnsi="宋体" w:eastAsia="宋体" w:cs="Times New Roman"/>
          <w:kern w:val="0"/>
          <w:sz w:val="28"/>
          <w:szCs w:val="28"/>
          <w:highlight w:val="none"/>
        </w:rPr>
        <w:t>应建立施工人员进出场登记制度和考勤计量、工资支付等管理台账，实时掌握施工现场用工、考勤、工资支付情况，审核分包单位编制的农民工工资支付表。</w:t>
      </w:r>
    </w:p>
    <w:p w14:paraId="10ABDBA5">
      <w:pPr>
        <w:spacing w:before="0" w:beforeLines="-2147483648" w:line="300" w:lineRule="auto"/>
        <w:ind w:firstLine="0" w:firstLineChars="0"/>
        <w:rPr>
          <w:rFonts w:hint="eastAsia" w:ascii="宋体" w:hAnsi="宋体" w:eastAsia="宋体" w:cs="Times New Roman"/>
          <w:kern w:val="0"/>
          <w:sz w:val="28"/>
          <w:szCs w:val="28"/>
          <w:highlight w:val="none"/>
        </w:rPr>
      </w:pPr>
      <w:r>
        <w:rPr>
          <w:rFonts w:hint="eastAsia" w:ascii="宋体" w:hAnsi="宋体" w:eastAsia="宋体" w:cs="Times New Roman"/>
          <w:kern w:val="0"/>
          <w:sz w:val="28"/>
          <w:szCs w:val="28"/>
          <w:highlight w:val="none"/>
          <w:lang w:val="en-US" w:eastAsia="zh-CN"/>
        </w:rPr>
        <w:t>18、乙方</w:t>
      </w:r>
      <w:r>
        <w:rPr>
          <w:rFonts w:hint="eastAsia" w:ascii="宋体" w:hAnsi="宋体" w:eastAsia="宋体" w:cs="Times New Roman"/>
          <w:kern w:val="0"/>
          <w:sz w:val="28"/>
          <w:szCs w:val="28"/>
          <w:highlight w:val="none"/>
        </w:rPr>
        <w:t>应保存用工管理台账与经农民工本人签字确认的工资支付书面记录等至工程完工且工资全部结清后至少3年备查。</w:t>
      </w:r>
    </w:p>
    <w:p w14:paraId="404DB74A">
      <w:pPr>
        <w:spacing w:before="0" w:beforeLines="-2147483648" w:line="300" w:lineRule="auto"/>
        <w:ind w:firstLine="0" w:firstLineChars="0"/>
        <w:rPr>
          <w:rFonts w:hint="eastAsia" w:ascii="宋体" w:hAnsi="宋体" w:eastAsia="宋体" w:cs="Times New Roman"/>
          <w:kern w:val="0"/>
          <w:sz w:val="28"/>
          <w:szCs w:val="28"/>
          <w:highlight w:val="none"/>
        </w:rPr>
      </w:pPr>
      <w:r>
        <w:rPr>
          <w:rFonts w:hint="eastAsia" w:ascii="宋体" w:hAnsi="宋体" w:eastAsia="宋体" w:cs="Times New Roman"/>
          <w:kern w:val="0"/>
          <w:sz w:val="28"/>
          <w:szCs w:val="28"/>
          <w:highlight w:val="none"/>
          <w:lang w:val="en-US" w:eastAsia="zh-CN"/>
        </w:rPr>
        <w:t>19、乙方</w:t>
      </w:r>
      <w:r>
        <w:rPr>
          <w:rFonts w:hint="eastAsia" w:ascii="宋体" w:hAnsi="宋体" w:eastAsia="宋体" w:cs="Times New Roman"/>
          <w:kern w:val="0"/>
          <w:sz w:val="28"/>
          <w:szCs w:val="28"/>
          <w:highlight w:val="none"/>
          <w:lang w:eastAsia="zh-CN"/>
        </w:rPr>
        <w:t>应</w:t>
      </w:r>
      <w:r>
        <w:rPr>
          <w:rFonts w:hint="eastAsia" w:ascii="宋体" w:hAnsi="宋体" w:eastAsia="宋体" w:cs="Times New Roman"/>
          <w:color w:val="333333"/>
          <w:kern w:val="0"/>
          <w:sz w:val="28"/>
          <w:szCs w:val="28"/>
          <w:highlight w:val="none"/>
        </w:rPr>
        <w:t>按照有关规定存储工资保证金，专项用于支付为所承包工程提供劳动的农民工被拖欠的工资，金额为合同价的【</w:t>
      </w:r>
      <w:r>
        <w:rPr>
          <w:rFonts w:hint="eastAsia" w:ascii="宋体" w:hAnsi="宋体" w:eastAsia="宋体" w:cs="Times New Roman"/>
          <w:kern w:val="0"/>
          <w:sz w:val="28"/>
          <w:szCs w:val="28"/>
          <w:highlight w:val="none"/>
          <w:lang w:val="en-US" w:eastAsia="zh-CN"/>
        </w:rPr>
        <w:t>2</w:t>
      </w:r>
      <w:r>
        <w:rPr>
          <w:rFonts w:hint="eastAsia" w:ascii="宋体" w:hAnsi="宋体" w:eastAsia="宋体" w:cs="Times New Roman"/>
          <w:color w:val="333333"/>
          <w:kern w:val="0"/>
          <w:sz w:val="28"/>
          <w:szCs w:val="28"/>
          <w:highlight w:val="none"/>
        </w:rPr>
        <w:t>】%。</w:t>
      </w:r>
      <w:r>
        <w:rPr>
          <w:rFonts w:hint="eastAsia" w:ascii="宋体" w:hAnsi="宋体" w:eastAsia="宋体" w:cs="Times New Roman"/>
          <w:kern w:val="0"/>
          <w:sz w:val="28"/>
          <w:szCs w:val="28"/>
          <w:highlight w:val="none"/>
          <w:lang w:val="en-US" w:eastAsia="zh-CN"/>
        </w:rPr>
        <w:t>甲方</w:t>
      </w:r>
      <w:r>
        <w:rPr>
          <w:rFonts w:hint="eastAsia" w:ascii="宋体" w:hAnsi="宋体" w:eastAsia="宋体" w:cs="Times New Roman"/>
          <w:kern w:val="0"/>
          <w:sz w:val="28"/>
          <w:szCs w:val="28"/>
          <w:highlight w:val="none"/>
        </w:rPr>
        <w:t>有权选择接受银行保函形式提交的农民工工资保证金（如选择银行保函形式的，保函格式可参照银行此类保函格式起草，但必须满足见索即付、不可撤销等要求）。如出现拖欠农民工工资问题，则由</w:t>
      </w:r>
      <w:r>
        <w:rPr>
          <w:rFonts w:hint="eastAsia" w:ascii="宋体" w:hAnsi="宋体" w:eastAsia="宋体" w:cs="Times New Roman"/>
          <w:kern w:val="0"/>
          <w:sz w:val="28"/>
          <w:szCs w:val="28"/>
          <w:highlight w:val="none"/>
          <w:lang w:val="en-US" w:eastAsia="zh-CN"/>
        </w:rPr>
        <w:t>甲方</w:t>
      </w:r>
      <w:r>
        <w:rPr>
          <w:rFonts w:hint="eastAsia" w:ascii="宋体" w:hAnsi="宋体" w:eastAsia="宋体" w:cs="Times New Roman"/>
          <w:kern w:val="0"/>
          <w:sz w:val="28"/>
          <w:szCs w:val="28"/>
          <w:highlight w:val="none"/>
        </w:rPr>
        <w:t>直接兑付保证金保函用以代付农民工工资，无需经过</w:t>
      </w:r>
      <w:r>
        <w:rPr>
          <w:rFonts w:hint="eastAsia" w:ascii="宋体" w:hAnsi="宋体" w:eastAsia="宋体" w:cs="Times New Roman"/>
          <w:kern w:val="0"/>
          <w:sz w:val="28"/>
          <w:szCs w:val="28"/>
          <w:highlight w:val="none"/>
          <w:lang w:val="en-US" w:eastAsia="zh-CN"/>
        </w:rPr>
        <w:t>乙方</w:t>
      </w:r>
      <w:r>
        <w:rPr>
          <w:rFonts w:hint="eastAsia" w:ascii="宋体" w:hAnsi="宋体" w:eastAsia="宋体" w:cs="Times New Roman"/>
          <w:kern w:val="0"/>
          <w:sz w:val="28"/>
          <w:szCs w:val="28"/>
          <w:highlight w:val="none"/>
        </w:rPr>
        <w:t>同意。</w:t>
      </w:r>
    </w:p>
    <w:p w14:paraId="61A40DB0">
      <w:pPr>
        <w:spacing w:line="300" w:lineRule="auto"/>
        <w:outlineLvl w:val="0"/>
        <w:rPr>
          <w:rFonts w:ascii="宋体" w:hAnsi="宋体"/>
          <w:sz w:val="28"/>
          <w:szCs w:val="28"/>
          <w:highlight w:val="none"/>
        </w:rPr>
      </w:pPr>
      <w:r>
        <w:rPr>
          <w:rFonts w:hint="eastAsia" w:ascii="宋体" w:hAnsi="宋体"/>
          <w:b/>
          <w:sz w:val="28"/>
          <w:szCs w:val="28"/>
          <w:highlight w:val="none"/>
        </w:rPr>
        <w:t>第十一条</w:t>
      </w:r>
      <w:r>
        <w:rPr>
          <w:rFonts w:hint="eastAsia" w:ascii="宋体" w:hAnsi="宋体"/>
          <w:b/>
          <w:sz w:val="28"/>
          <w:szCs w:val="28"/>
          <w:highlight w:val="none"/>
          <w:lang w:val="en-US" w:eastAsia="zh-CN"/>
        </w:rPr>
        <w:t xml:space="preserve"> </w:t>
      </w:r>
      <w:r>
        <w:rPr>
          <w:rFonts w:hint="eastAsia" w:ascii="宋体" w:hAnsi="宋体"/>
          <w:b/>
          <w:bCs/>
          <w:sz w:val="28"/>
          <w:szCs w:val="28"/>
          <w:highlight w:val="none"/>
        </w:rPr>
        <w:t>施工安全、环境和职业健康安全要求</w:t>
      </w:r>
    </w:p>
    <w:p w14:paraId="19F12D63">
      <w:pPr>
        <w:spacing w:line="300" w:lineRule="auto"/>
        <w:rPr>
          <w:rFonts w:ascii="宋体" w:hAnsi="宋体"/>
          <w:sz w:val="28"/>
          <w:szCs w:val="28"/>
          <w:highlight w:val="none"/>
        </w:rPr>
      </w:pPr>
      <w:r>
        <w:rPr>
          <w:rFonts w:hint="eastAsia" w:ascii="宋体" w:hAnsi="宋体"/>
          <w:sz w:val="28"/>
          <w:szCs w:val="28"/>
          <w:highlight w:val="none"/>
        </w:rPr>
        <w:t>1、乙方进入生产现场，必须严格遵守国家的法律法规、甲方的管理制度及安健环管理规定，严格执行《安全生产法》和其它相关规程，做好各种</w:t>
      </w:r>
      <w:r>
        <w:rPr>
          <w:rFonts w:hint="eastAsia" w:ascii="宋体" w:hAnsi="宋体"/>
          <w:spacing w:val="-8"/>
          <w:sz w:val="28"/>
          <w:szCs w:val="28"/>
          <w:highlight w:val="none"/>
        </w:rPr>
        <w:t>安全、健康及环保</w:t>
      </w:r>
      <w:r>
        <w:rPr>
          <w:rFonts w:hint="eastAsia" w:ascii="宋体" w:hAnsi="宋体"/>
          <w:sz w:val="28"/>
          <w:szCs w:val="28"/>
          <w:highlight w:val="none"/>
        </w:rPr>
        <w:t>措施。若有违反，按甲方的相关规定承担责任。</w:t>
      </w:r>
    </w:p>
    <w:p w14:paraId="0BDB4C11">
      <w:pPr>
        <w:pStyle w:val="7"/>
        <w:spacing w:line="300" w:lineRule="auto"/>
        <w:ind w:left="2" w:leftChars="1"/>
        <w:rPr>
          <w:rFonts w:ascii="宋体" w:hAnsi="宋体"/>
          <w:sz w:val="28"/>
          <w:szCs w:val="28"/>
          <w:highlight w:val="none"/>
        </w:rPr>
      </w:pPr>
      <w:r>
        <w:rPr>
          <w:rFonts w:hint="eastAsia" w:ascii="宋体" w:hAnsi="宋体"/>
          <w:sz w:val="28"/>
          <w:szCs w:val="28"/>
          <w:highlight w:val="none"/>
        </w:rPr>
        <w:t>2、乙方在工程完工后必须清理干净施工现场，以保持生产环境的卫生整洁。施工产生的废料和杂物，要按环保要求进行处理。</w:t>
      </w:r>
    </w:p>
    <w:p w14:paraId="3261CBDA">
      <w:pPr>
        <w:spacing w:line="300" w:lineRule="auto"/>
        <w:outlineLvl w:val="0"/>
        <w:rPr>
          <w:rFonts w:ascii="宋体" w:hAnsi="宋体"/>
          <w:b/>
          <w:sz w:val="28"/>
          <w:szCs w:val="28"/>
          <w:highlight w:val="none"/>
        </w:rPr>
      </w:pPr>
      <w:r>
        <w:rPr>
          <w:rFonts w:hint="eastAsia" w:ascii="宋体" w:hAnsi="宋体"/>
          <w:b/>
          <w:sz w:val="28"/>
          <w:szCs w:val="28"/>
          <w:highlight w:val="none"/>
        </w:rPr>
        <w:t>第十二条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违约责任</w:t>
      </w:r>
    </w:p>
    <w:p w14:paraId="5071BCCF">
      <w:pPr>
        <w:pStyle w:val="7"/>
        <w:spacing w:line="300" w:lineRule="auto"/>
        <w:ind w:left="0" w:leftChars="0"/>
        <w:rPr>
          <w:rFonts w:ascii="宋体" w:hAnsi="宋体"/>
          <w:sz w:val="28"/>
          <w:szCs w:val="28"/>
          <w:highlight w:val="none"/>
        </w:rPr>
      </w:pPr>
      <w:r>
        <w:rPr>
          <w:rFonts w:hint="eastAsia" w:ascii="宋体" w:hAnsi="宋体"/>
          <w:sz w:val="28"/>
          <w:szCs w:val="28"/>
          <w:highlight w:val="none"/>
        </w:rPr>
        <w:t>1、因乙方责任造成施工工期延期的，逾期每天应当按照合同总额的</w:t>
      </w:r>
      <w:r>
        <w:rPr>
          <w:rFonts w:hint="eastAsia" w:ascii="宋体" w:hAnsi="宋体"/>
          <w:b/>
          <w:sz w:val="28"/>
          <w:szCs w:val="28"/>
          <w:highlight w:val="none"/>
          <w:u w:val="single"/>
        </w:rPr>
        <w:t>0.</w:t>
      </w:r>
      <w:r>
        <w:rPr>
          <w:rFonts w:hint="eastAsia" w:ascii="宋体" w:hAnsi="宋体"/>
          <w:b/>
          <w:sz w:val="28"/>
          <w:szCs w:val="28"/>
          <w:highlight w:val="none"/>
          <w:u w:val="single"/>
          <w:lang w:val="en-US" w:eastAsia="zh-CN"/>
        </w:rPr>
        <w:t>0</w:t>
      </w:r>
      <w:r>
        <w:rPr>
          <w:rFonts w:hint="eastAsia" w:ascii="宋体" w:hAnsi="宋体"/>
          <w:b/>
          <w:sz w:val="28"/>
          <w:szCs w:val="28"/>
          <w:highlight w:val="none"/>
          <w:u w:val="single"/>
        </w:rPr>
        <w:t>5%</w:t>
      </w:r>
      <w:r>
        <w:rPr>
          <w:rFonts w:hint="eastAsia" w:ascii="宋体" w:hAnsi="宋体" w:cs="Times New Roman"/>
          <w:sz w:val="28"/>
          <w:szCs w:val="28"/>
          <w:highlight w:val="none"/>
        </w:rPr>
        <w:t>向甲方支付违约金</w:t>
      </w:r>
      <w:r>
        <w:rPr>
          <w:rFonts w:hint="eastAsia" w:ascii="宋体" w:hAnsi="宋体"/>
          <w:sz w:val="28"/>
          <w:szCs w:val="28"/>
          <w:highlight w:val="none"/>
        </w:rPr>
        <w:t>，甲方有权从工程合同款中直接扣除违约金。</w:t>
      </w:r>
    </w:p>
    <w:p w14:paraId="2F24A978">
      <w:pPr>
        <w:pStyle w:val="7"/>
        <w:spacing w:line="300" w:lineRule="auto"/>
        <w:ind w:left="422" w:leftChars="1" w:hanging="420" w:hangingChars="150"/>
        <w:rPr>
          <w:rFonts w:ascii="宋体" w:hAnsi="宋体"/>
          <w:sz w:val="28"/>
          <w:szCs w:val="28"/>
          <w:highlight w:val="none"/>
        </w:rPr>
      </w:pPr>
      <w:r>
        <w:rPr>
          <w:rFonts w:hint="eastAsia" w:ascii="宋体" w:hAnsi="宋体"/>
          <w:sz w:val="28"/>
          <w:szCs w:val="28"/>
          <w:highlight w:val="none"/>
        </w:rPr>
        <w:t>2、甲乙双方应信守本合同各项条款，如有违反，按《民法典》的有关条款处理。</w:t>
      </w:r>
    </w:p>
    <w:p w14:paraId="49BF6FB1">
      <w:pPr>
        <w:spacing w:line="300" w:lineRule="auto"/>
        <w:rPr>
          <w:rFonts w:hint="eastAsia" w:ascii="宋体" w:hAnsi="宋体"/>
          <w:sz w:val="28"/>
          <w:szCs w:val="28"/>
          <w:highlight w:val="none"/>
        </w:rPr>
      </w:pPr>
      <w:r>
        <w:rPr>
          <w:rFonts w:hint="eastAsia" w:ascii="宋体" w:hAnsi="宋体"/>
          <w:sz w:val="28"/>
          <w:szCs w:val="28"/>
          <w:highlight w:val="none"/>
        </w:rPr>
        <w:t>3、因乙方违约造成甲方损失的，甲方有权向乙方索赔；反之，若甲方违约，乙方有权向甲方索赔。</w:t>
      </w:r>
    </w:p>
    <w:p w14:paraId="65A17FF8">
      <w:pPr>
        <w:spacing w:line="300" w:lineRule="auto"/>
        <w:rPr>
          <w:rFonts w:ascii="宋体" w:hAnsi="宋体"/>
          <w:sz w:val="28"/>
          <w:szCs w:val="28"/>
        </w:rPr>
      </w:pPr>
      <w:r>
        <w:rPr>
          <w:rFonts w:hint="eastAsia" w:ascii="宋体" w:hAnsi="宋体"/>
          <w:sz w:val="28"/>
          <w:szCs w:val="28"/>
          <w:highlight w:val="none"/>
        </w:rPr>
        <w:t>4、乙方应履行安全责任，如乙方未履行应有的安全责任并屡教不改或发生安全责任事故甲方有权解除合同，</w:t>
      </w:r>
      <w:r>
        <w:rPr>
          <w:rFonts w:ascii="宋体" w:hAnsi="宋体"/>
          <w:sz w:val="28"/>
          <w:szCs w:val="28"/>
          <w:highlight w:val="none"/>
        </w:rPr>
        <w:t>并要求乙方承担</w:t>
      </w:r>
      <w:r>
        <w:rPr>
          <w:rFonts w:hint="eastAsia" w:ascii="宋体" w:hAnsi="宋体"/>
          <w:sz w:val="28"/>
          <w:szCs w:val="28"/>
          <w:highlight w:val="none"/>
        </w:rPr>
        <w:t>全部责任。</w:t>
      </w:r>
      <w:r>
        <w:rPr>
          <w:rFonts w:hint="eastAsia" w:ascii="宋体" w:hAnsi="宋体"/>
          <w:sz w:val="28"/>
          <w:szCs w:val="28"/>
        </w:rPr>
        <w:t>如因乙方措施不当、管理疏漏等各种原因造成职工、雇员或任何人人身或财产损害的，由乙方承担全部责任。如甲方在前述情形中实际承担了责任的，乙方同意无条件赔偿甲方的一切损失，包括但不限于相关的赔偿费用、诉讼费、保全费、鉴定费、公证费、律师费、差旅费等所有费用。</w:t>
      </w:r>
    </w:p>
    <w:p w14:paraId="17C5F8E8">
      <w:pPr>
        <w:spacing w:line="300" w:lineRule="auto"/>
        <w:rPr>
          <w:rFonts w:ascii="宋体" w:hAnsi="宋体"/>
          <w:sz w:val="28"/>
          <w:szCs w:val="28"/>
          <w:highlight w:val="none"/>
        </w:rPr>
      </w:pPr>
      <w:r>
        <w:rPr>
          <w:rFonts w:hint="eastAsia" w:ascii="宋体" w:hAnsi="宋体"/>
          <w:sz w:val="28"/>
          <w:szCs w:val="28"/>
          <w:highlight w:val="none"/>
        </w:rPr>
        <w:t>5、乙方违反本合同义务，甲方有权解除本合同，要求乙方承担违约责任，赔偿甲方的全部损失，包括但不限于诉讼费、仲裁费、财产保全费、财产保全担保费、差旅费、执行费、评估费、拍卖费、公证费、送达费、公告费、律师费、提存费等甲方为实现债权而发生的费用。</w:t>
      </w:r>
    </w:p>
    <w:p w14:paraId="090B4D46">
      <w:pPr>
        <w:spacing w:line="300" w:lineRule="auto"/>
        <w:rPr>
          <w:rFonts w:ascii="宋体" w:hAnsi="宋体"/>
          <w:sz w:val="28"/>
          <w:szCs w:val="28"/>
          <w:highlight w:val="none"/>
        </w:rPr>
      </w:pPr>
      <w:r>
        <w:rPr>
          <w:rFonts w:ascii="宋体" w:hAnsi="宋体"/>
          <w:sz w:val="28"/>
          <w:szCs w:val="28"/>
          <w:highlight w:val="none"/>
        </w:rPr>
        <w:t>6</w:t>
      </w:r>
      <w:r>
        <w:rPr>
          <w:rFonts w:hint="eastAsia" w:ascii="宋体" w:hAnsi="宋体"/>
          <w:sz w:val="28"/>
          <w:szCs w:val="28"/>
          <w:highlight w:val="none"/>
        </w:rPr>
        <w:t>、未经甲方书面同意，乙方不得使用法定退休人员和甲方的内退人员参与本工程工作，否则视为乙方违约，需向甲方承担违约责任。甲方对乙方进行考核，每发现一次乙方违反前述约定的情况，甲方有权向乙方收取一万元的违约金。</w:t>
      </w:r>
    </w:p>
    <w:p w14:paraId="7D71E7E5">
      <w:pPr>
        <w:spacing w:line="300" w:lineRule="auto"/>
        <w:rPr>
          <w:rFonts w:ascii="宋体" w:hAnsi="宋体"/>
          <w:color w:val="auto"/>
          <w:sz w:val="28"/>
          <w:szCs w:val="28"/>
          <w:highlight w:val="none"/>
        </w:rPr>
      </w:pPr>
      <w:r>
        <w:rPr>
          <w:rFonts w:ascii="宋体" w:hAnsi="宋体"/>
          <w:sz w:val="28"/>
          <w:szCs w:val="28"/>
          <w:highlight w:val="none"/>
        </w:rPr>
        <w:t>7</w:t>
      </w:r>
      <w:r>
        <w:rPr>
          <w:rFonts w:hint="eastAsia" w:ascii="宋体" w:hAnsi="宋体"/>
          <w:sz w:val="28"/>
          <w:szCs w:val="28"/>
          <w:highlight w:val="none"/>
        </w:rPr>
        <w:t>、乙方应当按照合同约定履行义务，完成项目工程。乙方不得向他人转让本工程，也不得将本工程肢解后分别向他人转让</w:t>
      </w:r>
      <w:r>
        <w:rPr>
          <w:rFonts w:hint="eastAsia" w:ascii="宋体" w:hAnsi="宋体"/>
          <w:sz w:val="28"/>
          <w:szCs w:val="28"/>
          <w:highlight w:val="none"/>
          <w:lang w:eastAsia="zh-CN"/>
        </w:rPr>
        <w:t>，</w:t>
      </w:r>
      <w:r>
        <w:rPr>
          <w:rFonts w:hint="eastAsia" w:ascii="宋体" w:hAnsi="宋体"/>
          <w:sz w:val="28"/>
          <w:szCs w:val="28"/>
        </w:rPr>
        <w:t>否则视为乙方违约，</w:t>
      </w:r>
      <w:r>
        <w:rPr>
          <w:rFonts w:hint="eastAsia"/>
          <w:sz w:val="28"/>
          <w:szCs w:val="28"/>
          <w:lang w:eastAsia="zh-CN"/>
        </w:rPr>
        <w:t>应按合同价款的</w:t>
      </w:r>
      <w:r>
        <w:rPr>
          <w:rFonts w:hint="eastAsia"/>
          <w:sz w:val="28"/>
          <w:szCs w:val="28"/>
          <w:lang w:val="en-US" w:eastAsia="zh-CN"/>
        </w:rPr>
        <w:t>10</w:t>
      </w:r>
      <w:r>
        <w:rPr>
          <w:rFonts w:hint="eastAsia"/>
          <w:sz w:val="28"/>
          <w:szCs w:val="28"/>
          <w:lang w:eastAsia="zh-CN"/>
        </w:rPr>
        <w:t>%向甲方支付违约金</w:t>
      </w:r>
      <w:r>
        <w:rPr>
          <w:rFonts w:hint="eastAsia" w:ascii="宋体" w:hAnsi="宋体"/>
          <w:sz w:val="28"/>
          <w:szCs w:val="28"/>
        </w:rPr>
        <w:t>。</w:t>
      </w:r>
      <w:r>
        <w:rPr>
          <w:rFonts w:hint="eastAsia" w:ascii="宋体" w:hAnsi="宋体"/>
          <w:sz w:val="28"/>
          <w:szCs w:val="28"/>
          <w:highlight w:val="none"/>
        </w:rPr>
        <w:t>乙方经甲方书面同意，可以将本工程的部分非主体、非关键性工作分包给他人完成。接受分包的人应当具备相应的资格条件，并不得再次分包。</w:t>
      </w:r>
      <w:r>
        <w:rPr>
          <w:rFonts w:hint="eastAsia" w:ascii="宋体" w:hAnsi="宋体"/>
          <w:color w:val="auto"/>
          <w:sz w:val="28"/>
          <w:szCs w:val="28"/>
        </w:rPr>
        <w:t>分包人不具备相应资格条件施工给甲方造成损失的，乙方应当</w:t>
      </w:r>
      <w:r>
        <w:rPr>
          <w:rFonts w:hint="eastAsia"/>
          <w:color w:val="auto"/>
          <w:sz w:val="28"/>
          <w:szCs w:val="28"/>
        </w:rPr>
        <w:t>按合同价款的</w:t>
      </w:r>
      <w:r>
        <w:rPr>
          <w:rFonts w:hint="eastAsia"/>
          <w:color w:val="auto"/>
          <w:sz w:val="28"/>
          <w:szCs w:val="28"/>
          <w:lang w:val="en-US" w:eastAsia="zh-CN"/>
        </w:rPr>
        <w:t>10</w:t>
      </w:r>
      <w:r>
        <w:rPr>
          <w:rFonts w:hint="eastAsia"/>
          <w:color w:val="auto"/>
          <w:sz w:val="28"/>
          <w:szCs w:val="28"/>
        </w:rPr>
        <w:t>%向甲方支付违约金，并</w:t>
      </w:r>
      <w:r>
        <w:rPr>
          <w:rFonts w:hint="eastAsia" w:ascii="宋体" w:hAnsi="宋体"/>
          <w:color w:val="auto"/>
          <w:sz w:val="28"/>
          <w:szCs w:val="28"/>
        </w:rPr>
        <w:t>赔偿因此而给甲方造成的损失。</w:t>
      </w:r>
    </w:p>
    <w:p w14:paraId="379554C8">
      <w:pPr>
        <w:spacing w:line="300" w:lineRule="auto"/>
        <w:rPr>
          <w:rFonts w:ascii="宋体" w:hAnsi="宋体"/>
          <w:sz w:val="28"/>
          <w:szCs w:val="28"/>
          <w:highlight w:val="none"/>
        </w:rPr>
      </w:pPr>
      <w:r>
        <w:rPr>
          <w:rFonts w:ascii="宋体" w:hAnsi="宋体"/>
          <w:sz w:val="28"/>
          <w:szCs w:val="28"/>
          <w:highlight w:val="none"/>
        </w:rPr>
        <w:t>8</w:t>
      </w:r>
      <w:r>
        <w:rPr>
          <w:rFonts w:hint="eastAsia" w:ascii="宋体" w:hAnsi="宋体"/>
          <w:sz w:val="28"/>
          <w:szCs w:val="28"/>
          <w:highlight w:val="none"/>
        </w:rPr>
        <w:t>、乙方的项目经理如需更换或请假，要向甲方项目负责人及项目管理部门申请，经甲方书面同意后乙方才能实施，否则视为乙方违约，需向甲方承担违约责任。甲方对乙方进行考核，每发现一次乙方违反前述约定的情况，甲方有权向乙方收取一万元的违约金。</w:t>
      </w:r>
    </w:p>
    <w:p w14:paraId="15DB6DD6">
      <w:pPr>
        <w:spacing w:line="300" w:lineRule="auto"/>
        <w:outlineLvl w:val="0"/>
        <w:rPr>
          <w:rFonts w:ascii="宋体" w:hAnsi="宋体"/>
          <w:b/>
          <w:sz w:val="28"/>
          <w:szCs w:val="28"/>
          <w:highlight w:val="none"/>
        </w:rPr>
      </w:pPr>
      <w:r>
        <w:rPr>
          <w:rFonts w:hint="eastAsia" w:ascii="宋体" w:hAnsi="宋体"/>
          <w:b/>
          <w:sz w:val="28"/>
          <w:szCs w:val="28"/>
          <w:highlight w:val="none"/>
        </w:rPr>
        <w:t>第十三条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争议的解决方式</w:t>
      </w:r>
    </w:p>
    <w:p w14:paraId="1D1B759B">
      <w:pPr>
        <w:adjustRightInd w:val="0"/>
        <w:snapToGrid w:val="0"/>
        <w:spacing w:line="300" w:lineRule="auto"/>
        <w:ind w:right="210" w:rightChars="100"/>
        <w:outlineLvl w:val="1"/>
        <w:rPr>
          <w:rFonts w:ascii="宋体" w:hAnsi="宋体"/>
          <w:sz w:val="28"/>
          <w:szCs w:val="28"/>
          <w:highlight w:val="none"/>
        </w:rPr>
      </w:pPr>
      <w:r>
        <w:rPr>
          <w:rFonts w:hint="eastAsia" w:ascii="宋体" w:hAnsi="宋体"/>
          <w:sz w:val="28"/>
          <w:szCs w:val="28"/>
          <w:highlight w:val="none"/>
        </w:rPr>
        <w:t>1、合同发生争议时，由双方当事人协商解决；</w:t>
      </w:r>
    </w:p>
    <w:p w14:paraId="1E2DF628">
      <w:pPr>
        <w:snapToGrid w:val="0"/>
        <w:spacing w:line="360" w:lineRule="auto"/>
        <w:rPr>
          <w:rFonts w:hint="eastAsia" w:ascii="宋体" w:hAnsi="宋体" w:eastAsia="宋体" w:cs="宋体"/>
          <w:sz w:val="28"/>
          <w:szCs w:val="28"/>
          <w:highlight w:val="none"/>
        </w:rPr>
      </w:pPr>
      <w:r>
        <w:rPr>
          <w:rFonts w:hint="eastAsia" w:ascii="宋体" w:hAnsi="宋体"/>
          <w:sz w:val="28"/>
          <w:szCs w:val="28"/>
          <w:highlight w:val="none"/>
        </w:rPr>
        <w:t>2、双方协商不成，依法向</w:t>
      </w:r>
      <w:r>
        <w:rPr>
          <w:rFonts w:hint="eastAsia" w:ascii="宋体" w:hAnsi="宋体"/>
          <w:sz w:val="28"/>
          <w:szCs w:val="28"/>
          <w:highlight w:val="none"/>
          <w:lang w:val="en-US" w:eastAsia="zh-CN"/>
        </w:rPr>
        <w:t>工程项目</w:t>
      </w:r>
      <w:r>
        <w:rPr>
          <w:rFonts w:hint="eastAsia" w:ascii="宋体" w:hAnsi="宋体"/>
          <w:sz w:val="28"/>
          <w:szCs w:val="28"/>
          <w:highlight w:val="none"/>
        </w:rPr>
        <w:t>所在地人民法院起诉。</w:t>
      </w:r>
      <w:r>
        <w:rPr>
          <w:rFonts w:hint="eastAsia" w:ascii="宋体" w:hAnsi="宋体" w:eastAsia="宋体" w:cs="宋体"/>
          <w:sz w:val="28"/>
          <w:szCs w:val="28"/>
          <w:highlight w:val="none"/>
        </w:rPr>
        <w:t>在违约引发的</w:t>
      </w:r>
      <w:r>
        <w:rPr>
          <w:rFonts w:hint="eastAsia" w:ascii="宋体" w:hAnsi="宋体" w:eastAsia="宋体" w:cs="宋体"/>
          <w:sz w:val="28"/>
          <w:szCs w:val="28"/>
          <w:highlight w:val="none"/>
          <w:lang w:val="en-US" w:eastAsia="zh-CN"/>
        </w:rPr>
        <w:t>诉讼</w:t>
      </w:r>
      <w:r>
        <w:rPr>
          <w:rFonts w:hint="eastAsia" w:ascii="宋体" w:hAnsi="宋体" w:eastAsia="宋体" w:cs="宋体"/>
          <w:sz w:val="28"/>
          <w:szCs w:val="28"/>
          <w:highlight w:val="none"/>
        </w:rPr>
        <w:t>程序中，违约方应赔偿守约方因</w:t>
      </w:r>
      <w:r>
        <w:rPr>
          <w:rFonts w:hint="eastAsia" w:ascii="宋体" w:hAnsi="宋体" w:eastAsia="宋体" w:cs="宋体"/>
          <w:sz w:val="28"/>
          <w:szCs w:val="28"/>
          <w:highlight w:val="none"/>
          <w:lang w:val="en-US" w:eastAsia="zh-CN"/>
        </w:rPr>
        <w:t>诉讼</w:t>
      </w:r>
      <w:r>
        <w:rPr>
          <w:rFonts w:hint="eastAsia" w:ascii="宋体" w:hAnsi="宋体" w:eastAsia="宋体" w:cs="宋体"/>
          <w:sz w:val="28"/>
          <w:szCs w:val="28"/>
          <w:highlight w:val="none"/>
        </w:rPr>
        <w:t>产生的律师费及为维权支出的其它合理费用。</w:t>
      </w:r>
    </w:p>
    <w:p w14:paraId="79669784">
      <w:pPr>
        <w:spacing w:line="300" w:lineRule="auto"/>
        <w:outlineLvl w:val="0"/>
        <w:rPr>
          <w:rFonts w:ascii="宋体" w:hAnsi="宋体"/>
          <w:b/>
          <w:sz w:val="28"/>
          <w:szCs w:val="28"/>
        </w:rPr>
      </w:pPr>
      <w:r>
        <w:rPr>
          <w:rFonts w:hint="eastAsia" w:ascii="宋体" w:hAnsi="宋体"/>
          <w:b/>
          <w:sz w:val="28"/>
          <w:szCs w:val="28"/>
        </w:rPr>
        <w:t>第十四条 通知与送达</w:t>
      </w:r>
    </w:p>
    <w:p w14:paraId="0524560A">
      <w:pPr>
        <w:spacing w:after="120" w:line="360" w:lineRule="auto"/>
        <w:rPr>
          <w:rFonts w:ascii="宋体" w:hAnsi="宋体" w:cs="宋体"/>
          <w:sz w:val="28"/>
          <w:szCs w:val="28"/>
        </w:rPr>
      </w:pPr>
      <w:bookmarkStart w:id="0" w:name="_Hlk88556735"/>
      <w:r>
        <w:rPr>
          <w:rFonts w:hint="eastAsia" w:ascii="宋体" w:hAnsi="宋体" w:cs="宋体"/>
          <w:sz w:val="28"/>
          <w:szCs w:val="28"/>
        </w:rPr>
        <w:t>1、因履</w:t>
      </w:r>
      <w:bookmarkEnd w:id="0"/>
      <w:r>
        <w:rPr>
          <w:rFonts w:hint="eastAsia" w:ascii="宋体" w:hAnsi="宋体" w:cs="宋体"/>
          <w:sz w:val="28"/>
          <w:szCs w:val="28"/>
        </w:rPr>
        <w:t>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78CC5EC4">
      <w:pPr>
        <w:spacing w:after="120" w:line="360" w:lineRule="auto"/>
        <w:rPr>
          <w:rFonts w:ascii="宋体" w:hAnsi="宋体" w:cs="宋体"/>
          <w:sz w:val="28"/>
          <w:szCs w:val="28"/>
        </w:rPr>
      </w:pPr>
      <w:r>
        <w:rPr>
          <w:rFonts w:hint="eastAsia" w:ascii="宋体" w:hAnsi="宋体" w:cs="宋体"/>
          <w:sz w:val="28"/>
          <w:szCs w:val="28"/>
        </w:rPr>
        <w:t>2、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3F94900E">
      <w:pPr>
        <w:pStyle w:val="12"/>
        <w:snapToGrid w:val="0"/>
        <w:spacing w:line="360" w:lineRule="auto"/>
        <w:ind w:firstLine="0"/>
        <w:rPr>
          <w:rFonts w:hint="eastAsia" w:ascii="宋体" w:hAnsi="宋体"/>
          <w:sz w:val="28"/>
          <w:szCs w:val="28"/>
        </w:rPr>
      </w:pPr>
      <w:r>
        <w:rPr>
          <w:rFonts w:hint="eastAsia" w:ascii="宋体" w:hAnsi="宋体" w:cs="宋体"/>
          <w:kern w:val="2"/>
          <w:sz w:val="28"/>
          <w:szCs w:val="28"/>
        </w:rPr>
        <w:t>3、本合同所约定的送达地址，均为双方在诉讼、仲裁过程中有效的送达地址，除非在诉讼、仲裁过程中另行提供有效的送达地址。</w:t>
      </w:r>
    </w:p>
    <w:p w14:paraId="01DBBF44">
      <w:pPr>
        <w:spacing w:line="300" w:lineRule="auto"/>
        <w:outlineLvl w:val="0"/>
        <w:rPr>
          <w:rFonts w:ascii="宋体" w:hAnsi="宋体"/>
          <w:b/>
          <w:sz w:val="28"/>
          <w:szCs w:val="28"/>
          <w:highlight w:val="none"/>
        </w:rPr>
      </w:pPr>
      <w:r>
        <w:rPr>
          <w:rFonts w:hint="eastAsia" w:ascii="宋体" w:hAnsi="宋体"/>
          <w:b/>
          <w:sz w:val="28"/>
          <w:szCs w:val="28"/>
          <w:highlight w:val="none"/>
        </w:rPr>
        <w:t>第十</w:t>
      </w:r>
      <w:r>
        <w:rPr>
          <w:rFonts w:hint="eastAsia" w:ascii="宋体" w:hAnsi="宋体"/>
          <w:b/>
          <w:sz w:val="28"/>
          <w:szCs w:val="28"/>
          <w:highlight w:val="none"/>
          <w:lang w:val="en-US" w:eastAsia="zh-CN"/>
        </w:rPr>
        <w:t>五</w:t>
      </w:r>
      <w:r>
        <w:rPr>
          <w:rFonts w:hint="eastAsia" w:ascii="宋体" w:hAnsi="宋体"/>
          <w:b/>
          <w:sz w:val="28"/>
          <w:szCs w:val="28"/>
          <w:highlight w:val="none"/>
        </w:rPr>
        <w:t>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合同生效及其它条款</w:t>
      </w:r>
    </w:p>
    <w:p w14:paraId="1C01583E">
      <w:pPr>
        <w:tabs>
          <w:tab w:val="left" w:pos="6840"/>
        </w:tabs>
        <w:spacing w:line="300" w:lineRule="auto"/>
        <w:rPr>
          <w:rFonts w:ascii="宋体" w:hAnsi="宋体"/>
          <w:sz w:val="28"/>
          <w:szCs w:val="28"/>
          <w:highlight w:val="none"/>
        </w:rPr>
      </w:pPr>
      <w:r>
        <w:rPr>
          <w:rFonts w:hint="eastAsia" w:ascii="宋体" w:hAnsi="宋体"/>
          <w:sz w:val="28"/>
          <w:szCs w:val="28"/>
          <w:highlight w:val="none"/>
        </w:rPr>
        <w:t>1、本合同自甲、乙双方法人代表（或委托人）签字并加盖双方公章（合同专用章）即生效。至工程竣工，合同价款结清且质保期满起自行失效。</w:t>
      </w:r>
    </w:p>
    <w:p w14:paraId="6637C206">
      <w:pPr>
        <w:tabs>
          <w:tab w:val="left" w:pos="6840"/>
        </w:tabs>
        <w:spacing w:line="300" w:lineRule="auto"/>
        <w:rPr>
          <w:rFonts w:ascii="宋体" w:hAnsi="宋体"/>
          <w:sz w:val="28"/>
          <w:szCs w:val="28"/>
          <w:highlight w:val="none"/>
        </w:rPr>
      </w:pPr>
      <w:r>
        <w:rPr>
          <w:rFonts w:hint="eastAsia" w:ascii="宋体" w:hAnsi="宋体"/>
          <w:sz w:val="28"/>
          <w:szCs w:val="28"/>
          <w:highlight w:val="none"/>
        </w:rPr>
        <w:t>2、乙方必须自行完成所有的承包工程任务，不得转包。否则，甲方有权终止合同。</w:t>
      </w:r>
    </w:p>
    <w:p w14:paraId="0DC725FE">
      <w:pPr>
        <w:spacing w:line="300" w:lineRule="auto"/>
        <w:ind w:firstLine="2"/>
        <w:rPr>
          <w:rFonts w:ascii="宋体" w:hAnsi="宋体"/>
          <w:sz w:val="28"/>
          <w:szCs w:val="28"/>
          <w:highlight w:val="none"/>
        </w:rPr>
      </w:pPr>
      <w:r>
        <w:rPr>
          <w:rFonts w:hint="eastAsia" w:ascii="宋体" w:hAnsi="宋体"/>
          <w:sz w:val="28"/>
          <w:szCs w:val="28"/>
          <w:highlight w:val="none"/>
        </w:rPr>
        <w:t>3、合同签署后，任何一方不得随意变更或解除，需要变更或解除合同时，应由双方协商一致，达成书面协议。</w:t>
      </w:r>
    </w:p>
    <w:p w14:paraId="7BCC86D6">
      <w:pPr>
        <w:spacing w:line="300" w:lineRule="auto"/>
        <w:ind w:firstLine="2"/>
        <w:rPr>
          <w:rFonts w:ascii="宋体" w:hAnsi="宋体"/>
          <w:sz w:val="28"/>
          <w:szCs w:val="28"/>
          <w:highlight w:val="none"/>
        </w:rPr>
      </w:pPr>
      <w:r>
        <w:rPr>
          <w:rFonts w:hint="eastAsia" w:ascii="宋体" w:hAnsi="宋体"/>
          <w:sz w:val="28"/>
          <w:szCs w:val="28"/>
          <w:highlight w:val="none"/>
        </w:rPr>
        <w:t>4、由于不可抗力的原因，导致合同无法完全履行或者无法履行的时候，经双方协商，可以变更或解除合同。一旦发生不可抗力事件，双方应采取补救措施以减少损失。</w:t>
      </w:r>
    </w:p>
    <w:p w14:paraId="1B94404D">
      <w:pPr>
        <w:pStyle w:val="4"/>
        <w:spacing w:line="300" w:lineRule="auto"/>
        <w:ind w:firstLine="0" w:firstLineChars="0"/>
        <w:rPr>
          <w:sz w:val="28"/>
          <w:szCs w:val="28"/>
          <w:highlight w:val="none"/>
        </w:rPr>
      </w:pPr>
      <w:r>
        <w:rPr>
          <w:rFonts w:hint="eastAsia"/>
          <w:sz w:val="28"/>
          <w:szCs w:val="28"/>
          <w:highlight w:val="none"/>
        </w:rPr>
        <w:t>5、乙方应承担费用对本合同工程按合同总金额的100%投保建设、安装一切险。乙方应对本合同工程投保公众责任险（索赔上限人民币壹仟万元，含人身伤害索赔上限同上）。保险期限至项目通过竣工验收后为止。</w:t>
      </w:r>
    </w:p>
    <w:p w14:paraId="104B6BDE">
      <w:pPr>
        <w:pStyle w:val="4"/>
        <w:spacing w:line="300" w:lineRule="auto"/>
        <w:ind w:left="4" w:firstLine="0" w:firstLineChars="0"/>
        <w:rPr>
          <w:sz w:val="28"/>
          <w:szCs w:val="28"/>
          <w:highlight w:val="none"/>
        </w:rPr>
      </w:pPr>
      <w:r>
        <w:rPr>
          <w:rFonts w:hint="eastAsia"/>
          <w:sz w:val="28"/>
          <w:szCs w:val="28"/>
          <w:highlight w:val="none"/>
        </w:rPr>
        <w:t>6、工程开工前，乙方应为施工场内从事危险作业的职工办理意外伤害保险，并为施工场地内自有人员生命财产和施工机械设备办理保险，乙方负责支付保险费用。</w:t>
      </w:r>
    </w:p>
    <w:p w14:paraId="71A1E14D">
      <w:pPr>
        <w:pStyle w:val="4"/>
        <w:spacing w:line="300" w:lineRule="auto"/>
        <w:ind w:firstLine="0" w:firstLineChars="0"/>
        <w:rPr>
          <w:sz w:val="28"/>
          <w:szCs w:val="28"/>
          <w:highlight w:val="none"/>
        </w:rPr>
      </w:pPr>
      <w:r>
        <w:rPr>
          <w:rFonts w:hint="eastAsia"/>
          <w:sz w:val="28"/>
          <w:szCs w:val="28"/>
          <w:highlight w:val="none"/>
        </w:rPr>
        <w:t>7、保险事故发生时，甲方及乙方有责任尽力采取必要的措施，防止或者减少损失。</w:t>
      </w:r>
    </w:p>
    <w:p w14:paraId="26F0B9A3">
      <w:pPr>
        <w:pStyle w:val="4"/>
        <w:spacing w:line="300" w:lineRule="auto"/>
        <w:ind w:firstLine="0" w:firstLineChars="0"/>
        <w:rPr>
          <w:sz w:val="28"/>
          <w:szCs w:val="28"/>
          <w:highlight w:val="none"/>
        </w:rPr>
      </w:pPr>
      <w:r>
        <w:rPr>
          <w:rFonts w:hint="eastAsia"/>
          <w:sz w:val="28"/>
          <w:szCs w:val="28"/>
          <w:highlight w:val="none"/>
        </w:rPr>
        <w:t>8、本合同一方按本合同约定向另一方送达任何文件、</w:t>
      </w:r>
      <w:r>
        <w:rPr>
          <w:sz w:val="28"/>
          <w:szCs w:val="28"/>
          <w:highlight w:val="none"/>
        </w:rPr>
        <w:t>回复</w:t>
      </w:r>
      <w:r>
        <w:rPr>
          <w:rFonts w:hint="eastAsia"/>
          <w:sz w:val="28"/>
          <w:szCs w:val="28"/>
          <w:highlight w:val="none"/>
        </w:rPr>
        <w:t>及其他任何联系，必须用书面形式，按本合同已约定的通讯地址采用挂号邮寄、传真、</w:t>
      </w:r>
      <w:r>
        <w:rPr>
          <w:sz w:val="28"/>
          <w:szCs w:val="28"/>
          <w:highlight w:val="none"/>
        </w:rPr>
        <w:t>电子邮件</w:t>
      </w:r>
      <w:r>
        <w:rPr>
          <w:rFonts w:hint="eastAsia"/>
          <w:sz w:val="28"/>
          <w:szCs w:val="28"/>
          <w:highlight w:val="none"/>
        </w:rPr>
        <w:t>或直接送达的方式，送达本合同所列的地址。如以邮寄方式送达，</w:t>
      </w:r>
      <w:r>
        <w:rPr>
          <w:sz w:val="28"/>
          <w:szCs w:val="28"/>
          <w:highlight w:val="none"/>
        </w:rPr>
        <w:t>在</w:t>
      </w:r>
      <w:r>
        <w:rPr>
          <w:rFonts w:hint="eastAsia"/>
          <w:sz w:val="28"/>
          <w:szCs w:val="28"/>
          <w:highlight w:val="none"/>
        </w:rPr>
        <w:t>投邮后（以邮戳为准</w:t>
      </w:r>
      <w:r>
        <w:rPr>
          <w:sz w:val="28"/>
          <w:szCs w:val="28"/>
          <w:highlight w:val="none"/>
        </w:rPr>
        <w:t>）</w:t>
      </w:r>
      <w:r>
        <w:rPr>
          <w:rFonts w:hint="eastAsia"/>
          <w:sz w:val="28"/>
          <w:szCs w:val="28"/>
          <w:highlight w:val="none"/>
        </w:rPr>
        <w:t>第七日将被视为已送达另一方；</w:t>
      </w:r>
      <w:r>
        <w:rPr>
          <w:sz w:val="28"/>
          <w:szCs w:val="28"/>
          <w:highlight w:val="none"/>
        </w:rPr>
        <w:t>如</w:t>
      </w:r>
      <w:r>
        <w:rPr>
          <w:rFonts w:hint="eastAsia"/>
          <w:sz w:val="28"/>
          <w:szCs w:val="28"/>
          <w:highlight w:val="none"/>
        </w:rPr>
        <w:t>以电子邮件送达，</w:t>
      </w:r>
      <w:r>
        <w:rPr>
          <w:sz w:val="28"/>
          <w:szCs w:val="28"/>
          <w:highlight w:val="none"/>
        </w:rPr>
        <w:t>自</w:t>
      </w:r>
      <w:r>
        <w:rPr>
          <w:rFonts w:hint="eastAsia"/>
          <w:sz w:val="28"/>
          <w:szCs w:val="28"/>
          <w:highlight w:val="none"/>
        </w:rPr>
        <w:t>邮件显示发送成功时视为送达；</w:t>
      </w:r>
      <w:r>
        <w:rPr>
          <w:sz w:val="28"/>
          <w:szCs w:val="28"/>
          <w:highlight w:val="none"/>
        </w:rPr>
        <w:t>如以</w:t>
      </w:r>
      <w:r>
        <w:rPr>
          <w:rFonts w:hint="eastAsia"/>
          <w:sz w:val="28"/>
          <w:szCs w:val="28"/>
          <w:highlight w:val="none"/>
        </w:rPr>
        <w:t>直接送达的方式送达，</w:t>
      </w:r>
      <w:r>
        <w:rPr>
          <w:sz w:val="28"/>
          <w:szCs w:val="28"/>
          <w:highlight w:val="none"/>
        </w:rPr>
        <w:t>以</w:t>
      </w:r>
      <w:r>
        <w:rPr>
          <w:rFonts w:hint="eastAsia"/>
          <w:sz w:val="28"/>
          <w:szCs w:val="28"/>
          <w:highlight w:val="none"/>
        </w:rPr>
        <w:t>另一方签收时视为送达。合同双方若更改地址必须以本条所述方式通知另一方。本合同一方未将变更后的通讯地址及时通知另一方的，应承担送达不能的全部责任。</w:t>
      </w:r>
    </w:p>
    <w:p w14:paraId="7E87F606">
      <w:pPr>
        <w:spacing w:line="300" w:lineRule="auto"/>
        <w:ind w:left="637" w:leftChars="1" w:hanging="635" w:hangingChars="227"/>
        <w:rPr>
          <w:rFonts w:ascii="宋体" w:hAnsi="宋体"/>
          <w:sz w:val="28"/>
          <w:szCs w:val="28"/>
          <w:highlight w:val="none"/>
        </w:rPr>
      </w:pPr>
      <w:r>
        <w:rPr>
          <w:rFonts w:ascii="宋体" w:hAnsi="宋体"/>
          <w:sz w:val="28"/>
          <w:szCs w:val="28"/>
          <w:highlight w:val="none"/>
        </w:rPr>
        <w:t>9</w:t>
      </w:r>
      <w:r>
        <w:rPr>
          <w:rFonts w:hint="eastAsia" w:ascii="宋体" w:hAnsi="宋体"/>
          <w:sz w:val="28"/>
          <w:szCs w:val="28"/>
          <w:highlight w:val="none"/>
        </w:rPr>
        <w:t>、本合同未尽事宜，双方共同协商。</w:t>
      </w:r>
    </w:p>
    <w:p w14:paraId="547D9DD9">
      <w:pPr>
        <w:spacing w:line="300" w:lineRule="auto"/>
        <w:ind w:left="637" w:leftChars="1" w:hanging="635" w:hangingChars="227"/>
        <w:rPr>
          <w:rFonts w:ascii="宋体" w:hAnsi="宋体"/>
          <w:sz w:val="28"/>
          <w:szCs w:val="28"/>
          <w:highlight w:val="none"/>
        </w:rPr>
      </w:pPr>
      <w:r>
        <w:rPr>
          <w:rFonts w:ascii="宋体" w:hAnsi="宋体"/>
          <w:sz w:val="28"/>
          <w:szCs w:val="28"/>
          <w:highlight w:val="none"/>
        </w:rPr>
        <w:t>10</w:t>
      </w:r>
      <w:r>
        <w:rPr>
          <w:rFonts w:hint="eastAsia" w:ascii="宋体" w:hAnsi="宋体"/>
          <w:sz w:val="28"/>
          <w:szCs w:val="28"/>
          <w:highlight w:val="none"/>
        </w:rPr>
        <w:t>、</w:t>
      </w:r>
      <w:r>
        <w:rPr>
          <w:rFonts w:hint="eastAsia" w:ascii="宋体" w:hAnsi="宋体"/>
          <w:spacing w:val="-6"/>
          <w:sz w:val="28"/>
          <w:szCs w:val="28"/>
          <w:highlight w:val="none"/>
        </w:rPr>
        <w:t>本合同一式</w:t>
      </w:r>
      <w:r>
        <w:rPr>
          <w:rFonts w:hint="eastAsia" w:ascii="宋体" w:hAnsi="宋体"/>
          <w:sz w:val="28"/>
          <w:szCs w:val="28"/>
          <w:highlight w:val="none"/>
        </w:rPr>
        <w:t>陆份，甲方执叁份，乙方执叁份，</w:t>
      </w:r>
      <w:r>
        <w:rPr>
          <w:rFonts w:ascii="宋体" w:hAnsi="宋体"/>
          <w:sz w:val="28"/>
          <w:szCs w:val="28"/>
          <w:highlight w:val="none"/>
        </w:rPr>
        <w:t>具有</w:t>
      </w:r>
      <w:r>
        <w:rPr>
          <w:rFonts w:hint="eastAsia" w:ascii="宋体" w:hAnsi="宋体"/>
          <w:sz w:val="28"/>
          <w:szCs w:val="28"/>
          <w:highlight w:val="none"/>
        </w:rPr>
        <w:t>同等法律效力。</w:t>
      </w:r>
    </w:p>
    <w:p w14:paraId="051E578E">
      <w:pPr>
        <w:spacing w:line="300" w:lineRule="auto"/>
        <w:outlineLvl w:val="0"/>
        <w:rPr>
          <w:rFonts w:ascii="宋体" w:hAnsi="宋体"/>
          <w:b/>
          <w:sz w:val="28"/>
          <w:szCs w:val="28"/>
          <w:highlight w:val="none"/>
        </w:rPr>
      </w:pPr>
      <w:r>
        <w:rPr>
          <w:rFonts w:hint="eastAsia" w:ascii="宋体" w:hAnsi="宋体"/>
          <w:b/>
          <w:sz w:val="28"/>
          <w:szCs w:val="28"/>
          <w:highlight w:val="none"/>
        </w:rPr>
        <w:t>第十</w:t>
      </w:r>
      <w:r>
        <w:rPr>
          <w:rFonts w:hint="eastAsia" w:ascii="宋体" w:hAnsi="宋体"/>
          <w:b/>
          <w:sz w:val="28"/>
          <w:szCs w:val="28"/>
          <w:highlight w:val="none"/>
          <w:lang w:val="en-US" w:eastAsia="zh-CN"/>
        </w:rPr>
        <w:t>六</w:t>
      </w:r>
      <w:r>
        <w:rPr>
          <w:rFonts w:hint="eastAsia" w:ascii="宋体" w:hAnsi="宋体"/>
          <w:b/>
          <w:sz w:val="28"/>
          <w:szCs w:val="28"/>
          <w:highlight w:val="none"/>
        </w:rPr>
        <w:t>条</w:t>
      </w:r>
      <w:r>
        <w:rPr>
          <w:rFonts w:hint="eastAsia" w:ascii="宋体" w:hAnsi="宋体"/>
          <w:b/>
          <w:sz w:val="28"/>
          <w:szCs w:val="28"/>
          <w:highlight w:val="none"/>
          <w:lang w:val="en-US" w:eastAsia="zh-CN"/>
        </w:rPr>
        <w:t xml:space="preserve"> </w:t>
      </w:r>
      <w:r>
        <w:rPr>
          <w:rFonts w:hint="eastAsia" w:ascii="宋体" w:hAnsi="宋体"/>
          <w:b/>
          <w:sz w:val="28"/>
          <w:szCs w:val="28"/>
          <w:highlight w:val="none"/>
        </w:rPr>
        <w:t>合同的组成</w:t>
      </w:r>
    </w:p>
    <w:p w14:paraId="44F67CE1">
      <w:pPr>
        <w:spacing w:line="300" w:lineRule="auto"/>
        <w:ind w:left="637" w:leftChars="1" w:hanging="635" w:hangingChars="227"/>
        <w:outlineLvl w:val="1"/>
        <w:rPr>
          <w:rFonts w:ascii="宋体" w:hAnsi="宋体"/>
          <w:sz w:val="28"/>
          <w:szCs w:val="28"/>
          <w:highlight w:val="none"/>
        </w:rPr>
      </w:pPr>
      <w:r>
        <w:rPr>
          <w:rFonts w:hint="eastAsia" w:ascii="宋体" w:hAnsi="宋体"/>
          <w:sz w:val="28"/>
          <w:szCs w:val="28"/>
          <w:highlight w:val="none"/>
        </w:rPr>
        <w:t>1、本合同协议书及其附件。</w:t>
      </w:r>
    </w:p>
    <w:p w14:paraId="25210C46">
      <w:pPr>
        <w:spacing w:line="300" w:lineRule="auto"/>
        <w:ind w:left="637" w:leftChars="1" w:hanging="635" w:hangingChars="227"/>
        <w:outlineLvl w:val="1"/>
        <w:rPr>
          <w:rFonts w:ascii="宋体" w:hAnsi="宋体"/>
          <w:sz w:val="28"/>
          <w:szCs w:val="28"/>
          <w:highlight w:val="none"/>
        </w:rPr>
      </w:pPr>
      <w:r>
        <w:rPr>
          <w:rFonts w:hint="eastAsia" w:ascii="宋体" w:hAnsi="宋体"/>
          <w:sz w:val="28"/>
          <w:szCs w:val="28"/>
          <w:highlight w:val="none"/>
        </w:rPr>
        <w:t>2、经甲方批准的检修文件包或作业指导书；</w:t>
      </w:r>
    </w:p>
    <w:p w14:paraId="3CA8DC16">
      <w:pPr>
        <w:spacing w:line="300" w:lineRule="auto"/>
        <w:ind w:left="637" w:leftChars="1" w:hanging="635" w:hangingChars="227"/>
        <w:outlineLvl w:val="1"/>
        <w:rPr>
          <w:rFonts w:ascii="宋体" w:hAnsi="宋体"/>
          <w:sz w:val="28"/>
          <w:szCs w:val="28"/>
          <w:highlight w:val="none"/>
        </w:rPr>
      </w:pPr>
      <w:r>
        <w:rPr>
          <w:rFonts w:hint="eastAsia" w:ascii="宋体" w:hAnsi="宋体"/>
          <w:sz w:val="28"/>
          <w:szCs w:val="28"/>
          <w:highlight w:val="none"/>
        </w:rPr>
        <w:t>3、标准、规范及有关技术文件、图纸；</w:t>
      </w:r>
    </w:p>
    <w:p w14:paraId="40C3E167">
      <w:pPr>
        <w:widowControl/>
        <w:spacing w:line="360" w:lineRule="auto"/>
        <w:ind w:left="479" w:hanging="477"/>
        <w:jc w:val="left"/>
        <w:outlineLvl w:val="1"/>
        <w:rPr>
          <w:rFonts w:ascii="宋体" w:hAnsi="宋体"/>
          <w:sz w:val="28"/>
          <w:szCs w:val="28"/>
          <w:highlight w:val="none"/>
        </w:rPr>
      </w:pPr>
      <w:r>
        <w:rPr>
          <w:rFonts w:hint="eastAsia" w:ascii="宋体" w:hAnsi="宋体"/>
          <w:sz w:val="28"/>
          <w:szCs w:val="28"/>
          <w:highlight w:val="none"/>
        </w:rPr>
        <w:t>4、双方有关工程的洽商、变更等书面记录和文件。</w:t>
      </w:r>
    </w:p>
    <w:p w14:paraId="7334B155">
      <w:pPr>
        <w:widowControl/>
        <w:spacing w:line="360" w:lineRule="auto"/>
        <w:jc w:val="left"/>
        <w:rPr>
          <w:rFonts w:ascii="宋体" w:hAnsi="宋体"/>
          <w:sz w:val="28"/>
          <w:szCs w:val="28"/>
          <w:highlight w:val="none"/>
        </w:rPr>
      </w:pPr>
    </w:p>
    <w:p w14:paraId="36D85D29">
      <w:pPr>
        <w:widowControl/>
        <w:spacing w:line="360" w:lineRule="auto"/>
        <w:jc w:val="left"/>
        <w:rPr>
          <w:rFonts w:ascii="宋体" w:hAnsi="宋体"/>
          <w:sz w:val="28"/>
          <w:szCs w:val="28"/>
          <w:highlight w:val="none"/>
        </w:rPr>
      </w:pPr>
    </w:p>
    <w:p w14:paraId="2F31F0BA">
      <w:pPr>
        <w:widowControl/>
        <w:spacing w:line="360" w:lineRule="auto"/>
        <w:jc w:val="left"/>
        <w:rPr>
          <w:rFonts w:ascii="宋体" w:hAnsi="宋体"/>
          <w:sz w:val="28"/>
          <w:szCs w:val="28"/>
          <w:highlight w:val="none"/>
        </w:rPr>
      </w:pPr>
      <w:r>
        <w:rPr>
          <w:rFonts w:hint="eastAsia" w:ascii="宋体" w:hAnsi="宋体"/>
          <w:sz w:val="28"/>
          <w:szCs w:val="28"/>
          <w:highlight w:val="none"/>
        </w:rPr>
        <w:t>（以下无正文）</w:t>
      </w:r>
    </w:p>
    <w:p w14:paraId="3E923457">
      <w:pPr>
        <w:spacing w:line="300" w:lineRule="auto"/>
        <w:ind w:firstLine="480"/>
        <w:rPr>
          <w:sz w:val="28"/>
          <w:szCs w:val="28"/>
          <w:highlight w:val="none"/>
        </w:rPr>
      </w:pPr>
    </w:p>
    <w:p w14:paraId="2EB42376">
      <w:pPr>
        <w:rPr>
          <w:sz w:val="28"/>
          <w:szCs w:val="28"/>
          <w:highlight w:val="none"/>
        </w:rPr>
      </w:pPr>
    </w:p>
    <w:p w14:paraId="5DD2C9B2">
      <w:pPr>
        <w:pStyle w:val="12"/>
        <w:rPr>
          <w:sz w:val="28"/>
          <w:szCs w:val="28"/>
          <w:highlight w:val="none"/>
        </w:rPr>
      </w:pPr>
    </w:p>
    <w:p w14:paraId="019C2E30"/>
    <w:p w14:paraId="775EFB2D">
      <w:pPr>
        <w:pStyle w:val="12"/>
      </w:pPr>
    </w:p>
    <w:p w14:paraId="6BB1D566"/>
    <w:p w14:paraId="6233E815">
      <w:pPr>
        <w:pStyle w:val="4"/>
      </w:pPr>
    </w:p>
    <w:p w14:paraId="5318B6A6">
      <w:pPr>
        <w:pStyle w:val="4"/>
      </w:pPr>
    </w:p>
    <w:p w14:paraId="74B2DF73">
      <w:pPr>
        <w:pStyle w:val="4"/>
      </w:pPr>
    </w:p>
    <w:p w14:paraId="36F609A8">
      <w:pPr>
        <w:pStyle w:val="4"/>
      </w:pPr>
    </w:p>
    <w:p w14:paraId="6DE5CBB8">
      <w:pPr>
        <w:pStyle w:val="4"/>
      </w:pPr>
    </w:p>
    <w:p w14:paraId="018C0193">
      <w:pPr>
        <w:pStyle w:val="4"/>
      </w:pPr>
    </w:p>
    <w:p w14:paraId="379D5D2A">
      <w:pPr>
        <w:pStyle w:val="4"/>
      </w:pPr>
    </w:p>
    <w:p w14:paraId="650C441E">
      <w:pPr>
        <w:pStyle w:val="4"/>
      </w:pPr>
    </w:p>
    <w:p w14:paraId="4B60FF94">
      <w:pPr>
        <w:pStyle w:val="4"/>
      </w:pPr>
    </w:p>
    <w:p w14:paraId="2D9AD765">
      <w:pPr>
        <w:pStyle w:val="4"/>
      </w:pPr>
    </w:p>
    <w:p w14:paraId="56FF416C">
      <w:pPr>
        <w:pStyle w:val="4"/>
      </w:pPr>
    </w:p>
    <w:p w14:paraId="75CC80FC">
      <w:pPr>
        <w:pStyle w:val="4"/>
      </w:pPr>
    </w:p>
    <w:p w14:paraId="19786967">
      <w:pPr>
        <w:pStyle w:val="4"/>
      </w:pPr>
    </w:p>
    <w:p w14:paraId="6B52EB12">
      <w:pPr>
        <w:pStyle w:val="4"/>
      </w:pPr>
    </w:p>
    <w:p w14:paraId="37EC477F">
      <w:pPr>
        <w:pStyle w:val="4"/>
      </w:pPr>
    </w:p>
    <w:p w14:paraId="19E4A9E4">
      <w:pPr>
        <w:pStyle w:val="4"/>
      </w:pPr>
    </w:p>
    <w:p w14:paraId="3F552E90">
      <w:pPr>
        <w:pStyle w:val="4"/>
      </w:pPr>
    </w:p>
    <w:p w14:paraId="7C8400EF">
      <w:pPr>
        <w:pStyle w:val="4"/>
      </w:pPr>
    </w:p>
    <w:p w14:paraId="3EE76546">
      <w:pPr>
        <w:pStyle w:val="4"/>
      </w:pPr>
    </w:p>
    <w:p w14:paraId="30414CF7">
      <w:pPr>
        <w:pStyle w:val="4"/>
      </w:pPr>
    </w:p>
    <w:p w14:paraId="11A51925">
      <w:pPr>
        <w:pStyle w:val="4"/>
      </w:pPr>
    </w:p>
    <w:p w14:paraId="1EA65029">
      <w:pPr>
        <w:pStyle w:val="4"/>
      </w:pPr>
    </w:p>
    <w:p w14:paraId="3EA6D375">
      <w:pPr>
        <w:pStyle w:val="4"/>
      </w:pPr>
    </w:p>
    <w:p w14:paraId="26A18594">
      <w:pPr>
        <w:pStyle w:val="12"/>
      </w:pPr>
    </w:p>
    <w:p w14:paraId="136AEEDB"/>
    <w:p w14:paraId="78B29320">
      <w:pPr>
        <w:pStyle w:val="12"/>
      </w:pPr>
    </w:p>
    <w:p w14:paraId="21AEC06E">
      <w:pPr>
        <w:widowControl/>
        <w:spacing w:line="360" w:lineRule="auto"/>
        <w:jc w:val="left"/>
        <w:rPr>
          <w:rFonts w:hint="default" w:ascii="宋体" w:hAnsi="宋体"/>
          <w:sz w:val="28"/>
          <w:szCs w:val="28"/>
          <w:highlight w:val="none"/>
          <w:lang w:val="en-US" w:eastAsia="zh-CN"/>
        </w:rPr>
      </w:pPr>
      <w:r>
        <w:rPr>
          <w:rFonts w:hint="eastAsia" w:ascii="宋体" w:hAnsi="宋体"/>
          <w:sz w:val="28"/>
          <w:szCs w:val="28"/>
          <w:highlight w:val="none"/>
          <w:lang w:eastAsia="zh-CN"/>
        </w:rPr>
        <w:t>（</w:t>
      </w:r>
      <w:r>
        <w:rPr>
          <w:rFonts w:hint="eastAsia" w:ascii="宋体" w:hAnsi="宋体"/>
          <w:sz w:val="28"/>
          <w:szCs w:val="28"/>
          <w:highlight w:val="none"/>
          <w:lang w:val="en-US" w:eastAsia="zh-CN"/>
        </w:rPr>
        <w:t>签署页）</w:t>
      </w:r>
    </w:p>
    <w:p w14:paraId="0F073DD6">
      <w:pPr>
        <w:pStyle w:val="12"/>
        <w:rPr>
          <w:sz w:val="28"/>
          <w:szCs w:val="28"/>
          <w:highlight w:val="none"/>
        </w:rPr>
      </w:pPr>
    </w:p>
    <w:p w14:paraId="354025F1">
      <w:pPr>
        <w:spacing w:line="300" w:lineRule="auto"/>
        <w:ind w:firstLine="480"/>
        <w:rPr>
          <w:sz w:val="28"/>
          <w:szCs w:val="28"/>
          <w:highlight w:val="none"/>
        </w:rPr>
      </w:pPr>
      <w:r>
        <w:rPr>
          <w:rFonts w:hint="eastAsia"/>
          <w:sz w:val="28"/>
          <w:szCs w:val="28"/>
          <w:highlight w:val="none"/>
        </w:rPr>
        <w:t>发包人：</w:t>
      </w:r>
      <w:r>
        <w:rPr>
          <w:rFonts w:hint="eastAsia"/>
          <w:sz w:val="28"/>
          <w:szCs w:val="28"/>
          <w:highlight w:val="none"/>
          <w:lang w:val="en-US" w:eastAsia="zh-CN"/>
        </w:rPr>
        <w:t xml:space="preserve">                     </w:t>
      </w:r>
      <w:r>
        <w:rPr>
          <w:rFonts w:hint="eastAsia"/>
          <w:sz w:val="28"/>
          <w:szCs w:val="28"/>
          <w:highlight w:val="none"/>
        </w:rPr>
        <w:t>（公章或合同专用章）</w:t>
      </w:r>
    </w:p>
    <w:p w14:paraId="05F1D661">
      <w:pPr>
        <w:spacing w:line="300" w:lineRule="auto"/>
        <w:ind w:firstLine="480"/>
        <w:rPr>
          <w:sz w:val="28"/>
          <w:szCs w:val="28"/>
          <w:highlight w:val="none"/>
        </w:rPr>
      </w:pPr>
    </w:p>
    <w:p w14:paraId="2197E241">
      <w:pPr>
        <w:spacing w:line="300" w:lineRule="auto"/>
        <w:ind w:firstLine="480"/>
        <w:rPr>
          <w:sz w:val="28"/>
          <w:szCs w:val="28"/>
          <w:highlight w:val="none"/>
        </w:rPr>
      </w:pPr>
      <w:r>
        <w:rPr>
          <w:rFonts w:hint="eastAsia"/>
          <w:sz w:val="28"/>
          <w:szCs w:val="28"/>
          <w:highlight w:val="none"/>
        </w:rPr>
        <w:t>法定代表人或其授权代表（签字）：</w:t>
      </w:r>
    </w:p>
    <w:p w14:paraId="5B3DD1B4">
      <w:pPr>
        <w:spacing w:line="300" w:lineRule="auto"/>
        <w:ind w:firstLine="480"/>
        <w:rPr>
          <w:sz w:val="28"/>
          <w:szCs w:val="28"/>
          <w:highlight w:val="none"/>
        </w:rPr>
      </w:pPr>
    </w:p>
    <w:p w14:paraId="0A624B0B">
      <w:pPr>
        <w:spacing w:line="300" w:lineRule="auto"/>
        <w:ind w:firstLine="480"/>
        <w:rPr>
          <w:sz w:val="28"/>
          <w:szCs w:val="28"/>
          <w:highlight w:val="none"/>
        </w:rPr>
      </w:pPr>
      <w:r>
        <w:rPr>
          <w:rFonts w:hint="eastAsia"/>
          <w:sz w:val="28"/>
          <w:szCs w:val="28"/>
          <w:highlight w:val="none"/>
        </w:rPr>
        <w:t>日</w:t>
      </w:r>
      <w:r>
        <w:rPr>
          <w:sz w:val="28"/>
          <w:szCs w:val="28"/>
          <w:highlight w:val="none"/>
        </w:rPr>
        <w:t xml:space="preserve">  </w:t>
      </w:r>
      <w:r>
        <w:rPr>
          <w:rFonts w:hint="eastAsia"/>
          <w:sz w:val="28"/>
          <w:szCs w:val="28"/>
          <w:highlight w:val="none"/>
        </w:rPr>
        <w:t>期：</w:t>
      </w:r>
    </w:p>
    <w:p w14:paraId="723BD750">
      <w:pPr>
        <w:spacing w:line="300" w:lineRule="auto"/>
        <w:ind w:firstLine="480"/>
        <w:rPr>
          <w:sz w:val="28"/>
          <w:szCs w:val="28"/>
          <w:highlight w:val="none"/>
        </w:rPr>
      </w:pPr>
    </w:p>
    <w:p w14:paraId="585DC22C">
      <w:pPr>
        <w:spacing w:line="300" w:lineRule="auto"/>
        <w:ind w:firstLine="480"/>
        <w:rPr>
          <w:sz w:val="28"/>
          <w:szCs w:val="28"/>
          <w:highlight w:val="none"/>
        </w:rPr>
      </w:pPr>
    </w:p>
    <w:p w14:paraId="18CE7F14">
      <w:pPr>
        <w:spacing w:line="300" w:lineRule="auto"/>
        <w:ind w:firstLine="480"/>
        <w:rPr>
          <w:sz w:val="28"/>
          <w:szCs w:val="28"/>
          <w:highlight w:val="none"/>
        </w:rPr>
      </w:pPr>
      <w:r>
        <w:rPr>
          <w:rFonts w:hint="eastAsia"/>
          <w:sz w:val="28"/>
          <w:szCs w:val="28"/>
          <w:highlight w:val="none"/>
        </w:rPr>
        <w:t>承包人：</w:t>
      </w:r>
      <w:r>
        <w:rPr>
          <w:rFonts w:hint="eastAsia"/>
          <w:sz w:val="28"/>
          <w:szCs w:val="28"/>
          <w:highlight w:val="none"/>
          <w:lang w:val="en-US" w:eastAsia="zh-CN"/>
        </w:rPr>
        <w:t xml:space="preserve">            </w:t>
      </w:r>
      <w:r>
        <w:rPr>
          <w:sz w:val="28"/>
          <w:szCs w:val="28"/>
          <w:highlight w:val="none"/>
        </w:rPr>
        <w:t xml:space="preserve"> </w:t>
      </w:r>
      <w:r>
        <w:rPr>
          <w:rFonts w:hint="eastAsia"/>
          <w:sz w:val="28"/>
          <w:szCs w:val="28"/>
          <w:highlight w:val="none"/>
        </w:rPr>
        <w:t>（公章或合同专用章）</w:t>
      </w:r>
    </w:p>
    <w:p w14:paraId="6AB91779">
      <w:pPr>
        <w:spacing w:line="300" w:lineRule="auto"/>
        <w:ind w:firstLine="480"/>
        <w:rPr>
          <w:sz w:val="28"/>
          <w:szCs w:val="28"/>
          <w:highlight w:val="none"/>
        </w:rPr>
      </w:pPr>
    </w:p>
    <w:p w14:paraId="414DF373">
      <w:pPr>
        <w:spacing w:line="300" w:lineRule="auto"/>
        <w:ind w:firstLine="480"/>
        <w:rPr>
          <w:sz w:val="28"/>
          <w:szCs w:val="28"/>
          <w:highlight w:val="none"/>
        </w:rPr>
      </w:pPr>
      <w:r>
        <w:rPr>
          <w:rFonts w:hint="eastAsia"/>
          <w:sz w:val="28"/>
          <w:szCs w:val="28"/>
          <w:highlight w:val="none"/>
        </w:rPr>
        <w:t>法定代表人或其授权代表（签字）：</w:t>
      </w:r>
    </w:p>
    <w:p w14:paraId="456AD51A">
      <w:pPr>
        <w:spacing w:line="300" w:lineRule="auto"/>
        <w:ind w:firstLine="480"/>
        <w:rPr>
          <w:sz w:val="28"/>
          <w:szCs w:val="28"/>
          <w:highlight w:val="none"/>
        </w:rPr>
      </w:pPr>
    </w:p>
    <w:p w14:paraId="3F9E38FA">
      <w:pPr>
        <w:spacing w:line="300" w:lineRule="auto"/>
        <w:ind w:firstLine="480"/>
        <w:rPr>
          <w:sz w:val="28"/>
          <w:szCs w:val="28"/>
          <w:highlight w:val="none"/>
        </w:rPr>
      </w:pPr>
      <w:r>
        <w:rPr>
          <w:rFonts w:hint="eastAsia"/>
          <w:sz w:val="28"/>
          <w:szCs w:val="28"/>
          <w:highlight w:val="none"/>
        </w:rPr>
        <w:t>日</w:t>
      </w:r>
      <w:r>
        <w:rPr>
          <w:sz w:val="28"/>
          <w:szCs w:val="28"/>
          <w:highlight w:val="none"/>
        </w:rPr>
        <w:t xml:space="preserve"> </w:t>
      </w:r>
      <w:r>
        <w:rPr>
          <w:rFonts w:hint="eastAsia"/>
          <w:sz w:val="28"/>
          <w:szCs w:val="28"/>
          <w:highlight w:val="none"/>
        </w:rPr>
        <w:t>期：</w:t>
      </w:r>
    </w:p>
    <w:p w14:paraId="2CB5D77B">
      <w:pPr>
        <w:spacing w:line="300" w:lineRule="auto"/>
        <w:ind w:firstLine="480"/>
        <w:rPr>
          <w:rFonts w:hint="eastAsia"/>
          <w:sz w:val="28"/>
          <w:szCs w:val="28"/>
          <w:highlight w:val="none"/>
        </w:rPr>
      </w:pPr>
    </w:p>
    <w:p w14:paraId="4C8CE0DB">
      <w:pPr>
        <w:pStyle w:val="12"/>
        <w:rPr>
          <w:rFonts w:hint="eastAsia"/>
          <w:sz w:val="28"/>
          <w:szCs w:val="28"/>
          <w:highlight w:val="none"/>
        </w:rPr>
      </w:pPr>
    </w:p>
    <w:p w14:paraId="75FF4C70">
      <w:pPr>
        <w:rPr>
          <w:rFonts w:hint="eastAsia"/>
          <w:sz w:val="28"/>
          <w:szCs w:val="28"/>
          <w:highlight w:val="none"/>
        </w:rPr>
      </w:pPr>
    </w:p>
    <w:p w14:paraId="3B947F40">
      <w:pPr>
        <w:pStyle w:val="12"/>
        <w:rPr>
          <w:rFonts w:hint="eastAsia"/>
          <w:sz w:val="28"/>
          <w:szCs w:val="28"/>
          <w:highlight w:val="none"/>
        </w:rPr>
      </w:pPr>
    </w:p>
    <w:p w14:paraId="192D810A">
      <w:pPr>
        <w:pStyle w:val="12"/>
        <w:rPr>
          <w:rFonts w:hint="eastAsia" w:ascii="仿宋" w:hAnsi="仿宋" w:eastAsia="仿宋" w:cs="仿宋"/>
          <w:b/>
          <w:color w:val="000000"/>
          <w:kern w:val="0"/>
          <w:sz w:val="28"/>
          <w:szCs w:val="28"/>
          <w:lang w:eastAsia="zh-CN" w:bidi="ar"/>
        </w:rPr>
      </w:pPr>
    </w:p>
    <w:p w14:paraId="214327D9">
      <w:pPr>
        <w:pStyle w:val="12"/>
        <w:rPr>
          <w:rFonts w:hint="eastAsia" w:ascii="仿宋" w:hAnsi="仿宋" w:eastAsia="仿宋" w:cs="仿宋"/>
          <w:b/>
          <w:color w:val="000000"/>
          <w:kern w:val="0"/>
          <w:sz w:val="28"/>
          <w:szCs w:val="28"/>
          <w:lang w:eastAsia="zh-CN" w:bidi="ar"/>
        </w:rPr>
      </w:pPr>
    </w:p>
    <w:p w14:paraId="406F8772">
      <w:pPr>
        <w:pStyle w:val="12"/>
        <w:rPr>
          <w:rFonts w:hint="eastAsia" w:ascii="仿宋" w:hAnsi="仿宋" w:eastAsia="仿宋" w:cs="仿宋"/>
          <w:b/>
          <w:color w:val="000000"/>
          <w:kern w:val="0"/>
          <w:sz w:val="28"/>
          <w:szCs w:val="28"/>
          <w:lang w:eastAsia="zh-CN" w:bidi="ar"/>
        </w:rPr>
      </w:pPr>
    </w:p>
    <w:p w14:paraId="2A35640F">
      <w:pPr>
        <w:pStyle w:val="12"/>
        <w:rPr>
          <w:rFonts w:hint="eastAsia" w:ascii="仿宋" w:hAnsi="仿宋" w:eastAsia="仿宋" w:cs="仿宋"/>
          <w:b/>
          <w:color w:val="000000"/>
          <w:kern w:val="0"/>
          <w:sz w:val="28"/>
          <w:szCs w:val="28"/>
          <w:lang w:eastAsia="zh-CN" w:bidi="ar"/>
        </w:rPr>
      </w:pPr>
    </w:p>
    <w:p w14:paraId="1D9EE7FA">
      <w:pPr>
        <w:pStyle w:val="12"/>
        <w:rPr>
          <w:rFonts w:hint="eastAsia" w:ascii="仿宋" w:hAnsi="仿宋" w:eastAsia="仿宋" w:cs="仿宋"/>
          <w:b/>
          <w:color w:val="000000"/>
          <w:kern w:val="0"/>
          <w:sz w:val="28"/>
          <w:szCs w:val="28"/>
          <w:lang w:eastAsia="zh-CN" w:bidi="ar"/>
        </w:rPr>
      </w:pPr>
    </w:p>
    <w:p w14:paraId="41F1B185">
      <w:pPr>
        <w:pStyle w:val="12"/>
        <w:rPr>
          <w:rFonts w:hint="default" w:eastAsia="仿宋"/>
          <w:lang w:val="en-US" w:eastAsia="zh-CN"/>
        </w:rPr>
      </w:pPr>
      <w:r>
        <w:rPr>
          <w:rFonts w:hint="eastAsia" w:ascii="仿宋" w:hAnsi="仿宋" w:eastAsia="仿宋" w:cs="仿宋"/>
          <w:b/>
          <w:color w:val="000000"/>
          <w:kern w:val="0"/>
          <w:sz w:val="28"/>
          <w:szCs w:val="28"/>
          <w:lang w:eastAsia="zh-CN" w:bidi="ar"/>
        </w:rPr>
        <w:t>附件</w:t>
      </w:r>
      <w:r>
        <w:rPr>
          <w:rFonts w:hint="eastAsia" w:ascii="仿宋" w:hAnsi="仿宋" w:eastAsia="仿宋" w:cs="仿宋"/>
          <w:b/>
          <w:color w:val="000000"/>
          <w:kern w:val="0"/>
          <w:sz w:val="28"/>
          <w:szCs w:val="28"/>
          <w:lang w:val="en-US" w:eastAsia="zh-CN" w:bidi="ar"/>
        </w:rPr>
        <w:t>1：价格表</w:t>
      </w:r>
    </w:p>
    <w:p w14:paraId="7C7B32C9">
      <w:pPr>
        <w:spacing w:line="300" w:lineRule="auto"/>
        <w:ind w:firstLine="480"/>
        <w:rPr>
          <w:sz w:val="28"/>
          <w:szCs w:val="28"/>
          <w:highlight w:val="none"/>
        </w:rPr>
        <w:sectPr>
          <w:footerReference r:id="rId3" w:type="default"/>
          <w:pgSz w:w="12240" w:h="15840"/>
          <w:pgMar w:top="1440" w:right="1467" w:bottom="1440" w:left="1797" w:header="720" w:footer="720" w:gutter="0"/>
          <w:pgNumType w:fmt="decimal"/>
          <w:cols w:space="720" w:num="1"/>
          <w:docGrid w:type="lines" w:linePitch="286" w:charSpace="0"/>
        </w:sectPr>
      </w:pPr>
    </w:p>
    <w:p w14:paraId="6414B04B">
      <w:pPr>
        <w:pStyle w:val="12"/>
        <w:ind w:left="0" w:leftChars="0" w:firstLine="0" w:firstLineChars="0"/>
        <w:rPr>
          <w:rFonts w:hint="default" w:eastAsia="仿宋"/>
          <w:lang w:val="en-US" w:eastAsia="zh-CN"/>
        </w:rPr>
      </w:pPr>
      <w:r>
        <w:rPr>
          <w:rFonts w:hint="eastAsia" w:ascii="仿宋" w:hAnsi="仿宋" w:eastAsia="仿宋" w:cs="仿宋"/>
          <w:b/>
          <w:color w:val="000000"/>
          <w:kern w:val="0"/>
          <w:sz w:val="28"/>
          <w:szCs w:val="28"/>
          <w:lang w:eastAsia="zh-CN" w:bidi="ar"/>
        </w:rPr>
        <w:t>附件</w:t>
      </w:r>
      <w:r>
        <w:rPr>
          <w:rFonts w:hint="eastAsia" w:ascii="仿宋" w:hAnsi="仿宋" w:eastAsia="仿宋" w:cs="仿宋"/>
          <w:b/>
          <w:color w:val="000000"/>
          <w:kern w:val="0"/>
          <w:sz w:val="28"/>
          <w:szCs w:val="28"/>
          <w:lang w:val="en-US" w:eastAsia="zh-CN" w:bidi="ar"/>
        </w:rPr>
        <w:t>2：廉洁协议</w:t>
      </w:r>
    </w:p>
    <w:p w14:paraId="5B6EE1A5"/>
    <w:p w14:paraId="6A140F91">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28"/>
          <w:szCs w:val="28"/>
          <w:lang w:val="en-US" w:eastAsia="zh-CN"/>
        </w:rPr>
      </w:pPr>
      <w:r>
        <w:rPr>
          <w:rFonts w:hint="eastAsia" w:ascii="方正小标宋_GBK" w:hAnsi="方正小标宋_GBK" w:eastAsia="方正小标宋_GBK" w:cs="方正小标宋_GBK"/>
          <w:b w:val="0"/>
          <w:bCs w:val="0"/>
          <w:kern w:val="0"/>
          <w:sz w:val="28"/>
          <w:szCs w:val="28"/>
          <w:lang w:val="en-US" w:eastAsia="zh-CN"/>
        </w:rPr>
        <w:t>廉洁协议</w:t>
      </w:r>
    </w:p>
    <w:p w14:paraId="29910DE0">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6F22069A">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4913"/>
          <w:placeholder>
            <w:docPart w:val="{d5111fb5-2534-4085-9960-aee394bd6985}"/>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14:paraId="53149BAF">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72829"/>
          <w:placeholder>
            <w:docPart w:val="{9be48b2a-600d-458f-89a7-bb5d9dbaa466}"/>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79754D4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17F57EE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65952"/>
          <w:placeholder>
            <w:docPart w:val="{1bce8ca7-64c5-4c9c-9955-0da02980eaad}"/>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017C0C0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357A194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634461B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27DB555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纪检监督部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6"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6"/>
      <w:r>
        <w:rPr>
          <w:rFonts w:hint="eastAsia" w:ascii="仿宋_GB2312" w:hAnsi="仿宋_GB2312" w:eastAsia="仿宋_GB2312" w:cs="仿宋_GB2312"/>
          <w:color w:val="auto"/>
          <w:sz w:val="28"/>
          <w:szCs w:val="28"/>
        </w:rPr>
        <w:t>；举报电话：</w:t>
      </w:r>
      <w:permStart w:id="7"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7"/>
      <w:r>
        <w:rPr>
          <w:rFonts w:hint="eastAsia" w:ascii="仿宋_GB2312" w:hAnsi="仿宋_GB2312" w:eastAsia="仿宋_GB2312" w:cs="仿宋_GB2312"/>
          <w:color w:val="auto"/>
          <w:sz w:val="28"/>
          <w:szCs w:val="28"/>
        </w:rPr>
        <w:t>。</w:t>
      </w:r>
    </w:p>
    <w:p w14:paraId="143E7CF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3B22507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F828B9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734D18B0">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500F2AF1">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0D0DA782">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32935329">
      <w:pPr>
        <w:pStyle w:val="3"/>
        <w:rPr>
          <w:rFonts w:hint="eastAsia"/>
        </w:rPr>
      </w:pPr>
    </w:p>
    <w:p w14:paraId="20FC7881">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53709"/>
          <w:placeholder>
            <w:docPart w:val="{587104a9-b8ff-4f99-93b2-6bdc4a27d210}"/>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28"/>
              <w:szCs w:val="28"/>
              <w:u w:val="single"/>
              <w:lang w:val="en-US" w:eastAsia="zh-CN"/>
            </w:rPr>
            <w:t xml:space="preserve">      </w:t>
          </w:r>
          <w:permEnd w:id="8"/>
        </w:sdtContent>
      </w:sdt>
    </w:p>
    <w:p w14:paraId="265EDCDD">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2340FD5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63D13130">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0B3F59BC">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394E6E81">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53643"/>
          <w:placeholder>
            <w:docPart w:val="{99ea2f05-613c-48df-8fe4-16ed87e6cf01}"/>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9" w:edGrp="everyone"/>
          <w:r>
            <w:rPr>
              <w:rFonts w:hint="eastAsia" w:ascii="仿宋_GB2312" w:hAnsi="仿宋_GB2312" w:eastAsia="仿宋_GB2312" w:cs="仿宋_GB2312"/>
              <w:color w:val="auto"/>
              <w:sz w:val="28"/>
              <w:szCs w:val="28"/>
              <w:u w:val="single"/>
              <w:lang w:val="en-US" w:eastAsia="zh-CN"/>
            </w:rPr>
            <w:t xml:space="preserve">      </w:t>
          </w:r>
          <w:permEnd w:id="9"/>
        </w:sdtContent>
      </w:sdt>
    </w:p>
    <w:p w14:paraId="112B5EF1">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041C1070">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583D71EA">
      <w:pPr>
        <w:spacing w:line="300" w:lineRule="auto"/>
        <w:ind w:left="637" w:leftChars="1" w:hanging="635" w:hangingChars="227"/>
        <w:rPr>
          <w:rFonts w:ascii="宋体" w:hAnsi="宋体"/>
          <w:sz w:val="28"/>
          <w:szCs w:val="28"/>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3986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A1D16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A1D164">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BF43CB"/>
    <w:multiLevelType w:val="singleLevel"/>
    <w:tmpl w:val="2BBF43C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45071D1B"/>
    <w:rsid w:val="000246BC"/>
    <w:rsid w:val="0016798C"/>
    <w:rsid w:val="003A55FC"/>
    <w:rsid w:val="003D794A"/>
    <w:rsid w:val="0047273B"/>
    <w:rsid w:val="00522B28"/>
    <w:rsid w:val="005447AB"/>
    <w:rsid w:val="0058731E"/>
    <w:rsid w:val="0063304A"/>
    <w:rsid w:val="00696CFA"/>
    <w:rsid w:val="006C7AA1"/>
    <w:rsid w:val="006E3FC5"/>
    <w:rsid w:val="00707088"/>
    <w:rsid w:val="00792FBC"/>
    <w:rsid w:val="007D5F49"/>
    <w:rsid w:val="008A27A0"/>
    <w:rsid w:val="008B4E0E"/>
    <w:rsid w:val="009074ED"/>
    <w:rsid w:val="009337EF"/>
    <w:rsid w:val="009623A0"/>
    <w:rsid w:val="00A77042"/>
    <w:rsid w:val="00AC58B8"/>
    <w:rsid w:val="00B562FA"/>
    <w:rsid w:val="00D14591"/>
    <w:rsid w:val="00D235A0"/>
    <w:rsid w:val="00DC7B4B"/>
    <w:rsid w:val="00DC7C63"/>
    <w:rsid w:val="00E60EA6"/>
    <w:rsid w:val="00E86E49"/>
    <w:rsid w:val="00EB4C4F"/>
    <w:rsid w:val="00EE358B"/>
    <w:rsid w:val="00F01D9E"/>
    <w:rsid w:val="00F169EE"/>
    <w:rsid w:val="01DA1F61"/>
    <w:rsid w:val="01E34782"/>
    <w:rsid w:val="058F7694"/>
    <w:rsid w:val="08712680"/>
    <w:rsid w:val="088612AD"/>
    <w:rsid w:val="0A8E762E"/>
    <w:rsid w:val="0A990D93"/>
    <w:rsid w:val="0AC364D5"/>
    <w:rsid w:val="0B416961"/>
    <w:rsid w:val="0C466F81"/>
    <w:rsid w:val="0EBF33B8"/>
    <w:rsid w:val="0F2F2732"/>
    <w:rsid w:val="11412EAA"/>
    <w:rsid w:val="11697C08"/>
    <w:rsid w:val="14553FD7"/>
    <w:rsid w:val="1A631C47"/>
    <w:rsid w:val="1DC36CC4"/>
    <w:rsid w:val="1EDD55ED"/>
    <w:rsid w:val="23C96950"/>
    <w:rsid w:val="23F10CB6"/>
    <w:rsid w:val="26C80360"/>
    <w:rsid w:val="281D0DB5"/>
    <w:rsid w:val="28B12FEC"/>
    <w:rsid w:val="2BDC19CD"/>
    <w:rsid w:val="2D8B4F8C"/>
    <w:rsid w:val="2E9A2E6B"/>
    <w:rsid w:val="3022739B"/>
    <w:rsid w:val="30302C60"/>
    <w:rsid w:val="332F2969"/>
    <w:rsid w:val="3390115D"/>
    <w:rsid w:val="39220CB8"/>
    <w:rsid w:val="3C316410"/>
    <w:rsid w:val="3D581EA9"/>
    <w:rsid w:val="3E0D3C28"/>
    <w:rsid w:val="3E963675"/>
    <w:rsid w:val="3F186437"/>
    <w:rsid w:val="45071D1B"/>
    <w:rsid w:val="47C348C1"/>
    <w:rsid w:val="4B7C1152"/>
    <w:rsid w:val="4BB44F9A"/>
    <w:rsid w:val="4EE607C5"/>
    <w:rsid w:val="548F081B"/>
    <w:rsid w:val="56581773"/>
    <w:rsid w:val="5A41082A"/>
    <w:rsid w:val="5AB43AE2"/>
    <w:rsid w:val="5E4C523F"/>
    <w:rsid w:val="62031216"/>
    <w:rsid w:val="626F36B1"/>
    <w:rsid w:val="63C83310"/>
    <w:rsid w:val="64D35DA0"/>
    <w:rsid w:val="656D7E24"/>
    <w:rsid w:val="67AF3D8D"/>
    <w:rsid w:val="6AC03372"/>
    <w:rsid w:val="6B4C4660"/>
    <w:rsid w:val="6D9E1BEA"/>
    <w:rsid w:val="70192807"/>
    <w:rsid w:val="70797474"/>
    <w:rsid w:val="71C35BB0"/>
    <w:rsid w:val="767E2D11"/>
    <w:rsid w:val="79ED0092"/>
    <w:rsid w:val="7C9B5094"/>
    <w:rsid w:val="7F987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kern w:val="0"/>
      <w:sz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Indent"/>
    <w:basedOn w:val="1"/>
    <w:qFormat/>
    <w:uiPriority w:val="0"/>
    <w:pPr>
      <w:ind w:firstLine="640" w:firstLineChars="200"/>
    </w:pPr>
    <w:rPr>
      <w:sz w:val="32"/>
    </w:rPr>
  </w:style>
  <w:style w:type="paragraph" w:styleId="7">
    <w:name w:val="Date"/>
    <w:basedOn w:val="1"/>
    <w:next w:val="1"/>
    <w:qFormat/>
    <w:uiPriority w:val="99"/>
    <w:pPr>
      <w:ind w:left="100" w:leftChars="2500"/>
    </w:pPr>
  </w:style>
  <w:style w:type="paragraph" w:styleId="8">
    <w:name w:val="Body Text Indent 2"/>
    <w:basedOn w:val="1"/>
    <w:qFormat/>
    <w:uiPriority w:val="0"/>
    <w:pPr>
      <w:ind w:firstLine="560" w:firstLineChars="200"/>
    </w:pPr>
    <w:rPr>
      <w:sz w:val="28"/>
      <w:szCs w:val="20"/>
    </w:rPr>
  </w:style>
  <w:style w:type="paragraph" w:styleId="9">
    <w:name w:val="Balloon Text"/>
    <w:basedOn w:val="1"/>
    <w:link w:val="16"/>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First Indent"/>
    <w:basedOn w:val="2"/>
    <w:next w:val="1"/>
    <w:qFormat/>
    <w:uiPriority w:val="0"/>
    <w:pPr>
      <w:adjustRightInd w:val="0"/>
      <w:snapToGrid w:val="0"/>
      <w:ind w:firstLine="420"/>
    </w:pPr>
    <w:rPr>
      <w:sz w:val="24"/>
      <w:szCs w:val="20"/>
    </w:rPr>
  </w:style>
  <w:style w:type="paragraph" w:customStyle="1" w:styleId="15">
    <w:name w:val="首行缩进"/>
    <w:basedOn w:val="1"/>
    <w:qFormat/>
    <w:uiPriority w:val="0"/>
    <w:pPr>
      <w:ind w:firstLine="480" w:firstLineChars="200"/>
    </w:pPr>
    <w:rPr>
      <w:lang w:val="zh-CN"/>
    </w:rPr>
  </w:style>
  <w:style w:type="character" w:customStyle="1" w:styleId="16">
    <w:name w:val="批注框文本 Char"/>
    <w:basedOn w:val="14"/>
    <w:link w:val="9"/>
    <w:qFormat/>
    <w:uiPriority w:val="0"/>
    <w:rPr>
      <w:kern w:val="2"/>
      <w:sz w:val="18"/>
      <w:szCs w:val="18"/>
    </w:rPr>
  </w:style>
  <w:style w:type="paragraph" w:customStyle="1" w:styleId="17">
    <w:name w:val="CentralAlignment"/>
    <w:basedOn w:val="18"/>
    <w:next w:val="1"/>
    <w:qFormat/>
    <w:uiPriority w:val="0"/>
    <w:pPr>
      <w:jc w:val="center"/>
    </w:pPr>
    <w:rPr>
      <w:b/>
      <w:szCs w:val="20"/>
    </w:rPr>
  </w:style>
  <w:style w:type="paragraph" w:styleId="18">
    <w:name w:val="No Spacing"/>
    <w:qFormat/>
    <w:uiPriority w:val="0"/>
    <w:pPr>
      <w:spacing w:line="360" w:lineRule="auto"/>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bce8ca7-64c5-4c9c-9955-0da02980eaad}"/>
        <w:style w:val=""/>
        <w:category>
          <w:name w:val="常规"/>
          <w:gallery w:val="placeholder"/>
        </w:category>
        <w:types>
          <w:type w:val="bbPlcHdr"/>
        </w:types>
        <w:behaviors>
          <w:behavior w:val="content"/>
        </w:behaviors>
        <w:description w:val=""/>
        <w:guid w:val="{1bce8ca7-64c5-4c9c-9955-0da02980eaad}"/>
      </w:docPartPr>
      <w:docPartBody>
        <w:p w14:paraId="705BDDBF">
          <w:r>
            <w:rPr>
              <w:color w:val="808080"/>
            </w:rPr>
            <w:t>单击此处输入文字。</w:t>
          </w:r>
        </w:p>
      </w:docPartBody>
    </w:docPart>
    <w:docPart>
      <w:docPartPr>
        <w:name w:val="{d5111fb5-2534-4085-9960-aee394bd6985}"/>
        <w:style w:val=""/>
        <w:category>
          <w:name w:val="常规"/>
          <w:gallery w:val="placeholder"/>
        </w:category>
        <w:types>
          <w:type w:val="bbPlcHdr"/>
        </w:types>
        <w:behaviors>
          <w:behavior w:val="content"/>
        </w:behaviors>
        <w:description w:val=""/>
        <w:guid w:val="{d5111fb5-2534-4085-9960-aee394bd6985}"/>
      </w:docPartPr>
      <w:docPartBody>
        <w:p w14:paraId="0C7FBEBD">
          <w:r>
            <w:rPr>
              <w:color w:val="808080"/>
            </w:rPr>
            <w:t>单击此处输入文字。</w:t>
          </w:r>
        </w:p>
      </w:docPartBody>
    </w:docPart>
    <w:docPart>
      <w:docPartPr>
        <w:name w:val="{9be48b2a-600d-458f-89a7-bb5d9dbaa466}"/>
        <w:style w:val=""/>
        <w:category>
          <w:name w:val="常规"/>
          <w:gallery w:val="placeholder"/>
        </w:category>
        <w:types>
          <w:type w:val="bbPlcHdr"/>
        </w:types>
        <w:behaviors>
          <w:behavior w:val="content"/>
        </w:behaviors>
        <w:description w:val=""/>
        <w:guid w:val="{9be48b2a-600d-458f-89a7-bb5d9dbaa466}"/>
      </w:docPartPr>
      <w:docPartBody>
        <w:p w14:paraId="434DE520">
          <w:r>
            <w:rPr>
              <w:color w:val="808080"/>
            </w:rPr>
            <w:t>单击此处输入文字。</w:t>
          </w:r>
        </w:p>
      </w:docPartBody>
    </w:docPart>
    <w:docPart>
      <w:docPartPr>
        <w:name w:val="{587104a9-b8ff-4f99-93b2-6bdc4a27d210}"/>
        <w:style w:val=""/>
        <w:category>
          <w:name w:val="常规"/>
          <w:gallery w:val="placeholder"/>
        </w:category>
        <w:types>
          <w:type w:val="bbPlcHdr"/>
        </w:types>
        <w:behaviors>
          <w:behavior w:val="content"/>
        </w:behaviors>
        <w:description w:val=""/>
        <w:guid w:val="{587104a9-b8ff-4f99-93b2-6bdc4a27d210}"/>
      </w:docPartPr>
      <w:docPartBody>
        <w:p w14:paraId="6DF202B7">
          <w:r>
            <w:rPr>
              <w:color w:val="808080"/>
            </w:rPr>
            <w:t>单击此处输入文字。</w:t>
          </w:r>
        </w:p>
      </w:docPartBody>
    </w:docPart>
    <w:docPart>
      <w:docPartPr>
        <w:name w:val="{99ea2f05-613c-48df-8fe4-16ed87e6cf01}"/>
        <w:style w:val=""/>
        <w:category>
          <w:name w:val="常规"/>
          <w:gallery w:val="placeholder"/>
        </w:category>
        <w:types>
          <w:type w:val="bbPlcHdr"/>
        </w:types>
        <w:behaviors>
          <w:behavior w:val="content"/>
        </w:behaviors>
        <w:description w:val=""/>
        <w:guid w:val="{99ea2f05-613c-48df-8fe4-16ed87e6cf01}"/>
      </w:docPartPr>
      <w:docPartBody>
        <w:p w14:paraId="1552B6F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8167</Words>
  <Characters>8249</Characters>
  <Lines>51</Lines>
  <Paragraphs>14</Paragraphs>
  <TotalTime>1</TotalTime>
  <ScaleCrop>false</ScaleCrop>
  <LinksUpToDate>false</LinksUpToDate>
  <CharactersWithSpaces>8594</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2021-05-14T10:40:00Z</dcterms:created>
  <dc:creator>HUAWEI</dc:creator>
  <cp:lastModifiedBy>lengchi</cp:lastModifiedBy>
  <dcterms:modified xsi:type="dcterms:W3CDTF">2025-09-09T06:55:38Z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A66F3E5B4D744537B10AA9AA2B07068E</vt:lpwstr>
  </property>
  <property fmtid="{D5CDD505-2E9C-101B-9397-08002B2CF9AE}" pid="4" name="KSOTemplateDocerSaveRecord">
    <vt:lpwstr>eyJoZGlkIjoiYjY0M2I5YmRiYmIxNTgwN2JjMTZmMjI3ZjlkYmZlY2UiLCJ1c2VySWQiOiIzMjMzNDMwMDgifQ==</vt:lpwstr>
  </property>
</Properties>
</file>