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EE325">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33ACF6E2">
      <w:pPr>
        <w:spacing w:line="200" w:lineRule="exact"/>
      </w:pPr>
    </w:p>
    <w:p w14:paraId="0D87FA12">
      <w:pPr>
        <w:spacing w:line="200" w:lineRule="exact"/>
      </w:pPr>
    </w:p>
    <w:p w14:paraId="34914055">
      <w:pPr>
        <w:spacing w:line="200" w:lineRule="exact"/>
      </w:pPr>
    </w:p>
    <w:p w14:paraId="435DD4C5">
      <w:pPr>
        <w:spacing w:line="200" w:lineRule="exact"/>
      </w:pPr>
    </w:p>
    <w:p w14:paraId="01B865E2">
      <w:pPr>
        <w:spacing w:line="200" w:lineRule="exact"/>
      </w:pPr>
    </w:p>
    <w:p w14:paraId="1A293A30">
      <w:pPr>
        <w:spacing w:line="200" w:lineRule="exact"/>
      </w:pPr>
    </w:p>
    <w:p w14:paraId="3AAA07ED">
      <w:pPr>
        <w:spacing w:line="200" w:lineRule="exact"/>
      </w:pPr>
    </w:p>
    <w:p w14:paraId="27FEDA54">
      <w:pPr>
        <w:spacing w:line="200" w:lineRule="exact"/>
      </w:pPr>
    </w:p>
    <w:p w14:paraId="770A8A13">
      <w:pPr>
        <w:spacing w:line="200" w:lineRule="exact"/>
      </w:pPr>
    </w:p>
    <w:p w14:paraId="6A5FF8A1">
      <w:pPr>
        <w:spacing w:line="200" w:lineRule="exact"/>
      </w:pPr>
    </w:p>
    <w:p w14:paraId="7ED230E5">
      <w:pPr>
        <w:spacing w:line="200" w:lineRule="exact"/>
      </w:pPr>
    </w:p>
    <w:p w14:paraId="60AABD6C">
      <w:pPr>
        <w:spacing w:line="200" w:lineRule="exact"/>
      </w:pPr>
    </w:p>
    <w:p w14:paraId="1131B85F">
      <w:pPr>
        <w:spacing w:line="200" w:lineRule="exact"/>
      </w:pPr>
    </w:p>
    <w:p w14:paraId="3B7AC9B6">
      <w:pPr>
        <w:spacing w:line="200" w:lineRule="exact"/>
      </w:pPr>
    </w:p>
    <w:p w14:paraId="7099239B">
      <w:pPr>
        <w:spacing w:line="200" w:lineRule="exact"/>
      </w:pPr>
    </w:p>
    <w:p w14:paraId="3DF7DF01">
      <w:pPr>
        <w:spacing w:line="209" w:lineRule="exact"/>
      </w:pPr>
    </w:p>
    <w:p w14:paraId="7C9B7F59">
      <w:pPr>
        <w:spacing w:line="751" w:lineRule="exact"/>
        <w:jc w:val="center"/>
        <w:rPr>
          <w:rFonts w:ascii="黑体" w:hAnsi="黑体" w:eastAsia="黑体" w:cs="黑体"/>
          <w:color w:val="000036"/>
          <w:w w:val="90"/>
          <w:sz w:val="52"/>
          <w:szCs w:val="52"/>
          <w:lang w:eastAsia="zh-CN"/>
        </w:rPr>
      </w:pPr>
      <w:r>
        <w:rPr>
          <w:rFonts w:hint="eastAsia" w:ascii="黑体" w:hAnsi="黑体" w:eastAsia="黑体" w:cs="黑体"/>
          <w:color w:val="000036"/>
          <w:w w:val="90"/>
          <w:sz w:val="52"/>
          <w:szCs w:val="52"/>
          <w:lang w:eastAsia="zh-CN"/>
        </w:rPr>
        <w:t>南方电网贵州电动汽车服务有限公司</w:t>
      </w:r>
    </w:p>
    <w:p w14:paraId="69330034">
      <w:pPr>
        <w:spacing w:line="751" w:lineRule="exact"/>
        <w:jc w:val="center"/>
        <w:rPr>
          <w:w w:val="90"/>
          <w:sz w:val="20"/>
          <w:szCs w:val="20"/>
          <w:lang w:eastAsia="zh-CN"/>
        </w:rPr>
      </w:pPr>
      <w:r>
        <w:rPr>
          <w:rFonts w:hint="eastAsia" w:ascii="黑体" w:hAnsi="黑体" w:eastAsia="黑体" w:cs="黑体"/>
          <w:color w:val="000036"/>
          <w:w w:val="90"/>
          <w:sz w:val="52"/>
          <w:szCs w:val="52"/>
          <w:lang w:eastAsia="zh-CN"/>
        </w:rPr>
        <w:t>经营者集中商谈专项法律服务零星采购项目</w:t>
      </w:r>
    </w:p>
    <w:p w14:paraId="649BB8BC">
      <w:pPr>
        <w:spacing w:line="200" w:lineRule="exact"/>
        <w:rPr>
          <w:lang w:eastAsia="zh-CN"/>
        </w:rPr>
      </w:pPr>
    </w:p>
    <w:p w14:paraId="450AE913">
      <w:pPr>
        <w:spacing w:line="200" w:lineRule="exact"/>
        <w:rPr>
          <w:lang w:eastAsia="zh-CN"/>
        </w:rPr>
      </w:pPr>
    </w:p>
    <w:p w14:paraId="4E9C6381">
      <w:pPr>
        <w:spacing w:line="270" w:lineRule="exact"/>
        <w:rPr>
          <w:lang w:eastAsia="zh-CN"/>
        </w:rPr>
      </w:pPr>
    </w:p>
    <w:p w14:paraId="60A23164">
      <w:pPr>
        <w:spacing w:line="639" w:lineRule="exact"/>
        <w:ind w:left="6480"/>
        <w:rPr>
          <w:sz w:val="20"/>
          <w:szCs w:val="20"/>
          <w:lang w:eastAsia="zh-CN"/>
        </w:rPr>
      </w:pPr>
      <w:r>
        <w:rPr>
          <w:rFonts w:ascii="黑体" w:hAnsi="黑体" w:eastAsia="黑体" w:cs="黑体"/>
          <w:color w:val="000036"/>
          <w:sz w:val="56"/>
          <w:szCs w:val="56"/>
          <w:lang w:eastAsia="zh-CN"/>
        </w:rPr>
        <w:t>技术规范书</w:t>
      </w:r>
    </w:p>
    <w:p w14:paraId="494DA7E3">
      <w:pPr>
        <w:spacing w:line="200" w:lineRule="exact"/>
        <w:rPr>
          <w:lang w:eastAsia="zh-CN"/>
        </w:rPr>
      </w:pPr>
    </w:p>
    <w:p w14:paraId="432E9225">
      <w:pPr>
        <w:spacing w:line="200" w:lineRule="exact"/>
        <w:rPr>
          <w:lang w:eastAsia="zh-CN"/>
        </w:rPr>
      </w:pPr>
    </w:p>
    <w:p w14:paraId="6CA977BF">
      <w:pPr>
        <w:spacing w:line="200" w:lineRule="exact"/>
        <w:rPr>
          <w:lang w:eastAsia="zh-CN"/>
        </w:rPr>
      </w:pPr>
    </w:p>
    <w:p w14:paraId="3C63C037">
      <w:pPr>
        <w:spacing w:line="200" w:lineRule="exact"/>
        <w:rPr>
          <w:lang w:eastAsia="zh-CN"/>
        </w:rPr>
      </w:pPr>
    </w:p>
    <w:p w14:paraId="59D1D220">
      <w:pPr>
        <w:spacing w:line="200" w:lineRule="exact"/>
        <w:rPr>
          <w:lang w:eastAsia="zh-CN"/>
        </w:rPr>
      </w:pPr>
    </w:p>
    <w:p w14:paraId="6176EECA">
      <w:pPr>
        <w:spacing w:line="200" w:lineRule="exact"/>
        <w:rPr>
          <w:lang w:eastAsia="zh-CN"/>
        </w:rPr>
      </w:pPr>
    </w:p>
    <w:p w14:paraId="2AB39B11">
      <w:pPr>
        <w:spacing w:line="200" w:lineRule="exact"/>
        <w:rPr>
          <w:lang w:eastAsia="zh-CN"/>
        </w:rPr>
      </w:pPr>
    </w:p>
    <w:p w14:paraId="4750B34B">
      <w:pPr>
        <w:spacing w:line="200" w:lineRule="exact"/>
        <w:rPr>
          <w:lang w:eastAsia="zh-CN"/>
        </w:rPr>
      </w:pPr>
    </w:p>
    <w:p w14:paraId="7DFB0F19">
      <w:pPr>
        <w:spacing w:line="200" w:lineRule="exact"/>
        <w:rPr>
          <w:lang w:eastAsia="zh-CN"/>
        </w:rPr>
      </w:pPr>
    </w:p>
    <w:p w14:paraId="237F1D88">
      <w:pPr>
        <w:spacing w:line="200" w:lineRule="exact"/>
        <w:rPr>
          <w:lang w:eastAsia="zh-CN"/>
        </w:rPr>
      </w:pPr>
    </w:p>
    <w:p w14:paraId="5E9CB02A">
      <w:pPr>
        <w:spacing w:line="200" w:lineRule="exact"/>
        <w:rPr>
          <w:lang w:eastAsia="zh-CN"/>
        </w:rPr>
      </w:pPr>
    </w:p>
    <w:p w14:paraId="3C1F1938">
      <w:pPr>
        <w:spacing w:line="200" w:lineRule="exact"/>
        <w:rPr>
          <w:lang w:eastAsia="zh-CN"/>
        </w:rPr>
      </w:pPr>
    </w:p>
    <w:p w14:paraId="10174AA5">
      <w:pPr>
        <w:spacing w:line="200" w:lineRule="exact"/>
        <w:rPr>
          <w:lang w:eastAsia="zh-CN"/>
        </w:rPr>
      </w:pPr>
    </w:p>
    <w:p w14:paraId="6897527D">
      <w:pPr>
        <w:spacing w:line="200" w:lineRule="exact"/>
        <w:rPr>
          <w:lang w:eastAsia="zh-CN"/>
        </w:rPr>
      </w:pPr>
    </w:p>
    <w:p w14:paraId="1044683E">
      <w:pPr>
        <w:spacing w:line="200" w:lineRule="exact"/>
        <w:rPr>
          <w:lang w:eastAsia="zh-CN"/>
        </w:rPr>
      </w:pPr>
    </w:p>
    <w:p w14:paraId="2B5FDC68">
      <w:pPr>
        <w:spacing w:line="200" w:lineRule="exact"/>
        <w:rPr>
          <w:lang w:eastAsia="zh-CN"/>
        </w:rPr>
      </w:pPr>
    </w:p>
    <w:p w14:paraId="17973902">
      <w:pPr>
        <w:spacing w:line="200" w:lineRule="exact"/>
        <w:rPr>
          <w:lang w:eastAsia="zh-CN"/>
        </w:rPr>
      </w:pPr>
    </w:p>
    <w:p w14:paraId="1F72B02F">
      <w:pPr>
        <w:spacing w:line="200" w:lineRule="exact"/>
        <w:rPr>
          <w:rFonts w:eastAsia="宋体"/>
          <w:lang w:eastAsia="zh-CN"/>
        </w:rPr>
      </w:pPr>
      <w:r>
        <w:rPr>
          <w:rFonts w:hint="eastAsia" w:eastAsia="宋体"/>
          <w:lang w:eastAsia="zh-CN"/>
        </w:rPr>
        <w:t xml:space="preserve">                   </w:t>
      </w:r>
    </w:p>
    <w:p w14:paraId="0DDDC63B">
      <w:pPr>
        <w:spacing w:line="200" w:lineRule="exact"/>
        <w:rPr>
          <w:rFonts w:eastAsia="宋体"/>
          <w:lang w:eastAsia="zh-CN"/>
        </w:rPr>
      </w:pPr>
    </w:p>
    <w:p w14:paraId="100A8008">
      <w:pPr>
        <w:spacing w:line="200" w:lineRule="exact"/>
        <w:rPr>
          <w:lang w:eastAsia="zh-CN"/>
        </w:rPr>
      </w:pPr>
    </w:p>
    <w:p w14:paraId="7DDE6807">
      <w:pPr>
        <w:spacing w:line="200" w:lineRule="exact"/>
        <w:rPr>
          <w:lang w:eastAsia="zh-CN"/>
        </w:rPr>
      </w:pPr>
    </w:p>
    <w:p w14:paraId="5849CC6D">
      <w:pPr>
        <w:spacing w:line="200" w:lineRule="exact"/>
        <w:rPr>
          <w:lang w:eastAsia="zh-CN"/>
        </w:rPr>
      </w:pPr>
    </w:p>
    <w:p w14:paraId="2234636A">
      <w:pPr>
        <w:spacing w:line="200" w:lineRule="exact"/>
        <w:rPr>
          <w:lang w:eastAsia="zh-CN"/>
        </w:rPr>
      </w:pPr>
    </w:p>
    <w:p w14:paraId="4ED6AFF9">
      <w:pPr>
        <w:spacing w:line="200" w:lineRule="exact"/>
        <w:rPr>
          <w:lang w:eastAsia="zh-CN"/>
        </w:rPr>
      </w:pPr>
    </w:p>
    <w:p w14:paraId="1D29D4D3">
      <w:pPr>
        <w:spacing w:line="200" w:lineRule="exact"/>
        <w:rPr>
          <w:lang w:eastAsia="zh-CN"/>
        </w:rPr>
      </w:pPr>
    </w:p>
    <w:p w14:paraId="68D675AC">
      <w:pPr>
        <w:spacing w:line="200" w:lineRule="exact"/>
        <w:rPr>
          <w:lang w:eastAsia="zh-CN"/>
        </w:rPr>
      </w:pPr>
    </w:p>
    <w:p w14:paraId="066D2B38">
      <w:pPr>
        <w:spacing w:line="200" w:lineRule="exact"/>
        <w:rPr>
          <w:lang w:eastAsia="zh-CN"/>
        </w:rPr>
      </w:pPr>
    </w:p>
    <w:p w14:paraId="251FADC1">
      <w:pPr>
        <w:spacing w:line="257" w:lineRule="exact"/>
        <w:rPr>
          <w:lang w:eastAsia="zh-CN"/>
        </w:rPr>
      </w:pPr>
    </w:p>
    <w:p w14:paraId="4B59979C">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14:paraId="471A14FC">
      <w:pPr>
        <w:spacing w:line="305" w:lineRule="exact"/>
        <w:rPr>
          <w:rFonts w:ascii="黑体" w:hAnsi="黑体" w:eastAsia="黑体" w:cs="黑体"/>
          <w:lang w:eastAsia="zh-CN"/>
        </w:rPr>
      </w:pPr>
    </w:p>
    <w:p w14:paraId="4EA3F52B">
      <w:pPr>
        <w:spacing w:line="320" w:lineRule="exact"/>
        <w:ind w:left="4700"/>
        <w:rPr>
          <w:rFonts w:ascii="黑体" w:hAnsi="黑体" w:eastAsia="黑体" w:cs="黑体"/>
          <w:sz w:val="20"/>
          <w:szCs w:val="20"/>
          <w:lang w:eastAsia="zh-CN"/>
        </w:rPr>
      </w:pPr>
      <w:r>
        <w:rPr>
          <w:rFonts w:hint="eastAsia" w:ascii="黑体" w:hAnsi="黑体" w:eastAsia="黑体" w:cs="黑体"/>
          <w:sz w:val="28"/>
          <w:szCs w:val="28"/>
          <w:lang w:eastAsia="zh-CN"/>
        </w:rPr>
        <w:t>2025年9月</w:t>
      </w:r>
    </w:p>
    <w:p w14:paraId="03014280">
      <w:pPr>
        <w:rPr>
          <w:sz w:val="22"/>
          <w:szCs w:val="22"/>
          <w:lang w:eastAsia="zh-CN"/>
        </w:rPr>
        <w:sectPr>
          <w:pgSz w:w="11900" w:h="16838"/>
          <w:pgMar w:top="1440" w:right="1306" w:bottom="1440" w:left="800" w:header="0" w:footer="0" w:gutter="0"/>
          <w:cols w:equalWidth="0" w:num="1">
            <w:col w:w="9800"/>
          </w:cols>
        </w:sectPr>
      </w:pPr>
    </w:p>
    <w:p w14:paraId="6260CDBD">
      <w:pPr>
        <w:spacing w:line="229" w:lineRule="exact"/>
        <w:rPr>
          <w:sz w:val="20"/>
          <w:szCs w:val="20"/>
          <w:lang w:eastAsia="zh-CN"/>
        </w:rPr>
      </w:pPr>
      <w:bookmarkStart w:id="1" w:name="page2"/>
      <w:bookmarkEnd w:id="1"/>
    </w:p>
    <w:p w14:paraId="36C1B011">
      <w:pPr>
        <w:spacing w:line="502" w:lineRule="exact"/>
        <w:ind w:left="3560"/>
        <w:rPr>
          <w:rFonts w:ascii="宋体" w:hAnsi="宋体" w:eastAsia="宋体" w:cs="宋体"/>
          <w:sz w:val="44"/>
          <w:szCs w:val="44"/>
          <w:lang w:eastAsia="zh-CN"/>
        </w:rPr>
      </w:pPr>
    </w:p>
    <w:p w14:paraId="3F8C55F1">
      <w:pPr>
        <w:spacing w:line="520" w:lineRule="exact"/>
        <w:ind w:right="6"/>
        <w:jc w:val="center"/>
        <w:rPr>
          <w:rFonts w:ascii="仿宋_GB2312" w:hAnsi="仿宋_GB2312" w:eastAsia="仿宋_GB2312" w:cs="仿宋_GB2312"/>
          <w:b/>
          <w:bCs/>
          <w:sz w:val="44"/>
          <w:szCs w:val="44"/>
          <w:lang w:eastAsia="zh-CN"/>
        </w:rPr>
      </w:pPr>
      <w:r>
        <w:rPr>
          <w:rFonts w:hint="eastAsia" w:ascii="仿宋_GB2312" w:hAnsi="仿宋_GB2312" w:eastAsia="仿宋_GB2312" w:cs="仿宋_GB2312"/>
          <w:b/>
          <w:bCs/>
          <w:sz w:val="44"/>
          <w:szCs w:val="44"/>
          <w:lang w:eastAsia="zh-CN"/>
        </w:rPr>
        <w:t>技术规范书</w:t>
      </w:r>
    </w:p>
    <w:p w14:paraId="05C9C942">
      <w:pPr>
        <w:spacing w:line="200" w:lineRule="exact"/>
        <w:rPr>
          <w:rFonts w:ascii="仿宋_GB2312" w:hAnsi="仿宋_GB2312" w:eastAsia="仿宋_GB2312" w:cs="仿宋_GB2312"/>
          <w:sz w:val="32"/>
          <w:szCs w:val="32"/>
          <w:lang w:eastAsia="zh-CN"/>
        </w:rPr>
      </w:pPr>
    </w:p>
    <w:p w14:paraId="293AA020">
      <w:pPr>
        <w:spacing w:line="205" w:lineRule="exact"/>
        <w:rPr>
          <w:rFonts w:ascii="仿宋_GB2312" w:hAnsi="仿宋_GB2312" w:eastAsia="仿宋_GB2312" w:cs="仿宋_GB2312"/>
          <w:sz w:val="32"/>
          <w:szCs w:val="32"/>
          <w:lang w:eastAsia="zh-CN"/>
        </w:rPr>
      </w:pPr>
    </w:p>
    <w:p w14:paraId="491DB97A">
      <w:pPr>
        <w:spacing w:line="336" w:lineRule="exact"/>
        <w:rPr>
          <w:rFonts w:ascii="仿宋_GB2312" w:hAnsi="仿宋_GB2312" w:eastAsia="仿宋_GB2312" w:cs="仿宋_GB2312"/>
          <w:sz w:val="32"/>
          <w:szCs w:val="32"/>
          <w:lang w:eastAsia="zh-CN"/>
        </w:rPr>
      </w:pPr>
    </w:p>
    <w:p w14:paraId="14614C99">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一、总则</w:t>
      </w:r>
    </w:p>
    <w:p w14:paraId="73C443CC">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为了满足南方电网贵州电动汽车服务有限公司经营者集中申报商谈专项法律服务零星采购项目</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所需的法律专项服务，特制定本规范。</w:t>
      </w:r>
    </w:p>
    <w:p w14:paraId="4B69EE7B">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二、适用范围</w:t>
      </w:r>
    </w:p>
    <w:p w14:paraId="39EECAD0">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适用于采购编号：南方电网贵州电动汽车服务有限公司经营者集中申报商谈专项法律服务零星采购项目。</w:t>
      </w:r>
    </w:p>
    <w:p w14:paraId="18E75725">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三、项目概况</w:t>
      </w:r>
    </w:p>
    <w:p w14:paraId="7E06E826">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（一）基本概况</w:t>
      </w:r>
    </w:p>
    <w:p w14:paraId="6A050578">
      <w:pPr>
        <w:spacing w:line="520" w:lineRule="exact"/>
        <w:ind w:firstLine="640" w:firstLineChars="200"/>
        <w:jc w:val="both"/>
        <w:textAlignment w:val="baseline"/>
        <w:rPr>
          <w:rFonts w:ascii="仿宋_GB2312" w:hAnsi="仿宋_GB2312" w:eastAsia="仿宋_GB2312" w:cs="仿宋_GB2312"/>
          <w:b/>
          <w:bCs/>
          <w:sz w:val="32"/>
          <w:szCs w:val="32"/>
          <w:highlight w:val="none"/>
          <w:lang w:eastAsia="zh-CN"/>
        </w:rPr>
      </w:pPr>
      <w:r>
        <w:rPr>
          <w:rFonts w:hint="eastAsia" w:ascii="仿宋_GB2312" w:hAnsi="仿宋_GB2312" w:eastAsia="仿宋_GB2312" w:cs="仿宋_GB2312"/>
          <w:sz w:val="32"/>
          <w:szCs w:val="32"/>
          <w:highlight w:val="none"/>
          <w:lang w:eastAsia="zh-CN"/>
        </w:rPr>
        <w:t>南方电网贵州电动汽车服务有限公司因项目需求拟开展经营者集中申报商谈工作，需专业律师事务所协助办理该项申报事务，故本次拟开展经营者集中申报商谈零星采购项目。</w:t>
      </w:r>
    </w:p>
    <w:p w14:paraId="5DAFBC9C">
      <w:pPr>
        <w:spacing w:line="520" w:lineRule="exact"/>
        <w:ind w:firstLine="964" w:firstLineChars="3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四、相关要求</w:t>
      </w:r>
    </w:p>
    <w:p w14:paraId="39E39BB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（一）资质要求</w:t>
      </w:r>
    </w:p>
    <w:p w14:paraId="6BD99CA9">
      <w:pPr>
        <w:spacing w:line="52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1.供应商必须是中华人民共和国境内注册合法运作的法人或其他组织。</w:t>
      </w:r>
    </w:p>
    <w:p w14:paraId="165BEFCA">
      <w:pPr>
        <w:spacing w:line="52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2.单位负责人为同一人或者存在控股、管理关系的不同单位，不得同时参加同一标包的投标。</w:t>
      </w:r>
    </w:p>
    <w:p w14:paraId="600ADD8A">
      <w:pPr>
        <w:spacing w:line="52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3.供应商不得存在的情形：南方电网公司、南方电网贵州电动汽车服务有限公司暂停或取消其投标资格，且未解冻的。</w:t>
      </w:r>
    </w:p>
    <w:p w14:paraId="1BE1EA13">
      <w:pPr>
        <w:spacing w:line="52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4.供应商需同时具有以下证件和资质：</w:t>
      </w:r>
    </w:p>
    <w:p w14:paraId="44DDA6CE">
      <w:pPr>
        <w:spacing w:line="520" w:lineRule="exact"/>
        <w:ind w:firstLine="643" w:firstLineChars="200"/>
        <w:rPr>
          <w:rFonts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（1）合法存续的律师事务所，应提供律师事务所执业许可证；</w:t>
      </w:r>
    </w:p>
    <w:p w14:paraId="065506C1">
      <w:pPr>
        <w:spacing w:line="520" w:lineRule="exact"/>
        <w:ind w:firstLine="643" w:firstLineChars="200"/>
        <w:rPr>
          <w:rFonts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（2）两名执业8年以上的专职律师具体负责本项目，应提供年度考核合格的律师执业证书。</w:t>
      </w:r>
    </w:p>
    <w:p w14:paraId="06F0CC65">
      <w:pPr>
        <w:spacing w:line="52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5.不接受联合体投标。</w:t>
      </w:r>
    </w:p>
    <w:p w14:paraId="5EDDED98">
      <w:pPr>
        <w:spacing w:line="52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6.供应商不得与本采购项目的咨询设计、采购文件（技术条件书、采购控制价）编制、采购代理单位存在控股或管理关系。</w:t>
      </w:r>
    </w:p>
    <w:p w14:paraId="02F0D53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（二）技术要求</w:t>
      </w:r>
    </w:p>
    <w:p w14:paraId="6C2F344D">
      <w:pPr>
        <w:spacing w:line="520" w:lineRule="exact"/>
        <w:ind w:firstLine="640" w:firstLineChars="200"/>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1.能够按照国家市场监督管理总局的规范和要求制作经营者集中商谈文件并提交商谈，结合商谈意见出具《法律意见书》。</w:t>
      </w:r>
    </w:p>
    <w:p w14:paraId="2E83164D">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（三）评分要求</w:t>
      </w:r>
    </w:p>
    <w:p w14:paraId="75FB41D0">
      <w:pPr>
        <w:spacing w:line="520" w:lineRule="exact"/>
        <w:ind w:firstLine="640" w:firstLineChars="200"/>
        <w:rPr>
          <w:lang w:eastAsia="zh-CN"/>
        </w:rPr>
      </w:pPr>
      <w:r>
        <w:rPr>
          <w:rFonts w:hint="eastAsia" w:ascii="仿宋_GB2312" w:hAnsi="仿宋_GB2312" w:eastAsia="仿宋_GB2312" w:cs="仿宋_GB2312"/>
          <w:sz w:val="32"/>
          <w:szCs w:val="32"/>
          <w:lang w:eastAsia="zh-CN"/>
        </w:rPr>
        <w:t>本项目为经营者集中申报商谈的法律服务，对律所的技术要求高，综合本项目实际，</w:t>
      </w:r>
      <w:r>
        <w:rPr>
          <w:rFonts w:hint="eastAsia" w:ascii="仿宋_GB2312" w:hAnsi="仿宋_GB2312" w:eastAsia="仿宋_GB2312" w:cs="仿宋_GB2312"/>
          <w:sz w:val="32"/>
          <w:szCs w:val="32"/>
          <w:highlight w:val="none"/>
          <w:lang w:eastAsia="zh-CN"/>
        </w:rPr>
        <w:t>根据《</w:t>
      </w:r>
      <w:bookmarkStart w:id="2" w:name="_Toc31032"/>
      <w:bookmarkStart w:id="3" w:name="_Toc27741"/>
      <w:r>
        <w:rPr>
          <w:rFonts w:hint="eastAsia" w:ascii="仿宋_GB2312" w:hAnsi="仿宋_GB2312" w:eastAsia="仿宋_GB2312" w:cs="仿宋_GB2312"/>
          <w:sz w:val="32"/>
          <w:szCs w:val="32"/>
          <w:highlight w:val="none"/>
          <w:lang w:eastAsia="zh-CN"/>
        </w:rPr>
        <w:t>中国南方电网有限责任公司零星采购管理业务指导书</w:t>
      </w:r>
      <w:bookmarkEnd w:id="2"/>
      <w:bookmarkEnd w:id="3"/>
      <w:r>
        <w:rPr>
          <w:rFonts w:hint="eastAsia" w:ascii="仿宋_GB2312" w:hAnsi="仿宋_GB2312" w:eastAsia="仿宋_GB2312" w:cs="仿宋_GB2312"/>
          <w:sz w:val="32"/>
          <w:szCs w:val="32"/>
          <w:highlight w:val="none"/>
          <w:lang w:eastAsia="zh-CN"/>
        </w:rPr>
        <w:t>》第3.6.1第（3）项规定，本项目采用综合评议评分标准，推荐“质</w:t>
      </w:r>
      <w:r>
        <w:rPr>
          <w:rFonts w:hint="eastAsia" w:ascii="仿宋_GB2312" w:hAnsi="仿宋_GB2312" w:eastAsia="仿宋_GB2312" w:cs="仿宋_GB2312"/>
          <w:sz w:val="32"/>
          <w:szCs w:val="32"/>
          <w:lang w:eastAsia="zh-CN"/>
        </w:rPr>
        <w:t>量、价格、业绩经验”综合最优的作为成交供应商。具体评分标准如下：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485"/>
        <w:gridCol w:w="1123"/>
        <w:gridCol w:w="5103"/>
      </w:tblGrid>
      <w:tr w14:paraId="3F04F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1" w:type="dxa"/>
            <w:vAlign w:val="center"/>
          </w:tcPr>
          <w:p w14:paraId="4318D175">
            <w:pPr>
              <w:pStyle w:val="2"/>
              <w:jc w:val="center"/>
              <w:rPr>
                <w:rFonts w:ascii="仿宋" w:hAnsi="仿宋" w:eastAsia="仿宋" w:cs="仿宋"/>
                <w:b/>
                <w:bCs/>
                <w:sz w:val="28"/>
                <w:szCs w:val="28"/>
                <w:lang w:eastAsia="zh-CN"/>
              </w:rPr>
            </w:pPr>
            <w:r>
              <w:rPr>
                <w:rFonts w:hint="eastAsia" w:ascii="仿宋" w:hAnsi="仿宋" w:eastAsia="仿宋" w:cs="仿宋"/>
                <w:b/>
                <w:bCs/>
                <w:sz w:val="28"/>
                <w:szCs w:val="28"/>
                <w:lang w:eastAsia="zh-CN"/>
              </w:rPr>
              <w:t>序号</w:t>
            </w:r>
          </w:p>
        </w:tc>
        <w:tc>
          <w:tcPr>
            <w:tcW w:w="1485" w:type="dxa"/>
            <w:vAlign w:val="center"/>
          </w:tcPr>
          <w:p w14:paraId="2A2849F3">
            <w:pPr>
              <w:pStyle w:val="2"/>
              <w:jc w:val="center"/>
              <w:rPr>
                <w:rFonts w:ascii="仿宋" w:hAnsi="仿宋" w:eastAsia="仿宋" w:cs="仿宋"/>
                <w:b/>
                <w:bCs/>
                <w:sz w:val="28"/>
                <w:szCs w:val="28"/>
                <w:lang w:eastAsia="zh-CN"/>
              </w:rPr>
            </w:pPr>
            <w:r>
              <w:rPr>
                <w:rFonts w:hint="eastAsia" w:ascii="仿宋" w:hAnsi="仿宋" w:eastAsia="仿宋" w:cs="仿宋"/>
                <w:b/>
                <w:bCs/>
                <w:sz w:val="28"/>
                <w:szCs w:val="28"/>
                <w:lang w:eastAsia="zh-CN"/>
              </w:rPr>
              <w:t>评分事项</w:t>
            </w:r>
          </w:p>
        </w:tc>
        <w:tc>
          <w:tcPr>
            <w:tcW w:w="1123" w:type="dxa"/>
            <w:vAlign w:val="center"/>
          </w:tcPr>
          <w:p w14:paraId="66A9BDF3">
            <w:pPr>
              <w:pStyle w:val="2"/>
              <w:jc w:val="center"/>
              <w:rPr>
                <w:rFonts w:ascii="仿宋" w:hAnsi="仿宋" w:eastAsia="仿宋" w:cs="仿宋"/>
                <w:b/>
                <w:bCs/>
                <w:sz w:val="28"/>
                <w:szCs w:val="28"/>
                <w:lang w:eastAsia="zh-CN"/>
              </w:rPr>
            </w:pPr>
            <w:r>
              <w:rPr>
                <w:rFonts w:hint="eastAsia" w:ascii="仿宋" w:hAnsi="仿宋" w:eastAsia="仿宋" w:cs="仿宋"/>
                <w:b/>
                <w:bCs/>
                <w:sz w:val="28"/>
                <w:szCs w:val="28"/>
                <w:lang w:eastAsia="zh-CN"/>
              </w:rPr>
              <w:t>分数</w:t>
            </w:r>
          </w:p>
        </w:tc>
        <w:tc>
          <w:tcPr>
            <w:tcW w:w="5103" w:type="dxa"/>
            <w:vAlign w:val="center"/>
          </w:tcPr>
          <w:p w14:paraId="18E908D8">
            <w:pPr>
              <w:pStyle w:val="2"/>
              <w:jc w:val="center"/>
              <w:rPr>
                <w:rFonts w:ascii="仿宋" w:hAnsi="仿宋" w:eastAsia="仿宋" w:cs="仿宋"/>
                <w:b/>
                <w:bCs/>
                <w:sz w:val="28"/>
                <w:szCs w:val="28"/>
                <w:lang w:eastAsia="zh-CN"/>
              </w:rPr>
            </w:pPr>
            <w:r>
              <w:rPr>
                <w:rFonts w:hint="eastAsia" w:ascii="仿宋" w:hAnsi="仿宋" w:eastAsia="仿宋" w:cs="仿宋"/>
                <w:b/>
                <w:bCs/>
                <w:sz w:val="28"/>
                <w:szCs w:val="28"/>
                <w:lang w:eastAsia="zh-CN"/>
              </w:rPr>
              <w:t>评分规则</w:t>
            </w:r>
          </w:p>
        </w:tc>
      </w:tr>
      <w:tr w14:paraId="2D1B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CECEAF9">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1</w:t>
            </w:r>
          </w:p>
        </w:tc>
        <w:tc>
          <w:tcPr>
            <w:tcW w:w="1485" w:type="dxa"/>
            <w:vAlign w:val="center"/>
          </w:tcPr>
          <w:p w14:paraId="67FF3835">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质量</w:t>
            </w:r>
          </w:p>
        </w:tc>
        <w:tc>
          <w:tcPr>
            <w:tcW w:w="1123" w:type="dxa"/>
            <w:vAlign w:val="center"/>
          </w:tcPr>
          <w:p w14:paraId="451C3CB8">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40</w:t>
            </w:r>
          </w:p>
        </w:tc>
        <w:tc>
          <w:tcPr>
            <w:tcW w:w="5103" w:type="dxa"/>
            <w:vAlign w:val="center"/>
          </w:tcPr>
          <w:p w14:paraId="67523529">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响应文件技术方案符合本项目实际、详细、完整，横向比较最优的得40分；</w:t>
            </w:r>
          </w:p>
          <w:p w14:paraId="57CE4953">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响应文件技术方案较为符合本项目实际、详细、完整，横向比较次优的得30分；</w:t>
            </w:r>
          </w:p>
          <w:p w14:paraId="1FDFD06B">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响应文件技术方案符合本项目实际、详细、完整，横向比较第三的得20分；</w:t>
            </w:r>
          </w:p>
          <w:p w14:paraId="684B557C">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响应文件技术方案不符合本项目实际、不够详细、完整，不得分。</w:t>
            </w:r>
          </w:p>
        </w:tc>
      </w:tr>
      <w:tr w14:paraId="4289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1146AA6B">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2</w:t>
            </w:r>
          </w:p>
        </w:tc>
        <w:tc>
          <w:tcPr>
            <w:tcW w:w="1485" w:type="dxa"/>
            <w:vAlign w:val="center"/>
          </w:tcPr>
          <w:p w14:paraId="5F047A13">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价格</w:t>
            </w:r>
          </w:p>
        </w:tc>
        <w:tc>
          <w:tcPr>
            <w:tcW w:w="1123" w:type="dxa"/>
            <w:vAlign w:val="center"/>
          </w:tcPr>
          <w:p w14:paraId="49CC1560">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30</w:t>
            </w:r>
          </w:p>
        </w:tc>
        <w:tc>
          <w:tcPr>
            <w:tcW w:w="5103" w:type="dxa"/>
            <w:vAlign w:val="center"/>
          </w:tcPr>
          <w:p w14:paraId="355CE1FC">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报价最低的，得30分；</w:t>
            </w:r>
          </w:p>
          <w:p w14:paraId="47565FC8">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报价次低的，得25分；</w:t>
            </w:r>
          </w:p>
          <w:p w14:paraId="57A55053">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报价第三低的，得20分；</w:t>
            </w:r>
          </w:p>
          <w:p w14:paraId="7C0763BB">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依次类推，每个排名对应5分差距，本项最低0分，不扣分。</w:t>
            </w:r>
          </w:p>
        </w:tc>
      </w:tr>
      <w:tr w14:paraId="3EA14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F4E8117">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3</w:t>
            </w:r>
          </w:p>
        </w:tc>
        <w:tc>
          <w:tcPr>
            <w:tcW w:w="1485" w:type="dxa"/>
            <w:vAlign w:val="center"/>
          </w:tcPr>
          <w:p w14:paraId="41BB27EC">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业绩经验</w:t>
            </w:r>
          </w:p>
        </w:tc>
        <w:tc>
          <w:tcPr>
            <w:tcW w:w="1123" w:type="dxa"/>
            <w:vAlign w:val="center"/>
          </w:tcPr>
          <w:p w14:paraId="43F75709">
            <w:pPr>
              <w:pStyle w:val="2"/>
              <w:jc w:val="center"/>
              <w:rPr>
                <w:rFonts w:ascii="仿宋" w:hAnsi="仿宋" w:eastAsia="仿宋" w:cs="仿宋"/>
                <w:sz w:val="28"/>
                <w:szCs w:val="28"/>
                <w:lang w:eastAsia="zh-CN"/>
              </w:rPr>
            </w:pPr>
            <w:r>
              <w:rPr>
                <w:rFonts w:hint="eastAsia" w:ascii="仿宋" w:hAnsi="仿宋" w:eastAsia="仿宋" w:cs="仿宋"/>
                <w:sz w:val="28"/>
                <w:szCs w:val="28"/>
                <w:lang w:eastAsia="zh-CN"/>
              </w:rPr>
              <w:t>30</w:t>
            </w:r>
          </w:p>
        </w:tc>
        <w:tc>
          <w:tcPr>
            <w:tcW w:w="5103" w:type="dxa"/>
            <w:vAlign w:val="center"/>
          </w:tcPr>
          <w:p w14:paraId="02D2C6FF">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提供经营者集中申报同类项目业绩5项</w:t>
            </w:r>
            <w:r>
              <w:rPr>
                <w:rFonts w:hint="eastAsia" w:ascii="仿宋" w:hAnsi="仿宋" w:eastAsia="仿宋" w:cs="仿宋"/>
                <w:sz w:val="28"/>
                <w:szCs w:val="28"/>
                <w:lang w:val="en-US" w:eastAsia="zh-CN"/>
              </w:rPr>
              <w:t>及</w:t>
            </w:r>
            <w:r>
              <w:rPr>
                <w:rFonts w:hint="eastAsia" w:ascii="仿宋" w:hAnsi="仿宋" w:eastAsia="仿宋" w:cs="仿宋"/>
                <w:sz w:val="28"/>
                <w:szCs w:val="28"/>
                <w:lang w:eastAsia="zh-CN"/>
              </w:rPr>
              <w:t>以上的，得30分；</w:t>
            </w:r>
          </w:p>
          <w:p w14:paraId="6B28C621">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提供经营者集中申报同类项目业绩3</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项，得20分；</w:t>
            </w:r>
          </w:p>
          <w:p w14:paraId="1645C140">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提供经营者集中申报同类项目业绩1</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项，得10分；</w:t>
            </w:r>
          </w:p>
          <w:p w14:paraId="0D1375F7">
            <w:pPr>
              <w:pStyle w:val="2"/>
              <w:jc w:val="left"/>
              <w:rPr>
                <w:rFonts w:ascii="仿宋" w:hAnsi="仿宋" w:eastAsia="仿宋" w:cs="仿宋"/>
                <w:sz w:val="28"/>
                <w:szCs w:val="28"/>
                <w:lang w:eastAsia="zh-CN"/>
              </w:rPr>
            </w:pPr>
            <w:r>
              <w:rPr>
                <w:rFonts w:hint="eastAsia" w:ascii="仿宋" w:hAnsi="仿宋" w:eastAsia="仿宋" w:cs="仿宋"/>
                <w:sz w:val="28"/>
                <w:szCs w:val="28"/>
                <w:lang w:eastAsia="zh-CN"/>
              </w:rPr>
              <w:t>未提供经营者集中申报同类项目业绩的，得0分。</w:t>
            </w:r>
          </w:p>
        </w:tc>
      </w:tr>
    </w:tbl>
    <w:p w14:paraId="4BADE723">
      <w:pPr>
        <w:spacing w:line="520" w:lineRule="exact"/>
        <w:ind w:left="920"/>
        <w:rPr>
          <w:rFonts w:ascii="仿宋_GB2312" w:hAnsi="仿宋_GB2312" w:eastAsia="仿宋_GB2312" w:cs="仿宋_GB2312"/>
          <w:sz w:val="32"/>
          <w:szCs w:val="32"/>
          <w:lang w:eastAsia="zh-CN"/>
        </w:rPr>
      </w:pPr>
      <w:bookmarkStart w:id="4" w:name="page2_1"/>
      <w:bookmarkEnd w:id="4"/>
      <w:r>
        <w:rPr>
          <w:rFonts w:hint="eastAsia" w:ascii="仿宋_GB2312" w:hAnsi="仿宋_GB2312" w:eastAsia="仿宋_GB2312" w:cs="仿宋_GB2312"/>
          <w:sz w:val="32"/>
          <w:szCs w:val="32"/>
          <w:lang w:eastAsia="zh-CN"/>
        </w:rPr>
        <w:t>（四）其他要求</w:t>
      </w:r>
    </w:p>
    <w:p w14:paraId="698918C2">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1.采购范围</w:t>
      </w:r>
    </w:p>
    <w:tbl>
      <w:tblPr>
        <w:tblStyle w:val="5"/>
        <w:tblpPr w:leftFromText="180" w:rightFromText="180" w:vertAnchor="text" w:tblpX="254" w:tblpY="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4144"/>
        <w:gridCol w:w="1643"/>
        <w:gridCol w:w="1365"/>
      </w:tblGrid>
      <w:tr w14:paraId="31607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14:paraId="4B87ABA8">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14:paraId="2ED13C6D">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14:paraId="2C07E6C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14:paraId="462C6D0E">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14:paraId="2848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14:paraId="5DCE2CD3">
            <w:pPr>
              <w:widowControl w:val="0"/>
              <w:spacing w:line="520" w:lineRule="exact"/>
              <w:jc w:val="center"/>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1</w:t>
            </w:r>
          </w:p>
        </w:tc>
        <w:tc>
          <w:tcPr>
            <w:tcW w:w="4144" w:type="dxa"/>
            <w:vAlign w:val="center"/>
          </w:tcPr>
          <w:p w14:paraId="499A734B">
            <w:pPr>
              <w:widowControl w:val="0"/>
              <w:spacing w:line="520" w:lineRule="exact"/>
              <w:jc w:val="center"/>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南方电网贵州电动汽车服务有限公司经营者集中商谈零星采购项目</w:t>
            </w:r>
          </w:p>
        </w:tc>
        <w:tc>
          <w:tcPr>
            <w:tcW w:w="1643" w:type="dxa"/>
            <w:vAlign w:val="center"/>
          </w:tcPr>
          <w:p w14:paraId="4545D984">
            <w:pPr>
              <w:widowControl w:val="0"/>
              <w:spacing w:line="520" w:lineRule="exact"/>
              <w:jc w:val="center"/>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4</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lang w:eastAsia="zh-CN"/>
              </w:rPr>
              <w:t>000</w:t>
            </w:r>
          </w:p>
        </w:tc>
        <w:tc>
          <w:tcPr>
            <w:tcW w:w="1365" w:type="dxa"/>
            <w:vAlign w:val="center"/>
          </w:tcPr>
          <w:p w14:paraId="23B66B8E">
            <w:pPr>
              <w:widowControl w:val="0"/>
              <w:spacing w:line="520" w:lineRule="exact"/>
              <w:jc w:val="center"/>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签订合同后的15天内</w:t>
            </w:r>
            <w:bookmarkStart w:id="5" w:name="_GoBack"/>
            <w:bookmarkEnd w:id="5"/>
          </w:p>
        </w:tc>
      </w:tr>
    </w:tbl>
    <w:p w14:paraId="10FEA5AA">
      <w:pPr>
        <w:spacing w:line="520" w:lineRule="exact"/>
        <w:ind w:left="920"/>
        <w:rPr>
          <w:rFonts w:ascii="仿宋_GB2312" w:hAnsi="仿宋_GB2312" w:eastAsia="仿宋_GB2312" w:cs="仿宋_GB2312"/>
          <w:sz w:val="32"/>
          <w:szCs w:val="32"/>
          <w:lang w:eastAsia="zh-CN"/>
        </w:rPr>
      </w:pPr>
    </w:p>
    <w:p w14:paraId="14262727">
      <w:pPr>
        <w:spacing w:line="520" w:lineRule="exact"/>
        <w:ind w:left="920"/>
        <w:rPr>
          <w:rFonts w:ascii="仿宋_GB2312" w:hAnsi="仿宋_GB2312" w:eastAsia="仿宋_GB2312" w:cs="仿宋_GB2312"/>
          <w:sz w:val="32"/>
          <w:szCs w:val="32"/>
          <w:lang w:eastAsia="zh-CN"/>
        </w:rPr>
      </w:pPr>
    </w:p>
    <w:p w14:paraId="16B8C615">
      <w:pPr>
        <w:spacing w:line="520" w:lineRule="exact"/>
        <w:ind w:left="920"/>
        <w:rPr>
          <w:rFonts w:ascii="仿宋_GB2312" w:hAnsi="仿宋_GB2312" w:eastAsia="仿宋_GB2312" w:cs="仿宋_GB2312"/>
          <w:sz w:val="32"/>
          <w:szCs w:val="32"/>
          <w:lang w:eastAsia="zh-CN"/>
        </w:rPr>
      </w:pPr>
    </w:p>
    <w:p w14:paraId="4993CEF9">
      <w:pPr>
        <w:spacing w:line="520" w:lineRule="exact"/>
        <w:ind w:left="920"/>
        <w:rPr>
          <w:rFonts w:ascii="仿宋_GB2312" w:hAnsi="仿宋_GB2312" w:eastAsia="仿宋_GB2312" w:cs="仿宋_GB2312"/>
          <w:sz w:val="32"/>
          <w:szCs w:val="32"/>
          <w:lang w:eastAsia="zh-CN"/>
        </w:rPr>
      </w:pPr>
    </w:p>
    <w:p w14:paraId="4677FAE7">
      <w:pPr>
        <w:spacing w:line="520" w:lineRule="exact"/>
        <w:rPr>
          <w:rFonts w:ascii="仿宋_GB2312" w:hAnsi="仿宋_GB2312" w:eastAsia="仿宋_GB2312" w:cs="仿宋_GB2312"/>
          <w:sz w:val="32"/>
          <w:szCs w:val="32"/>
          <w:lang w:eastAsia="zh-CN"/>
        </w:rPr>
      </w:pPr>
    </w:p>
    <w:p w14:paraId="03E13E99">
      <w:pPr>
        <w:spacing w:line="520" w:lineRule="exact"/>
        <w:ind w:left="920"/>
        <w:rPr>
          <w:rFonts w:ascii="仿宋_GB2312" w:hAnsi="仿宋_GB2312" w:eastAsia="仿宋_GB2312" w:cs="仿宋_GB2312"/>
          <w:sz w:val="32"/>
          <w:szCs w:val="32"/>
          <w:lang w:eastAsia="zh-CN"/>
        </w:rPr>
      </w:pPr>
    </w:p>
    <w:p w14:paraId="732B1C6A">
      <w:pPr>
        <w:spacing w:line="520" w:lineRule="exact"/>
        <w:ind w:left="920"/>
        <w:rPr>
          <w:rFonts w:ascii="仿宋_GB2312" w:hAnsi="仿宋_GB2312" w:eastAsia="仿宋_GB2312" w:cs="仿宋_GB2312"/>
          <w:sz w:val="32"/>
          <w:szCs w:val="32"/>
          <w:lang w:eastAsia="zh-CN"/>
        </w:rPr>
      </w:pPr>
    </w:p>
    <w:p w14:paraId="57EE0E7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2.其他要求</w:t>
      </w:r>
    </w:p>
    <w:p w14:paraId="62AE8E2D">
      <w:pPr>
        <w:spacing w:line="520" w:lineRule="exact"/>
        <w:ind w:left="278" w:leftChars="116" w:firstLine="803"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2.1 报价要求人民币方式报价，包含：税、交通食宿、车辆运输等所有费用。</w:t>
      </w:r>
    </w:p>
    <w:p w14:paraId="5D913A19">
      <w:pPr>
        <w:spacing w:line="520" w:lineRule="exact"/>
        <w:ind w:left="278" w:leftChars="116" w:firstLine="803"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 xml:space="preserve">2.2 投标报价应包括国家规定的专用发票增值税税金，投标人应充分了解该项目的总体情况以及影响投标报价的其他要素。 </w:t>
      </w:r>
    </w:p>
    <w:p w14:paraId="276EC48C">
      <w:pPr>
        <w:spacing w:line="520" w:lineRule="exact"/>
        <w:ind w:left="278" w:leftChars="116" w:firstLine="803"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2.3 响应文件应包含技术方案。</w:t>
      </w:r>
    </w:p>
    <w:p w14:paraId="5F77052D">
      <w:pPr>
        <w:spacing w:line="520" w:lineRule="exact"/>
        <w:ind w:left="278" w:leftChars="116" w:firstLine="803"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2.4需提供律师事务所执业许可证。</w:t>
      </w:r>
    </w:p>
    <w:p w14:paraId="740E72C6">
      <w:pPr>
        <w:spacing w:line="520" w:lineRule="exact"/>
        <w:ind w:left="278" w:leftChars="116" w:firstLine="803" w:firstLineChars="250"/>
        <w:jc w:val="both"/>
        <w:textAlignment w:val="baseline"/>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2.5需提供两名执业8年以上的专职律师的年度考核合格的律师执业证书。</w:t>
      </w:r>
    </w:p>
    <w:p w14:paraId="54DEA083">
      <w:pPr>
        <w:spacing w:line="520" w:lineRule="exact"/>
        <w:ind w:left="278" w:leftChars="116" w:firstLine="803" w:firstLineChars="250"/>
        <w:jc w:val="both"/>
        <w:textAlignment w:val="baseline"/>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2.6</w:t>
      </w:r>
      <w:r>
        <w:rPr>
          <w:rFonts w:hint="eastAsia" w:ascii="仿宋_GB2312" w:hAnsi="仿宋_GB2312" w:eastAsia="仿宋_GB2312" w:cs="仿宋_GB2312"/>
          <w:b/>
          <w:bCs/>
          <w:sz w:val="32"/>
          <w:szCs w:val="32"/>
          <w:lang w:eastAsia="zh-CN"/>
        </w:rPr>
        <w:t>提供经营者集中申报同类项目业绩</w:t>
      </w:r>
      <w:r>
        <w:rPr>
          <w:rFonts w:hint="eastAsia" w:ascii="仿宋_GB2312" w:hAnsi="仿宋_GB2312" w:eastAsia="仿宋_GB2312" w:cs="仿宋_GB2312"/>
          <w:b/>
          <w:bCs/>
          <w:sz w:val="32"/>
          <w:szCs w:val="32"/>
          <w:lang w:val="en-US" w:eastAsia="zh-CN"/>
        </w:rPr>
        <w:t>证明文件（报价律所签订的已签字盖章合同扫描件）</w:t>
      </w:r>
      <w:r>
        <w:rPr>
          <w:rFonts w:hint="eastAsia" w:ascii="仿宋_GB2312" w:hAnsi="仿宋_GB2312" w:eastAsia="仿宋_GB2312" w:cs="仿宋_GB2312"/>
          <w:b/>
          <w:bCs/>
          <w:sz w:val="32"/>
          <w:szCs w:val="32"/>
          <w:lang w:eastAsia="zh-CN"/>
        </w:rPr>
        <w:t>。</w:t>
      </w:r>
    </w:p>
    <w:p w14:paraId="6956178E">
      <w:pPr>
        <w:spacing w:line="520" w:lineRule="exact"/>
        <w:ind w:firstLine="960" w:firstLineChars="300"/>
        <w:rPr>
          <w:rFonts w:ascii="仿宋_GB2312" w:hAnsi="仿宋_GB2312" w:eastAsia="仿宋_GB2312" w:cs="仿宋_GB2312"/>
          <w:sz w:val="32"/>
          <w:szCs w:val="32"/>
          <w:lang w:eastAsia="zh-CN"/>
        </w:rPr>
      </w:pPr>
    </w:p>
    <w:sectPr>
      <w:type w:val="continuous"/>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2D6A5F"/>
    <w:rsid w:val="00991ADF"/>
    <w:rsid w:val="009C06F9"/>
    <w:rsid w:val="00A2333B"/>
    <w:rsid w:val="00A77B3E"/>
    <w:rsid w:val="00CA2A55"/>
    <w:rsid w:val="00CC5B51"/>
    <w:rsid w:val="00E374FA"/>
    <w:rsid w:val="025A6C04"/>
    <w:rsid w:val="037262BA"/>
    <w:rsid w:val="04F12F8D"/>
    <w:rsid w:val="059726A3"/>
    <w:rsid w:val="05B74771"/>
    <w:rsid w:val="068E3B66"/>
    <w:rsid w:val="06E60815"/>
    <w:rsid w:val="07DE7D68"/>
    <w:rsid w:val="091273FA"/>
    <w:rsid w:val="09B74C81"/>
    <w:rsid w:val="0ADB7398"/>
    <w:rsid w:val="0B1B4E9F"/>
    <w:rsid w:val="0B3E3A9A"/>
    <w:rsid w:val="0B626EBA"/>
    <w:rsid w:val="0CC64583"/>
    <w:rsid w:val="0D1302A2"/>
    <w:rsid w:val="0E02296D"/>
    <w:rsid w:val="11C80677"/>
    <w:rsid w:val="11CF1B67"/>
    <w:rsid w:val="127C300E"/>
    <w:rsid w:val="12E96D17"/>
    <w:rsid w:val="13C12381"/>
    <w:rsid w:val="149A2E5A"/>
    <w:rsid w:val="15E8637F"/>
    <w:rsid w:val="160B17F4"/>
    <w:rsid w:val="1677496A"/>
    <w:rsid w:val="18C1102B"/>
    <w:rsid w:val="19994B83"/>
    <w:rsid w:val="1A0C7D49"/>
    <w:rsid w:val="1A722BCA"/>
    <w:rsid w:val="1ABB0DE6"/>
    <w:rsid w:val="1CA478F2"/>
    <w:rsid w:val="1D006A40"/>
    <w:rsid w:val="1DAF24FC"/>
    <w:rsid w:val="213D3949"/>
    <w:rsid w:val="22017E7D"/>
    <w:rsid w:val="22D20428"/>
    <w:rsid w:val="235D5CA8"/>
    <w:rsid w:val="246057D0"/>
    <w:rsid w:val="263404C4"/>
    <w:rsid w:val="26A45974"/>
    <w:rsid w:val="26F7797C"/>
    <w:rsid w:val="27420C7A"/>
    <w:rsid w:val="27DE7716"/>
    <w:rsid w:val="28670FF6"/>
    <w:rsid w:val="292827B1"/>
    <w:rsid w:val="296F777A"/>
    <w:rsid w:val="2AAE5541"/>
    <w:rsid w:val="2BAB03D4"/>
    <w:rsid w:val="2DE051B2"/>
    <w:rsid w:val="2EBB13D0"/>
    <w:rsid w:val="2F0F0A9F"/>
    <w:rsid w:val="2F996FA3"/>
    <w:rsid w:val="303B7C0D"/>
    <w:rsid w:val="30883239"/>
    <w:rsid w:val="335740A1"/>
    <w:rsid w:val="339265BC"/>
    <w:rsid w:val="33E1511F"/>
    <w:rsid w:val="346A38C2"/>
    <w:rsid w:val="34F471FD"/>
    <w:rsid w:val="351A453A"/>
    <w:rsid w:val="368A2987"/>
    <w:rsid w:val="37466492"/>
    <w:rsid w:val="377A733E"/>
    <w:rsid w:val="37A3652C"/>
    <w:rsid w:val="39D266CC"/>
    <w:rsid w:val="3A1E01E9"/>
    <w:rsid w:val="3A9A5EF5"/>
    <w:rsid w:val="3AEA378B"/>
    <w:rsid w:val="3B412E2C"/>
    <w:rsid w:val="3B6A7F86"/>
    <w:rsid w:val="3C593E8B"/>
    <w:rsid w:val="3CD3200E"/>
    <w:rsid w:val="3D157D0E"/>
    <w:rsid w:val="3D7B4329"/>
    <w:rsid w:val="3ED55C68"/>
    <w:rsid w:val="3EDB2255"/>
    <w:rsid w:val="40C34785"/>
    <w:rsid w:val="413C1A66"/>
    <w:rsid w:val="41543983"/>
    <w:rsid w:val="41F85F30"/>
    <w:rsid w:val="44191A5F"/>
    <w:rsid w:val="44243658"/>
    <w:rsid w:val="443E2003"/>
    <w:rsid w:val="44890DFE"/>
    <w:rsid w:val="45280308"/>
    <w:rsid w:val="459D0CC6"/>
    <w:rsid w:val="4650193A"/>
    <w:rsid w:val="46684A41"/>
    <w:rsid w:val="47BB50BD"/>
    <w:rsid w:val="48955120"/>
    <w:rsid w:val="48FD4B4F"/>
    <w:rsid w:val="499F4361"/>
    <w:rsid w:val="49A61540"/>
    <w:rsid w:val="4A2E1CF6"/>
    <w:rsid w:val="4B1959DE"/>
    <w:rsid w:val="4B3F3035"/>
    <w:rsid w:val="4B9F639D"/>
    <w:rsid w:val="4C176DA8"/>
    <w:rsid w:val="4D9F28D5"/>
    <w:rsid w:val="4DA46784"/>
    <w:rsid w:val="4DFC10F3"/>
    <w:rsid w:val="4ED07AB5"/>
    <w:rsid w:val="4F545534"/>
    <w:rsid w:val="500320DD"/>
    <w:rsid w:val="50033E4B"/>
    <w:rsid w:val="509A6463"/>
    <w:rsid w:val="50CA6717"/>
    <w:rsid w:val="518A3749"/>
    <w:rsid w:val="51C32D2F"/>
    <w:rsid w:val="521F0ECA"/>
    <w:rsid w:val="53066D20"/>
    <w:rsid w:val="53247FF4"/>
    <w:rsid w:val="539E4BBE"/>
    <w:rsid w:val="53E804B6"/>
    <w:rsid w:val="5457656B"/>
    <w:rsid w:val="560A1435"/>
    <w:rsid w:val="57D1104A"/>
    <w:rsid w:val="57D34F8E"/>
    <w:rsid w:val="58263B33"/>
    <w:rsid w:val="597366FE"/>
    <w:rsid w:val="597B335B"/>
    <w:rsid w:val="59E146C5"/>
    <w:rsid w:val="59FF13B5"/>
    <w:rsid w:val="5ADB2963"/>
    <w:rsid w:val="5C642423"/>
    <w:rsid w:val="5D5E1DC2"/>
    <w:rsid w:val="5ED81A8D"/>
    <w:rsid w:val="607362D2"/>
    <w:rsid w:val="60DF3EFC"/>
    <w:rsid w:val="61AA75FB"/>
    <w:rsid w:val="629D1A5E"/>
    <w:rsid w:val="63CF6D0D"/>
    <w:rsid w:val="64EA6203"/>
    <w:rsid w:val="65DA53F3"/>
    <w:rsid w:val="66D71736"/>
    <w:rsid w:val="67915AD4"/>
    <w:rsid w:val="679715F1"/>
    <w:rsid w:val="68346129"/>
    <w:rsid w:val="689071EA"/>
    <w:rsid w:val="69156FF4"/>
    <w:rsid w:val="6AE622DC"/>
    <w:rsid w:val="6C7147F8"/>
    <w:rsid w:val="6CBC13F4"/>
    <w:rsid w:val="6CE15CFC"/>
    <w:rsid w:val="6D271805"/>
    <w:rsid w:val="6DC53E25"/>
    <w:rsid w:val="6E523812"/>
    <w:rsid w:val="6F6B5B5E"/>
    <w:rsid w:val="70C95397"/>
    <w:rsid w:val="70E055B2"/>
    <w:rsid w:val="72345596"/>
    <w:rsid w:val="72B8133A"/>
    <w:rsid w:val="737F6B89"/>
    <w:rsid w:val="73FB65C7"/>
    <w:rsid w:val="74CF5D3A"/>
    <w:rsid w:val="761544C5"/>
    <w:rsid w:val="769F0D46"/>
    <w:rsid w:val="76F86DC5"/>
    <w:rsid w:val="798930D3"/>
    <w:rsid w:val="7C3F770A"/>
    <w:rsid w:val="7CA73C2D"/>
    <w:rsid w:val="7E304914"/>
    <w:rsid w:val="7ED042FB"/>
    <w:rsid w:val="7F3E7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lang w:val="en-US" w:eastAsia="en-US"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1"/>
    <w:pPr>
      <w:spacing w:before="10"/>
      <w:ind w:left="1020" w:hanging="9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221</Words>
  <Characters>1264</Characters>
  <Lines>10</Lines>
  <Paragraphs>2</Paragraphs>
  <TotalTime>2</TotalTime>
  <ScaleCrop>false</ScaleCrop>
  <LinksUpToDate>false</LinksUpToDate>
  <CharactersWithSpaces>1483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向珂</cp:lastModifiedBy>
  <cp:lastPrinted>2025-09-22T09:30:27Z</cp:lastPrinted>
  <dcterms:modified xsi:type="dcterms:W3CDTF">2025-09-22T09:31:16Z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FDEC3D6AE5334468B80EFA87E1687516</vt:lpwstr>
  </property>
  <property fmtid="{D5CDD505-2E9C-101B-9397-08002B2CF9AE}" pid="4" name="KSOTemplateDocerSaveRecord">
    <vt:lpwstr>eyJoZGlkIjoiNzVkNGVlMjU3MTE2MGIzY2E4ODBmYzQ4OWZiNzA5NTIiLCJ1c2VySWQiOiIzNjM0MTExODgifQ==</vt:lpwstr>
  </property>
</Properties>
</file>