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jc w:val="center"/>
        <w:rPr>
          <w:rFonts w:hint="eastAsia"/>
          <w:color w:val="auto"/>
          <w:highlight w:val="none"/>
          <w:lang w:val="en-US" w:eastAsia="zh-CN"/>
        </w:rPr>
      </w:pPr>
      <w:r>
        <w:rPr>
          <w:rFonts w:hint="eastAsia"/>
          <w:color w:val="auto"/>
          <w:highlight w:val="none"/>
          <w:lang w:val="en-US" w:eastAsia="zh-CN"/>
        </w:rPr>
        <w:t>2025年云南电力试验研究院（集团）有限公司检验检测事业部</w:t>
      </w:r>
      <w:bookmarkStart w:id="6" w:name="_GoBack"/>
      <w:r>
        <w:rPr>
          <w:rFonts w:hint="eastAsia"/>
          <w:color w:val="auto"/>
          <w:highlight w:val="none"/>
          <w:lang w:val="en-US" w:eastAsia="zh-CN"/>
        </w:rPr>
        <w:t>资产设备管理工具开发与实施服务</w:t>
      </w:r>
      <w:bookmarkEnd w:id="6"/>
      <w:r>
        <w:rPr>
          <w:rFonts w:hint="eastAsia"/>
          <w:color w:val="auto"/>
          <w:highlight w:val="none"/>
          <w:lang w:val="en-US" w:eastAsia="zh-CN"/>
        </w:rPr>
        <w:t>零星采购技术规范书</w:t>
      </w:r>
    </w:p>
    <w:p>
      <w:pPr>
        <w:pStyle w:val="3"/>
        <w:bidi w:val="0"/>
        <w:ind w:left="0" w:leftChars="0" w:firstLine="0" w:firstLineChars="0"/>
        <w:rPr>
          <w:rFonts w:hint="eastAsia"/>
          <w:lang w:val="en-US" w:eastAsia="zh-CN"/>
        </w:rPr>
      </w:pPr>
      <w:r>
        <w:rPr>
          <w:rFonts w:hint="eastAsia"/>
          <w:lang w:val="en-US" w:eastAsia="zh-CN"/>
        </w:rPr>
        <w:t>项目概要</w:t>
      </w:r>
    </w:p>
    <w:p>
      <w:pPr>
        <w:pStyle w:val="28"/>
        <w:bidi w:val="0"/>
        <w:rPr>
          <w:rFonts w:hint="eastAsia"/>
          <w:lang w:val="en-US" w:eastAsia="zh-CN"/>
        </w:rPr>
      </w:pPr>
      <w:r>
        <w:rPr>
          <w:rFonts w:hint="eastAsia"/>
          <w:lang w:val="en-US" w:eastAsia="zh-CN"/>
        </w:rPr>
        <w:t>目前部门采用传统电子表格和纸质登记方式管理1000余套设备，这种管理模式已暴露出诸多问题，严重制约了设备资产的高效利用和管理效能提升。首先，在设备流转方面，由于缺乏数字化跟踪手段，设备借用、归还仍依赖人工纸质登记，导致台账信息更新滞后，经常出现登记错误、遗失或久借未还的情况，管理人员不得不频繁通过电话确认设备位置和使用状态，效率低下且易出错。其次，在设备维护方面，由于缺乏自动化提醒机制，检定和维护工作常出现漏检、漏保现象，部分设备在投入使用前才发现报告过期或未检定，不仅影响业务正常开展，还可能带来合规风险。此外，资产盘点困难，设备查找定位主要依赖人工记忆或分散的台账记录，难以实现精准管理，资产遗失风险较高，且无法实时掌握设备使用状态，影响资源调配的科学性。</w:t>
      </w:r>
    </w:p>
    <w:p>
      <w:pPr>
        <w:pStyle w:val="28"/>
        <w:bidi w:val="0"/>
        <w:rPr>
          <w:rFonts w:hint="eastAsia"/>
          <w:lang w:val="en-US" w:eastAsia="zh-CN"/>
        </w:rPr>
      </w:pPr>
      <w:r>
        <w:rPr>
          <w:rFonts w:hint="eastAsia"/>
          <w:lang w:val="en-US" w:eastAsia="zh-CN"/>
        </w:rPr>
        <w:t>因此，采购一套具有重要的现实意义和必要性。该系统将实现设备全生命周期的数字化管理，通过扫码登记、自动提醒、电子台账等功能，彻底解决当前管理模式的痛点。一方面，系统可规范业务流程，实现借用、归还、检定等环节的在线办理和电子归档，减少人为错误，提高工作效率；另一方面，通过实时数据更新和智能提醒功能，可确保设备维护及时性，避免漏检漏保，降低合规风险。此外，系统提供的精准定位和报表统计功能，将极大提升资产盘点和资源调配的便捷性，减少资产遗失，优化设备使用率。长远来看，该系统的实施不仅能提升管理效能，降低人力成本，还将为后续设备管理的数据分析和决策支持奠定基础，推动资产管理向智能化、精细化方向发展。</w:t>
      </w:r>
    </w:p>
    <w:p>
      <w:pPr>
        <w:pStyle w:val="3"/>
        <w:bidi w:val="0"/>
        <w:ind w:left="0" w:leftChars="0" w:firstLine="0" w:firstLineChars="0"/>
        <w:rPr>
          <w:rFonts w:hint="eastAsia"/>
          <w:lang w:val="en-US" w:eastAsia="zh-CN"/>
        </w:rPr>
      </w:pPr>
      <w:r>
        <w:rPr>
          <w:rFonts w:hint="eastAsia"/>
          <w:lang w:val="en-US" w:eastAsia="zh-CN"/>
        </w:rPr>
        <w:t>项目范围</w:t>
      </w:r>
    </w:p>
    <w:p>
      <w:pPr>
        <w:pStyle w:val="28"/>
        <w:bidi w:val="0"/>
        <w:rPr>
          <w:rFonts w:hint="default"/>
          <w:lang w:val="en-US" w:eastAsia="zh-CN"/>
        </w:rPr>
      </w:pPr>
      <w:r>
        <w:rPr>
          <w:rFonts w:hint="eastAsia"/>
          <w:lang w:val="en-US" w:eastAsia="zh-CN"/>
        </w:rPr>
        <w:t>技术服务及实施的范围如下：</w:t>
      </w:r>
    </w:p>
    <w:p>
      <w:pPr>
        <w:pStyle w:val="28"/>
        <w:numPr>
          <w:ilvl w:val="0"/>
          <w:numId w:val="2"/>
        </w:numPr>
        <w:bidi w:val="0"/>
        <w:ind w:left="840" w:leftChars="0" w:firstLine="0" w:firstLineChars="0"/>
        <w:rPr>
          <w:rFonts w:hint="eastAsia"/>
          <w:lang w:val="en-US" w:eastAsia="zh-CN"/>
        </w:rPr>
      </w:pPr>
      <w:r>
        <w:rPr>
          <w:rFonts w:hint="eastAsia"/>
          <w:lang w:val="en-US" w:eastAsia="zh-CN"/>
        </w:rPr>
        <w:t>按甲方的业务需要进行设备管理系统的需求分析、设计、开发、测试及部署实施；</w:t>
      </w:r>
    </w:p>
    <w:p>
      <w:pPr>
        <w:pStyle w:val="28"/>
        <w:numPr>
          <w:ilvl w:val="0"/>
          <w:numId w:val="2"/>
        </w:numPr>
        <w:bidi w:val="0"/>
        <w:ind w:left="840" w:leftChars="0" w:firstLine="0" w:firstLineChars="0"/>
        <w:rPr>
          <w:rFonts w:hint="eastAsia"/>
          <w:lang w:val="en-US" w:eastAsia="zh-CN"/>
        </w:rPr>
      </w:pPr>
      <w:r>
        <w:rPr>
          <w:rFonts w:hint="eastAsia"/>
          <w:lang w:val="en-US" w:eastAsia="zh-CN"/>
        </w:rPr>
        <w:t>根据设备的使用要求、结构等，进行资产标签的设计、生成及粘贴指导服务；</w:t>
      </w:r>
    </w:p>
    <w:p>
      <w:pPr>
        <w:pStyle w:val="28"/>
        <w:numPr>
          <w:ilvl w:val="0"/>
          <w:numId w:val="2"/>
        </w:numPr>
        <w:bidi w:val="0"/>
        <w:ind w:left="840" w:leftChars="0" w:firstLine="0" w:firstLineChars="0"/>
        <w:rPr>
          <w:rFonts w:hint="eastAsia"/>
          <w:lang w:val="en-US" w:eastAsia="zh-CN"/>
        </w:rPr>
      </w:pPr>
      <w:r>
        <w:rPr>
          <w:rFonts w:hint="eastAsia"/>
          <w:lang w:val="en-US" w:eastAsia="zh-CN"/>
        </w:rPr>
        <w:t>开展存量设备的盘点及设备台账数据的整理、分类及系统录入；</w:t>
      </w:r>
    </w:p>
    <w:p>
      <w:pPr>
        <w:pStyle w:val="28"/>
        <w:numPr>
          <w:ilvl w:val="0"/>
          <w:numId w:val="2"/>
        </w:numPr>
        <w:bidi w:val="0"/>
        <w:ind w:left="840" w:leftChars="0" w:firstLine="0" w:firstLineChars="0"/>
        <w:rPr>
          <w:rFonts w:hint="eastAsia"/>
          <w:lang w:val="en-US" w:eastAsia="zh-CN"/>
        </w:rPr>
      </w:pPr>
      <w:r>
        <w:rPr>
          <w:rFonts w:hint="eastAsia"/>
          <w:lang w:val="en-US" w:eastAsia="zh-CN"/>
        </w:rPr>
        <w:t>提供系统使用培训及运维支持服务；</w:t>
      </w:r>
    </w:p>
    <w:p>
      <w:pPr>
        <w:pStyle w:val="28"/>
        <w:numPr>
          <w:ilvl w:val="0"/>
          <w:numId w:val="2"/>
        </w:numPr>
        <w:bidi w:val="0"/>
        <w:ind w:left="840" w:leftChars="0" w:firstLine="0" w:firstLineChars="0"/>
        <w:rPr>
          <w:rFonts w:hint="default" w:ascii="仿宋" w:hAnsi="仿宋" w:eastAsia="仿宋" w:cs="仿宋"/>
          <w:sz w:val="24"/>
          <w:szCs w:val="24"/>
          <w:lang w:val="en-US" w:eastAsia="zh-CN"/>
        </w:rPr>
      </w:pPr>
      <w:r>
        <w:rPr>
          <w:rFonts w:hint="eastAsia"/>
          <w:lang w:val="en-US" w:eastAsia="zh-CN"/>
        </w:rPr>
        <w:t>提供为期3个月的驻场服务以完成系统的开发设计及部署实施等服务；</w:t>
      </w:r>
    </w:p>
    <w:p>
      <w:pPr>
        <w:pStyle w:val="28"/>
        <w:numPr>
          <w:ilvl w:val="0"/>
          <w:numId w:val="2"/>
        </w:numPr>
        <w:bidi w:val="0"/>
        <w:ind w:left="840" w:leftChars="0" w:firstLine="0" w:firstLineChars="0"/>
        <w:rPr>
          <w:rFonts w:hint="default" w:ascii="仿宋" w:hAnsi="仿宋" w:eastAsia="仿宋" w:cs="仿宋"/>
          <w:sz w:val="24"/>
          <w:szCs w:val="24"/>
          <w:lang w:val="en-US" w:eastAsia="zh-CN"/>
        </w:rPr>
      </w:pPr>
      <w:r>
        <w:rPr>
          <w:rFonts w:hint="eastAsia"/>
          <w:lang w:val="en-US" w:eastAsia="zh-CN"/>
        </w:rPr>
        <w:t>提供3年的系统免维护服务。</w:t>
      </w:r>
    </w:p>
    <w:p>
      <w:pPr>
        <w:pStyle w:val="3"/>
        <w:bidi w:val="0"/>
        <w:ind w:left="0" w:leftChars="0" w:firstLine="0" w:firstLineChars="0"/>
        <w:rPr>
          <w:rFonts w:hint="eastAsia"/>
          <w:lang w:val="en-US" w:eastAsia="zh-CN"/>
        </w:rPr>
      </w:pPr>
      <w:r>
        <w:rPr>
          <w:rFonts w:hint="eastAsia"/>
          <w:lang w:val="en-US" w:eastAsia="zh-CN"/>
        </w:rPr>
        <w:t>项目技术要求</w:t>
      </w:r>
    </w:p>
    <w:p>
      <w:pPr>
        <w:pStyle w:val="2"/>
        <w:bidi w:val="0"/>
        <w:ind w:left="0" w:leftChars="0" w:firstLine="0" w:firstLineChars="0"/>
        <w:rPr>
          <w:rFonts w:hint="eastAsia"/>
          <w:lang w:val="en-US" w:eastAsia="zh-CN"/>
        </w:rPr>
      </w:pPr>
      <w:r>
        <w:rPr>
          <w:rFonts w:hint="eastAsia"/>
          <w:lang w:val="en-US" w:eastAsia="zh-CN"/>
        </w:rPr>
        <w:t>系统目标与功能要求</w:t>
      </w:r>
    </w:p>
    <w:p>
      <w:pPr>
        <w:pStyle w:val="4"/>
        <w:bidi w:val="0"/>
        <w:ind w:left="0" w:leftChars="0" w:firstLine="0" w:firstLineChars="0"/>
        <w:rPr>
          <w:rFonts w:hint="eastAsia"/>
          <w:lang w:val="en-US" w:eastAsia="zh-CN"/>
        </w:rPr>
      </w:pPr>
      <w:r>
        <w:rPr>
          <w:rFonts w:hint="eastAsia"/>
          <w:lang w:val="en-US" w:eastAsia="zh-CN"/>
        </w:rPr>
        <w:t>系统目标</w:t>
      </w:r>
    </w:p>
    <w:p>
      <w:pPr>
        <w:pStyle w:val="33"/>
        <w:bidi w:val="0"/>
        <w:rPr>
          <w:rFonts w:hint="default"/>
          <w:lang w:val="en-US" w:eastAsia="zh-CN"/>
        </w:rPr>
      </w:pPr>
      <w:r>
        <w:rPr>
          <w:rFonts w:hint="default"/>
          <w:lang w:val="en-US" w:eastAsia="zh-CN"/>
        </w:rPr>
        <w:t>1. 提升管理效率，降低人为错误</w:t>
      </w:r>
    </w:p>
    <w:p>
      <w:pPr>
        <w:pStyle w:val="28"/>
        <w:bidi w:val="0"/>
        <w:rPr>
          <w:rFonts w:hint="default"/>
        </w:rPr>
      </w:pPr>
      <w:r>
        <w:rPr>
          <w:rFonts w:hint="default"/>
        </w:rPr>
        <w:t>通过引入设备管理系统，可实现借用、归还、</w:t>
      </w:r>
      <w:r>
        <w:rPr>
          <w:rFonts w:hint="eastAsia"/>
          <w:lang w:eastAsia="zh-CN"/>
        </w:rPr>
        <w:t>检定</w:t>
      </w:r>
      <w:r>
        <w:rPr>
          <w:rFonts w:hint="default"/>
        </w:rPr>
        <w:t>等业务的在线办理和电子化登记，减少手工操作带来的数据错误和遗漏，同时借助扫码识别技术简化流程，大幅提升管理效率，降低人力成本。</w:t>
      </w:r>
    </w:p>
    <w:p>
      <w:pPr>
        <w:pStyle w:val="33"/>
        <w:bidi w:val="0"/>
        <w:rPr>
          <w:rFonts w:hint="default"/>
          <w:lang w:val="en-US" w:eastAsia="zh-CN"/>
        </w:rPr>
      </w:pPr>
      <w:r>
        <w:rPr>
          <w:rFonts w:hint="default"/>
          <w:lang w:val="en-US" w:eastAsia="zh-CN"/>
        </w:rPr>
        <w:t>2. 实现设备全生命周期数字化管理</w:t>
      </w:r>
    </w:p>
    <w:p>
      <w:pPr>
        <w:pStyle w:val="28"/>
        <w:bidi w:val="0"/>
        <w:rPr>
          <w:rFonts w:hint="default"/>
        </w:rPr>
      </w:pPr>
      <w:r>
        <w:rPr>
          <w:rFonts w:hint="default"/>
        </w:rPr>
        <w:t>系统能够记录设备从入库到报废的完整流转历史，并提供实时状态更新，确保管理人员随时掌握设备位置、使用情况和维护记录，避免资产遗失或闲置，提高资源利用率。</w:t>
      </w:r>
    </w:p>
    <w:p>
      <w:pPr>
        <w:pStyle w:val="33"/>
        <w:bidi w:val="0"/>
        <w:rPr>
          <w:rFonts w:hint="default"/>
          <w:lang w:val="en-US" w:eastAsia="zh-CN"/>
        </w:rPr>
      </w:pPr>
      <w:r>
        <w:rPr>
          <w:rFonts w:hint="default"/>
          <w:lang w:val="en-US" w:eastAsia="zh-CN"/>
        </w:rPr>
        <w:t>3. 自动化提醒功能，确保合规性</w:t>
      </w:r>
    </w:p>
    <w:p>
      <w:pPr>
        <w:pStyle w:val="28"/>
        <w:bidi w:val="0"/>
        <w:rPr>
          <w:rFonts w:hint="default"/>
        </w:rPr>
      </w:pPr>
      <w:r>
        <w:rPr>
          <w:rFonts w:hint="default"/>
        </w:rPr>
        <w:t>系统可自动提醒设备的定期检定和维护时间，避免漏检漏保问题，确保设备始终处于合规可用状态，减少因维护不及时导致的业务中断或合规风险。</w:t>
      </w:r>
    </w:p>
    <w:p>
      <w:pPr>
        <w:pStyle w:val="33"/>
        <w:bidi w:val="0"/>
        <w:rPr>
          <w:rFonts w:hint="default"/>
          <w:lang w:val="en-US" w:eastAsia="zh-CN"/>
        </w:rPr>
      </w:pPr>
      <w:r>
        <w:rPr>
          <w:rFonts w:hint="default"/>
          <w:lang w:val="en-US" w:eastAsia="zh-CN"/>
        </w:rPr>
        <w:t>4. 精准定位与智能盘点，优化资产管理</w:t>
      </w:r>
    </w:p>
    <w:p>
      <w:pPr>
        <w:pStyle w:val="28"/>
        <w:bidi w:val="0"/>
        <w:rPr>
          <w:rFonts w:hint="default"/>
        </w:rPr>
      </w:pPr>
      <w:r>
        <w:rPr>
          <w:rFonts w:hint="default"/>
        </w:rPr>
        <w:t>通过电子标签和系统管理平台，可实现设备的快速定位和智能盘点，减少人工查找时间，提高资产清查效率，同时结合数据分析功能，为设备调配和采购计划提供科学依据。</w:t>
      </w:r>
    </w:p>
    <w:p>
      <w:pPr>
        <w:pStyle w:val="33"/>
        <w:bidi w:val="0"/>
        <w:rPr>
          <w:rFonts w:hint="default"/>
          <w:lang w:val="en-US" w:eastAsia="zh-CN"/>
        </w:rPr>
      </w:pPr>
      <w:r>
        <w:rPr>
          <w:rFonts w:hint="default"/>
          <w:lang w:val="en-US" w:eastAsia="zh-CN"/>
        </w:rPr>
        <w:t>5. 数据驱动决策，提升管理精细化水平</w:t>
      </w:r>
    </w:p>
    <w:p>
      <w:pPr>
        <w:pStyle w:val="28"/>
        <w:bidi w:val="0"/>
        <w:rPr>
          <w:rFonts w:hint="default"/>
        </w:rPr>
      </w:pPr>
      <w:r>
        <w:rPr>
          <w:rFonts w:hint="default"/>
        </w:rPr>
        <w:t>系统可自动生成各类统计报表和分析图表，帮助管理层全面掌握设备使用率、维护记录、流转情况等关键数据，支持基于数据的决策优化，推动资产管理向智能化、精细化方向发展。</w:t>
      </w:r>
    </w:p>
    <w:p>
      <w:pPr>
        <w:pStyle w:val="4"/>
        <w:bidi w:val="0"/>
        <w:ind w:left="0" w:leftChars="0" w:firstLine="0" w:firstLineChars="0"/>
        <w:rPr>
          <w:rFonts w:hint="eastAsia"/>
          <w:lang w:val="en-US" w:eastAsia="zh-CN"/>
        </w:rPr>
      </w:pPr>
      <w:r>
        <w:rPr>
          <w:rFonts w:hint="eastAsia"/>
          <w:lang w:val="en-US" w:eastAsia="zh-CN"/>
        </w:rPr>
        <w:t>系统功能</w:t>
      </w:r>
    </w:p>
    <w:p>
      <w:pPr>
        <w:pStyle w:val="28"/>
        <w:bidi w:val="0"/>
        <w:rPr>
          <w:rFonts w:hint="default" w:eastAsia="宋体"/>
          <w:lang w:val="en-US" w:eastAsia="zh-CN"/>
        </w:rPr>
      </w:pPr>
      <w:r>
        <w:rPr>
          <w:rFonts w:hint="eastAsia"/>
          <w:lang w:val="en-US" w:eastAsia="zh-CN"/>
        </w:rPr>
        <w:t>系统主要包含以下功能：</w:t>
      </w:r>
    </w:p>
    <w:p>
      <w:pPr>
        <w:pStyle w:val="33"/>
        <w:bidi w:val="0"/>
        <w:rPr>
          <w:rFonts w:hint="eastAsia"/>
          <w:lang w:val="en-US" w:eastAsia="zh-CN"/>
        </w:rPr>
      </w:pPr>
      <w:r>
        <w:rPr>
          <w:rFonts w:hint="eastAsia"/>
          <w:lang w:val="en-US" w:eastAsia="zh-CN"/>
        </w:rPr>
        <w:t>1.设备台账管理</w:t>
      </w:r>
    </w:p>
    <w:p>
      <w:pPr>
        <w:pStyle w:val="28"/>
        <w:bidi w:val="0"/>
        <w:rPr>
          <w:rFonts w:hint="eastAsia"/>
          <w:lang w:eastAsia="zh-CN"/>
        </w:rPr>
      </w:pPr>
      <w:r>
        <w:rPr>
          <w:rFonts w:hint="eastAsia"/>
          <w:lang w:eastAsia="zh-CN"/>
        </w:rPr>
        <w:t>（1）基础信息管理：建立包含设备参数、技术指标、供应商信息等30+字段的电子档案，支持自定义字段扩展</w:t>
      </w:r>
    </w:p>
    <w:p>
      <w:pPr>
        <w:pStyle w:val="28"/>
        <w:bidi w:val="0"/>
        <w:rPr>
          <w:rFonts w:hint="eastAsia"/>
          <w:lang w:eastAsia="zh-CN"/>
        </w:rPr>
      </w:pPr>
      <w:r>
        <w:rPr>
          <w:rFonts w:hint="eastAsia"/>
          <w:lang w:eastAsia="zh-CN"/>
        </w:rPr>
        <w:t>（2）状态实时监控：通过四色标识（绿/黄/橙/红）直观展示设备在用、闲置、维修、报废等8种状态</w:t>
      </w:r>
    </w:p>
    <w:p>
      <w:pPr>
        <w:pStyle w:val="28"/>
        <w:bidi w:val="0"/>
        <w:rPr>
          <w:rFonts w:hint="eastAsia"/>
          <w:lang w:eastAsia="zh-CN"/>
        </w:rPr>
      </w:pPr>
      <w:r>
        <w:rPr>
          <w:rFonts w:hint="eastAsia"/>
          <w:lang w:eastAsia="zh-CN"/>
        </w:rPr>
        <w:t>（3）智能检索：组合条件查询支持模糊匹配SN码、设备名称等关键字段，响应时间&lt;1秒</w:t>
      </w:r>
    </w:p>
    <w:p>
      <w:pPr>
        <w:pStyle w:val="28"/>
        <w:bidi w:val="0"/>
        <w:rPr>
          <w:rFonts w:hint="eastAsia"/>
          <w:lang w:val="en-US" w:eastAsia="zh-CN"/>
        </w:rPr>
      </w:pPr>
      <w:r>
        <w:rPr>
          <w:rFonts w:hint="eastAsia"/>
          <w:lang w:eastAsia="zh-CN"/>
        </w:rPr>
        <w:t>（</w:t>
      </w:r>
      <w:r>
        <w:rPr>
          <w:rFonts w:hint="eastAsia"/>
          <w:lang w:val="en-US" w:eastAsia="zh-CN"/>
        </w:rPr>
        <w:t>4</w:t>
      </w:r>
      <w:r>
        <w:rPr>
          <w:rFonts w:hint="eastAsia"/>
          <w:lang w:eastAsia="zh-CN"/>
        </w:rPr>
        <w:t>）</w:t>
      </w:r>
      <w:r>
        <w:rPr>
          <w:rFonts w:hint="eastAsia"/>
          <w:lang w:val="en-US" w:eastAsia="zh-CN"/>
        </w:rPr>
        <w:t>设备报废：设备达到使用年限或无法修复时，可发起报废申请流程。完成报废的设备信息将被统一归档，保留完整的设备生命周期记录。</w:t>
      </w:r>
    </w:p>
    <w:p>
      <w:pPr>
        <w:pStyle w:val="28"/>
        <w:bidi w:val="0"/>
        <w:rPr>
          <w:rFonts w:hint="default"/>
          <w:lang w:val="en-US" w:eastAsia="zh-CN"/>
        </w:rPr>
      </w:pPr>
      <w:r>
        <w:rPr>
          <w:rFonts w:hint="eastAsia"/>
          <w:lang w:val="en-US" w:eastAsia="zh-CN"/>
        </w:rPr>
        <w:t>（5）设备报表：支持设备台账报表多维度生成、导出及打印，支持设备详细报告导出及打印等。</w:t>
      </w:r>
    </w:p>
    <w:p>
      <w:pPr>
        <w:pStyle w:val="33"/>
        <w:bidi w:val="0"/>
        <w:rPr>
          <w:rFonts w:hint="eastAsia"/>
          <w:lang w:val="en-US" w:eastAsia="zh-CN"/>
        </w:rPr>
      </w:pPr>
      <w:r>
        <w:rPr>
          <w:rFonts w:hint="eastAsia"/>
          <w:lang w:val="en-US" w:eastAsia="zh-CN"/>
        </w:rPr>
        <w:t xml:space="preserve">2.出入库管理 </w:t>
      </w:r>
    </w:p>
    <w:p>
      <w:pPr>
        <w:pStyle w:val="28"/>
        <w:bidi w:val="0"/>
        <w:rPr>
          <w:rFonts w:hint="eastAsia"/>
          <w:lang w:eastAsia="zh-CN"/>
        </w:rPr>
      </w:pPr>
      <w:r>
        <w:rPr>
          <w:rFonts w:hint="eastAsia"/>
          <w:lang w:eastAsia="zh-CN"/>
        </w:rPr>
        <w:t>（1）扫码快捷办理：通过扫描设备条码/二维码，3秒完成出入库登记，自动关联责任人；</w:t>
      </w:r>
    </w:p>
    <w:p>
      <w:pPr>
        <w:pStyle w:val="28"/>
        <w:bidi w:val="0"/>
        <w:rPr>
          <w:rFonts w:hint="eastAsia"/>
          <w:lang w:eastAsia="zh-CN"/>
        </w:rPr>
      </w:pPr>
      <w:r>
        <w:rPr>
          <w:rFonts w:hint="eastAsia"/>
          <w:lang w:eastAsia="zh-CN"/>
        </w:rPr>
        <w:t>（2）出入库溯源：完整记录设备出入库时的人员、时间、设备清单，自动生成出入库报告并实现联机打印，实现现场出入库打印签字归档备查；</w:t>
      </w:r>
    </w:p>
    <w:p>
      <w:pPr>
        <w:pStyle w:val="28"/>
        <w:bidi w:val="0"/>
        <w:rPr>
          <w:rFonts w:hint="default"/>
          <w:lang w:val="en-US" w:eastAsia="zh-CN"/>
        </w:rPr>
      </w:pPr>
      <w:r>
        <w:rPr>
          <w:rFonts w:hint="eastAsia"/>
          <w:lang w:eastAsia="zh-CN"/>
        </w:rPr>
        <w:t>（</w:t>
      </w:r>
      <w:r>
        <w:rPr>
          <w:rFonts w:hint="eastAsia"/>
          <w:lang w:val="en-US" w:eastAsia="zh-CN"/>
        </w:rPr>
        <w:t>3</w:t>
      </w:r>
      <w:r>
        <w:rPr>
          <w:rFonts w:hint="eastAsia"/>
          <w:lang w:eastAsia="zh-CN"/>
        </w:rPr>
        <w:t>）</w:t>
      </w:r>
      <w:r>
        <w:rPr>
          <w:rFonts w:hint="eastAsia"/>
          <w:lang w:val="en-US" w:eastAsia="zh-CN"/>
        </w:rPr>
        <w:t>借用报表：支持对设备借用的统计分析及报表生成、导出、打印等功能。</w:t>
      </w:r>
    </w:p>
    <w:p>
      <w:pPr>
        <w:pStyle w:val="33"/>
        <w:bidi w:val="0"/>
        <w:rPr>
          <w:rFonts w:hint="eastAsia"/>
          <w:lang w:val="en-US" w:eastAsia="zh-CN"/>
        </w:rPr>
      </w:pPr>
      <w:r>
        <w:rPr>
          <w:rFonts w:hint="eastAsia"/>
          <w:lang w:val="en-US" w:eastAsia="zh-CN"/>
        </w:rPr>
        <w:t>3.检定管理</w:t>
      </w:r>
    </w:p>
    <w:p>
      <w:pPr>
        <w:pStyle w:val="28"/>
        <w:bidi w:val="0"/>
        <w:rPr>
          <w:rFonts w:hint="default"/>
          <w:lang w:val="en-US" w:eastAsia="zh-CN"/>
        </w:rPr>
      </w:pPr>
      <w:r>
        <w:rPr>
          <w:rFonts w:hint="eastAsia"/>
          <w:lang w:eastAsia="zh-CN"/>
        </w:rPr>
        <w:t>（1）多</w:t>
      </w:r>
      <w:r>
        <w:rPr>
          <w:rFonts w:hint="eastAsia"/>
          <w:lang w:val="en-US" w:eastAsia="zh-CN"/>
        </w:rPr>
        <w:t>渠道</w:t>
      </w:r>
      <w:r>
        <w:rPr>
          <w:rFonts w:hint="eastAsia"/>
          <w:lang w:eastAsia="zh-CN"/>
        </w:rPr>
        <w:t>预警：</w:t>
      </w:r>
      <w:r>
        <w:rPr>
          <w:rFonts w:hint="eastAsia"/>
          <w:lang w:val="en-US" w:eastAsia="zh-CN"/>
        </w:rPr>
        <w:t>多渠道的提醒机制</w:t>
      </w:r>
      <w:r>
        <w:rPr>
          <w:rFonts w:hint="eastAsia"/>
          <w:lang w:eastAsia="zh-CN"/>
        </w:rPr>
        <w:t>机制，</w:t>
      </w:r>
      <w:r>
        <w:rPr>
          <w:rFonts w:hint="eastAsia"/>
          <w:lang w:val="en-US" w:eastAsia="zh-CN"/>
        </w:rPr>
        <w:t>实现检定报告到期的提醒、检定计划提醒等；</w:t>
      </w:r>
    </w:p>
    <w:p>
      <w:pPr>
        <w:pStyle w:val="28"/>
        <w:bidi w:val="0"/>
        <w:rPr>
          <w:rFonts w:hint="eastAsia"/>
          <w:lang w:eastAsia="zh-CN"/>
        </w:rPr>
      </w:pPr>
      <w:r>
        <w:rPr>
          <w:rFonts w:hint="eastAsia"/>
          <w:lang w:eastAsia="zh-CN"/>
        </w:rPr>
        <w:t>（2）计划管理：</w:t>
      </w:r>
      <w:r>
        <w:rPr>
          <w:rFonts w:hint="eastAsia"/>
          <w:lang w:val="en-US" w:eastAsia="zh-CN"/>
        </w:rPr>
        <w:t>根据设备各自的检定周期及上一次的检定报告时间，进行动态分析需检定的设备，并罗列计划；</w:t>
      </w:r>
    </w:p>
    <w:p>
      <w:pPr>
        <w:pStyle w:val="28"/>
        <w:bidi w:val="0"/>
        <w:rPr>
          <w:rFonts w:hint="default"/>
          <w:lang w:val="en-US" w:eastAsia="zh-CN"/>
        </w:rPr>
      </w:pPr>
      <w:r>
        <w:rPr>
          <w:rFonts w:hint="eastAsia"/>
          <w:lang w:eastAsia="zh-CN"/>
        </w:rPr>
        <w:t>（3）</w:t>
      </w:r>
      <w:r>
        <w:rPr>
          <w:rFonts w:hint="eastAsia"/>
          <w:lang w:val="en-US" w:eastAsia="zh-CN"/>
        </w:rPr>
        <w:t>检定流程管理：管理员可以根据生成的检定计划，执行检定任务计划，或手动对某设备创建并启动检定任务计划，同时锁定设备状态，不允许再进行其他业务办理，检定完成后，再次到系统中闭环任务，并对检定报告进行更新管理，同时解除设备状态锁定；</w:t>
      </w:r>
    </w:p>
    <w:p>
      <w:pPr>
        <w:pStyle w:val="28"/>
        <w:bidi w:val="0"/>
        <w:rPr>
          <w:rFonts w:hint="eastAsia"/>
          <w:lang w:val="en-US" w:eastAsia="zh-CN"/>
        </w:rPr>
      </w:pPr>
      <w:r>
        <w:rPr>
          <w:rFonts w:hint="eastAsia"/>
          <w:lang w:eastAsia="zh-CN"/>
        </w:rPr>
        <w:t>（4）</w:t>
      </w:r>
      <w:r>
        <w:rPr>
          <w:rFonts w:hint="eastAsia"/>
          <w:lang w:val="en-US" w:eastAsia="zh-CN"/>
        </w:rPr>
        <w:t>检定跟踪：提供各设备检定记录的跟踪查询；</w:t>
      </w:r>
    </w:p>
    <w:p>
      <w:pPr>
        <w:pStyle w:val="28"/>
        <w:bidi w:val="0"/>
        <w:rPr>
          <w:rFonts w:hint="default"/>
          <w:lang w:val="en-US" w:eastAsia="zh-CN"/>
        </w:rPr>
      </w:pPr>
      <w:r>
        <w:rPr>
          <w:rFonts w:hint="eastAsia"/>
          <w:lang w:val="en-US" w:eastAsia="zh-CN"/>
        </w:rPr>
        <w:t>（5）报表生成：支持对在建设备、待检设备等进行多维度的分析及报表生成、导出、打印等功能。</w:t>
      </w:r>
    </w:p>
    <w:p>
      <w:pPr>
        <w:pStyle w:val="33"/>
        <w:bidi w:val="0"/>
        <w:rPr>
          <w:rFonts w:hint="eastAsia"/>
          <w:lang w:val="en-US" w:eastAsia="zh-CN"/>
        </w:rPr>
      </w:pPr>
      <w:r>
        <w:rPr>
          <w:rFonts w:hint="eastAsia"/>
          <w:lang w:val="en-US" w:eastAsia="zh-CN"/>
        </w:rPr>
        <w:t>4.维护管理</w:t>
      </w:r>
    </w:p>
    <w:p>
      <w:pPr>
        <w:pStyle w:val="28"/>
        <w:bidi w:val="0"/>
        <w:rPr>
          <w:rFonts w:hint="default"/>
          <w:lang w:val="en-US" w:eastAsia="zh-CN"/>
        </w:rPr>
      </w:pPr>
      <w:r>
        <w:rPr>
          <w:rFonts w:hint="eastAsia"/>
          <w:lang w:eastAsia="zh-CN"/>
        </w:rPr>
        <w:t>（1）</w:t>
      </w:r>
      <w:r>
        <w:rPr>
          <w:rFonts w:hint="eastAsia"/>
          <w:lang w:val="en-US" w:eastAsia="zh-CN"/>
        </w:rPr>
        <w:t>设备维护：对设备进行维护操作包括清洁检查、电源检查、接地检查、试验导线检查、接线端子检查、配件检查、配用计算机检查、工器具检查、检定操作检查等并按这些维护的模板进行维护记录报告生成，同时支持维护模板定制化修改。设备维护完成后自动更新维护状态；</w:t>
      </w:r>
    </w:p>
    <w:p>
      <w:pPr>
        <w:pStyle w:val="28"/>
        <w:bidi w:val="0"/>
        <w:rPr>
          <w:rFonts w:hint="default"/>
          <w:lang w:val="en-US" w:eastAsia="zh-CN"/>
        </w:rPr>
      </w:pPr>
      <w:r>
        <w:rPr>
          <w:rFonts w:hint="eastAsia"/>
          <w:lang w:eastAsia="zh-CN"/>
        </w:rPr>
        <w:t>（2）</w:t>
      </w:r>
      <w:r>
        <w:rPr>
          <w:rFonts w:hint="eastAsia"/>
          <w:lang w:val="en-US" w:eastAsia="zh-CN"/>
        </w:rPr>
        <w:t>维护统计：实现对设备的累计维护、年维护等多维度的统计分析；</w:t>
      </w:r>
    </w:p>
    <w:p>
      <w:pPr>
        <w:pStyle w:val="28"/>
        <w:bidi w:val="0"/>
        <w:rPr>
          <w:rFonts w:hint="eastAsia"/>
          <w:lang w:val="en-US" w:eastAsia="zh-CN"/>
        </w:rPr>
      </w:pPr>
      <w:r>
        <w:rPr>
          <w:rFonts w:hint="eastAsia"/>
          <w:lang w:eastAsia="zh-CN"/>
        </w:rPr>
        <w:t>（3）</w:t>
      </w:r>
      <w:r>
        <w:rPr>
          <w:rFonts w:hint="eastAsia"/>
          <w:lang w:val="en-US" w:eastAsia="zh-CN"/>
        </w:rPr>
        <w:t xml:space="preserve">维护提醒：按系统配置对维护时间进行提醒，确保设备按时进行维护，避免因遗漏而导致设备故障；  </w:t>
      </w:r>
    </w:p>
    <w:p>
      <w:pPr>
        <w:pStyle w:val="28"/>
        <w:bidi w:val="0"/>
        <w:rPr>
          <w:rFonts w:hint="eastAsia"/>
          <w:lang w:val="en-US" w:eastAsia="zh-CN"/>
        </w:rPr>
      </w:pPr>
      <w:r>
        <w:rPr>
          <w:rFonts w:hint="eastAsia"/>
          <w:lang w:val="en-US" w:eastAsia="zh-CN"/>
        </w:rPr>
        <w:t xml:space="preserve">（4）维护记录管理：对每次设备维护的详细记录进行存档，包括维护时间、维护人员、维护内容等信息，便于后续追溯与分析；  </w:t>
      </w:r>
    </w:p>
    <w:p>
      <w:pPr>
        <w:pStyle w:val="28"/>
        <w:bidi w:val="0"/>
        <w:rPr>
          <w:rFonts w:hint="default"/>
          <w:lang w:val="en-US" w:eastAsia="zh-CN"/>
        </w:rPr>
      </w:pPr>
      <w:r>
        <w:rPr>
          <w:rFonts w:hint="eastAsia"/>
          <w:lang w:eastAsia="zh-CN"/>
        </w:rPr>
        <w:t>（</w:t>
      </w:r>
      <w:r>
        <w:rPr>
          <w:rFonts w:hint="eastAsia"/>
          <w:lang w:val="en-US" w:eastAsia="zh-CN"/>
        </w:rPr>
        <w:t>5</w:t>
      </w:r>
      <w:r>
        <w:rPr>
          <w:rFonts w:hint="eastAsia"/>
          <w:lang w:eastAsia="zh-CN"/>
        </w:rPr>
        <w:t>）</w:t>
      </w:r>
      <w:r>
        <w:rPr>
          <w:rFonts w:hint="eastAsia"/>
          <w:lang w:val="en-US" w:eastAsia="zh-CN"/>
        </w:rPr>
        <w:t>维护报告：每次维护都会生成维护报告，支持对维护报告进行检索、导出与打印。</w:t>
      </w:r>
    </w:p>
    <w:p>
      <w:pPr>
        <w:pStyle w:val="33"/>
        <w:bidi w:val="0"/>
        <w:rPr>
          <w:rFonts w:hint="eastAsia"/>
          <w:lang w:val="en-US" w:eastAsia="zh-CN"/>
        </w:rPr>
      </w:pPr>
      <w:r>
        <w:rPr>
          <w:rFonts w:hint="eastAsia"/>
          <w:lang w:val="en-US" w:eastAsia="zh-CN"/>
        </w:rPr>
        <w:t>5.人员资质管理</w:t>
      </w:r>
    </w:p>
    <w:p>
      <w:pPr>
        <w:pStyle w:val="28"/>
        <w:bidi w:val="0"/>
        <w:rPr>
          <w:rFonts w:hint="eastAsia"/>
          <w:lang w:val="en-US" w:eastAsia="zh-CN"/>
        </w:rPr>
      </w:pPr>
      <w:r>
        <w:rPr>
          <w:rFonts w:hint="eastAsia"/>
          <w:lang w:eastAsia="zh-CN"/>
        </w:rPr>
        <w:t>（1）</w:t>
      </w:r>
      <w:r>
        <w:rPr>
          <w:rFonts w:hint="eastAsia"/>
          <w:lang w:val="en-US" w:eastAsia="zh-CN"/>
        </w:rPr>
        <w:t>人员信息管理：实现人员信息的登记管理，包括基本信息、学历信息等；</w:t>
      </w:r>
    </w:p>
    <w:p>
      <w:pPr>
        <w:pStyle w:val="28"/>
        <w:bidi w:val="0"/>
        <w:rPr>
          <w:rFonts w:hint="eastAsia"/>
          <w:lang w:val="en-US" w:eastAsia="zh-CN"/>
        </w:rPr>
      </w:pPr>
      <w:r>
        <w:rPr>
          <w:rFonts w:hint="eastAsia"/>
          <w:lang w:val="en-US" w:eastAsia="zh-CN"/>
        </w:rPr>
        <w:t>（2）实现资质管理：实现资质信息的录入登记（报告证书附件等）及证书人员信息的关联；</w:t>
      </w:r>
    </w:p>
    <w:p>
      <w:pPr>
        <w:pStyle w:val="28"/>
        <w:bidi w:val="0"/>
        <w:rPr>
          <w:rFonts w:hint="default"/>
          <w:lang w:val="en-US" w:eastAsia="zh-CN"/>
        </w:rPr>
      </w:pPr>
      <w:r>
        <w:rPr>
          <w:rFonts w:hint="eastAsia"/>
          <w:lang w:val="en-US" w:eastAsia="zh-CN"/>
        </w:rPr>
        <w:t>（3）实现人员多维度信息的检索分析，包括人员基本信息模糊检索、资质证书信息模糊检索等。</w:t>
      </w:r>
    </w:p>
    <w:p>
      <w:pPr>
        <w:pStyle w:val="33"/>
        <w:bidi w:val="0"/>
        <w:rPr>
          <w:rFonts w:hint="eastAsia"/>
          <w:lang w:val="en-US" w:eastAsia="zh-CN"/>
        </w:rPr>
      </w:pPr>
      <w:r>
        <w:rPr>
          <w:rFonts w:hint="eastAsia"/>
          <w:lang w:val="en-US" w:eastAsia="zh-CN"/>
        </w:rPr>
        <w:t>6.统计分析</w:t>
      </w:r>
    </w:p>
    <w:p>
      <w:pPr>
        <w:pStyle w:val="28"/>
        <w:bidi w:val="0"/>
        <w:rPr>
          <w:rFonts w:hint="default"/>
          <w:lang w:val="en-US" w:eastAsia="zh-CN"/>
        </w:rPr>
      </w:pPr>
      <w:r>
        <w:rPr>
          <w:rFonts w:hint="eastAsia"/>
          <w:lang w:eastAsia="zh-CN"/>
        </w:rPr>
        <w:t>（1）</w:t>
      </w:r>
      <w:r>
        <w:rPr>
          <w:rFonts w:hint="eastAsia"/>
          <w:lang w:val="en-US" w:eastAsia="zh-CN"/>
        </w:rPr>
        <w:t>设备多维度统计：设备多维度统计分析及报表生成；</w:t>
      </w:r>
    </w:p>
    <w:p>
      <w:pPr>
        <w:pStyle w:val="28"/>
        <w:bidi w:val="0"/>
        <w:rPr>
          <w:rFonts w:hint="eastAsia"/>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设备出入库多维度统计：出入库多维度统计分析及报表生成、导出、打印等；</w:t>
      </w:r>
    </w:p>
    <w:p>
      <w:pPr>
        <w:pStyle w:val="28"/>
        <w:bidi w:val="0"/>
        <w:rPr>
          <w:rFonts w:hint="eastAsia"/>
          <w:lang w:val="en-US" w:eastAsia="zh-CN"/>
        </w:rPr>
      </w:pPr>
      <w:r>
        <w:rPr>
          <w:rFonts w:hint="eastAsia"/>
          <w:lang w:val="en-US" w:eastAsia="zh-CN"/>
        </w:rPr>
        <w:t>（3）人员使用跟踪：对人员所有使用的设备情况进行跟踪分析及报表生成、导出、打印等；</w:t>
      </w:r>
    </w:p>
    <w:p>
      <w:pPr>
        <w:pStyle w:val="28"/>
        <w:bidi w:val="0"/>
        <w:rPr>
          <w:rFonts w:hint="default"/>
          <w:lang w:val="en-US" w:eastAsia="zh-CN"/>
        </w:rPr>
      </w:pPr>
    </w:p>
    <w:p>
      <w:pPr>
        <w:pStyle w:val="28"/>
        <w:numPr>
          <w:ilvl w:val="0"/>
          <w:numId w:val="3"/>
        </w:numPr>
        <w:bidi w:val="0"/>
        <w:rPr>
          <w:rFonts w:hint="eastAsia"/>
          <w:lang w:val="en-US" w:eastAsia="zh-CN"/>
        </w:rPr>
      </w:pPr>
      <w:r>
        <w:rPr>
          <w:rFonts w:hint="eastAsia"/>
          <w:lang w:val="en-US" w:eastAsia="zh-CN"/>
        </w:rPr>
        <w:t>设备全生命周期检索：实现设备全生命周期的检索分析及报表生成、导出、打印等；</w:t>
      </w:r>
    </w:p>
    <w:p>
      <w:pPr>
        <w:pStyle w:val="2"/>
        <w:bidi w:val="0"/>
        <w:ind w:left="0" w:leftChars="0" w:firstLine="0" w:firstLineChars="0"/>
        <w:rPr>
          <w:rFonts w:hint="eastAsia"/>
          <w:lang w:val="en-US" w:eastAsia="zh-CN"/>
        </w:rPr>
      </w:pPr>
      <w:r>
        <w:rPr>
          <w:rFonts w:hint="eastAsia"/>
          <w:lang w:val="en-US" w:eastAsia="zh-CN"/>
        </w:rPr>
        <w:t>平台技术要求</w:t>
      </w:r>
    </w:p>
    <w:p>
      <w:pPr>
        <w:pStyle w:val="29"/>
        <w:numPr>
          <w:ilvl w:val="0"/>
          <w:numId w:val="0"/>
        </w:numPr>
        <w:bidi w:val="0"/>
        <w:ind w:left="360" w:leftChars="0"/>
        <w:rPr>
          <w:rFonts w:hint="eastAsia" w:ascii="宋体" w:hAnsi="宋体" w:eastAsia="宋体" w:cs="宋体"/>
        </w:rPr>
      </w:pPr>
      <w:r>
        <w:rPr>
          <w:rFonts w:hint="eastAsia" w:ascii="宋体" w:hAnsi="宋体" w:eastAsia="宋体" w:cs="宋体"/>
        </w:rPr>
        <w:t>（1）系统要求跨平台Java语言开发，采用主流Web架构，数据库要求为MySql，避免使用需付费的盗版数据库而发生纠纷；</w:t>
      </w:r>
    </w:p>
    <w:p>
      <w:pPr>
        <w:pStyle w:val="29"/>
        <w:numPr>
          <w:ilvl w:val="0"/>
          <w:numId w:val="0"/>
        </w:numPr>
        <w:bidi w:val="0"/>
        <w:ind w:left="360" w:leftChars="0"/>
        <w:rPr>
          <w:rFonts w:hint="eastAsia" w:ascii="宋体" w:hAnsi="宋体" w:eastAsia="宋体" w:cs="宋体"/>
        </w:rPr>
      </w:pPr>
      <w:r>
        <w:rPr>
          <w:rFonts w:hint="eastAsia" w:ascii="宋体" w:hAnsi="宋体" w:eastAsia="宋体" w:cs="宋体"/>
        </w:rPr>
        <w:t xml:space="preserve">（2）系统可用性不低于99.9%，数据备份恢复时间不超过4小时； </w:t>
      </w:r>
    </w:p>
    <w:p>
      <w:pPr>
        <w:pStyle w:val="29"/>
        <w:numPr>
          <w:ilvl w:val="0"/>
          <w:numId w:val="0"/>
        </w:numPr>
        <w:bidi w:val="0"/>
        <w:ind w:left="360" w:leftChars="0"/>
        <w:rPr>
          <w:rFonts w:hint="eastAsia" w:ascii="宋体" w:hAnsi="宋体" w:eastAsia="宋体" w:cs="宋体"/>
        </w:rPr>
      </w:pPr>
      <w:r>
        <w:rPr>
          <w:rFonts w:hint="eastAsia" w:ascii="宋体" w:hAnsi="宋体" w:eastAsia="宋体" w:cs="宋体"/>
        </w:rPr>
        <w:t>（3）支持7×24小时运行；</w:t>
      </w:r>
    </w:p>
    <w:p>
      <w:pPr>
        <w:pStyle w:val="29"/>
        <w:numPr>
          <w:ilvl w:val="0"/>
          <w:numId w:val="0"/>
        </w:numPr>
        <w:bidi w:val="0"/>
        <w:ind w:left="360" w:leftChars="0"/>
        <w:rPr>
          <w:rFonts w:hint="eastAsia" w:ascii="宋体" w:hAnsi="宋体" w:eastAsia="宋体" w:cs="宋体"/>
        </w:rPr>
      </w:pPr>
      <w:r>
        <w:rPr>
          <w:rFonts w:hint="eastAsia" w:ascii="宋体" w:hAnsi="宋体" w:eastAsia="宋体" w:cs="宋体"/>
        </w:rPr>
        <w:t xml:space="preserve">（4）系统平均无故障时间不低于10000小时； </w:t>
      </w:r>
    </w:p>
    <w:p>
      <w:pPr>
        <w:pStyle w:val="29"/>
        <w:numPr>
          <w:ilvl w:val="0"/>
          <w:numId w:val="0"/>
        </w:numPr>
        <w:bidi w:val="0"/>
        <w:ind w:left="360" w:leftChars="0"/>
        <w:rPr>
          <w:rFonts w:hint="eastAsia" w:ascii="宋体" w:hAnsi="宋体" w:eastAsia="宋体" w:cs="宋体"/>
        </w:rPr>
      </w:pPr>
      <w:r>
        <w:rPr>
          <w:rFonts w:hint="eastAsia" w:ascii="宋体" w:hAnsi="宋体" w:eastAsia="宋体" w:cs="宋体"/>
        </w:rPr>
        <w:t>（5）系统需支持100个以上库房、5万台以上设备的管理；</w:t>
      </w:r>
    </w:p>
    <w:p>
      <w:pPr>
        <w:pStyle w:val="29"/>
        <w:numPr>
          <w:ilvl w:val="0"/>
          <w:numId w:val="0"/>
        </w:numPr>
        <w:bidi w:val="0"/>
        <w:ind w:left="360" w:leftChars="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6</w:t>
      </w:r>
      <w:r>
        <w:rPr>
          <w:rFonts w:hint="eastAsia" w:ascii="宋体" w:hAnsi="宋体" w:eastAsia="宋体" w:cs="宋体"/>
          <w:lang w:eastAsia="zh-CN"/>
        </w:rPr>
        <w:t>）</w:t>
      </w:r>
      <w:r>
        <w:rPr>
          <w:rFonts w:hint="eastAsia" w:ascii="宋体" w:hAnsi="宋体" w:eastAsia="宋体" w:cs="宋体"/>
        </w:rPr>
        <w:t xml:space="preserve">支持2000人以上的人员资质信息管理； </w:t>
      </w:r>
    </w:p>
    <w:p>
      <w:pPr>
        <w:pStyle w:val="29"/>
        <w:numPr>
          <w:ilvl w:val="0"/>
          <w:numId w:val="0"/>
        </w:numPr>
        <w:bidi w:val="0"/>
        <w:ind w:left="360" w:leftChars="0"/>
        <w:rPr>
          <w:rFonts w:hint="eastAsia" w:ascii="宋体" w:hAnsi="宋体" w:eastAsia="宋体" w:cs="宋体"/>
        </w:rPr>
      </w:pPr>
      <w:r>
        <w:rPr>
          <w:rFonts w:hint="eastAsia" w:ascii="宋体" w:hAnsi="宋体" w:eastAsia="宋体" w:cs="宋体"/>
        </w:rPr>
        <w:t>（7）系统响应时间在常规操作下不超过2秒；</w:t>
      </w:r>
    </w:p>
    <w:p>
      <w:pPr>
        <w:pStyle w:val="29"/>
        <w:numPr>
          <w:ilvl w:val="0"/>
          <w:numId w:val="0"/>
        </w:numPr>
        <w:bidi w:val="0"/>
        <w:ind w:left="360" w:leftChars="0"/>
        <w:rPr>
          <w:rFonts w:hint="eastAsia" w:ascii="宋体" w:hAnsi="宋体" w:eastAsia="宋体" w:cs="宋体"/>
          <w:lang w:val="en-US" w:eastAsia="zh-CN"/>
        </w:rPr>
      </w:pPr>
      <w:r>
        <w:rPr>
          <w:rFonts w:hint="eastAsia" w:ascii="宋体" w:hAnsi="宋体" w:eastAsia="宋体" w:cs="宋体"/>
        </w:rPr>
        <w:t>（8）支持主流浏览器访问。</w:t>
      </w:r>
    </w:p>
    <w:p>
      <w:pPr>
        <w:pStyle w:val="4"/>
        <w:bidi w:val="0"/>
        <w:rPr>
          <w:rFonts w:hint="eastAsia"/>
        </w:rPr>
      </w:pPr>
      <w:bookmarkStart w:id="0" w:name="header-n202"/>
      <w:r>
        <w:rPr>
          <w:rFonts w:hint="eastAsia"/>
        </w:rPr>
        <w:t>技术架构要求</w:t>
      </w:r>
    </w:p>
    <w:p>
      <w:pPr>
        <w:pStyle w:val="33"/>
        <w:bidi w:val="0"/>
        <w:rPr>
          <w:rFonts w:hint="eastAsia" w:ascii="宋体" w:hAnsi="宋体" w:eastAsia="宋体" w:cs="宋体"/>
          <w:lang w:val="en-US" w:eastAsia="zh-CN"/>
        </w:rPr>
      </w:pPr>
    </w:p>
    <w:p>
      <w:pPr>
        <w:pStyle w:val="33"/>
        <w:bidi w:val="0"/>
        <w:rPr>
          <w:rFonts w:hint="eastAsia" w:ascii="宋体" w:hAnsi="宋体" w:eastAsia="宋体" w:cs="宋体"/>
          <w:lang w:val="en-US" w:eastAsia="zh-CN"/>
        </w:rPr>
      </w:pPr>
      <w:r>
        <w:rPr>
          <w:rFonts w:hint="eastAsia" w:ascii="宋体" w:hAnsi="宋体" w:eastAsia="宋体" w:cs="宋体"/>
          <w:lang w:val="en-US" w:eastAsia="zh-CN"/>
        </w:rPr>
        <w:t>1.开发规范</w:t>
      </w:r>
    </w:p>
    <w:p>
      <w:pPr>
        <w:pStyle w:val="29"/>
        <w:numPr>
          <w:ilvl w:val="0"/>
          <w:numId w:val="0"/>
        </w:numPr>
        <w:bidi w:val="0"/>
        <w:ind w:left="360" w:leftChars="0"/>
        <w:rPr>
          <w:rFonts w:hint="eastAsia" w:eastAsia="宋体"/>
          <w:lang w:eastAsia="zh-CN"/>
        </w:rPr>
      </w:pPr>
      <w:r>
        <w:rPr>
          <w:rFonts w:hint="eastAsia"/>
        </w:rPr>
        <w:t>（1）</w:t>
      </w:r>
      <w:r>
        <w:rPr>
          <w:rFonts w:hint="eastAsia" w:ascii="宋体" w:hAnsi="宋体" w:eastAsia="宋体" w:cs="宋体"/>
        </w:rPr>
        <w:t>要求跨平台Java语言开发</w:t>
      </w:r>
      <w:r>
        <w:rPr>
          <w:rFonts w:hint="eastAsia"/>
        </w:rPr>
        <w:t>，确保5年以上的长期技术支持</w:t>
      </w:r>
      <w:r>
        <w:rPr>
          <w:rFonts w:hint="eastAsia"/>
          <w:lang w:eastAsia="zh-CN"/>
        </w:rPr>
        <w:t>；</w:t>
      </w:r>
    </w:p>
    <w:p>
      <w:pPr>
        <w:pStyle w:val="29"/>
        <w:numPr>
          <w:ilvl w:val="0"/>
          <w:numId w:val="0"/>
        </w:numPr>
        <w:bidi w:val="0"/>
        <w:ind w:left="360" w:leftChars="0"/>
        <w:rPr>
          <w:rFonts w:hint="default" w:eastAsia="宋体"/>
          <w:lang w:val="en-US" w:eastAsia="zh-CN"/>
        </w:rPr>
      </w:pPr>
      <w:r>
        <w:rPr>
          <w:rFonts w:hint="eastAsia"/>
        </w:rPr>
        <w:t>（2）</w:t>
      </w:r>
      <w:r>
        <w:rPr>
          <w:rFonts w:hint="eastAsia"/>
          <w:lang w:val="en-US" w:eastAsia="zh-CN"/>
        </w:rPr>
        <w:t>系统采用B/S架构设计。</w:t>
      </w:r>
    </w:p>
    <w:p>
      <w:pPr>
        <w:pStyle w:val="33"/>
        <w:bidi w:val="0"/>
        <w:rPr>
          <w:rFonts w:hint="eastAsia" w:ascii="宋体" w:hAnsi="宋体" w:eastAsia="宋体" w:cs="宋体"/>
          <w:lang w:val="en-US" w:eastAsia="zh-CN"/>
        </w:rPr>
      </w:pPr>
      <w:r>
        <w:rPr>
          <w:rFonts w:hint="eastAsia" w:ascii="宋体" w:hAnsi="宋体" w:eastAsia="宋体" w:cs="宋体"/>
          <w:lang w:val="en-US" w:eastAsia="zh-CN"/>
        </w:rPr>
        <w:t>2.数据库规范</w:t>
      </w:r>
    </w:p>
    <w:p>
      <w:pPr>
        <w:pStyle w:val="29"/>
        <w:numPr>
          <w:ilvl w:val="0"/>
          <w:numId w:val="0"/>
        </w:numPr>
        <w:bidi w:val="0"/>
        <w:ind w:left="360" w:leftChars="0"/>
        <w:rPr>
          <w:rFonts w:hint="eastAsia"/>
        </w:rPr>
      </w:pPr>
      <w:r>
        <w:rPr>
          <w:rFonts w:hint="eastAsia"/>
        </w:rPr>
        <w:t>（1）主数据库</w:t>
      </w:r>
      <w:r>
        <w:rPr>
          <w:rFonts w:hint="eastAsia"/>
          <w:lang w:val="en-US" w:eastAsia="zh-CN"/>
        </w:rPr>
        <w:t>要求</w:t>
      </w:r>
      <w:r>
        <w:rPr>
          <w:rFonts w:hint="eastAsia"/>
        </w:rPr>
        <w:t>MySQL开源版本</w:t>
      </w:r>
    </w:p>
    <w:p>
      <w:pPr>
        <w:pStyle w:val="29"/>
        <w:numPr>
          <w:ilvl w:val="0"/>
          <w:numId w:val="0"/>
        </w:numPr>
        <w:bidi w:val="0"/>
        <w:ind w:left="360" w:leftChars="0"/>
        <w:rPr>
          <w:rFonts w:hint="eastAsia"/>
        </w:rPr>
      </w:pPr>
      <w:r>
        <w:rPr>
          <w:rFonts w:hint="eastAsia"/>
        </w:rPr>
        <w:t>（2）禁止使用Oracle等需商业授权的数据库产品</w:t>
      </w:r>
    </w:p>
    <w:p>
      <w:pPr>
        <w:pStyle w:val="29"/>
        <w:numPr>
          <w:ilvl w:val="0"/>
          <w:numId w:val="0"/>
        </w:numPr>
        <w:bidi w:val="0"/>
        <w:ind w:left="360" w:leftChars="0"/>
        <w:rPr>
          <w:rFonts w:hint="eastAsia"/>
        </w:rPr>
      </w:pPr>
      <w:r>
        <w:rPr>
          <w:rFonts w:hint="eastAsia"/>
        </w:rPr>
        <w:t>（3）数据存储需满足第三范式要求，建立完善的索引优化机制</w:t>
      </w:r>
    </w:p>
    <w:p>
      <w:pPr>
        <w:pStyle w:val="33"/>
        <w:bidi w:val="0"/>
        <w:rPr>
          <w:rFonts w:hint="eastAsia" w:ascii="宋体" w:hAnsi="宋体" w:eastAsia="宋体" w:cs="宋体"/>
          <w:lang w:val="en-US" w:eastAsia="zh-CN"/>
        </w:rPr>
      </w:pPr>
      <w:r>
        <w:rPr>
          <w:rFonts w:hint="eastAsia" w:ascii="宋体" w:hAnsi="宋体" w:eastAsia="宋体" w:cs="宋体"/>
          <w:lang w:val="en-US" w:eastAsia="zh-CN"/>
        </w:rPr>
        <w:t>3.跨平台支持</w:t>
      </w:r>
    </w:p>
    <w:p>
      <w:pPr>
        <w:pStyle w:val="29"/>
        <w:numPr>
          <w:ilvl w:val="0"/>
          <w:numId w:val="0"/>
        </w:numPr>
        <w:bidi w:val="0"/>
        <w:ind w:left="360" w:leftChars="0"/>
        <w:rPr>
          <w:rFonts w:hint="eastAsia"/>
        </w:rPr>
      </w:pPr>
      <w:r>
        <w:rPr>
          <w:rFonts w:hint="eastAsia"/>
        </w:rPr>
        <w:t>（1）后端服务需兼容Linux/Windows Server操作系统</w:t>
      </w:r>
    </w:p>
    <w:p>
      <w:pPr>
        <w:pStyle w:val="29"/>
        <w:numPr>
          <w:ilvl w:val="0"/>
          <w:numId w:val="0"/>
        </w:numPr>
        <w:bidi w:val="0"/>
        <w:ind w:left="360" w:leftChars="0"/>
        <w:rPr>
          <w:rFonts w:hint="eastAsia"/>
        </w:rPr>
      </w:pPr>
      <w:r>
        <w:rPr>
          <w:rFonts w:hint="eastAsia"/>
        </w:rPr>
        <w:t>（2）支持部署在x86_64/ARM架构服务器</w:t>
      </w:r>
    </w:p>
    <w:bookmarkEnd w:id="0"/>
    <w:p>
      <w:pPr>
        <w:pStyle w:val="4"/>
        <w:bidi w:val="0"/>
        <w:rPr>
          <w:rFonts w:hint="eastAsia"/>
        </w:rPr>
      </w:pPr>
      <w:bookmarkStart w:id="1" w:name="header-n243"/>
      <w:r>
        <w:rPr>
          <w:rFonts w:hint="eastAsia"/>
        </w:rPr>
        <w:t>系统可靠性要求</w:t>
      </w:r>
    </w:p>
    <w:tbl>
      <w:tblPr>
        <w:tblStyle w:val="20"/>
        <w:tblW w:w="9504" w:type="dxa"/>
        <w:tblInd w:w="0" w:type="dxa"/>
        <w:tblBorders>
          <w:top w:val="single" w:color="CCCCCC" w:sz="4"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592"/>
        <w:gridCol w:w="6912"/>
      </w:tblGrid>
      <w:tr>
        <w:tblPrEx>
          <w:tblBorders>
            <w:top w:val="single" w:color="CCCCCC" w:sz="4"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blHeader/>
        </w:trPr>
        <w:tc>
          <w:tcPr>
            <w:tcW w:w="0" w:type="auto"/>
            <w:tcBorders>
              <w:top w:val="single" w:color="CCCCCC" w:sz="4" w:space="0"/>
              <w:left w:val="single" w:color="CCCCCC" w:sz="4" w:space="0"/>
              <w:bottom w:val="nil"/>
              <w:right w:val="single" w:color="CCCCCC" w:sz="4" w:space="0"/>
            </w:tcBorders>
            <w:shd w:val="clear" w:color="auto" w:fill="FFFFFF"/>
            <w:tcMar>
              <w:top w:w="72" w:type="dxa"/>
              <w:left w:w="156" w:type="dxa"/>
              <w:bottom w:w="72" w:type="dxa"/>
              <w:right w:w="156" w:type="dxa"/>
            </w:tcMar>
            <w:vAlign w:val="center"/>
          </w:tcPr>
          <w:p>
            <w:pPr>
              <w:pStyle w:val="28"/>
              <w:bidi w:val="0"/>
              <w:rPr>
                <w:rFonts w:ascii="Helvetica" w:hAnsi="Helvetica" w:eastAsia="Helvetica" w:cs="Helvetica"/>
                <w:b/>
                <w:bCs/>
                <w:i w:val="0"/>
                <w:iCs w:val="0"/>
                <w:caps w:val="0"/>
                <w:color w:val="333333"/>
                <w:spacing w:val="0"/>
                <w:szCs w:val="19"/>
              </w:rPr>
            </w:pPr>
            <w:r>
              <w:rPr>
                <w:rFonts w:hint="default"/>
                <w:lang w:val="en-US" w:eastAsia="zh-CN"/>
              </w:rPr>
              <w:t>指标项</w:t>
            </w:r>
          </w:p>
        </w:tc>
        <w:tc>
          <w:tcPr>
            <w:tcW w:w="0" w:type="auto"/>
            <w:tcBorders>
              <w:top w:val="single" w:color="CCCCCC" w:sz="4" w:space="0"/>
              <w:left w:val="single" w:color="CCCCCC" w:sz="4" w:space="0"/>
              <w:bottom w:val="nil"/>
              <w:right w:val="single" w:color="CCCCCC" w:sz="4" w:space="0"/>
            </w:tcBorders>
            <w:shd w:val="clear" w:color="auto" w:fill="FFFFFF"/>
            <w:tcMar>
              <w:top w:w="72" w:type="dxa"/>
              <w:left w:w="156" w:type="dxa"/>
              <w:bottom w:w="72" w:type="dxa"/>
              <w:right w:w="156" w:type="dxa"/>
            </w:tcMar>
            <w:vAlign w:val="center"/>
          </w:tcPr>
          <w:p>
            <w:pPr>
              <w:pStyle w:val="28"/>
              <w:bidi w:val="0"/>
              <w:rPr>
                <w:rFonts w:hint="default" w:ascii="Helvetica" w:hAnsi="Helvetica" w:eastAsia="Helvetica" w:cs="Helvetica"/>
                <w:b/>
                <w:bCs/>
                <w:i w:val="0"/>
                <w:iCs w:val="0"/>
                <w:caps w:val="0"/>
                <w:color w:val="333333"/>
                <w:spacing w:val="0"/>
                <w:szCs w:val="19"/>
              </w:rPr>
            </w:pPr>
            <w:r>
              <w:rPr>
                <w:rFonts w:hint="default"/>
                <w:lang w:val="en-US" w:eastAsia="zh-CN"/>
              </w:rPr>
              <w:t>技术要求</w:t>
            </w:r>
          </w:p>
        </w:tc>
      </w:tr>
      <w:tr>
        <w:tblPrEx>
          <w:tblBorders>
            <w:top w:val="single" w:color="CCCCCC" w:sz="4"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FFFFFF"/>
            <w:tcMar>
              <w:top w:w="72" w:type="dxa"/>
              <w:left w:w="156" w:type="dxa"/>
              <w:bottom w:w="72" w:type="dxa"/>
              <w:right w:w="156" w:type="dxa"/>
            </w:tcMar>
            <w:vAlign w:val="center"/>
          </w:tcPr>
          <w:p>
            <w:pPr>
              <w:pStyle w:val="28"/>
              <w:bidi w:val="0"/>
              <w:rPr>
                <w:rFonts w:hint="default" w:ascii="Helvetica" w:hAnsi="Helvetica" w:eastAsia="Helvetica" w:cs="Helvetica"/>
                <w:b w:val="0"/>
                <w:bCs w:val="0"/>
                <w:i w:val="0"/>
                <w:iCs w:val="0"/>
                <w:caps w:val="0"/>
                <w:color w:val="333333"/>
                <w:spacing w:val="0"/>
                <w:szCs w:val="19"/>
              </w:rPr>
            </w:pPr>
            <w:r>
              <w:rPr>
                <w:rFonts w:hint="default"/>
                <w:lang w:val="en-US" w:eastAsia="zh-CN"/>
              </w:rPr>
              <w:t>可用性</w:t>
            </w:r>
          </w:p>
        </w:tc>
        <w:tc>
          <w:tcPr>
            <w:tcW w:w="0" w:type="auto"/>
            <w:tcBorders>
              <w:top w:val="single" w:color="CCCCCC" w:sz="4" w:space="0"/>
              <w:left w:val="single" w:color="CCCCCC" w:sz="4" w:space="0"/>
              <w:bottom w:val="single" w:color="CCCCCC" w:sz="4" w:space="0"/>
              <w:right w:val="single" w:color="CCCCCC" w:sz="4" w:space="0"/>
            </w:tcBorders>
            <w:shd w:val="clear" w:color="auto" w:fill="FFFFFF"/>
            <w:tcMar>
              <w:top w:w="72" w:type="dxa"/>
              <w:left w:w="156" w:type="dxa"/>
              <w:bottom w:w="72" w:type="dxa"/>
              <w:right w:w="156" w:type="dxa"/>
            </w:tcMar>
            <w:vAlign w:val="center"/>
          </w:tcPr>
          <w:p>
            <w:pPr>
              <w:pStyle w:val="28"/>
              <w:bidi w:val="0"/>
              <w:rPr>
                <w:rFonts w:hint="default" w:ascii="Helvetica" w:hAnsi="Helvetica" w:eastAsia="Helvetica" w:cs="Helvetica"/>
                <w:b w:val="0"/>
                <w:bCs w:val="0"/>
                <w:i w:val="0"/>
                <w:iCs w:val="0"/>
                <w:caps w:val="0"/>
                <w:color w:val="333333"/>
                <w:spacing w:val="0"/>
                <w:szCs w:val="19"/>
              </w:rPr>
            </w:pPr>
            <w:r>
              <w:rPr>
                <w:rFonts w:hint="default"/>
                <w:lang w:val="en-US" w:eastAsia="zh-CN"/>
              </w:rPr>
              <w:t>≥99.9%（年停机时间≤8.76小时）</w:t>
            </w:r>
          </w:p>
        </w:tc>
      </w:tr>
      <w:tr>
        <w:tblPrEx>
          <w:tblBorders>
            <w:top w:val="single" w:color="CCCCCC" w:sz="4"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F8F8F8"/>
            <w:tcMar>
              <w:top w:w="72" w:type="dxa"/>
              <w:left w:w="156" w:type="dxa"/>
              <w:bottom w:w="72" w:type="dxa"/>
              <w:right w:w="156" w:type="dxa"/>
            </w:tcMar>
            <w:vAlign w:val="center"/>
          </w:tcPr>
          <w:p>
            <w:pPr>
              <w:pStyle w:val="28"/>
              <w:bidi w:val="0"/>
              <w:rPr>
                <w:rFonts w:hint="default" w:ascii="Helvetica" w:hAnsi="Helvetica" w:eastAsia="Helvetica" w:cs="Helvetica"/>
                <w:b w:val="0"/>
                <w:bCs w:val="0"/>
                <w:i w:val="0"/>
                <w:iCs w:val="0"/>
                <w:caps w:val="0"/>
                <w:color w:val="333333"/>
                <w:spacing w:val="0"/>
                <w:szCs w:val="19"/>
              </w:rPr>
            </w:pPr>
            <w:r>
              <w:rPr>
                <w:rFonts w:hint="default"/>
                <w:lang w:val="en-US" w:eastAsia="zh-CN"/>
              </w:rPr>
              <w:t>备份恢复</w:t>
            </w:r>
          </w:p>
        </w:tc>
        <w:tc>
          <w:tcPr>
            <w:tcW w:w="0" w:type="auto"/>
            <w:tcBorders>
              <w:top w:val="single" w:color="CCCCCC" w:sz="4" w:space="0"/>
              <w:left w:val="single" w:color="CCCCCC" w:sz="4" w:space="0"/>
              <w:bottom w:val="single" w:color="CCCCCC" w:sz="4" w:space="0"/>
              <w:right w:val="single" w:color="CCCCCC" w:sz="4" w:space="0"/>
            </w:tcBorders>
            <w:shd w:val="clear" w:color="auto" w:fill="F8F8F8"/>
            <w:tcMar>
              <w:top w:w="72" w:type="dxa"/>
              <w:left w:w="156" w:type="dxa"/>
              <w:bottom w:w="72" w:type="dxa"/>
              <w:right w:w="156" w:type="dxa"/>
            </w:tcMar>
            <w:vAlign w:val="center"/>
          </w:tcPr>
          <w:p>
            <w:pPr>
              <w:pStyle w:val="28"/>
              <w:bidi w:val="0"/>
              <w:rPr>
                <w:rFonts w:hint="default" w:ascii="Helvetica" w:hAnsi="Helvetica" w:eastAsia="Helvetica" w:cs="Helvetica"/>
                <w:b w:val="0"/>
                <w:bCs w:val="0"/>
                <w:i w:val="0"/>
                <w:iCs w:val="0"/>
                <w:caps w:val="0"/>
                <w:color w:val="333333"/>
                <w:spacing w:val="0"/>
                <w:szCs w:val="19"/>
              </w:rPr>
            </w:pPr>
            <w:r>
              <w:rPr>
                <w:rFonts w:hint="default"/>
                <w:lang w:val="en-US" w:eastAsia="zh-CN"/>
              </w:rPr>
              <w:t>RTO≤4小时，RPO≤15分钟</w:t>
            </w:r>
          </w:p>
        </w:tc>
      </w:tr>
      <w:tr>
        <w:tblPrEx>
          <w:tblBorders>
            <w:top w:val="single" w:color="CCCCCC" w:sz="4"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FFFFFF"/>
            <w:tcMar>
              <w:top w:w="72" w:type="dxa"/>
              <w:left w:w="156" w:type="dxa"/>
              <w:bottom w:w="72" w:type="dxa"/>
              <w:right w:w="156" w:type="dxa"/>
            </w:tcMar>
            <w:vAlign w:val="center"/>
          </w:tcPr>
          <w:p>
            <w:pPr>
              <w:pStyle w:val="28"/>
              <w:bidi w:val="0"/>
              <w:rPr>
                <w:rFonts w:hint="default" w:ascii="Helvetica" w:hAnsi="Helvetica" w:eastAsia="Helvetica" w:cs="Helvetica"/>
                <w:b w:val="0"/>
                <w:bCs w:val="0"/>
                <w:i w:val="0"/>
                <w:iCs w:val="0"/>
                <w:caps w:val="0"/>
                <w:color w:val="333333"/>
                <w:spacing w:val="0"/>
                <w:szCs w:val="19"/>
              </w:rPr>
            </w:pPr>
            <w:r>
              <w:rPr>
                <w:rFonts w:hint="default"/>
                <w:lang w:val="en-US" w:eastAsia="zh-CN"/>
              </w:rPr>
              <w:t>持续运行</w:t>
            </w:r>
          </w:p>
        </w:tc>
        <w:tc>
          <w:tcPr>
            <w:tcW w:w="0" w:type="auto"/>
            <w:tcBorders>
              <w:top w:val="single" w:color="CCCCCC" w:sz="4" w:space="0"/>
              <w:left w:val="single" w:color="CCCCCC" w:sz="4" w:space="0"/>
              <w:bottom w:val="single" w:color="CCCCCC" w:sz="4" w:space="0"/>
              <w:right w:val="single" w:color="CCCCCC" w:sz="4" w:space="0"/>
            </w:tcBorders>
            <w:shd w:val="clear" w:color="auto" w:fill="FFFFFF"/>
            <w:tcMar>
              <w:top w:w="72" w:type="dxa"/>
              <w:left w:w="156" w:type="dxa"/>
              <w:bottom w:w="72" w:type="dxa"/>
              <w:right w:w="156" w:type="dxa"/>
            </w:tcMar>
            <w:vAlign w:val="center"/>
          </w:tcPr>
          <w:p>
            <w:pPr>
              <w:pStyle w:val="28"/>
              <w:bidi w:val="0"/>
              <w:rPr>
                <w:rFonts w:hint="default" w:ascii="Helvetica" w:hAnsi="Helvetica" w:eastAsia="Helvetica" w:cs="Helvetica"/>
                <w:b w:val="0"/>
                <w:bCs w:val="0"/>
                <w:i w:val="0"/>
                <w:iCs w:val="0"/>
                <w:caps w:val="0"/>
                <w:color w:val="333333"/>
                <w:spacing w:val="0"/>
                <w:szCs w:val="19"/>
              </w:rPr>
            </w:pPr>
            <w:r>
              <w:rPr>
                <w:rFonts w:hint="default"/>
                <w:lang w:val="en-US" w:eastAsia="zh-CN"/>
              </w:rPr>
              <w:t>7×24小时不间断服务</w:t>
            </w:r>
          </w:p>
        </w:tc>
      </w:tr>
      <w:tr>
        <w:tblPrEx>
          <w:tblBorders>
            <w:top w:val="single" w:color="CCCCCC" w:sz="4"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F8F8F8"/>
            <w:tcMar>
              <w:top w:w="72" w:type="dxa"/>
              <w:left w:w="156" w:type="dxa"/>
              <w:bottom w:w="72" w:type="dxa"/>
              <w:right w:w="156" w:type="dxa"/>
            </w:tcMar>
            <w:vAlign w:val="center"/>
          </w:tcPr>
          <w:p>
            <w:pPr>
              <w:pStyle w:val="28"/>
              <w:bidi w:val="0"/>
              <w:rPr>
                <w:rFonts w:hint="default" w:ascii="Helvetica" w:hAnsi="Helvetica" w:eastAsia="Helvetica" w:cs="Helvetica"/>
                <w:b w:val="0"/>
                <w:bCs w:val="0"/>
                <w:i w:val="0"/>
                <w:iCs w:val="0"/>
                <w:caps w:val="0"/>
                <w:color w:val="333333"/>
                <w:spacing w:val="0"/>
                <w:szCs w:val="19"/>
              </w:rPr>
            </w:pPr>
            <w:r>
              <w:rPr>
                <w:rFonts w:hint="default"/>
                <w:lang w:val="en-US" w:eastAsia="zh-CN"/>
              </w:rPr>
              <w:t>MTBF</w:t>
            </w:r>
          </w:p>
        </w:tc>
        <w:tc>
          <w:tcPr>
            <w:tcW w:w="0" w:type="auto"/>
            <w:tcBorders>
              <w:top w:val="single" w:color="CCCCCC" w:sz="4" w:space="0"/>
              <w:left w:val="single" w:color="CCCCCC" w:sz="4" w:space="0"/>
              <w:bottom w:val="single" w:color="CCCCCC" w:sz="4" w:space="0"/>
              <w:right w:val="single" w:color="CCCCCC" w:sz="4" w:space="0"/>
            </w:tcBorders>
            <w:shd w:val="clear" w:color="auto" w:fill="F8F8F8"/>
            <w:tcMar>
              <w:top w:w="72" w:type="dxa"/>
              <w:left w:w="156" w:type="dxa"/>
              <w:bottom w:w="72" w:type="dxa"/>
              <w:right w:w="156" w:type="dxa"/>
            </w:tcMar>
            <w:vAlign w:val="center"/>
          </w:tcPr>
          <w:p>
            <w:pPr>
              <w:pStyle w:val="28"/>
              <w:bidi w:val="0"/>
              <w:rPr>
                <w:rFonts w:hint="default" w:ascii="Helvetica" w:hAnsi="Helvetica" w:eastAsia="Helvetica" w:cs="Helvetica"/>
                <w:b w:val="0"/>
                <w:bCs w:val="0"/>
                <w:i w:val="0"/>
                <w:iCs w:val="0"/>
                <w:caps w:val="0"/>
                <w:color w:val="333333"/>
                <w:spacing w:val="0"/>
                <w:szCs w:val="19"/>
              </w:rPr>
            </w:pPr>
            <w:r>
              <w:rPr>
                <w:rFonts w:hint="default"/>
                <w:lang w:val="en-US" w:eastAsia="zh-CN"/>
              </w:rPr>
              <w:t>≥10,000小时</w:t>
            </w:r>
          </w:p>
        </w:tc>
      </w:tr>
    </w:tbl>
    <w:p>
      <w:pPr>
        <w:pStyle w:val="28"/>
        <w:bidi w:val="0"/>
        <w:rPr>
          <w:rFonts w:hint="eastAsia"/>
        </w:rPr>
      </w:pPr>
    </w:p>
    <w:bookmarkEnd w:id="1"/>
    <w:p>
      <w:pPr>
        <w:pStyle w:val="4"/>
        <w:bidi w:val="0"/>
        <w:rPr>
          <w:rFonts w:hint="eastAsia"/>
        </w:rPr>
      </w:pPr>
      <w:bookmarkStart w:id="2" w:name="header-n260"/>
      <w:r>
        <w:rPr>
          <w:rFonts w:hint="eastAsia"/>
        </w:rPr>
        <w:t>性能指标要求</w:t>
      </w:r>
    </w:p>
    <w:p>
      <w:pPr>
        <w:pStyle w:val="33"/>
        <w:bidi w:val="0"/>
        <w:rPr>
          <w:rFonts w:hint="eastAsia" w:ascii="宋体" w:hAnsi="宋体" w:eastAsia="宋体" w:cs="宋体"/>
          <w:lang w:val="en-US" w:eastAsia="zh-CN"/>
        </w:rPr>
      </w:pPr>
      <w:bookmarkStart w:id="3" w:name="mermaid"/>
      <w:r>
        <w:rPr>
          <w:rFonts w:hint="eastAsia" w:ascii="宋体" w:hAnsi="宋体" w:eastAsia="宋体" w:cs="宋体"/>
          <w:lang w:val="en-US" w:eastAsia="zh-CN"/>
        </w:rPr>
        <w:t>1.容量指标</w:t>
      </w:r>
    </w:p>
    <w:p>
      <w:pPr>
        <w:pStyle w:val="29"/>
        <w:numPr>
          <w:ilvl w:val="0"/>
          <w:numId w:val="0"/>
        </w:numPr>
        <w:bidi w:val="0"/>
        <w:ind w:left="360" w:leftChars="0"/>
        <w:rPr>
          <w:rFonts w:hint="eastAsia"/>
        </w:rPr>
      </w:pPr>
      <w:r>
        <w:rPr>
          <w:rFonts w:hint="eastAsia"/>
        </w:rPr>
        <w:t>（1）支持同时管理≥100个物理库房节点</w:t>
      </w:r>
    </w:p>
    <w:p>
      <w:pPr>
        <w:pStyle w:val="29"/>
        <w:numPr>
          <w:ilvl w:val="0"/>
          <w:numId w:val="0"/>
        </w:numPr>
        <w:bidi w:val="0"/>
        <w:ind w:left="360" w:leftChars="0"/>
        <w:rPr>
          <w:rFonts w:hint="eastAsia"/>
        </w:rPr>
      </w:pPr>
      <w:r>
        <w:rPr>
          <w:rFonts w:hint="eastAsia"/>
        </w:rPr>
        <w:t>（2）设备管理容量≥50,000台（单库房支持500+设备）</w:t>
      </w:r>
    </w:p>
    <w:p>
      <w:pPr>
        <w:pStyle w:val="29"/>
        <w:numPr>
          <w:ilvl w:val="0"/>
          <w:numId w:val="0"/>
        </w:numPr>
        <w:bidi w:val="0"/>
        <w:ind w:left="360" w:leftChars="0"/>
        <w:rPr>
          <w:rFonts w:hint="eastAsia"/>
        </w:rPr>
      </w:pPr>
      <w:r>
        <w:rPr>
          <w:rFonts w:hint="eastAsia"/>
        </w:rPr>
        <w:t>（3）人员资质记录≥2,000人（含证书附件存储）</w:t>
      </w:r>
    </w:p>
    <w:p>
      <w:pPr>
        <w:pStyle w:val="33"/>
        <w:bidi w:val="0"/>
        <w:rPr>
          <w:rFonts w:hint="eastAsia" w:ascii="宋体" w:hAnsi="宋体" w:eastAsia="宋体" w:cs="宋体"/>
          <w:lang w:val="en-US" w:eastAsia="zh-CN"/>
        </w:rPr>
      </w:pPr>
      <w:r>
        <w:rPr>
          <w:rFonts w:hint="eastAsia" w:ascii="宋体" w:hAnsi="宋体" w:eastAsia="宋体" w:cs="宋体"/>
          <w:lang w:val="en-US" w:eastAsia="zh-CN"/>
        </w:rPr>
        <w:t>2.响应性能</w:t>
      </w:r>
    </w:p>
    <w:p>
      <w:pPr>
        <w:pStyle w:val="29"/>
        <w:numPr>
          <w:ilvl w:val="0"/>
          <w:numId w:val="0"/>
        </w:numPr>
        <w:bidi w:val="0"/>
        <w:ind w:left="360" w:leftChars="0"/>
        <w:rPr>
          <w:rFonts w:hint="eastAsia"/>
        </w:rPr>
      </w:pPr>
      <w:r>
        <w:rPr>
          <w:rFonts w:hint="eastAsia"/>
        </w:rPr>
        <w:t>（1）常规操作响应时间≤2秒（服务器端处理时间≤800ms）</w:t>
      </w:r>
    </w:p>
    <w:p>
      <w:pPr>
        <w:pStyle w:val="29"/>
        <w:numPr>
          <w:ilvl w:val="0"/>
          <w:numId w:val="0"/>
        </w:numPr>
        <w:bidi w:val="0"/>
        <w:ind w:left="360" w:leftChars="0"/>
        <w:rPr>
          <w:rFonts w:hint="eastAsia"/>
        </w:rPr>
      </w:pPr>
      <w:r>
        <w:rPr>
          <w:rFonts w:hint="eastAsia"/>
        </w:rPr>
        <w:t>（2）复杂报表生成时间≤8秒（百万级数据量）</w:t>
      </w:r>
    </w:p>
    <w:p>
      <w:pPr>
        <w:pStyle w:val="29"/>
        <w:numPr>
          <w:ilvl w:val="0"/>
          <w:numId w:val="0"/>
        </w:numPr>
        <w:bidi w:val="0"/>
        <w:ind w:left="360" w:leftChars="0"/>
        <w:rPr>
          <w:rFonts w:hint="eastAsia"/>
        </w:rPr>
      </w:pPr>
      <w:r>
        <w:rPr>
          <w:rFonts w:hint="eastAsia"/>
        </w:rPr>
        <w:t>（3）支持≥200并发用户同时操作</w:t>
      </w:r>
    </w:p>
    <w:p>
      <w:pPr>
        <w:pStyle w:val="33"/>
        <w:bidi w:val="0"/>
        <w:rPr>
          <w:rFonts w:hint="eastAsia" w:ascii="宋体" w:hAnsi="宋体" w:eastAsia="宋体" w:cs="宋体"/>
          <w:lang w:val="en-US" w:eastAsia="zh-CN"/>
        </w:rPr>
      </w:pPr>
      <w:r>
        <w:rPr>
          <w:rFonts w:hint="eastAsia" w:ascii="宋体" w:hAnsi="宋体" w:eastAsia="宋体" w:cs="宋体"/>
          <w:lang w:val="en-US" w:eastAsia="zh-CN"/>
        </w:rPr>
        <w:t>3.浏览器兼容性</w:t>
      </w:r>
    </w:p>
    <w:p>
      <w:pPr>
        <w:pStyle w:val="29"/>
        <w:numPr>
          <w:ilvl w:val="0"/>
          <w:numId w:val="0"/>
        </w:numPr>
        <w:bidi w:val="0"/>
        <w:ind w:left="360" w:leftChars="0"/>
        <w:rPr>
          <w:rFonts w:hint="eastAsia"/>
          <w:lang w:val="en-US" w:eastAsia="zh-CN"/>
        </w:rPr>
      </w:pPr>
      <w:r>
        <w:rPr>
          <w:rFonts w:hint="eastAsia"/>
          <w:lang w:val="en-US" w:eastAsia="zh-CN"/>
        </w:rPr>
        <w:t>要求支持主流浏览器访问，包括Chrome、Edge、Firefox、Safari等。</w:t>
      </w:r>
    </w:p>
    <w:bookmarkEnd w:id="3"/>
    <w:p>
      <w:pPr>
        <w:pStyle w:val="4"/>
        <w:bidi w:val="0"/>
        <w:rPr>
          <w:rFonts w:hint="eastAsia"/>
        </w:rPr>
      </w:pPr>
      <w:r>
        <w:rPr>
          <w:rFonts w:hint="eastAsia"/>
          <w:lang w:val="en-US" w:eastAsia="zh-CN"/>
        </w:rPr>
        <w:t>其他技术要求</w:t>
      </w:r>
    </w:p>
    <w:p>
      <w:pPr>
        <w:pStyle w:val="29"/>
        <w:numPr>
          <w:ilvl w:val="0"/>
          <w:numId w:val="0"/>
        </w:numPr>
        <w:bidi w:val="0"/>
        <w:ind w:left="360" w:leftChars="0"/>
        <w:rPr>
          <w:rFonts w:hint="eastAsia"/>
        </w:rPr>
      </w:pPr>
      <w:r>
        <w:rPr>
          <w:rFonts w:hint="eastAsia"/>
          <w:lang w:eastAsia="zh-CN"/>
        </w:rPr>
        <w:t>（</w:t>
      </w:r>
      <w:r>
        <w:rPr>
          <w:rFonts w:hint="eastAsia"/>
          <w:lang w:val="en-US" w:eastAsia="zh-CN"/>
        </w:rPr>
        <w:t>1</w:t>
      </w:r>
      <w:r>
        <w:rPr>
          <w:rFonts w:hint="eastAsia"/>
          <w:lang w:eastAsia="zh-CN"/>
        </w:rPr>
        <w:t>）</w:t>
      </w:r>
      <w:r>
        <w:rPr>
          <w:rFonts w:hint="eastAsia"/>
        </w:rPr>
        <w:t>操作日志保留≥3年</w:t>
      </w:r>
    </w:p>
    <w:p>
      <w:pPr>
        <w:pStyle w:val="29"/>
        <w:numPr>
          <w:ilvl w:val="0"/>
          <w:numId w:val="0"/>
        </w:numPr>
        <w:bidi w:val="0"/>
        <w:ind w:left="360" w:leftChars="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）关键数据修改需记录完整操作轨迹</w:t>
      </w:r>
    </w:p>
    <w:p>
      <w:pPr>
        <w:pStyle w:val="29"/>
        <w:numPr>
          <w:ilvl w:val="0"/>
          <w:numId w:val="0"/>
        </w:numPr>
        <w:bidi w:val="0"/>
        <w:ind w:left="360" w:leftChars="0"/>
        <w:rPr>
          <w:rFonts w:hint="default" w:ascii="宋体" w:hAnsi="宋体" w:eastAsia="宋体" w:cs="宋体"/>
          <w:lang w:val="en-US" w:eastAsia="zh-CN"/>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lang w:val="en-US" w:eastAsia="zh-CN"/>
        </w:rPr>
        <w:t>部署的设备管理系统平台要满足南网安全信息安全审计要求，包括：防止SQL注入、避免使用包含漏洞的类库等</w:t>
      </w:r>
    </w:p>
    <w:bookmarkEnd w:id="2"/>
    <w:p>
      <w:pPr>
        <w:pStyle w:val="28"/>
        <w:bidi w:val="0"/>
        <w:rPr>
          <w:rFonts w:hint="eastAsia"/>
          <w:lang w:val="en-US" w:eastAsia="zh-CN"/>
        </w:rPr>
      </w:pPr>
    </w:p>
    <w:p>
      <w:pPr>
        <w:pStyle w:val="3"/>
        <w:bidi w:val="0"/>
        <w:ind w:left="0" w:leftChars="0" w:firstLine="0" w:firstLineChars="0"/>
        <w:rPr>
          <w:rFonts w:hint="eastAsia" w:eastAsia="宋体"/>
          <w:lang w:val="en-US" w:eastAsia="zh-CN"/>
        </w:rPr>
      </w:pPr>
      <w:r>
        <w:rPr>
          <w:rFonts w:hint="eastAsia" w:eastAsia="宋体"/>
          <w:lang w:val="en-US" w:eastAsia="zh-CN"/>
        </w:rPr>
        <w:t>服务要求</w:t>
      </w:r>
    </w:p>
    <w:p>
      <w:pPr>
        <w:pStyle w:val="2"/>
        <w:bidi w:val="0"/>
        <w:rPr>
          <w:rFonts w:hint="default"/>
          <w:lang w:val="en-US" w:eastAsia="zh-CN"/>
        </w:rPr>
      </w:pPr>
      <w:r>
        <w:rPr>
          <w:rFonts w:hint="eastAsia"/>
          <w:lang w:val="en-US" w:eastAsia="zh-CN"/>
        </w:rPr>
        <w:t>服务期限</w:t>
      </w:r>
    </w:p>
    <w:p>
      <w:pPr>
        <w:pStyle w:val="28"/>
        <w:bidi w:val="0"/>
        <w:rPr>
          <w:rFonts w:hint="eastAsia"/>
          <w:b/>
          <w:bCs/>
          <w:lang w:val="en-US" w:eastAsia="zh-CN"/>
        </w:rPr>
      </w:pPr>
      <w:r>
        <w:rPr>
          <w:rFonts w:hint="eastAsia"/>
          <w:lang w:val="en-US" w:eastAsia="zh-CN"/>
        </w:rPr>
        <w:t>服务期限为：</w:t>
      </w:r>
      <w:r>
        <w:rPr>
          <w:rFonts w:hint="eastAsia"/>
          <w:b/>
          <w:bCs/>
          <w:lang w:val="en-US" w:eastAsia="zh-CN"/>
        </w:rPr>
        <w:t>自成交通知书发布之日起 3 天内完成项目人员到现场驻点，并开始系统业务的需求调研与设计、研发、实施等。驻场服务期限为自合同签订之日起3个月，驻场服务期内要完成系统的设计及所有功能开发、部署及存量设备的标签设计、盘点、台账整理及数据入表、使用培训等工作。</w:t>
      </w:r>
    </w:p>
    <w:p>
      <w:pPr>
        <w:pStyle w:val="28"/>
        <w:bidi w:val="0"/>
        <w:rPr>
          <w:rFonts w:hint="default"/>
          <w:b/>
          <w:bCs/>
          <w:lang w:val="en-US" w:eastAsia="zh-CN"/>
        </w:rPr>
      </w:pPr>
      <w:r>
        <w:rPr>
          <w:rFonts w:hint="eastAsia"/>
          <w:b/>
          <w:bCs/>
          <w:lang w:val="en-US" w:eastAsia="zh-CN"/>
        </w:rPr>
        <w:t>2025年9月30前要完成初版系统的交付。</w:t>
      </w:r>
    </w:p>
    <w:p>
      <w:pPr>
        <w:pStyle w:val="2"/>
        <w:bidi w:val="0"/>
        <w:rPr>
          <w:rFonts w:hint="eastAsia"/>
          <w:lang w:eastAsia="zh-CN"/>
        </w:rPr>
      </w:pPr>
      <w:r>
        <w:rPr>
          <w:rFonts w:hint="eastAsia"/>
          <w:lang w:eastAsia="zh-CN"/>
        </w:rPr>
        <w:t>验收</w:t>
      </w:r>
    </w:p>
    <w:p>
      <w:pPr>
        <w:pStyle w:val="28"/>
        <w:bidi w:val="0"/>
        <w:rPr>
          <w:rFonts w:hint="eastAsia"/>
          <w:lang w:val="en-US" w:eastAsia="zh-CN"/>
        </w:rPr>
      </w:pPr>
      <w:r>
        <w:rPr>
          <w:rFonts w:hint="eastAsia"/>
          <w:lang w:val="en-US" w:eastAsia="zh-CN"/>
        </w:rPr>
        <w:t>服务提供方应当在初验成功之日起起 5 天内提供技术文件，包括但不限于使用说明书、平台部署软件及脚本、管理员手册、部署手册、操作手册、需求、设计等。</w:t>
      </w:r>
    </w:p>
    <w:p>
      <w:pPr>
        <w:pStyle w:val="28"/>
        <w:bidi w:val="0"/>
        <w:rPr>
          <w:rFonts w:hint="eastAsia"/>
          <w:lang w:val="en-US" w:eastAsia="zh-CN"/>
        </w:rPr>
      </w:pPr>
      <w:r>
        <w:rPr>
          <w:rFonts w:hint="eastAsia"/>
          <w:lang w:val="en-US" w:eastAsia="zh-CN"/>
        </w:rPr>
        <w:t>4.3 安装和调试：</w:t>
      </w:r>
    </w:p>
    <w:p>
      <w:pPr>
        <w:pStyle w:val="28"/>
        <w:bidi w:val="0"/>
        <w:rPr>
          <w:rFonts w:hint="eastAsia"/>
          <w:lang w:val="en-US" w:eastAsia="zh-CN"/>
        </w:rPr>
      </w:pPr>
      <w:r>
        <w:rPr>
          <w:rFonts w:hint="eastAsia"/>
          <w:lang w:val="en-US" w:eastAsia="zh-CN"/>
        </w:rPr>
        <w:t>服务提供方负责按要求及本技术规范书的约定进行部署和调试的工作，以使平台正常使用预定的功能及性能，同时完成技术实施的所有内容，包括存量设备的标签设计、盘点、台账整理及数据入表、使用培训等工作，并满足技术规范书附件要求。</w:t>
      </w:r>
    </w:p>
    <w:p>
      <w:pPr>
        <w:pStyle w:val="28"/>
        <w:bidi w:val="0"/>
        <w:rPr>
          <w:rFonts w:hint="eastAsia"/>
          <w:lang w:val="en-US" w:eastAsia="zh-CN"/>
        </w:rPr>
      </w:pPr>
      <w:r>
        <w:rPr>
          <w:rFonts w:hint="eastAsia"/>
          <w:lang w:val="en-US" w:eastAsia="zh-CN"/>
        </w:rPr>
        <w:t>4.4采购清册及权重</w:t>
      </w:r>
    </w:p>
    <w:tbl>
      <w:tblPr>
        <w:tblStyle w:val="20"/>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837"/>
        <w:gridCol w:w="716"/>
        <w:gridCol w:w="716"/>
        <w:gridCol w:w="1596"/>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pPr>
              <w:pStyle w:val="30"/>
              <w:bidi w:val="0"/>
            </w:pPr>
            <w:r>
              <w:rPr>
                <w:rFonts w:hint="eastAsia"/>
              </w:rPr>
              <w:t>序号</w:t>
            </w:r>
          </w:p>
        </w:tc>
        <w:tc>
          <w:tcPr>
            <w:tcW w:w="1983" w:type="dxa"/>
            <w:vAlign w:val="center"/>
          </w:tcPr>
          <w:p>
            <w:pPr>
              <w:pStyle w:val="30"/>
              <w:bidi w:val="0"/>
            </w:pPr>
            <w:r>
              <w:rPr>
                <w:rFonts w:hint="eastAsia"/>
              </w:rPr>
              <w:t>名称</w:t>
            </w:r>
          </w:p>
        </w:tc>
        <w:tc>
          <w:tcPr>
            <w:tcW w:w="1837" w:type="dxa"/>
            <w:vAlign w:val="center"/>
          </w:tcPr>
          <w:p>
            <w:pPr>
              <w:pStyle w:val="30"/>
              <w:bidi w:val="0"/>
            </w:pPr>
            <w:r>
              <w:rPr>
                <w:rFonts w:hint="eastAsia"/>
              </w:rPr>
              <w:t>规格</w:t>
            </w:r>
          </w:p>
        </w:tc>
        <w:tc>
          <w:tcPr>
            <w:tcW w:w="716" w:type="dxa"/>
            <w:vAlign w:val="center"/>
          </w:tcPr>
          <w:p>
            <w:pPr>
              <w:pStyle w:val="30"/>
              <w:bidi w:val="0"/>
            </w:pPr>
            <w:r>
              <w:rPr>
                <w:rFonts w:hint="eastAsia"/>
              </w:rPr>
              <w:t>数量</w:t>
            </w:r>
          </w:p>
        </w:tc>
        <w:tc>
          <w:tcPr>
            <w:tcW w:w="716" w:type="dxa"/>
            <w:vAlign w:val="center"/>
          </w:tcPr>
          <w:p>
            <w:pPr>
              <w:pStyle w:val="30"/>
              <w:bidi w:val="0"/>
            </w:pPr>
            <w:r>
              <w:rPr>
                <w:rFonts w:hint="eastAsia"/>
              </w:rPr>
              <w:t>单位</w:t>
            </w:r>
          </w:p>
        </w:tc>
        <w:tc>
          <w:tcPr>
            <w:tcW w:w="1596" w:type="dxa"/>
            <w:vAlign w:val="center"/>
          </w:tcPr>
          <w:p>
            <w:pPr>
              <w:pStyle w:val="30"/>
              <w:bidi w:val="0"/>
            </w:pPr>
            <w:r>
              <w:rPr>
                <w:rFonts w:hint="eastAsia"/>
              </w:rPr>
              <w:t>最高限价（元）</w:t>
            </w:r>
          </w:p>
        </w:tc>
        <w:tc>
          <w:tcPr>
            <w:tcW w:w="1042" w:type="dxa"/>
            <w:vAlign w:val="center"/>
          </w:tcPr>
          <w:p>
            <w:pPr>
              <w:pStyle w:val="30"/>
              <w:bidi w:val="0"/>
            </w:pPr>
            <w:r>
              <w:rPr>
                <w:rFonts w:hint="eastAsia"/>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pStyle w:val="31"/>
              <w:bidi w:val="0"/>
              <w:rPr>
                <w:rFonts w:hint="eastAsia" w:eastAsia="宋体"/>
                <w:lang w:val="en-US" w:eastAsia="zh-CN"/>
              </w:rPr>
            </w:pPr>
            <w:r>
              <w:rPr>
                <w:rFonts w:hint="eastAsia"/>
                <w:lang w:val="en-US" w:eastAsia="zh-CN"/>
              </w:rPr>
              <w:t>1</w:t>
            </w:r>
          </w:p>
        </w:tc>
        <w:tc>
          <w:tcPr>
            <w:tcW w:w="1983" w:type="dxa"/>
            <w:vAlign w:val="center"/>
          </w:tcPr>
          <w:p>
            <w:pPr>
              <w:pStyle w:val="31"/>
              <w:bidi w:val="0"/>
              <w:rPr>
                <w:rFonts w:hint="default"/>
                <w:lang w:val="en-US" w:eastAsia="zh-CN"/>
              </w:rPr>
            </w:pPr>
            <w:r>
              <w:rPr>
                <w:rFonts w:hint="eastAsia"/>
                <w:lang w:val="en-US" w:eastAsia="zh-CN"/>
              </w:rPr>
              <w:t>设备管理系统开发实施服务</w:t>
            </w:r>
          </w:p>
        </w:tc>
        <w:tc>
          <w:tcPr>
            <w:tcW w:w="1837" w:type="dxa"/>
            <w:vAlign w:val="center"/>
          </w:tcPr>
          <w:p>
            <w:pPr>
              <w:pStyle w:val="31"/>
              <w:bidi w:val="0"/>
              <w:rPr>
                <w:rFonts w:hint="default"/>
                <w:lang w:val="en-US" w:eastAsia="zh-CN"/>
              </w:rPr>
            </w:pPr>
            <w:r>
              <w:rPr>
                <w:rFonts w:hint="eastAsia"/>
                <w:lang w:val="en-US" w:eastAsia="zh-CN"/>
              </w:rPr>
              <w:t>/</w:t>
            </w:r>
          </w:p>
        </w:tc>
        <w:tc>
          <w:tcPr>
            <w:tcW w:w="716" w:type="dxa"/>
            <w:vAlign w:val="center"/>
          </w:tcPr>
          <w:p>
            <w:pPr>
              <w:pStyle w:val="31"/>
              <w:bidi w:val="0"/>
              <w:rPr>
                <w:rFonts w:hint="eastAsia"/>
                <w:lang w:eastAsia="zh-CN"/>
              </w:rPr>
            </w:pPr>
            <w:r>
              <w:rPr>
                <w:rFonts w:hint="eastAsia"/>
                <w:lang w:val="en-US" w:eastAsia="zh-CN"/>
              </w:rPr>
              <w:t>1</w:t>
            </w:r>
          </w:p>
        </w:tc>
        <w:tc>
          <w:tcPr>
            <w:tcW w:w="716" w:type="dxa"/>
            <w:vAlign w:val="center"/>
          </w:tcPr>
          <w:p>
            <w:pPr>
              <w:pStyle w:val="31"/>
              <w:bidi w:val="0"/>
              <w:rPr>
                <w:rFonts w:hint="eastAsia"/>
                <w:lang w:eastAsia="zh-CN"/>
              </w:rPr>
            </w:pPr>
            <w:r>
              <w:rPr>
                <w:rFonts w:hint="eastAsia"/>
                <w:lang w:val="en-US" w:eastAsia="zh-CN"/>
              </w:rPr>
              <w:t>台</w:t>
            </w:r>
          </w:p>
        </w:tc>
        <w:tc>
          <w:tcPr>
            <w:tcW w:w="1596" w:type="dxa"/>
            <w:vAlign w:val="center"/>
          </w:tcPr>
          <w:p>
            <w:pPr>
              <w:pStyle w:val="31"/>
              <w:bidi w:val="0"/>
              <w:rPr>
                <w:rFonts w:hint="default"/>
                <w:lang w:val="en-US" w:eastAsia="zh-CN"/>
              </w:rPr>
            </w:pPr>
            <w:r>
              <w:rPr>
                <w:rFonts w:hint="eastAsia"/>
                <w:lang w:val="en-US" w:eastAsia="zh-CN"/>
              </w:rPr>
              <w:t>46500.00</w:t>
            </w:r>
          </w:p>
        </w:tc>
        <w:tc>
          <w:tcPr>
            <w:tcW w:w="1042" w:type="dxa"/>
            <w:vAlign w:val="center"/>
          </w:tcPr>
          <w:p>
            <w:pPr>
              <w:pStyle w:val="31"/>
              <w:bidi w:val="0"/>
              <w:rPr>
                <w:rFonts w:hint="default"/>
                <w:lang w:val="en-US" w:eastAsia="zh-CN"/>
              </w:rPr>
            </w:pPr>
            <w:r>
              <w:rPr>
                <w:rFonts w:hint="eastAsia"/>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pStyle w:val="31"/>
              <w:bidi w:val="0"/>
            </w:pPr>
          </w:p>
        </w:tc>
        <w:tc>
          <w:tcPr>
            <w:tcW w:w="1983" w:type="dxa"/>
            <w:vAlign w:val="center"/>
          </w:tcPr>
          <w:p>
            <w:pPr>
              <w:pStyle w:val="31"/>
              <w:bidi w:val="0"/>
              <w:rPr>
                <w:rFonts w:hint="eastAsia"/>
              </w:rPr>
            </w:pPr>
          </w:p>
        </w:tc>
        <w:tc>
          <w:tcPr>
            <w:tcW w:w="1837" w:type="dxa"/>
            <w:vAlign w:val="center"/>
          </w:tcPr>
          <w:p>
            <w:pPr>
              <w:pStyle w:val="31"/>
              <w:bidi w:val="0"/>
              <w:rPr>
                <w:rFonts w:hint="default"/>
                <w:lang w:val="en-US" w:eastAsia="zh-CN"/>
              </w:rPr>
            </w:pPr>
          </w:p>
        </w:tc>
        <w:tc>
          <w:tcPr>
            <w:tcW w:w="716" w:type="dxa"/>
            <w:vAlign w:val="center"/>
          </w:tcPr>
          <w:p>
            <w:pPr>
              <w:pStyle w:val="31"/>
              <w:bidi w:val="0"/>
              <w:rPr>
                <w:rFonts w:hint="default"/>
                <w:lang w:val="en-US" w:eastAsia="zh-CN"/>
              </w:rPr>
            </w:pPr>
          </w:p>
        </w:tc>
        <w:tc>
          <w:tcPr>
            <w:tcW w:w="716" w:type="dxa"/>
            <w:vAlign w:val="center"/>
          </w:tcPr>
          <w:p>
            <w:pPr>
              <w:pStyle w:val="31"/>
              <w:bidi w:val="0"/>
              <w:rPr>
                <w:rFonts w:hint="eastAsia"/>
                <w:lang w:val="en-US" w:eastAsia="zh-CN"/>
              </w:rPr>
            </w:pPr>
          </w:p>
        </w:tc>
        <w:tc>
          <w:tcPr>
            <w:tcW w:w="1596" w:type="dxa"/>
            <w:vAlign w:val="center"/>
          </w:tcPr>
          <w:p>
            <w:pPr>
              <w:pStyle w:val="31"/>
              <w:bidi w:val="0"/>
              <w:rPr>
                <w:rFonts w:hint="default"/>
                <w:lang w:val="en-US" w:eastAsia="zh-CN"/>
              </w:rPr>
            </w:pPr>
          </w:p>
        </w:tc>
        <w:tc>
          <w:tcPr>
            <w:tcW w:w="1042" w:type="dxa"/>
            <w:vAlign w:val="center"/>
          </w:tcPr>
          <w:p>
            <w:pPr>
              <w:pStyle w:val="31"/>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pStyle w:val="31"/>
              <w:bidi w:val="0"/>
            </w:pPr>
          </w:p>
        </w:tc>
        <w:tc>
          <w:tcPr>
            <w:tcW w:w="1983" w:type="dxa"/>
            <w:vAlign w:val="center"/>
          </w:tcPr>
          <w:p>
            <w:pPr>
              <w:pStyle w:val="31"/>
              <w:bidi w:val="0"/>
              <w:rPr>
                <w:rFonts w:hint="eastAsia"/>
                <w:lang w:val="en-US" w:eastAsia="zh-CN"/>
              </w:rPr>
            </w:pPr>
          </w:p>
        </w:tc>
        <w:tc>
          <w:tcPr>
            <w:tcW w:w="1837" w:type="dxa"/>
            <w:vAlign w:val="center"/>
          </w:tcPr>
          <w:p>
            <w:pPr>
              <w:pStyle w:val="31"/>
              <w:bidi w:val="0"/>
              <w:rPr>
                <w:rFonts w:hint="default"/>
                <w:lang w:val="en-US" w:eastAsia="zh-CN"/>
              </w:rPr>
            </w:pPr>
          </w:p>
        </w:tc>
        <w:tc>
          <w:tcPr>
            <w:tcW w:w="716" w:type="dxa"/>
            <w:vAlign w:val="center"/>
          </w:tcPr>
          <w:p>
            <w:pPr>
              <w:pStyle w:val="31"/>
              <w:bidi w:val="0"/>
              <w:rPr>
                <w:rFonts w:hint="eastAsia"/>
                <w:lang w:val="en-US" w:eastAsia="zh-CN"/>
              </w:rPr>
            </w:pPr>
          </w:p>
        </w:tc>
        <w:tc>
          <w:tcPr>
            <w:tcW w:w="716" w:type="dxa"/>
            <w:vAlign w:val="center"/>
          </w:tcPr>
          <w:p>
            <w:pPr>
              <w:pStyle w:val="31"/>
              <w:bidi w:val="0"/>
              <w:rPr>
                <w:rFonts w:hint="eastAsia"/>
                <w:lang w:val="en-US" w:eastAsia="zh-CN"/>
              </w:rPr>
            </w:pPr>
          </w:p>
        </w:tc>
        <w:tc>
          <w:tcPr>
            <w:tcW w:w="1596" w:type="dxa"/>
            <w:vAlign w:val="center"/>
          </w:tcPr>
          <w:p>
            <w:pPr>
              <w:pStyle w:val="31"/>
              <w:bidi w:val="0"/>
              <w:rPr>
                <w:rFonts w:hint="eastAsia"/>
                <w:lang w:val="en-US" w:eastAsia="zh-CN"/>
              </w:rPr>
            </w:pPr>
          </w:p>
        </w:tc>
        <w:tc>
          <w:tcPr>
            <w:tcW w:w="1042" w:type="dxa"/>
            <w:vAlign w:val="center"/>
          </w:tcPr>
          <w:p>
            <w:pPr>
              <w:pStyle w:val="31"/>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pStyle w:val="31"/>
              <w:bidi w:val="0"/>
            </w:pPr>
          </w:p>
        </w:tc>
        <w:tc>
          <w:tcPr>
            <w:tcW w:w="1983" w:type="dxa"/>
            <w:vAlign w:val="center"/>
          </w:tcPr>
          <w:p>
            <w:pPr>
              <w:pStyle w:val="31"/>
              <w:bidi w:val="0"/>
              <w:rPr>
                <w:rFonts w:hint="eastAsia"/>
                <w:lang w:val="en-US" w:eastAsia="zh-CN"/>
              </w:rPr>
            </w:pPr>
          </w:p>
        </w:tc>
        <w:tc>
          <w:tcPr>
            <w:tcW w:w="1837" w:type="dxa"/>
            <w:vAlign w:val="center"/>
          </w:tcPr>
          <w:p>
            <w:pPr>
              <w:pStyle w:val="31"/>
              <w:bidi w:val="0"/>
              <w:rPr>
                <w:rFonts w:hint="default"/>
                <w:lang w:val="en-US" w:eastAsia="zh-CN"/>
              </w:rPr>
            </w:pPr>
          </w:p>
        </w:tc>
        <w:tc>
          <w:tcPr>
            <w:tcW w:w="716" w:type="dxa"/>
            <w:vAlign w:val="center"/>
          </w:tcPr>
          <w:p>
            <w:pPr>
              <w:pStyle w:val="31"/>
              <w:bidi w:val="0"/>
              <w:rPr>
                <w:rFonts w:hint="eastAsia"/>
                <w:lang w:val="en-US" w:eastAsia="zh-CN"/>
              </w:rPr>
            </w:pPr>
          </w:p>
        </w:tc>
        <w:tc>
          <w:tcPr>
            <w:tcW w:w="716" w:type="dxa"/>
            <w:vAlign w:val="center"/>
          </w:tcPr>
          <w:p>
            <w:pPr>
              <w:pStyle w:val="31"/>
              <w:bidi w:val="0"/>
              <w:rPr>
                <w:rFonts w:hint="eastAsia"/>
                <w:lang w:val="en-US" w:eastAsia="zh-CN"/>
              </w:rPr>
            </w:pPr>
          </w:p>
        </w:tc>
        <w:tc>
          <w:tcPr>
            <w:tcW w:w="1596" w:type="dxa"/>
            <w:vAlign w:val="center"/>
          </w:tcPr>
          <w:p>
            <w:pPr>
              <w:pStyle w:val="31"/>
              <w:bidi w:val="0"/>
              <w:rPr>
                <w:rFonts w:hint="eastAsia"/>
                <w:lang w:val="en-US" w:eastAsia="zh-CN"/>
              </w:rPr>
            </w:pPr>
          </w:p>
        </w:tc>
        <w:tc>
          <w:tcPr>
            <w:tcW w:w="1042" w:type="dxa"/>
            <w:vAlign w:val="center"/>
          </w:tcPr>
          <w:p>
            <w:pPr>
              <w:pStyle w:val="31"/>
              <w:bidi w:val="0"/>
              <w:rPr>
                <w:rFonts w:hint="eastAsia"/>
                <w:lang w:val="en-US" w:eastAsia="zh-CN"/>
              </w:rPr>
            </w:pPr>
          </w:p>
        </w:tc>
      </w:tr>
    </w:tbl>
    <w:p>
      <w:pPr>
        <w:pStyle w:val="15"/>
        <w:rPr>
          <w:rFonts w:hint="eastAsia"/>
          <w:lang w:eastAsia="zh-CN"/>
        </w:rPr>
      </w:pPr>
    </w:p>
    <w:p>
      <w:pPr>
        <w:pStyle w:val="3"/>
        <w:bidi w:val="0"/>
        <w:rPr>
          <w:rFonts w:hint="eastAsia"/>
          <w:lang w:val="en-US" w:eastAsia="zh-CN"/>
        </w:rPr>
      </w:pPr>
      <w:r>
        <w:rPr>
          <w:rFonts w:hint="eastAsia"/>
          <w:lang w:val="en-US" w:eastAsia="zh-CN"/>
        </w:rPr>
        <w:t>报价方面</w:t>
      </w:r>
    </w:p>
    <w:p>
      <w:pPr>
        <w:pStyle w:val="28"/>
        <w:bidi w:val="0"/>
        <w:rPr>
          <w:rFonts w:hint="eastAsia"/>
        </w:rPr>
      </w:pPr>
      <w:r>
        <w:rPr>
          <w:rFonts w:hint="eastAsia"/>
        </w:rPr>
        <w:t>报价方式：固定总价报价（包含税）/固定单价报价（包含税）；</w:t>
      </w:r>
    </w:p>
    <w:p>
      <w:pPr>
        <w:pStyle w:val="28"/>
        <w:bidi w:val="0"/>
        <w:rPr>
          <w:rFonts w:hint="eastAsia"/>
        </w:rPr>
      </w:pPr>
      <w:r>
        <w:rPr>
          <w:rFonts w:hint="eastAsia"/>
        </w:rPr>
        <w:t>报价明细（可根据项目情况增加内容）：</w:t>
      </w:r>
    </w:p>
    <w:tbl>
      <w:tblPr>
        <w:tblStyle w:val="20"/>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837"/>
        <w:gridCol w:w="716"/>
        <w:gridCol w:w="716"/>
        <w:gridCol w:w="1319"/>
        <w:gridCol w:w="1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pPr>
              <w:pStyle w:val="31"/>
              <w:bidi w:val="0"/>
              <w:rPr>
                <w:rFonts w:hint="eastAsia"/>
              </w:rPr>
            </w:pPr>
            <w:r>
              <w:rPr>
                <w:rFonts w:hint="eastAsia"/>
              </w:rPr>
              <w:t>序号</w:t>
            </w:r>
          </w:p>
        </w:tc>
        <w:tc>
          <w:tcPr>
            <w:tcW w:w="1983" w:type="dxa"/>
            <w:vAlign w:val="center"/>
          </w:tcPr>
          <w:p>
            <w:pPr>
              <w:pStyle w:val="31"/>
              <w:bidi w:val="0"/>
              <w:rPr>
                <w:rFonts w:hint="eastAsia"/>
              </w:rPr>
            </w:pPr>
            <w:r>
              <w:rPr>
                <w:rFonts w:hint="eastAsia"/>
              </w:rPr>
              <w:t>名称</w:t>
            </w:r>
          </w:p>
        </w:tc>
        <w:tc>
          <w:tcPr>
            <w:tcW w:w="1837" w:type="dxa"/>
            <w:vAlign w:val="center"/>
          </w:tcPr>
          <w:p>
            <w:pPr>
              <w:pStyle w:val="31"/>
              <w:bidi w:val="0"/>
              <w:rPr>
                <w:rFonts w:hint="eastAsia"/>
              </w:rPr>
            </w:pPr>
            <w:r>
              <w:rPr>
                <w:rFonts w:hint="eastAsia"/>
              </w:rPr>
              <w:t>规格</w:t>
            </w:r>
          </w:p>
        </w:tc>
        <w:tc>
          <w:tcPr>
            <w:tcW w:w="716" w:type="dxa"/>
            <w:vAlign w:val="center"/>
          </w:tcPr>
          <w:p>
            <w:pPr>
              <w:pStyle w:val="31"/>
              <w:bidi w:val="0"/>
              <w:rPr>
                <w:rFonts w:hint="eastAsia"/>
              </w:rPr>
            </w:pPr>
            <w:r>
              <w:rPr>
                <w:rFonts w:hint="eastAsia"/>
              </w:rPr>
              <w:t>数量</w:t>
            </w:r>
          </w:p>
        </w:tc>
        <w:tc>
          <w:tcPr>
            <w:tcW w:w="716" w:type="dxa"/>
            <w:vAlign w:val="center"/>
          </w:tcPr>
          <w:p>
            <w:pPr>
              <w:pStyle w:val="31"/>
              <w:bidi w:val="0"/>
              <w:rPr>
                <w:rFonts w:hint="eastAsia"/>
              </w:rPr>
            </w:pPr>
            <w:r>
              <w:rPr>
                <w:rFonts w:hint="eastAsia"/>
              </w:rPr>
              <w:t>单位</w:t>
            </w:r>
          </w:p>
        </w:tc>
        <w:tc>
          <w:tcPr>
            <w:tcW w:w="1319" w:type="dxa"/>
            <w:vAlign w:val="center"/>
          </w:tcPr>
          <w:p>
            <w:pPr>
              <w:pStyle w:val="31"/>
              <w:bidi w:val="0"/>
              <w:rPr>
                <w:rFonts w:hint="eastAsia"/>
              </w:rPr>
            </w:pPr>
            <w:r>
              <w:rPr>
                <w:rFonts w:hint="eastAsia"/>
              </w:rPr>
              <w:t>报价（元）</w:t>
            </w:r>
          </w:p>
        </w:tc>
        <w:tc>
          <w:tcPr>
            <w:tcW w:w="1319" w:type="dxa"/>
            <w:vAlign w:val="center"/>
          </w:tcPr>
          <w:p>
            <w:pPr>
              <w:pStyle w:val="31"/>
              <w:bidi w:val="0"/>
              <w:rPr>
                <w:rFonts w:hint="eastAsia"/>
              </w:rPr>
            </w:pPr>
            <w:r>
              <w:rPr>
                <w:rFonts w:hint="eastAsia"/>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pStyle w:val="31"/>
              <w:bidi w:val="0"/>
              <w:rPr>
                <w:rFonts w:hint="eastAsia"/>
              </w:rPr>
            </w:pPr>
          </w:p>
        </w:tc>
        <w:tc>
          <w:tcPr>
            <w:tcW w:w="1983" w:type="dxa"/>
            <w:vAlign w:val="center"/>
          </w:tcPr>
          <w:p>
            <w:pPr>
              <w:pStyle w:val="31"/>
              <w:bidi w:val="0"/>
              <w:rPr>
                <w:rFonts w:hint="eastAsia"/>
              </w:rPr>
            </w:pPr>
            <w:r>
              <w:rPr>
                <w:rFonts w:hint="eastAsia"/>
                <w:lang w:val="en-US" w:eastAsia="zh-CN"/>
              </w:rPr>
              <w:t>设备管理系统开发实施服务</w:t>
            </w:r>
          </w:p>
        </w:tc>
        <w:tc>
          <w:tcPr>
            <w:tcW w:w="1837" w:type="dxa"/>
            <w:vAlign w:val="center"/>
          </w:tcPr>
          <w:p>
            <w:pPr>
              <w:pStyle w:val="31"/>
              <w:bidi w:val="0"/>
              <w:rPr>
                <w:rFonts w:hint="eastAsia"/>
              </w:rPr>
            </w:pPr>
            <w:r>
              <w:rPr>
                <w:rFonts w:hint="eastAsia"/>
                <w:lang w:val="en-US" w:eastAsia="zh-CN"/>
              </w:rPr>
              <w:t>/</w:t>
            </w:r>
          </w:p>
        </w:tc>
        <w:tc>
          <w:tcPr>
            <w:tcW w:w="716" w:type="dxa"/>
            <w:vAlign w:val="center"/>
          </w:tcPr>
          <w:p>
            <w:pPr>
              <w:pStyle w:val="31"/>
              <w:bidi w:val="0"/>
              <w:rPr>
                <w:rFonts w:hint="eastAsia"/>
              </w:rPr>
            </w:pPr>
            <w:r>
              <w:rPr>
                <w:rFonts w:hint="eastAsia"/>
                <w:lang w:val="en-US" w:eastAsia="zh-CN"/>
              </w:rPr>
              <w:t>1</w:t>
            </w:r>
          </w:p>
        </w:tc>
        <w:tc>
          <w:tcPr>
            <w:tcW w:w="716" w:type="dxa"/>
            <w:vAlign w:val="center"/>
          </w:tcPr>
          <w:p>
            <w:pPr>
              <w:pStyle w:val="31"/>
              <w:bidi w:val="0"/>
              <w:rPr>
                <w:rFonts w:hint="eastAsia"/>
                <w:lang w:eastAsia="zh-CN"/>
              </w:rPr>
            </w:pPr>
            <w:r>
              <w:rPr>
                <w:rFonts w:hint="eastAsia"/>
                <w:lang w:val="en-US" w:eastAsia="zh-CN"/>
              </w:rPr>
              <w:t>项</w:t>
            </w:r>
          </w:p>
        </w:tc>
        <w:tc>
          <w:tcPr>
            <w:tcW w:w="1319" w:type="dxa"/>
            <w:vAlign w:val="center"/>
          </w:tcPr>
          <w:p>
            <w:pPr>
              <w:pStyle w:val="31"/>
              <w:bidi w:val="0"/>
              <w:rPr>
                <w:rFonts w:hint="default"/>
                <w:lang w:val="en-US" w:eastAsia="zh-CN"/>
              </w:rPr>
            </w:pPr>
          </w:p>
        </w:tc>
        <w:tc>
          <w:tcPr>
            <w:tcW w:w="1319" w:type="dxa"/>
            <w:vAlign w:val="center"/>
          </w:tcPr>
          <w:p>
            <w:pPr>
              <w:pStyle w:val="31"/>
              <w:bidi w:val="0"/>
              <w:rPr>
                <w:rFonts w:hint="eastAsia" w:eastAsia="宋体"/>
                <w:lang w:val="en-US" w:eastAsia="zh-CN"/>
              </w:rPr>
            </w:pPr>
            <w:r>
              <w:rPr>
                <w:rFonts w:hint="eastAsia"/>
                <w:lang w:val="en-US" w:eastAsia="zh-CN"/>
              </w:rPr>
              <w:t>/</w:t>
            </w:r>
          </w:p>
        </w:tc>
      </w:tr>
    </w:tbl>
    <w:p>
      <w:pPr>
        <w:pStyle w:val="28"/>
        <w:bidi w:val="0"/>
        <w:rPr>
          <w:rFonts w:hint="eastAsia"/>
        </w:rPr>
      </w:pPr>
      <w:r>
        <w:rPr>
          <w:rFonts w:hint="eastAsia"/>
        </w:rPr>
        <w:t>注：具体税率以税法规定的为主。</w:t>
      </w:r>
    </w:p>
    <w:p>
      <w:pPr>
        <w:pStyle w:val="28"/>
        <w:bidi w:val="0"/>
      </w:pPr>
    </w:p>
    <w:p>
      <w:pPr>
        <w:pStyle w:val="3"/>
        <w:bidi w:val="0"/>
        <w:rPr>
          <w:rFonts w:hint="default"/>
          <w:lang w:val="en-US" w:eastAsia="zh-CN"/>
        </w:rPr>
      </w:pPr>
      <w:r>
        <w:rPr>
          <w:rFonts w:hint="eastAsia"/>
          <w:lang w:val="en-US" w:eastAsia="zh-CN"/>
        </w:rPr>
        <w:t>要求</w:t>
      </w:r>
    </w:p>
    <w:p>
      <w:pPr>
        <w:pStyle w:val="2"/>
        <w:bidi w:val="0"/>
        <w:rPr>
          <w:rFonts w:hint="eastAsia"/>
          <w:lang w:val="en-US" w:eastAsia="zh-CN"/>
        </w:rPr>
      </w:pPr>
      <w:r>
        <w:rPr>
          <w:rFonts w:hint="eastAsia"/>
          <w:lang w:val="en-US" w:eastAsia="zh-CN"/>
        </w:rPr>
        <w:t>服务提供方须提供的文件</w:t>
      </w:r>
    </w:p>
    <w:p>
      <w:pPr>
        <w:pStyle w:val="28"/>
        <w:bidi w:val="0"/>
      </w:pPr>
      <w:r>
        <w:rPr>
          <w:rFonts w:hint="eastAsia"/>
        </w:rPr>
        <w:t>（</w:t>
      </w:r>
      <w:r>
        <w:rPr>
          <w:rFonts w:hint="eastAsia"/>
          <w:lang w:val="en-US" w:eastAsia="zh-CN"/>
        </w:rPr>
        <w:t>1</w:t>
      </w:r>
      <w:r>
        <w:rPr>
          <w:rFonts w:hint="eastAsia"/>
        </w:rPr>
        <w:t>）</w:t>
      </w:r>
      <w:r>
        <w:rPr>
          <w:rFonts w:hint="eastAsia"/>
          <w:lang w:val="en-US" w:eastAsia="zh-CN"/>
        </w:rPr>
        <w:t>营业执照</w:t>
      </w:r>
      <w:r>
        <w:rPr>
          <w:rFonts w:hint="eastAsia"/>
        </w:rPr>
        <w:t>（有盖章）。</w:t>
      </w:r>
    </w:p>
    <w:p>
      <w:pPr>
        <w:pStyle w:val="28"/>
        <w:bidi w:val="0"/>
        <w:rPr>
          <w:rFonts w:hint="eastAsia"/>
          <w:lang w:eastAsia="zh-CN"/>
        </w:rPr>
      </w:pPr>
      <w:r>
        <w:rPr>
          <w:rFonts w:hint="eastAsia"/>
        </w:rPr>
        <w:t>（</w:t>
      </w:r>
      <w:r>
        <w:rPr>
          <w:rFonts w:hint="eastAsia"/>
          <w:lang w:val="en-US" w:eastAsia="zh-CN"/>
        </w:rPr>
        <w:t>2</w:t>
      </w:r>
      <w:r>
        <w:rPr>
          <w:rFonts w:hint="eastAsia"/>
        </w:rPr>
        <w:t>）本项目需提供技术参数响应对照表</w:t>
      </w:r>
      <w:r>
        <w:rPr>
          <w:rFonts w:hint="eastAsia"/>
          <w:lang w:eastAsia="zh-CN"/>
        </w:rPr>
        <w:t>。</w:t>
      </w:r>
    </w:p>
    <w:p>
      <w:pPr>
        <w:pStyle w:val="2"/>
        <w:bidi w:val="0"/>
        <w:rPr>
          <w:rFonts w:hint="eastAsia"/>
          <w:lang w:val="en-US" w:eastAsia="zh-CN"/>
        </w:rPr>
      </w:pPr>
      <w:bookmarkStart w:id="4" w:name="_Toc170073377"/>
      <w:r>
        <w:rPr>
          <w:rFonts w:hint="eastAsia"/>
          <w:lang w:val="en-US" w:eastAsia="zh-CN"/>
        </w:rPr>
        <w:t>项目服务保证</w:t>
      </w:r>
      <w:bookmarkEnd w:id="4"/>
    </w:p>
    <w:p>
      <w:pPr>
        <w:pStyle w:val="28"/>
        <w:bidi w:val="0"/>
      </w:pPr>
      <w:r>
        <w:rPr>
          <w:rFonts w:hint="eastAsia"/>
        </w:rPr>
        <w:t>（1）投标方需对本项目内容进行保密，未经招标方同意，不得透露给任何第三方。</w:t>
      </w:r>
    </w:p>
    <w:p>
      <w:pPr>
        <w:pStyle w:val="28"/>
        <w:bidi w:val="0"/>
      </w:pPr>
      <w:r>
        <w:rPr>
          <w:rFonts w:hint="eastAsia"/>
        </w:rPr>
        <w:t>（2）</w:t>
      </w:r>
      <w:r>
        <w:t>项目验收后，验收人员将根据实际情况提出验收报告，如若有需要整改的内容，投标方在验收后应主动配合招标方严格按照整改意见进行整改完善。</w:t>
      </w:r>
    </w:p>
    <w:p>
      <w:pPr>
        <w:pStyle w:val="28"/>
        <w:bidi w:val="0"/>
      </w:pPr>
    </w:p>
    <w:p>
      <w:pPr>
        <w:pStyle w:val="2"/>
        <w:bidi w:val="0"/>
        <w:rPr>
          <w:rFonts w:hint="eastAsia"/>
          <w:lang w:val="en-US" w:eastAsia="zh-CN"/>
        </w:rPr>
      </w:pPr>
      <w:bookmarkStart w:id="5" w:name="_Toc170073378"/>
      <w:r>
        <w:rPr>
          <w:rFonts w:hint="eastAsia"/>
          <w:lang w:val="en-US" w:eastAsia="zh-CN"/>
        </w:rPr>
        <w:t>网络安全及数据安全要求</w:t>
      </w:r>
      <w:bookmarkEnd w:id="5"/>
    </w:p>
    <w:p>
      <w:pPr>
        <w:pStyle w:val="28"/>
        <w:bidi w:val="0"/>
      </w:pPr>
      <w:r>
        <w:rPr>
          <w:rFonts w:hint="eastAsia"/>
        </w:rPr>
        <w:t>（1）</w:t>
      </w:r>
      <w:r>
        <w:rPr>
          <w:rFonts w:hint="eastAsia"/>
          <w:lang w:eastAsia="zh-CN"/>
        </w:rPr>
        <w:t>服务提供方</w:t>
      </w:r>
      <w:r>
        <w:rPr>
          <w:rFonts w:hint="eastAsia"/>
        </w:rPr>
        <w:t>应对其人员进行网络安全培训，提高风险管理意识，确保网络安全管控措施在服务过程中有效落实。</w:t>
      </w:r>
      <w:r>
        <w:rPr>
          <w:rFonts w:hint="eastAsia"/>
          <w:lang w:eastAsia="zh-CN"/>
        </w:rPr>
        <w:t>服务提供方</w:t>
      </w:r>
      <w:r>
        <w:rPr>
          <w:rFonts w:hint="eastAsia"/>
        </w:rPr>
        <w:t>人员应遵守</w:t>
      </w:r>
      <w:r>
        <w:rPr>
          <w:rFonts w:hint="eastAsia"/>
          <w:lang w:eastAsia="zh-CN"/>
        </w:rPr>
        <w:t>服务采购方</w:t>
      </w:r>
      <w:r>
        <w:rPr>
          <w:rFonts w:hint="eastAsia"/>
        </w:rPr>
        <w:t>场地管理、设备使用等方面的制度和规定。</w:t>
      </w:r>
      <w:r>
        <w:rPr>
          <w:rFonts w:hint="eastAsia"/>
          <w:lang w:eastAsia="zh-CN"/>
        </w:rPr>
        <w:t>服务提供方</w:t>
      </w:r>
      <w:r>
        <w:rPr>
          <w:rFonts w:hint="eastAsia"/>
        </w:rPr>
        <w:t>承诺保障</w:t>
      </w:r>
      <w:r>
        <w:rPr>
          <w:rFonts w:hint="eastAsia"/>
          <w:lang w:eastAsia="zh-CN"/>
        </w:rPr>
        <w:t>服务采购方</w:t>
      </w:r>
      <w:r>
        <w:rPr>
          <w:rFonts w:hint="eastAsia"/>
        </w:rPr>
        <w:t>信息的安全性。因</w:t>
      </w:r>
      <w:r>
        <w:rPr>
          <w:rFonts w:hint="eastAsia"/>
          <w:lang w:eastAsia="zh-CN"/>
        </w:rPr>
        <w:t>服务提供方</w:t>
      </w:r>
      <w:r>
        <w:rPr>
          <w:rFonts w:hint="eastAsia"/>
        </w:rPr>
        <w:t>原因造成</w:t>
      </w:r>
      <w:r>
        <w:rPr>
          <w:rFonts w:hint="eastAsia"/>
          <w:lang w:eastAsia="zh-CN"/>
        </w:rPr>
        <w:t>服务采购方</w:t>
      </w:r>
      <w:r>
        <w:rPr>
          <w:rFonts w:hint="eastAsia"/>
        </w:rPr>
        <w:t>信息不安全时，</w:t>
      </w:r>
      <w:r>
        <w:rPr>
          <w:rFonts w:hint="eastAsia"/>
          <w:lang w:eastAsia="zh-CN"/>
        </w:rPr>
        <w:t>服务采购方</w:t>
      </w:r>
      <w:r>
        <w:rPr>
          <w:rFonts w:hint="eastAsia"/>
        </w:rPr>
        <w:t>有权随时终止本招标并要求</w:t>
      </w:r>
      <w:r>
        <w:rPr>
          <w:rFonts w:hint="eastAsia"/>
          <w:lang w:eastAsia="zh-CN"/>
        </w:rPr>
        <w:t>服务提供方</w:t>
      </w:r>
      <w:r>
        <w:rPr>
          <w:rFonts w:hint="eastAsia"/>
        </w:rPr>
        <w:t>赔偿因此给</w:t>
      </w:r>
      <w:r>
        <w:rPr>
          <w:rFonts w:hint="eastAsia"/>
          <w:lang w:eastAsia="zh-CN"/>
        </w:rPr>
        <w:t>服务采购方</w:t>
      </w:r>
      <w:r>
        <w:rPr>
          <w:rFonts w:hint="eastAsia"/>
        </w:rPr>
        <w:t>造成的全部损失。</w:t>
      </w:r>
    </w:p>
    <w:p>
      <w:pPr>
        <w:pStyle w:val="28"/>
        <w:bidi w:val="0"/>
      </w:pPr>
      <w:r>
        <w:rPr>
          <w:rFonts w:hint="eastAsia"/>
        </w:rPr>
        <w:t>（２）</w:t>
      </w:r>
      <w:r>
        <w:rPr>
          <w:rFonts w:hint="eastAsia"/>
          <w:lang w:eastAsia="zh-CN"/>
        </w:rPr>
        <w:t>服务采购方</w:t>
      </w:r>
      <w:r>
        <w:rPr>
          <w:rFonts w:hint="eastAsia"/>
        </w:rPr>
        <w:t>有权对</w:t>
      </w:r>
      <w:r>
        <w:rPr>
          <w:rFonts w:hint="eastAsia"/>
          <w:lang w:eastAsia="zh-CN"/>
        </w:rPr>
        <w:t>服务提供方</w:t>
      </w:r>
      <w:r>
        <w:rPr>
          <w:rFonts w:hint="eastAsia"/>
        </w:rPr>
        <w:t>与本项目工作有关的工作履行情况及网络安全和控制情况进行监控、检查和评价。</w:t>
      </w:r>
      <w:r>
        <w:rPr>
          <w:rFonts w:hint="eastAsia"/>
          <w:lang w:eastAsia="zh-CN"/>
        </w:rPr>
        <w:t>服务提供方</w:t>
      </w:r>
      <w:r>
        <w:rPr>
          <w:rFonts w:hint="eastAsia"/>
        </w:rPr>
        <w:t>应按照</w:t>
      </w:r>
      <w:r>
        <w:rPr>
          <w:rFonts w:hint="eastAsia"/>
          <w:lang w:eastAsia="zh-CN"/>
        </w:rPr>
        <w:t>服务采购方</w:t>
      </w:r>
      <w:r>
        <w:rPr>
          <w:rFonts w:hint="eastAsia"/>
        </w:rPr>
        <w:t>安排定期或不定期对</w:t>
      </w:r>
      <w:r>
        <w:rPr>
          <w:rFonts w:hint="eastAsia"/>
          <w:lang w:eastAsia="zh-CN"/>
        </w:rPr>
        <w:t>服务提供方</w:t>
      </w:r>
      <w:r>
        <w:rPr>
          <w:rFonts w:hint="eastAsia"/>
        </w:rPr>
        <w:t>在服务过程中的不合规行为（如：终端私藏敏感信息或者非授权连接</w:t>
      </w:r>
      <w:r>
        <w:rPr>
          <w:rFonts w:hint="eastAsia"/>
          <w:lang w:eastAsia="zh-CN"/>
        </w:rPr>
        <w:t>服务采购方</w:t>
      </w:r>
      <w:r>
        <w:rPr>
          <w:rFonts w:hint="eastAsia"/>
        </w:rPr>
        <w:t>网络）进行自查并向</w:t>
      </w:r>
      <w:r>
        <w:rPr>
          <w:rFonts w:hint="eastAsia"/>
          <w:lang w:eastAsia="zh-CN"/>
        </w:rPr>
        <w:t>服务采购方</w:t>
      </w:r>
      <w:r>
        <w:rPr>
          <w:rFonts w:hint="eastAsia"/>
        </w:rPr>
        <w:t>报告情况。</w:t>
      </w:r>
    </w:p>
    <w:p>
      <w:pPr>
        <w:pStyle w:val="28"/>
        <w:bidi w:val="0"/>
      </w:pPr>
      <w:r>
        <w:rPr>
          <w:rFonts w:hint="eastAsia"/>
        </w:rPr>
        <w:t>（３）</w:t>
      </w:r>
      <w:r>
        <w:rPr>
          <w:rFonts w:hint="eastAsia"/>
          <w:lang w:eastAsia="zh-CN"/>
        </w:rPr>
        <w:t>服务提供方</w:t>
      </w:r>
      <w:r>
        <w:rPr>
          <w:rFonts w:hint="eastAsia"/>
        </w:rPr>
        <w:t>应有相应的网络安全保障能力及管控措施，并有应对突发网络安全事件的能力。</w:t>
      </w:r>
    </w:p>
    <w:p>
      <w:pPr>
        <w:pStyle w:val="28"/>
        <w:bidi w:val="0"/>
      </w:pPr>
      <w:r>
        <w:rPr>
          <w:rFonts w:hint="eastAsia"/>
        </w:rPr>
        <w:t>（４）</w:t>
      </w:r>
      <w:r>
        <w:rPr>
          <w:rFonts w:hint="eastAsia"/>
          <w:lang w:eastAsia="zh-CN"/>
        </w:rPr>
        <w:t>服务提供方</w:t>
      </w:r>
      <w:r>
        <w:rPr>
          <w:rFonts w:hint="eastAsia"/>
        </w:rPr>
        <w:t>不得在项目期间利用</w:t>
      </w:r>
      <w:r>
        <w:rPr>
          <w:rFonts w:hint="eastAsia"/>
          <w:lang w:eastAsia="zh-CN"/>
        </w:rPr>
        <w:t>服务采购方</w:t>
      </w:r>
      <w:r>
        <w:rPr>
          <w:rFonts w:hint="eastAsia"/>
        </w:rPr>
        <w:t>网络资源或相关业务平台从事危害国家安全等违法犯罪活动，不得利用</w:t>
      </w:r>
      <w:r>
        <w:rPr>
          <w:rFonts w:hint="eastAsia"/>
          <w:lang w:eastAsia="zh-CN"/>
        </w:rPr>
        <w:t>服务采购方</w:t>
      </w:r>
      <w:r>
        <w:rPr>
          <w:rFonts w:hint="eastAsia"/>
        </w:rPr>
        <w:t>网络资源或相关业务平台制作、查阅、复制和传播违反宪法和法律、妨碍社会治安、破坏国家统一、破坏民族团结、色情、暴力等信息。</w:t>
      </w:r>
    </w:p>
    <w:p>
      <w:pPr>
        <w:pStyle w:val="28"/>
        <w:bidi w:val="0"/>
      </w:pPr>
      <w:r>
        <w:rPr>
          <w:rFonts w:hint="eastAsia"/>
        </w:rPr>
        <w:t>（５）</w:t>
      </w:r>
      <w:r>
        <w:rPr>
          <w:rFonts w:hint="eastAsia"/>
          <w:lang w:eastAsia="zh-CN"/>
        </w:rPr>
        <w:t>服务采购方</w:t>
      </w:r>
      <w:r>
        <w:rPr>
          <w:rFonts w:hint="eastAsia"/>
        </w:rPr>
        <w:t>与中标人签订保密承诺书，要求其自查敏感信息，不得向第三方提供与系统有关的源代码、系统架构、配置、科技项目研发过程中的相关数据等信息，不得在互联网各类共享平台（GitHub等）上发布与系统有关的源代码、系统架构、配置、科技项目研发过程中的相关数据等相关信息，做好个人终端上的敏感信息清查。未经</w:t>
      </w:r>
      <w:r>
        <w:rPr>
          <w:rFonts w:hint="eastAsia"/>
          <w:lang w:eastAsia="zh-CN"/>
        </w:rPr>
        <w:t>服务采购方</w:t>
      </w:r>
      <w:r>
        <w:rPr>
          <w:rFonts w:hint="eastAsia"/>
        </w:rPr>
        <w:t>书面同意，不得将科技项目研发过程中的相关数据用于任何学术交流、教育培训、技术交流等活动。</w:t>
      </w:r>
    </w:p>
    <w:p>
      <w:pPr>
        <w:pStyle w:val="28"/>
        <w:bidi w:val="0"/>
      </w:pPr>
      <w:r>
        <w:rPr>
          <w:rFonts w:hint="eastAsia"/>
        </w:rPr>
        <w:t>（６）中标人不得在互联网上私搭乱建未经授权的包含</w:t>
      </w:r>
      <w:r>
        <w:rPr>
          <w:rFonts w:hint="eastAsia"/>
          <w:lang w:eastAsia="zh-CN"/>
        </w:rPr>
        <w:t>服务采购方</w:t>
      </w:r>
      <w:r>
        <w:rPr>
          <w:rFonts w:hint="eastAsia"/>
        </w:rPr>
        <w:t>信息数据（包括但不限于南方电网及云南电网名称和logo等）的测试环境，不得擅自将未经测试通过的系统放在互联网测试环境中。</w:t>
      </w:r>
    </w:p>
    <w:p>
      <w:pPr>
        <w:pStyle w:val="28"/>
        <w:bidi w:val="0"/>
      </w:pPr>
      <w:r>
        <w:rPr>
          <w:rFonts w:hint="eastAsia"/>
        </w:rPr>
        <w:t>（７）中标人应对其人员进行网络安全意识培训，签订网络安全责任书，敦促其清理在个人终端或发布在互联网上的同类系统源代码、网络拓扑、系统账号等敏感信息。</w:t>
      </w:r>
    </w:p>
    <w:p>
      <w:pPr>
        <w:pStyle w:val="28"/>
        <w:bidi w:val="0"/>
        <w:rPr>
          <w:rFonts w:hint="eastAsia"/>
        </w:rPr>
      </w:pPr>
      <w:r>
        <w:rPr>
          <w:rFonts w:hint="eastAsia"/>
        </w:rPr>
        <w:t>（８）中标人应遵循“谁经手，谁使用，谁管理，谁负责”的原则，确保在项目期间获取的数据不被非法访问、复制、使用、泄露或破坏。</w:t>
      </w:r>
    </w:p>
    <w:p>
      <w:pPr>
        <w:pStyle w:val="28"/>
        <w:bidi w:val="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30204"/>
    <w:charset w:val="00"/>
    <w:family w:val="auto"/>
    <w:pitch w:val="default"/>
    <w:sig w:usb0="00000000" w:usb1="00000000" w:usb2="00000000" w:usb3="00000000"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865789"/>
    <w:multiLevelType w:val="singleLevel"/>
    <w:tmpl w:val="B9865789"/>
    <w:lvl w:ilvl="0" w:tentative="0">
      <w:start w:val="3"/>
      <w:numFmt w:val="decimal"/>
      <w:suff w:val="nothing"/>
      <w:lvlText w:val="（%1）"/>
      <w:lvlJc w:val="left"/>
    </w:lvl>
  </w:abstractNum>
  <w:abstractNum w:abstractNumId="1">
    <w:nsid w:val="561D7F3B"/>
    <w:multiLevelType w:val="singleLevel"/>
    <w:tmpl w:val="561D7F3B"/>
    <w:lvl w:ilvl="0" w:tentative="0">
      <w:start w:val="1"/>
      <w:numFmt w:val="bullet"/>
      <w:lvlText w:val=""/>
      <w:lvlJc w:val="left"/>
      <w:pPr>
        <w:ind w:left="420" w:hanging="420"/>
      </w:pPr>
      <w:rPr>
        <w:rFonts w:hint="default" w:ascii="Wingdings" w:hAnsi="Wingdings"/>
      </w:rPr>
    </w:lvl>
  </w:abstractNum>
  <w:abstractNum w:abstractNumId="2">
    <w:nsid w:val="58AEFA94"/>
    <w:multiLevelType w:val="multilevel"/>
    <w:tmpl w:val="58AEFA94"/>
    <w:lvl w:ilvl="0" w:tentative="0">
      <w:start w:val="1"/>
      <w:numFmt w:val="chineseCounting"/>
      <w:pStyle w:val="3"/>
      <w:lvlText w:val="%1、"/>
      <w:lvlJc w:val="left"/>
      <w:pPr>
        <w:tabs>
          <w:tab w:val="left" w:pos="0"/>
        </w:tabs>
        <w:ind w:left="0" w:leftChars="0" w:firstLine="0" w:firstLineChars="0"/>
      </w:pPr>
      <w:rPr>
        <w:rFonts w:hint="eastAsia"/>
      </w:rPr>
    </w:lvl>
    <w:lvl w:ilvl="1" w:tentative="0">
      <w:start w:val="1"/>
      <w:numFmt w:val="decimal"/>
      <w:pStyle w:val="2"/>
      <w:isLgl/>
      <w:lvlText w:val="%1.%2."/>
      <w:lvlJc w:val="left"/>
      <w:pPr>
        <w:tabs>
          <w:tab w:val="left" w:pos="0"/>
        </w:tabs>
        <w:ind w:left="0" w:leftChars="0" w:firstLine="0" w:firstLineChars="0"/>
      </w:pPr>
      <w:rPr>
        <w:rFonts w:hint="eastAsia"/>
      </w:rPr>
    </w:lvl>
    <w:lvl w:ilvl="2" w:tentative="0">
      <w:start w:val="1"/>
      <w:numFmt w:val="decimal"/>
      <w:pStyle w:val="4"/>
      <w:isLgl/>
      <w:lvlText w:val="%1.%2.%3."/>
      <w:lvlJc w:val="left"/>
      <w:pPr>
        <w:tabs>
          <w:tab w:val="left" w:pos="0"/>
        </w:tabs>
        <w:ind w:left="0" w:leftChars="0" w:firstLine="0" w:firstLineChars="0"/>
      </w:pPr>
      <w:rPr>
        <w:rFonts w:hint="eastAsia"/>
      </w:rPr>
    </w:lvl>
    <w:lvl w:ilvl="3" w:tentative="0">
      <w:start w:val="1"/>
      <w:numFmt w:val="decimal"/>
      <w:pStyle w:val="5"/>
      <w:isLgl/>
      <w:lvlText w:val="%1.%2.%3.%4."/>
      <w:lvlJc w:val="left"/>
      <w:pPr>
        <w:tabs>
          <w:tab w:val="left" w:pos="0"/>
        </w:tabs>
        <w:ind w:left="0" w:leftChars="0" w:firstLine="0" w:firstLineChars="0"/>
      </w:pPr>
      <w:rPr>
        <w:rFonts w:hint="eastAsia"/>
      </w:rPr>
    </w:lvl>
    <w:lvl w:ilvl="4" w:tentative="0">
      <w:start w:val="1"/>
      <w:numFmt w:val="decimal"/>
      <w:pStyle w:val="6"/>
      <w:isLgl/>
      <w:lvlText w:val="%1.%2.%3.%4.%5."/>
      <w:lvlJc w:val="left"/>
      <w:pPr>
        <w:tabs>
          <w:tab w:val="left" w:pos="0"/>
        </w:tabs>
        <w:ind w:left="0" w:leftChars="0" w:firstLine="0" w:firstLineChars="0"/>
      </w:pPr>
      <w:rPr>
        <w:rFonts w:hint="eastAsia"/>
      </w:rPr>
    </w:lvl>
    <w:lvl w:ilvl="5" w:tentative="0">
      <w:start w:val="1"/>
      <w:numFmt w:val="decimal"/>
      <w:pStyle w:val="7"/>
      <w:isLgl/>
      <w:lvlText w:val="%1.%2.%3.%4.%5.%6."/>
      <w:lvlJc w:val="left"/>
      <w:pPr>
        <w:tabs>
          <w:tab w:val="left" w:pos="0"/>
        </w:tabs>
        <w:ind w:left="0" w:leftChars="0" w:firstLine="0" w:firstLineChars="0"/>
      </w:pPr>
      <w:rPr>
        <w:rFonts w:hint="eastAsia"/>
      </w:rPr>
    </w:lvl>
    <w:lvl w:ilvl="6" w:tentative="0">
      <w:start w:val="1"/>
      <w:numFmt w:val="decimal"/>
      <w:pStyle w:val="8"/>
      <w:isLgl/>
      <w:lvlText w:val="%1.%2.%3.%4.%5.%6.%7."/>
      <w:lvlJc w:val="left"/>
      <w:pPr>
        <w:tabs>
          <w:tab w:val="left" w:pos="0"/>
        </w:tabs>
        <w:ind w:left="0" w:leftChars="0" w:firstLine="0" w:firstLineChars="0"/>
      </w:pPr>
      <w:rPr>
        <w:rFonts w:hint="eastAsia"/>
      </w:rPr>
    </w:lvl>
    <w:lvl w:ilvl="7" w:tentative="0">
      <w:start w:val="1"/>
      <w:numFmt w:val="decimal"/>
      <w:pStyle w:val="9"/>
      <w:isLgl/>
      <w:lvlText w:val="%1.%2.%3.%4.%5.%6.%7.%8."/>
      <w:lvlJc w:val="left"/>
      <w:pPr>
        <w:ind w:left="1440" w:hanging="1440"/>
      </w:pPr>
      <w:rPr>
        <w:rFonts w:hint="eastAsia"/>
      </w:rPr>
    </w:lvl>
    <w:lvl w:ilvl="8" w:tentative="0">
      <w:start w:val="1"/>
      <w:numFmt w:val="decimal"/>
      <w:pStyle w:val="10"/>
      <w:lvlText w:val="%1.%2.%3.%4.%5.%6.%7.%8.%9."/>
      <w:lvlJc w:val="left"/>
      <w:pPr>
        <w:ind w:left="1583" w:hanging="1583"/>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FjNGM0MmQzMjc0YjhlNGRjYmY2ZWVhZDNhYzNmMDIifQ=="/>
  </w:docVars>
  <w:rsids>
    <w:rsidRoot w:val="00000000"/>
    <w:rsid w:val="00FE05D2"/>
    <w:rsid w:val="018A58CB"/>
    <w:rsid w:val="02234555"/>
    <w:rsid w:val="0AE927CF"/>
    <w:rsid w:val="0FA7451F"/>
    <w:rsid w:val="10176E76"/>
    <w:rsid w:val="18C8333C"/>
    <w:rsid w:val="1BC75425"/>
    <w:rsid w:val="1FF433F1"/>
    <w:rsid w:val="22792CA9"/>
    <w:rsid w:val="22BC0280"/>
    <w:rsid w:val="23452E6E"/>
    <w:rsid w:val="234B70AB"/>
    <w:rsid w:val="26D56408"/>
    <w:rsid w:val="27D269BF"/>
    <w:rsid w:val="2AAE20F3"/>
    <w:rsid w:val="2C2A1684"/>
    <w:rsid w:val="2CD044F4"/>
    <w:rsid w:val="2DC10320"/>
    <w:rsid w:val="2EFA5A9E"/>
    <w:rsid w:val="2F4104E5"/>
    <w:rsid w:val="3042533E"/>
    <w:rsid w:val="30E42146"/>
    <w:rsid w:val="3377272B"/>
    <w:rsid w:val="33C647C7"/>
    <w:rsid w:val="34270681"/>
    <w:rsid w:val="3491437B"/>
    <w:rsid w:val="34944DB9"/>
    <w:rsid w:val="37BB1CD0"/>
    <w:rsid w:val="384A6F46"/>
    <w:rsid w:val="3D502AF5"/>
    <w:rsid w:val="3D8E25F3"/>
    <w:rsid w:val="3E45067C"/>
    <w:rsid w:val="405F5252"/>
    <w:rsid w:val="41DE1BFE"/>
    <w:rsid w:val="437E3620"/>
    <w:rsid w:val="46617298"/>
    <w:rsid w:val="469943E1"/>
    <w:rsid w:val="47E30B53"/>
    <w:rsid w:val="49F50D78"/>
    <w:rsid w:val="4F905428"/>
    <w:rsid w:val="50C24938"/>
    <w:rsid w:val="51C91ADA"/>
    <w:rsid w:val="52323D36"/>
    <w:rsid w:val="569171CD"/>
    <w:rsid w:val="593F084E"/>
    <w:rsid w:val="59FA3FE9"/>
    <w:rsid w:val="5AEF0CBE"/>
    <w:rsid w:val="5CC53790"/>
    <w:rsid w:val="5DEF7F59"/>
    <w:rsid w:val="5E1E1CA7"/>
    <w:rsid w:val="69275B4A"/>
    <w:rsid w:val="6C14445E"/>
    <w:rsid w:val="6DE72C23"/>
    <w:rsid w:val="6E70215F"/>
    <w:rsid w:val="7727035E"/>
    <w:rsid w:val="77DE1622"/>
    <w:rsid w:val="79AB20A9"/>
    <w:rsid w:val="7AC12622"/>
    <w:rsid w:val="7C7E5C0D"/>
    <w:rsid w:val="7E4F3A6C"/>
    <w:rsid w:val="7FCB5E84"/>
    <w:rsid w:val="7FD244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numPr>
        <w:ilvl w:val="0"/>
        <w:numId w:val="1"/>
      </w:numPr>
      <w:spacing w:line="240" w:lineRule="auto"/>
      <w:ind w:left="0" w:firstLine="0"/>
      <w:jc w:val="left"/>
      <w:outlineLvl w:val="0"/>
    </w:pPr>
    <w:rPr>
      <w:rFonts w:ascii="Calibri" w:hAnsi="Calibri" w:eastAsia="宋体" w:cs="Times New Roman"/>
      <w:b/>
      <w:bCs/>
      <w:kern w:val="44"/>
      <w:sz w:val="30"/>
      <w:szCs w:val="44"/>
    </w:rPr>
  </w:style>
  <w:style w:type="paragraph" w:styleId="2">
    <w:name w:val="heading 2"/>
    <w:basedOn w:val="1"/>
    <w:next w:val="1"/>
    <w:unhideWhenUsed/>
    <w:qFormat/>
    <w:uiPriority w:val="0"/>
    <w:pPr>
      <w:keepNext/>
      <w:keepLines/>
      <w:numPr>
        <w:ilvl w:val="1"/>
        <w:numId w:val="1"/>
      </w:numPr>
      <w:spacing w:beforeLines="0" w:beforeAutospacing="0" w:afterLines="0" w:afterAutospacing="0" w:line="240" w:lineRule="auto"/>
      <w:ind w:left="0" w:firstLine="0"/>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Lines="0" w:beforeAutospacing="0" w:afterLines="0" w:afterAutospacing="0" w:line="240" w:lineRule="auto"/>
      <w:ind w:left="0" w:firstLine="0"/>
      <w:outlineLvl w:val="2"/>
    </w:pPr>
    <w:rPr>
      <w:rFonts w:asciiTheme="minorAscii" w:hAnsiTheme="minorAscii"/>
      <w:b/>
      <w:sz w:val="32"/>
    </w:rPr>
  </w:style>
  <w:style w:type="paragraph" w:styleId="5">
    <w:name w:val="heading 4"/>
    <w:basedOn w:val="1"/>
    <w:next w:val="1"/>
    <w:unhideWhenUsed/>
    <w:qFormat/>
    <w:uiPriority w:val="0"/>
    <w:pPr>
      <w:keepNext/>
      <w:keepLines/>
      <w:numPr>
        <w:ilvl w:val="3"/>
        <w:numId w:val="1"/>
      </w:numPr>
      <w:spacing w:beforeLines="0" w:beforeAutospacing="0" w:afterLines="0" w:afterAutospacing="0" w:line="240" w:lineRule="auto"/>
      <w:ind w:left="0" w:firstLine="0"/>
      <w:outlineLvl w:val="3"/>
    </w:pPr>
    <w:rPr>
      <w:rFonts w:ascii="Arial" w:hAnsi="Arial" w:eastAsia="黑体"/>
      <w:b/>
      <w:sz w:val="28"/>
    </w:rPr>
  </w:style>
  <w:style w:type="paragraph" w:styleId="6">
    <w:name w:val="heading 5"/>
    <w:basedOn w:val="1"/>
    <w:next w:val="1"/>
    <w:unhideWhenUsed/>
    <w:qFormat/>
    <w:uiPriority w:val="0"/>
    <w:pPr>
      <w:keepNext/>
      <w:keepLines/>
      <w:numPr>
        <w:ilvl w:val="4"/>
        <w:numId w:val="1"/>
      </w:numPr>
      <w:spacing w:beforeLines="0" w:beforeAutospacing="0" w:afterLines="0" w:afterAutospacing="0" w:line="240" w:lineRule="auto"/>
      <w:ind w:left="0" w:firstLine="0"/>
      <w:outlineLvl w:val="4"/>
    </w:pPr>
    <w:rPr>
      <w:rFonts w:asciiTheme="minorAscii" w:hAnsiTheme="minorAscii"/>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0" w:firstLine="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0" w:firstLine="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11">
    <w:name w:val="Body Text"/>
    <w:basedOn w:val="1"/>
    <w:next w:val="12"/>
    <w:unhideWhenUsed/>
    <w:qFormat/>
    <w:uiPriority w:val="0"/>
    <w:pPr>
      <w:spacing w:after="120"/>
    </w:pPr>
  </w:style>
  <w:style w:type="paragraph" w:styleId="12">
    <w:name w:val="Title"/>
    <w:basedOn w:val="1"/>
    <w:next w:val="1"/>
    <w:qFormat/>
    <w:uiPriority w:val="0"/>
    <w:pPr>
      <w:widowControl/>
      <w:spacing w:line="240" w:lineRule="auto"/>
      <w:jc w:val="left"/>
      <w:outlineLvl w:val="0"/>
    </w:pPr>
    <w:rPr>
      <w:rFonts w:ascii="Arial" w:hAnsi="Arial" w:eastAsia="宋体" w:cs="Arial"/>
      <w:b/>
      <w:bCs/>
      <w:color w:val="000000" w:themeColor="text1"/>
      <w:kern w:val="0"/>
      <w:sz w:val="30"/>
      <w:szCs w:val="32"/>
      <w14:textFill>
        <w14:solidFill>
          <w14:schemeClr w14:val="tx1"/>
        </w14:solidFill>
      </w14:textFill>
    </w:rPr>
  </w:style>
  <w:style w:type="paragraph" w:styleId="13">
    <w:name w:val="Body Text Indent"/>
    <w:basedOn w:val="1"/>
    <w:qFormat/>
    <w:uiPriority w:val="0"/>
    <w:pPr>
      <w:spacing w:after="120" w:afterLines="0" w:afterAutospacing="0"/>
      <w:ind w:left="420" w:leftChars="200"/>
    </w:pPr>
  </w:style>
  <w:style w:type="paragraph" w:styleId="14">
    <w:name w:val="Plain Text"/>
    <w:basedOn w:val="1"/>
    <w:qFormat/>
    <w:uiPriority w:val="0"/>
    <w:rPr>
      <w:rFonts w:ascii="宋体" w:hAnsi="Courier New"/>
    </w:rPr>
  </w:style>
  <w:style w:type="paragraph" w:styleId="15">
    <w:name w:val="Body Text Indent 2"/>
    <w:basedOn w:val="1"/>
    <w:qFormat/>
    <w:uiPriority w:val="0"/>
    <w:pPr>
      <w:spacing w:after="120" w:afterLines="0" w:afterAutospacing="0" w:line="480" w:lineRule="auto"/>
      <w:ind w:left="420" w:leftChars="200"/>
    </w:p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9">
    <w:name w:val="Body Text First Indent 2"/>
    <w:basedOn w:val="13"/>
    <w:qFormat/>
    <w:uiPriority w:val="0"/>
    <w:pPr>
      <w:ind w:firstLine="420" w:firstLineChars="200"/>
    </w:pPr>
  </w:style>
  <w:style w:type="table" w:styleId="21">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basedOn w:val="22"/>
    <w:qFormat/>
    <w:uiPriority w:val="0"/>
    <w:rPr>
      <w:b/>
    </w:rPr>
  </w:style>
  <w:style w:type="paragraph" w:customStyle="1" w:styleId="24">
    <w:name w:val="GEDI正文样式"/>
    <w:basedOn w:val="1"/>
    <w:qFormat/>
    <w:uiPriority w:val="0"/>
    <w:pPr>
      <w:adjustRightInd w:val="0"/>
      <w:snapToGrid w:val="0"/>
      <w:spacing w:line="480" w:lineRule="atLeast"/>
      <w:ind w:firstLine="480" w:firstLineChars="200"/>
    </w:pPr>
    <w:rPr>
      <w:szCs w:val="24"/>
    </w:rPr>
  </w:style>
  <w:style w:type="paragraph" w:customStyle="1" w:styleId="25">
    <w:name w:val="Char"/>
    <w:basedOn w:val="1"/>
    <w:next w:val="1"/>
    <w:qFormat/>
    <w:uiPriority w:val="0"/>
    <w:rPr>
      <w:sz w:val="20"/>
      <w:szCs w:val="20"/>
    </w:rPr>
  </w:style>
  <w:style w:type="paragraph" w:customStyle="1" w:styleId="26">
    <w:name w:val="目录 21"/>
    <w:basedOn w:val="1"/>
    <w:next w:val="1"/>
    <w:qFormat/>
    <w:uiPriority w:val="0"/>
    <w:pPr>
      <w:spacing w:before="100" w:beforeAutospacing="1" w:after="100" w:afterAutospacing="1"/>
      <w:ind w:left="420" w:leftChars="200"/>
    </w:pPr>
  </w:style>
  <w:style w:type="paragraph" w:customStyle="1" w:styleId="27">
    <w:name w:val="Table Paragraph"/>
    <w:basedOn w:val="1"/>
    <w:qFormat/>
    <w:uiPriority w:val="1"/>
    <w:rPr>
      <w:rFonts w:ascii="宋体" w:hAnsi="宋体" w:eastAsia="宋体" w:cs="宋体"/>
      <w:lang w:val="zh-CN" w:eastAsia="zh-CN" w:bidi="zh-CN"/>
    </w:rPr>
  </w:style>
  <w:style w:type="paragraph" w:customStyle="1" w:styleId="28">
    <w:name w:val="标书正文-缩进2"/>
    <w:basedOn w:val="1"/>
    <w:link w:val="35"/>
    <w:qFormat/>
    <w:uiPriority w:val="0"/>
    <w:pPr>
      <w:spacing w:line="360" w:lineRule="auto"/>
      <w:ind w:firstLine="560" w:firstLineChars="200"/>
    </w:pPr>
    <w:rPr>
      <w:rFonts w:hint="eastAsia" w:ascii="宋体" w:hAnsi="宋体" w:eastAsia="宋体" w:cs="宋体"/>
      <w:sz w:val="24"/>
      <w:szCs w:val="21"/>
    </w:rPr>
  </w:style>
  <w:style w:type="paragraph" w:customStyle="1" w:styleId="29">
    <w:name w:val="标书正文-0缩"/>
    <w:basedOn w:val="1"/>
    <w:next w:val="28"/>
    <w:qFormat/>
    <w:uiPriority w:val="0"/>
    <w:pPr>
      <w:spacing w:line="360" w:lineRule="auto"/>
      <w:ind w:firstLine="0" w:firstLineChars="0"/>
    </w:pPr>
    <w:rPr>
      <w:rFonts w:hint="eastAsia" w:ascii="宋体" w:hAnsi="宋体" w:eastAsia="宋体" w:cs="宋体"/>
      <w:sz w:val="24"/>
      <w:szCs w:val="21"/>
    </w:rPr>
  </w:style>
  <w:style w:type="paragraph" w:customStyle="1" w:styleId="30">
    <w:name w:val="表格-Header"/>
    <w:basedOn w:val="1"/>
    <w:qFormat/>
    <w:uiPriority w:val="0"/>
    <w:pPr>
      <w:spacing w:line="360" w:lineRule="auto"/>
      <w:ind w:firstLine="0" w:firstLineChars="0"/>
      <w:jc w:val="center"/>
    </w:pPr>
    <w:rPr>
      <w:rFonts w:hint="eastAsia" w:ascii="宋体" w:hAnsi="宋体" w:eastAsia="宋体" w:cs="宋体"/>
      <w:b/>
      <w:bCs/>
      <w:sz w:val="24"/>
      <w:szCs w:val="21"/>
    </w:rPr>
  </w:style>
  <w:style w:type="paragraph" w:customStyle="1" w:styleId="31">
    <w:name w:val="表格-Body"/>
    <w:basedOn w:val="1"/>
    <w:qFormat/>
    <w:uiPriority w:val="0"/>
    <w:pPr>
      <w:spacing w:line="240" w:lineRule="auto"/>
    </w:pPr>
    <w:rPr>
      <w:rFonts w:hint="eastAsia" w:ascii="宋体" w:hAnsi="宋体" w:eastAsia="宋体" w:cs="宋体"/>
      <w:bCs/>
      <w:sz w:val="21"/>
      <w:szCs w:val="21"/>
    </w:rPr>
  </w:style>
  <w:style w:type="paragraph" w:customStyle="1" w:styleId="32">
    <w:name w:val="标书正文-header"/>
    <w:basedOn w:val="1"/>
    <w:next w:val="28"/>
    <w:qFormat/>
    <w:uiPriority w:val="0"/>
    <w:pPr>
      <w:spacing w:line="360" w:lineRule="auto"/>
      <w:ind w:firstLine="0" w:firstLineChars="0"/>
    </w:pPr>
    <w:rPr>
      <w:rFonts w:hint="eastAsia" w:ascii="宋体" w:hAnsi="宋体" w:eastAsia="宋体" w:cs="宋体"/>
      <w:b/>
      <w:sz w:val="24"/>
      <w:szCs w:val="21"/>
    </w:rPr>
  </w:style>
  <w:style w:type="paragraph" w:customStyle="1" w:styleId="33">
    <w:name w:val="标书正文-2header"/>
    <w:basedOn w:val="1"/>
    <w:qFormat/>
    <w:uiPriority w:val="0"/>
    <w:pPr>
      <w:spacing w:line="360" w:lineRule="auto"/>
      <w:ind w:firstLine="602" w:firstLineChars="200"/>
    </w:pPr>
    <w:rPr>
      <w:rFonts w:hint="eastAsia" w:ascii="宋体" w:hAnsi="宋体" w:eastAsia="宋体" w:cs="宋体"/>
      <w:b/>
      <w:sz w:val="24"/>
      <w:szCs w:val="21"/>
    </w:rPr>
  </w:style>
  <w:style w:type="character" w:customStyle="1" w:styleId="34">
    <w:name w:val="标书正文-部分加粗"/>
    <w:basedOn w:val="22"/>
    <w:qFormat/>
    <w:uiPriority w:val="0"/>
    <w:rPr>
      <w:rFonts w:hint="eastAsia" w:ascii="Times New Roman" w:hAnsi="Times New Roman"/>
      <w:b/>
      <w:lang w:eastAsia="zh-CN"/>
    </w:rPr>
  </w:style>
  <w:style w:type="character" w:customStyle="1" w:styleId="35">
    <w:name w:val="标书正文-缩进2 Char"/>
    <w:link w:val="28"/>
    <w:qFormat/>
    <w:uiPriority w:val="0"/>
    <w:rPr>
      <w:rFonts w:hint="eastAsia" w:ascii="宋体" w:hAnsi="宋体" w:eastAsia="宋体" w:cs="宋体"/>
      <w:sz w:val="24"/>
      <w:szCs w:val="21"/>
    </w:rPr>
  </w:style>
  <w:style w:type="paragraph" w:customStyle="1" w:styleId="36">
    <w:name w:val="表格-Title"/>
    <w:basedOn w:val="1"/>
    <w:qFormat/>
    <w:uiPriority w:val="0"/>
    <w:pPr>
      <w:spacing w:line="240" w:lineRule="auto"/>
      <w:jc w:val="center"/>
    </w:pPr>
    <w:rPr>
      <w:rFonts w:hint="eastAsia" w:ascii="宋体" w:hAnsi="宋体" w:eastAsia="宋体" w:cs="宋体"/>
      <w:b/>
      <w:bCs/>
      <w:sz w:val="24"/>
      <w:szCs w:val="21"/>
    </w:rPr>
  </w:style>
  <w:style w:type="paragraph" w:styleId="37">
    <w:name w:val="List Paragraph"/>
    <w:basedOn w:val="1"/>
    <w:qFormat/>
    <w:uiPriority w:val="99"/>
    <w:pPr>
      <w:ind w:firstLine="420" w:firstLineChars="200"/>
    </w:pPr>
  </w:style>
  <w:style w:type="table" w:customStyle="1" w:styleId="38">
    <w:name w:val="Table Normal"/>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 w:type="character" w:customStyle="1" w:styleId="39">
    <w:name w:val="标题 1 Char1"/>
    <w:qFormat/>
    <w:uiPriority w:val="0"/>
    <w:rPr>
      <w:rFonts w:ascii="Times New Roman" w:hAnsi="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3006</Words>
  <Characters>3110</Characters>
  <Lines>0</Lines>
  <Paragraphs>0</Paragraphs>
  <TotalTime>24</TotalTime>
  <ScaleCrop>false</ScaleCrop>
  <LinksUpToDate>false</LinksUpToDate>
  <CharactersWithSpaces>3129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2022-07-04T07:01:00Z</dcterms:created>
  <dc:creator>12544</dc:creator>
  <cp:lastModifiedBy>王作松</cp:lastModifiedBy>
  <dcterms:modified xsi:type="dcterms:W3CDTF">2025-09-18T07:08:48Z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865F7046C3F041208B291633F51D1FE2</vt:lpwstr>
  </property>
  <property fmtid="{D5CDD505-2E9C-101B-9397-08002B2CF9AE}" pid="4" name="KSOTemplateDocerSaveRecord">
    <vt:lpwstr>eyJoZGlkIjoiNjNkNzczMjRlZGEwNzZlYmMzZTdiYzg4NGFkNTNiY2QiLCJ1c2VySWQiOiIxMzcxNjM4MjY5In0=</vt:lpwstr>
  </property>
</Properties>
</file>