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adjustRightInd w:val="0"/>
        <w:spacing w:afterLines="100" w:line="360" w:lineRule="auto"/>
        <w:jc w:val="center"/>
        <w:rPr>
          <w:rFonts w:ascii="宋体" w:hAnsi="宋体"/>
          <w:b/>
          <w:bCs/>
          <w:kern w:val="0"/>
          <w:sz w:val="36"/>
          <w:szCs w:val="36"/>
        </w:rPr>
      </w:pPr>
      <w:r>
        <w:rPr>
          <w:rFonts w:hint="eastAsia" w:ascii="宋体" w:hAnsi="宋体"/>
          <w:b/>
          <w:bCs/>
          <w:kern w:val="0"/>
          <w:sz w:val="36"/>
          <w:szCs w:val="36"/>
        </w:rPr>
        <w:t>安全</w:t>
      </w:r>
      <w:r>
        <w:rPr>
          <w:rFonts w:hint="eastAsia" w:ascii="宋体" w:hAnsi="宋体"/>
          <w:b/>
          <w:bCs/>
          <w:kern w:val="0"/>
          <w:sz w:val="36"/>
          <w:szCs w:val="36"/>
          <w:lang w:val="en-US" w:eastAsia="zh-CN"/>
        </w:rPr>
        <w:t>管理</w:t>
      </w:r>
      <w:r>
        <w:rPr>
          <w:rFonts w:hint="eastAsia" w:ascii="宋体" w:hAnsi="宋体"/>
          <w:b/>
          <w:bCs/>
          <w:kern w:val="0"/>
          <w:sz w:val="36"/>
          <w:szCs w:val="36"/>
        </w:rPr>
        <w:t>协议</w:t>
      </w:r>
    </w:p>
    <w:p>
      <w:pPr>
        <w:spacing w:line="470" w:lineRule="exact"/>
        <w:ind w:firstLine="482" w:firstLineChars="200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项目名称：</w:t>
      </w:r>
    </w:p>
    <w:p>
      <w:pPr>
        <w:spacing w:line="470" w:lineRule="exact"/>
        <w:ind w:firstLine="482" w:firstLineChars="200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甲方：</w:t>
      </w:r>
    </w:p>
    <w:p>
      <w:pPr>
        <w:spacing w:line="470" w:lineRule="exact"/>
        <w:ind w:firstLine="482" w:firstLineChars="200"/>
        <w:rPr>
          <w:sz w:val="24"/>
        </w:rPr>
      </w:pPr>
      <w:r>
        <w:rPr>
          <w:rFonts w:hint="eastAsia"/>
          <w:b/>
          <w:sz w:val="24"/>
        </w:rPr>
        <w:t>乙方：</w:t>
      </w:r>
      <w:bookmarkStart w:id="0" w:name="_GoBack"/>
      <w:bookmarkEnd w:id="0"/>
    </w:p>
    <w:p>
      <w:pPr>
        <w:spacing w:line="470" w:lineRule="exact"/>
        <w:ind w:firstLine="480" w:firstLineChars="200"/>
        <w:rPr>
          <w:sz w:val="24"/>
        </w:rPr>
      </w:pPr>
      <w:r>
        <w:rPr>
          <w:rFonts w:hint="eastAsia"/>
          <w:sz w:val="24"/>
        </w:rPr>
        <w:t>为进一步明确双方的安全管理责任，确保施工中人身、设备的安全，根据《中华人民共和国安全生产法》和《建设工程安全生产管理条例》及有关政策的相关规定，按照“安全第一、预防为主、综合治理”的方针，经甲乙双方协商同意并达成如下协议，本协议作为合同的附件，具有同等的法律效力。</w:t>
      </w:r>
    </w:p>
    <w:p>
      <w:pPr>
        <w:spacing w:beforeLines="100" w:line="240" w:lineRule="exact"/>
        <w:ind w:firstLine="482" w:firstLineChars="200"/>
        <w:outlineLvl w:val="0"/>
        <w:rPr>
          <w:b/>
          <w:sz w:val="24"/>
        </w:rPr>
      </w:pPr>
      <w:r>
        <w:rPr>
          <w:rFonts w:hint="eastAsia"/>
          <w:b/>
          <w:sz w:val="24"/>
        </w:rPr>
        <w:t>第一条 甲方安全责任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1、甲方不得对乙方提出不符合安全生产法律、法规和强制性标准规定的要求。</w:t>
      </w: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2、甲方</w:t>
      </w:r>
      <w:r>
        <w:rPr>
          <w:sz w:val="24"/>
        </w:rPr>
        <w:t>有权监督</w:t>
      </w:r>
      <w:r>
        <w:rPr>
          <w:rFonts w:hint="eastAsia"/>
          <w:sz w:val="24"/>
        </w:rPr>
        <w:t>乙方劳务人员劳动保护用品的</w:t>
      </w:r>
      <w:r>
        <w:rPr>
          <w:sz w:val="24"/>
        </w:rPr>
        <w:t>落实情况</w:t>
      </w:r>
      <w:r>
        <w:rPr>
          <w:rFonts w:hint="eastAsia"/>
          <w:sz w:val="24"/>
        </w:rPr>
        <w:t>。</w:t>
      </w:r>
    </w:p>
    <w:p>
      <w:pPr>
        <w:spacing w:line="470" w:lineRule="exact"/>
        <w:ind w:firstLine="480" w:firstLineChars="200"/>
        <w:rPr>
          <w:sz w:val="24"/>
        </w:rPr>
      </w:pPr>
      <w:r>
        <w:rPr>
          <w:rFonts w:hint="eastAsia"/>
          <w:sz w:val="24"/>
          <w:lang w:val="en-US" w:eastAsia="zh-CN"/>
        </w:rPr>
        <w:t>3</w:t>
      </w:r>
      <w:r>
        <w:rPr>
          <w:rFonts w:hint="eastAsia"/>
          <w:sz w:val="24"/>
        </w:rPr>
        <w:t>、甲方应建立健全安全生产监督检查和隐患排查治理机制，实施施工现场全过程安全生产管理。</w:t>
      </w:r>
    </w:p>
    <w:p>
      <w:pPr>
        <w:spacing w:line="470" w:lineRule="exact"/>
        <w:ind w:firstLine="480" w:firstLineChars="200"/>
        <w:rPr>
          <w:sz w:val="24"/>
        </w:rPr>
      </w:pPr>
      <w:r>
        <w:rPr>
          <w:rFonts w:hint="eastAsia"/>
          <w:sz w:val="24"/>
          <w:lang w:val="en-US" w:eastAsia="zh-CN"/>
        </w:rPr>
        <w:t>4</w:t>
      </w:r>
      <w:r>
        <w:rPr>
          <w:rFonts w:hint="eastAsia"/>
          <w:sz w:val="24"/>
        </w:rPr>
        <w:t>、建立健全安全生产应急响应和事故处置机制，实施突发事件应急抢险和事故救援。</w:t>
      </w:r>
    </w:p>
    <w:p>
      <w:pPr>
        <w:spacing w:line="470" w:lineRule="exact"/>
        <w:ind w:firstLine="480" w:firstLineChars="200"/>
        <w:rPr>
          <w:sz w:val="24"/>
        </w:rPr>
      </w:pPr>
      <w:r>
        <w:rPr>
          <w:rFonts w:hint="eastAsia"/>
          <w:sz w:val="24"/>
          <w:lang w:val="en-US" w:eastAsia="zh-CN"/>
        </w:rPr>
        <w:t>5</w:t>
      </w:r>
      <w:r>
        <w:rPr>
          <w:rFonts w:hint="eastAsia"/>
          <w:sz w:val="24"/>
        </w:rPr>
        <w:t>、甲方应建立工程项目应急管理体系，编制应急综合预案，组织勘察设计、施工、监理等单位制定各类安全事故应急预案，落实应急组织、程序、资源及措施，定期组织演练，建立与国家有关部门、地方政府应急体系的协调联动机制，确保应急工作有效实施。</w:t>
      </w:r>
    </w:p>
    <w:p>
      <w:pPr>
        <w:spacing w:line="470" w:lineRule="exact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  <w:lang w:val="en-US" w:eastAsia="zh-CN"/>
        </w:rPr>
        <w:t>6</w:t>
      </w:r>
      <w:r>
        <w:rPr>
          <w:rFonts w:hint="eastAsia"/>
          <w:sz w:val="24"/>
        </w:rPr>
        <w:t>、甲方应及时协调和解决影响安全生产重大问题。</w:t>
      </w:r>
    </w:p>
    <w:p>
      <w:pPr>
        <w:spacing w:line="470" w:lineRule="exact"/>
        <w:ind w:firstLine="480" w:firstLineChars="200"/>
        <w:rPr>
          <w:sz w:val="24"/>
        </w:rPr>
      </w:pPr>
      <w:r>
        <w:rPr>
          <w:rFonts w:hint="eastAsia"/>
          <w:sz w:val="24"/>
          <w:lang w:val="en-US" w:eastAsia="zh-CN"/>
        </w:rPr>
        <w:t>7</w:t>
      </w:r>
      <w:r>
        <w:rPr>
          <w:rFonts w:hint="eastAsia"/>
          <w:sz w:val="24"/>
        </w:rPr>
        <w:t>、甲方不得压缩合同约定的工期。如工期确需调整，应当对安全影响进行论证和评估，论证和评估应当提出相应的施工组织措施和安全保障措施。</w:t>
      </w:r>
    </w:p>
    <w:p>
      <w:pPr>
        <w:spacing w:line="470" w:lineRule="exact"/>
        <w:ind w:firstLine="480" w:firstLineChars="200"/>
        <w:rPr>
          <w:sz w:val="24"/>
        </w:rPr>
      </w:pPr>
      <w:r>
        <w:rPr>
          <w:rFonts w:hint="eastAsia"/>
          <w:sz w:val="24"/>
          <w:lang w:val="en-US" w:eastAsia="zh-CN"/>
        </w:rPr>
        <w:t>8</w:t>
      </w:r>
      <w:r>
        <w:rPr>
          <w:rFonts w:hint="eastAsia"/>
          <w:sz w:val="24"/>
        </w:rPr>
        <w:t>、甲方不得对乙方提出不符合安全生产法律、法规和强制性标准规定的要求。</w:t>
      </w:r>
    </w:p>
    <w:p>
      <w:pPr>
        <w:spacing w:line="470" w:lineRule="exact"/>
        <w:ind w:firstLine="480" w:firstLineChars="200"/>
        <w:rPr>
          <w:sz w:val="24"/>
        </w:rPr>
      </w:pPr>
      <w:r>
        <w:rPr>
          <w:rFonts w:hint="eastAsia"/>
          <w:sz w:val="24"/>
          <w:lang w:val="en-US" w:eastAsia="zh-CN"/>
        </w:rPr>
        <w:t>9</w:t>
      </w:r>
      <w:r>
        <w:rPr>
          <w:rFonts w:hint="eastAsia"/>
          <w:sz w:val="24"/>
        </w:rPr>
        <w:t>、甲方在开工前，应对乙方项目负责人、工程技术人员和安全管理人员进行项目全面交底，并经双方相关人员当面签字确认。</w:t>
      </w:r>
    </w:p>
    <w:p>
      <w:pPr>
        <w:spacing w:beforeLines="50" w:line="470" w:lineRule="exact"/>
        <w:ind w:firstLine="482" w:firstLineChars="200"/>
        <w:outlineLvl w:val="0"/>
        <w:rPr>
          <w:b/>
          <w:sz w:val="24"/>
        </w:rPr>
      </w:pPr>
      <w:r>
        <w:rPr>
          <w:rFonts w:hint="eastAsia"/>
          <w:b/>
          <w:sz w:val="24"/>
        </w:rPr>
        <w:t>第二条 乙方安全责任</w:t>
      </w:r>
    </w:p>
    <w:p>
      <w:pPr>
        <w:spacing w:line="470" w:lineRule="exact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1、乙方应严格遵守国家相关安全管理法律、法规、行业标准、规范等及甲方相关安全管理规章制度，切实做好安全生产。</w:t>
      </w: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color w:val="auto"/>
          <w:sz w:val="24"/>
        </w:rPr>
        <w:t>2、本项目不允许分包、转包。</w:t>
      </w:r>
    </w:p>
    <w:p>
      <w:pPr>
        <w:spacing w:line="470" w:lineRule="exact"/>
        <w:ind w:firstLine="480" w:firstLineChars="200"/>
        <w:rPr>
          <w:sz w:val="24"/>
        </w:rPr>
      </w:pPr>
      <w:r>
        <w:rPr>
          <w:rFonts w:hint="eastAsia"/>
          <w:sz w:val="24"/>
          <w:lang w:val="en-US" w:eastAsia="zh-CN"/>
        </w:rPr>
        <w:t>3</w:t>
      </w:r>
      <w:r>
        <w:rPr>
          <w:rFonts w:hint="eastAsia"/>
          <w:sz w:val="24"/>
        </w:rPr>
        <w:t>、乙方特种作业人员，必须按照国家有关规定经过专门的安全作业培训，并取得特种作业操作资格证书，特种作业人员的操作资格证书应报甲方备案后，方可上岗作业。</w:t>
      </w:r>
    </w:p>
    <w:p>
      <w:pPr>
        <w:spacing w:line="470" w:lineRule="exact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  <w:lang w:val="en-US" w:eastAsia="zh-CN"/>
        </w:rPr>
        <w:t>4</w:t>
      </w:r>
      <w:r>
        <w:rPr>
          <w:rFonts w:hint="eastAsia"/>
          <w:sz w:val="24"/>
        </w:rPr>
        <w:t>、乙方应监督作业人员遵守安全施工的强制性标准、规章制度和操作规程。施工现场的安全防护用品必须由专人管理，定期进行检查、维修和保养，并按照国家有关规定及时报废。</w:t>
      </w:r>
    </w:p>
    <w:p>
      <w:pPr>
        <w:spacing w:line="470" w:lineRule="exact"/>
        <w:ind w:firstLine="480" w:firstLineChars="200"/>
        <w:rPr>
          <w:rFonts w:hint="eastAsia"/>
          <w:strike w:val="0"/>
          <w:dstrike w:val="0"/>
          <w:sz w:val="24"/>
        </w:rPr>
      </w:pPr>
      <w:r>
        <w:rPr>
          <w:rFonts w:hint="eastAsia"/>
          <w:strike w:val="0"/>
          <w:dstrike w:val="0"/>
          <w:sz w:val="24"/>
          <w:lang w:val="en-US" w:eastAsia="zh-CN"/>
        </w:rPr>
        <w:t>5</w:t>
      </w:r>
      <w:r>
        <w:rPr>
          <w:rFonts w:hint="eastAsia"/>
          <w:strike w:val="0"/>
          <w:dstrike w:val="0"/>
          <w:sz w:val="24"/>
        </w:rPr>
        <w:t>、乙方应当将施工现场的办公、生活区与作业区分开设置，并保持安全距离；办公、生活区的选址应当符合安全性要求。职工的膳食、饮水、休息场所等应当符合卫生标准。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6、乙方对因施工可能造成损害的毗邻建筑物、构筑物和地下管线等，应当采取专项防护措施。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7、乙方应当遵守有关环境保护法律、法规的规定，在施工现场采取措施，防止或者减少粉尘、废气、废水、固体废物、噪声、振动和施工照明对人和环境的危害和污染。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8、乙方应</w:t>
      </w:r>
      <w:r>
        <w:rPr>
          <w:rFonts w:hint="eastAsia"/>
          <w:color w:val="auto"/>
          <w:sz w:val="24"/>
        </w:rPr>
        <w:t>当向作业人员提供合格的安全防护用品，并书面告</w:t>
      </w:r>
      <w:r>
        <w:rPr>
          <w:rFonts w:hint="eastAsia"/>
          <w:sz w:val="24"/>
        </w:rPr>
        <w:t>知危险岗位的操作规程和违章操作的危害。乙方应监督作业人员遵守安全施工的强制性标准、规章制度和操作规程，正确使用安全防护用具。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  <w:lang w:val="en-US" w:eastAsia="zh-CN"/>
        </w:rPr>
        <w:t>9</w:t>
      </w:r>
      <w:r>
        <w:rPr>
          <w:rFonts w:hint="eastAsia"/>
          <w:sz w:val="24"/>
        </w:rPr>
        <w:t>、乙方施工交叉和相邻区域有其他承包商施工，可能危及对方安全的，双方应签订安全生产管理协议，明确各自的安全生产管理职责和应当采取的安全措施，并指定专职安全生产管理人员进行安全检查与协调。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1</w:t>
      </w:r>
      <w:r>
        <w:rPr>
          <w:rFonts w:hint="eastAsia"/>
          <w:sz w:val="24"/>
          <w:lang w:val="en-US" w:eastAsia="zh-CN"/>
        </w:rPr>
        <w:t>0</w:t>
      </w:r>
      <w:r>
        <w:rPr>
          <w:rFonts w:hint="eastAsia"/>
          <w:sz w:val="24"/>
        </w:rPr>
        <w:t>、乙方不得使用国家明令淘汰、禁止使用的危及生产安全的材料、工艺、设备。</w:t>
      </w:r>
    </w:p>
    <w:p>
      <w:pPr>
        <w:spacing w:line="360" w:lineRule="auto"/>
        <w:ind w:firstLine="480" w:firstLineChars="200"/>
        <w:rPr>
          <w:rFonts w:hint="eastAsia"/>
          <w:strike w:val="0"/>
          <w:dstrike w:val="0"/>
          <w:sz w:val="24"/>
        </w:rPr>
      </w:pPr>
      <w:r>
        <w:rPr>
          <w:rFonts w:hint="eastAsia"/>
          <w:sz w:val="24"/>
        </w:rPr>
        <w:t>1</w:t>
      </w:r>
      <w:r>
        <w:rPr>
          <w:rFonts w:hint="eastAsia"/>
          <w:sz w:val="24"/>
          <w:lang w:val="en-US" w:eastAsia="zh-CN"/>
        </w:rPr>
        <w:t>1</w:t>
      </w:r>
      <w:r>
        <w:rPr>
          <w:rFonts w:hint="eastAsia"/>
          <w:sz w:val="24"/>
        </w:rPr>
        <w:t>、现场施工应遵守国家和地方关于劳动安全、劳务用工法律法规及规章制度，保证其用工的合法性。乙方应当为施工现场作业人员办理</w:t>
      </w:r>
      <w:r>
        <w:rPr>
          <w:sz w:val="24"/>
        </w:rPr>
        <w:t>工伤保险</w:t>
      </w:r>
      <w:r>
        <w:rPr>
          <w:rFonts w:hint="eastAsia"/>
          <w:sz w:val="24"/>
        </w:rPr>
        <w:t>或意外伤害保险。保险费由乙方支付。</w:t>
      </w:r>
      <w:r>
        <w:rPr>
          <w:sz w:val="24"/>
        </w:rPr>
        <w:t>保险</w:t>
      </w:r>
      <w:r>
        <w:rPr>
          <w:rFonts w:hint="eastAsia"/>
          <w:sz w:val="24"/>
        </w:rPr>
        <w:t>期限包含工程项目开工之日起至合同完工验收合格止。</w:t>
      </w:r>
    </w:p>
    <w:p>
      <w:pPr>
        <w:spacing w:line="470" w:lineRule="exact"/>
        <w:ind w:firstLine="480" w:firstLineChars="200"/>
        <w:rPr>
          <w:rFonts w:hint="eastAsia" w:eastAsia="宋体"/>
          <w:strike w:val="0"/>
          <w:dstrike w:val="0"/>
          <w:sz w:val="24"/>
          <w:lang w:val="en-US" w:eastAsia="zh-CN"/>
        </w:rPr>
      </w:pPr>
      <w:r>
        <w:rPr>
          <w:rFonts w:hint="eastAsia"/>
          <w:strike w:val="0"/>
          <w:dstrike w:val="0"/>
          <w:sz w:val="24"/>
          <w:lang w:val="en-US" w:eastAsia="zh-CN"/>
        </w:rPr>
        <w:t>12</w:t>
      </w:r>
      <w:r>
        <w:rPr>
          <w:rFonts w:hint="eastAsia" w:eastAsia="宋体"/>
          <w:strike w:val="0"/>
          <w:dstrike w:val="0"/>
          <w:sz w:val="24"/>
          <w:lang w:val="en-US" w:eastAsia="zh-CN"/>
        </w:rPr>
        <w:t>、乙方发生生产安全事故，应当按照国务院493号令、国家电力监管委员会31号令及《中国南方电网有限责任公司电力事故（事件）调查规程》中有关事故报告和调查处理的规定，及时、如实地向有关部门报告。</w:t>
      </w:r>
    </w:p>
    <w:p>
      <w:pPr>
        <w:spacing w:line="470" w:lineRule="exact"/>
        <w:ind w:firstLine="480" w:firstLineChars="200"/>
        <w:rPr>
          <w:rFonts w:hint="eastAsia" w:eastAsia="宋体"/>
          <w:strike w:val="0"/>
          <w:dstrike w:val="0"/>
          <w:sz w:val="24"/>
          <w:lang w:val="en-US" w:eastAsia="zh-CN"/>
        </w:rPr>
      </w:pPr>
      <w:r>
        <w:rPr>
          <w:rFonts w:hint="eastAsia"/>
          <w:strike w:val="0"/>
          <w:dstrike w:val="0"/>
          <w:sz w:val="24"/>
          <w:lang w:val="en-US" w:eastAsia="zh-CN"/>
        </w:rPr>
        <w:t>13</w:t>
      </w:r>
      <w:r>
        <w:rPr>
          <w:rFonts w:hint="eastAsia" w:eastAsia="宋体"/>
          <w:strike w:val="0"/>
          <w:dstrike w:val="0"/>
          <w:sz w:val="24"/>
          <w:lang w:val="en-US" w:eastAsia="zh-CN"/>
        </w:rPr>
        <w:t>、乙方应服从甲方的监督检查，按时完成甲方提出的整改要求；参加甲方组织召开的有关会议，并落实会议所提出的有关要求。</w:t>
      </w:r>
    </w:p>
    <w:p>
      <w:pPr>
        <w:spacing w:line="470" w:lineRule="exact"/>
        <w:ind w:firstLine="480" w:firstLineChars="200"/>
        <w:rPr>
          <w:rFonts w:hint="eastAsia" w:eastAsia="宋体"/>
          <w:strike w:val="0"/>
          <w:dstrike w:val="0"/>
          <w:sz w:val="24"/>
          <w:lang w:val="en-US" w:eastAsia="zh-CN"/>
        </w:rPr>
      </w:pPr>
      <w:r>
        <w:rPr>
          <w:rFonts w:hint="eastAsia"/>
          <w:strike w:val="0"/>
          <w:dstrike w:val="0"/>
          <w:sz w:val="24"/>
          <w:lang w:val="en-US" w:eastAsia="zh-CN"/>
        </w:rPr>
        <w:t>14</w:t>
      </w:r>
      <w:r>
        <w:rPr>
          <w:rFonts w:hint="eastAsia" w:eastAsia="宋体"/>
          <w:strike w:val="0"/>
          <w:dstrike w:val="0"/>
          <w:sz w:val="24"/>
          <w:lang w:val="en-US" w:eastAsia="zh-CN"/>
        </w:rPr>
        <w:t>、负责法律法规及施工合同中规定的由乙方承担的其他安全生产责任。</w:t>
      </w:r>
    </w:p>
    <w:p>
      <w:pPr>
        <w:spacing w:beforeLines="50" w:line="470" w:lineRule="exact"/>
        <w:ind w:firstLine="482" w:firstLineChars="200"/>
        <w:outlineLvl w:val="0"/>
        <w:rPr>
          <w:b/>
          <w:sz w:val="24"/>
        </w:rPr>
      </w:pPr>
      <w:r>
        <w:rPr>
          <w:rFonts w:hint="eastAsia"/>
          <w:b/>
          <w:sz w:val="24"/>
        </w:rPr>
        <w:t>第三条 违约责任</w:t>
      </w:r>
    </w:p>
    <w:p>
      <w:pPr>
        <w:spacing w:line="470" w:lineRule="exact"/>
        <w:ind w:firstLine="480" w:firstLineChars="200"/>
        <w:rPr>
          <w:sz w:val="24"/>
        </w:rPr>
      </w:pPr>
      <w:r>
        <w:rPr>
          <w:rFonts w:hint="eastAsia"/>
          <w:sz w:val="24"/>
        </w:rPr>
        <w:t>1、甲方未尽到本方安全责任，造成的损失由甲方承担。</w:t>
      </w:r>
    </w:p>
    <w:p>
      <w:pPr>
        <w:spacing w:line="470" w:lineRule="exact"/>
        <w:ind w:firstLine="480" w:firstLineChars="200"/>
        <w:rPr>
          <w:sz w:val="24"/>
        </w:rPr>
      </w:pPr>
      <w:r>
        <w:rPr>
          <w:rFonts w:hint="eastAsia"/>
          <w:sz w:val="24"/>
        </w:rPr>
        <w:t>2、在协议有效期内，甲方发现乙方违反本协议的有关内容</w:t>
      </w:r>
      <w:r>
        <w:rPr>
          <w:rFonts w:hint="eastAsia"/>
          <w:sz w:val="24"/>
          <w:lang w:val="en-US" w:eastAsia="zh-CN"/>
        </w:rPr>
        <w:t>及甲方现场作业违章相关规定的</w:t>
      </w:r>
      <w:r>
        <w:rPr>
          <w:rFonts w:hint="eastAsia"/>
          <w:sz w:val="24"/>
        </w:rPr>
        <w:t>，将按照南方电网公司、</w:t>
      </w:r>
      <w:r>
        <w:rPr>
          <w:rFonts w:hint="eastAsia"/>
          <w:sz w:val="24"/>
          <w:lang w:val="en-US" w:eastAsia="zh-CN"/>
        </w:rPr>
        <w:t>南方电网储能股份有限</w:t>
      </w:r>
      <w:r>
        <w:rPr>
          <w:rFonts w:hint="eastAsia"/>
          <w:sz w:val="24"/>
        </w:rPr>
        <w:t>公司和甲方相关的规章制度给予处罚。</w:t>
      </w:r>
    </w:p>
    <w:p>
      <w:pPr>
        <w:spacing w:line="470" w:lineRule="exact"/>
        <w:ind w:firstLine="480" w:firstLineChars="200"/>
        <w:rPr>
          <w:sz w:val="24"/>
        </w:rPr>
      </w:pPr>
      <w:r>
        <w:rPr>
          <w:rFonts w:hint="eastAsia"/>
          <w:sz w:val="24"/>
        </w:rPr>
        <w:t>3、触犯国家、行业有关安全生产和环境保护的法律、法规、规程的，由责任方承担相应法律责任。</w:t>
      </w:r>
    </w:p>
    <w:p>
      <w:pPr>
        <w:spacing w:line="470" w:lineRule="exact"/>
        <w:ind w:firstLine="480" w:firstLineChars="200"/>
        <w:rPr>
          <w:sz w:val="24"/>
        </w:rPr>
      </w:pPr>
      <w:r>
        <w:rPr>
          <w:rFonts w:hint="eastAsia"/>
          <w:sz w:val="24"/>
        </w:rPr>
        <w:t>4、由于甲方或乙方责任造成对方或第三方的人身伤害、设备损坏或财产损失等，由责任方承担相应责任，并赔偿对方或第三方因此造成的全部损失。</w:t>
      </w:r>
    </w:p>
    <w:p>
      <w:pPr>
        <w:spacing w:line="470" w:lineRule="exact"/>
        <w:ind w:firstLine="480" w:firstLineChars="200"/>
        <w:rPr>
          <w:sz w:val="24"/>
        </w:rPr>
      </w:pPr>
      <w:r>
        <w:rPr>
          <w:rFonts w:hint="eastAsia"/>
          <w:sz w:val="24"/>
        </w:rPr>
        <w:t>5、乙方未尽到其应尽的安全责任，甲方有权要求乙方立即停工整改，由此引起的后果及损失由乙方承担。</w:t>
      </w:r>
    </w:p>
    <w:p>
      <w:pPr>
        <w:spacing w:beforeLines="50" w:line="470" w:lineRule="exact"/>
        <w:ind w:firstLine="482" w:firstLineChars="200"/>
        <w:outlineLvl w:val="0"/>
        <w:rPr>
          <w:b/>
          <w:sz w:val="24"/>
        </w:rPr>
      </w:pPr>
      <w:r>
        <w:rPr>
          <w:rFonts w:hint="eastAsia"/>
          <w:b/>
          <w:sz w:val="24"/>
        </w:rPr>
        <w:t>第</w:t>
      </w:r>
      <w:r>
        <w:rPr>
          <w:rFonts w:hint="eastAsia"/>
          <w:b/>
          <w:sz w:val="24"/>
          <w:lang w:val="en-US" w:eastAsia="zh-CN"/>
        </w:rPr>
        <w:t>四</w:t>
      </w:r>
      <w:r>
        <w:rPr>
          <w:rFonts w:hint="eastAsia"/>
          <w:b/>
          <w:sz w:val="24"/>
        </w:rPr>
        <w:t>条 其他</w:t>
      </w:r>
    </w:p>
    <w:p>
      <w:pPr>
        <w:spacing w:line="470" w:lineRule="exact"/>
        <w:ind w:firstLine="480" w:firstLineChars="200"/>
        <w:rPr>
          <w:sz w:val="24"/>
        </w:rPr>
      </w:pPr>
      <w:r>
        <w:rPr>
          <w:rFonts w:hint="eastAsia"/>
          <w:sz w:val="24"/>
        </w:rPr>
        <w:t>1、本协议作为承包合同的有效组成部分，与承包合同同时生效和终止。</w:t>
      </w:r>
    </w:p>
    <w:p>
      <w:pPr>
        <w:spacing w:line="470" w:lineRule="exact"/>
        <w:ind w:firstLine="480" w:firstLineChars="200"/>
        <w:rPr>
          <w:sz w:val="24"/>
        </w:rPr>
      </w:pPr>
      <w:r>
        <w:rPr>
          <w:rFonts w:hint="eastAsia"/>
          <w:sz w:val="24"/>
        </w:rPr>
        <w:t>2、本协议如有争议，争议解决办法与合同争议解决办法相同。</w:t>
      </w:r>
    </w:p>
    <w:p>
      <w:pPr>
        <w:spacing w:line="470" w:lineRule="exact"/>
        <w:ind w:firstLine="480" w:firstLineChars="200"/>
        <w:rPr>
          <w:sz w:val="24"/>
        </w:rPr>
      </w:pPr>
      <w:r>
        <w:rPr>
          <w:rFonts w:hint="eastAsia"/>
          <w:sz w:val="24"/>
        </w:rPr>
        <w:t>3、本协议未尽事宜，双方协商解决。</w:t>
      </w:r>
    </w:p>
    <w:p>
      <w:pPr>
        <w:spacing w:line="470" w:lineRule="exact"/>
        <w:ind w:firstLine="480" w:firstLineChars="200"/>
        <w:rPr>
          <w:sz w:val="24"/>
        </w:rPr>
      </w:pPr>
      <w:r>
        <w:rPr>
          <w:rFonts w:hint="eastAsia"/>
          <w:sz w:val="24"/>
        </w:rPr>
        <w:t>4、如有与国家和地方有关规定相悖的，按国家和地方有关规定执行。</w:t>
      </w:r>
    </w:p>
    <w:p>
      <w:pPr>
        <w:spacing w:line="470" w:lineRule="exact"/>
        <w:ind w:firstLine="480" w:firstLineChars="200"/>
        <w:rPr>
          <w:sz w:val="24"/>
        </w:rPr>
      </w:pPr>
      <w:r>
        <w:rPr>
          <w:rFonts w:hint="eastAsia"/>
          <w:sz w:val="24"/>
        </w:rPr>
        <w:t>5、本协议一式肆份，甲乙双方各执贰份，签字盖章后即生效。</w:t>
      </w:r>
    </w:p>
    <w:p>
      <w:pPr>
        <w:spacing w:line="470" w:lineRule="exact"/>
        <w:rPr>
          <w:sz w:val="24"/>
        </w:rPr>
      </w:pPr>
    </w:p>
    <w:p>
      <w:pPr>
        <w:spacing w:line="470" w:lineRule="exact"/>
        <w:ind w:firstLine="480" w:firstLineChars="200"/>
        <w:rPr>
          <w:sz w:val="24"/>
        </w:rPr>
      </w:pPr>
      <w:r>
        <w:rPr>
          <w:rFonts w:hint="eastAsia"/>
          <w:sz w:val="24"/>
        </w:rPr>
        <w:t>甲方：                              乙方：</w:t>
      </w:r>
    </w:p>
    <w:p>
      <w:pPr>
        <w:spacing w:line="470" w:lineRule="exact"/>
        <w:ind w:firstLine="480" w:firstLineChars="200"/>
        <w:rPr>
          <w:sz w:val="24"/>
        </w:rPr>
      </w:pPr>
    </w:p>
    <w:p>
      <w:pPr>
        <w:spacing w:line="470" w:lineRule="exact"/>
        <w:ind w:firstLine="480" w:firstLineChars="200"/>
        <w:rPr>
          <w:sz w:val="24"/>
        </w:rPr>
      </w:pPr>
      <w:r>
        <w:rPr>
          <w:rFonts w:hint="eastAsia"/>
          <w:sz w:val="24"/>
        </w:rPr>
        <w:t>代表：　　　　　　　　　　          代表：</w:t>
      </w:r>
    </w:p>
    <w:p>
      <w:pPr>
        <w:spacing w:line="470" w:lineRule="exact"/>
        <w:ind w:firstLine="480" w:firstLineChars="200"/>
        <w:rPr>
          <w:sz w:val="24"/>
        </w:rPr>
      </w:pPr>
      <w:r>
        <w:rPr>
          <w:rFonts w:hint="eastAsia"/>
          <w:sz w:val="24"/>
        </w:rPr>
        <w:t>　　</w:t>
      </w:r>
    </w:p>
    <w:p>
      <w:pPr>
        <w:spacing w:line="470" w:lineRule="exact"/>
        <w:ind w:firstLine="480" w:firstLineChars="200"/>
        <w:rPr>
          <w:sz w:val="24"/>
        </w:rPr>
      </w:pPr>
      <w:r>
        <w:rPr>
          <w:rFonts w:hint="eastAsia"/>
          <w:sz w:val="24"/>
        </w:rPr>
        <w:t>日期：　</w:t>
      </w:r>
      <w:r>
        <w:rPr>
          <w:rFonts w:hint="eastAsia"/>
          <w:sz w:val="24"/>
          <w:lang w:val="en-US" w:eastAsia="zh-CN"/>
        </w:rPr>
        <w:t xml:space="preserve">  </w:t>
      </w:r>
      <w:r>
        <w:rPr>
          <w:rFonts w:hint="eastAsia"/>
          <w:sz w:val="24"/>
        </w:rPr>
        <w:t>年　</w:t>
      </w:r>
      <w:r>
        <w:rPr>
          <w:rFonts w:hint="eastAsia"/>
          <w:sz w:val="24"/>
          <w:lang w:val="en-US" w:eastAsia="zh-CN"/>
        </w:rPr>
        <w:t xml:space="preserve">  </w:t>
      </w:r>
      <w:r>
        <w:rPr>
          <w:rFonts w:hint="eastAsia"/>
          <w:sz w:val="24"/>
        </w:rPr>
        <w:t>月　</w:t>
      </w:r>
      <w:r>
        <w:rPr>
          <w:rFonts w:hint="eastAsia"/>
          <w:sz w:val="24"/>
          <w:lang w:val="en-US" w:eastAsia="zh-CN"/>
        </w:rPr>
        <w:t xml:space="preserve">  </w:t>
      </w:r>
      <w:r>
        <w:rPr>
          <w:rFonts w:hint="eastAsia"/>
          <w:sz w:val="24"/>
        </w:rPr>
        <w:t>日            日期：　　</w:t>
      </w:r>
      <w:r>
        <w:rPr>
          <w:rFonts w:hint="eastAsia"/>
          <w:sz w:val="24"/>
          <w:lang w:val="en-US" w:eastAsia="zh-CN"/>
        </w:rPr>
        <w:t xml:space="preserve"> </w:t>
      </w:r>
      <w:r>
        <w:rPr>
          <w:rFonts w:hint="eastAsia"/>
          <w:sz w:val="24"/>
        </w:rPr>
        <w:t>年</w:t>
      </w:r>
      <w:r>
        <w:rPr>
          <w:rFonts w:hint="eastAsia"/>
          <w:sz w:val="24"/>
          <w:lang w:val="en-US" w:eastAsia="zh-CN"/>
        </w:rPr>
        <w:t xml:space="preserve">  </w:t>
      </w:r>
      <w:r>
        <w:rPr>
          <w:rFonts w:hint="eastAsia"/>
          <w:sz w:val="24"/>
        </w:rPr>
        <w:t>　月　</w:t>
      </w:r>
      <w:r>
        <w:rPr>
          <w:rFonts w:hint="eastAsia"/>
          <w:sz w:val="24"/>
          <w:lang w:val="en-US" w:eastAsia="zh-CN"/>
        </w:rPr>
        <w:t xml:space="preserve"> </w:t>
      </w:r>
      <w:r>
        <w:rPr>
          <w:rFonts w:hint="eastAsia"/>
          <w:sz w:val="24"/>
        </w:rPr>
        <w:t xml:space="preserve"> 日</w:t>
      </w:r>
    </w:p>
    <w:sectPr>
      <w:footerReference r:id="rId3" w:type="default"/>
      <w:footerReference r:id="rId4" w:type="even"/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6"/>
      <w:framePr w:wrap="around" w:vAnchor="text" w:hAnchor="margin" w:xAlign="center" w:y="1"/>
      <w:rPr>
        <w:rStyle w:val="25"/>
      </w:rPr>
    </w:pPr>
    <w:r>
      <w:fldChar w:fldCharType="begin"/>
    </w:r>
    <w:r>
      <w:rPr>
        <w:rStyle w:val="25"/>
      </w:rPr>
      <w:instrText xml:space="preserve">PAGE  </w:instrText>
    </w:r>
    <w:r>
      <w:fldChar w:fldCharType="separate"/>
    </w:r>
    <w:r>
      <w:rPr>
        <w:rStyle w:val="25"/>
      </w:rPr>
      <w:t>2</w:t>
    </w:r>
    <w:r>
      <w:fldChar w:fldCharType="end"/>
    </w:r>
  </w:p>
  <w:p>
    <w:pPr>
      <w:pStyle w:val="1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6"/>
      <w:framePr w:wrap="around" w:vAnchor="text" w:hAnchor="margin" w:xAlign="center" w:y="1"/>
      <w:rPr>
        <w:rStyle w:val="25"/>
      </w:rPr>
    </w:pPr>
    <w:r>
      <w:fldChar w:fldCharType="begin"/>
    </w:r>
    <w:r>
      <w:rPr>
        <w:rStyle w:val="25"/>
      </w:rPr>
      <w:instrText xml:space="preserve">PAGE  </w:instrText>
    </w:r>
    <w:r>
      <w:fldChar w:fldCharType="end"/>
    </w:r>
  </w:p>
  <w:p>
    <w:pPr>
      <w:pStyle w:val="16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510"/>
    <w:rsid w:val="00001B67"/>
    <w:rsid w:val="000021E6"/>
    <w:rsid w:val="000023BB"/>
    <w:rsid w:val="00005C33"/>
    <w:rsid w:val="0000770A"/>
    <w:rsid w:val="000107D7"/>
    <w:rsid w:val="0001344B"/>
    <w:rsid w:val="000143A7"/>
    <w:rsid w:val="00015389"/>
    <w:rsid w:val="00015CA5"/>
    <w:rsid w:val="00020F43"/>
    <w:rsid w:val="00022D0F"/>
    <w:rsid w:val="00023829"/>
    <w:rsid w:val="00024809"/>
    <w:rsid w:val="00024BC2"/>
    <w:rsid w:val="00024C9C"/>
    <w:rsid w:val="00025D2D"/>
    <w:rsid w:val="00027418"/>
    <w:rsid w:val="00027BCC"/>
    <w:rsid w:val="00030C2C"/>
    <w:rsid w:val="000312C1"/>
    <w:rsid w:val="00033DB1"/>
    <w:rsid w:val="00034C1F"/>
    <w:rsid w:val="0004084B"/>
    <w:rsid w:val="00041C17"/>
    <w:rsid w:val="000427AE"/>
    <w:rsid w:val="00042E5E"/>
    <w:rsid w:val="00047D63"/>
    <w:rsid w:val="00051BBF"/>
    <w:rsid w:val="00055A2B"/>
    <w:rsid w:val="0005616B"/>
    <w:rsid w:val="00056BB5"/>
    <w:rsid w:val="000607A2"/>
    <w:rsid w:val="000623FB"/>
    <w:rsid w:val="00062A17"/>
    <w:rsid w:val="00063058"/>
    <w:rsid w:val="00063861"/>
    <w:rsid w:val="00064F83"/>
    <w:rsid w:val="00065574"/>
    <w:rsid w:val="00072B6A"/>
    <w:rsid w:val="000733F8"/>
    <w:rsid w:val="00074375"/>
    <w:rsid w:val="0007639E"/>
    <w:rsid w:val="000766F8"/>
    <w:rsid w:val="000778FA"/>
    <w:rsid w:val="00077C51"/>
    <w:rsid w:val="00077EEE"/>
    <w:rsid w:val="000808CF"/>
    <w:rsid w:val="000817EB"/>
    <w:rsid w:val="00081B94"/>
    <w:rsid w:val="0008258B"/>
    <w:rsid w:val="000827FA"/>
    <w:rsid w:val="00082A7E"/>
    <w:rsid w:val="00082A9A"/>
    <w:rsid w:val="0008301A"/>
    <w:rsid w:val="00083874"/>
    <w:rsid w:val="00085614"/>
    <w:rsid w:val="00087B9F"/>
    <w:rsid w:val="00090209"/>
    <w:rsid w:val="0009060D"/>
    <w:rsid w:val="0009139D"/>
    <w:rsid w:val="00091D96"/>
    <w:rsid w:val="000946DA"/>
    <w:rsid w:val="0009487B"/>
    <w:rsid w:val="00094C0C"/>
    <w:rsid w:val="00095FE1"/>
    <w:rsid w:val="000A0715"/>
    <w:rsid w:val="000A1458"/>
    <w:rsid w:val="000B0BBE"/>
    <w:rsid w:val="000B1E0D"/>
    <w:rsid w:val="000B1F6B"/>
    <w:rsid w:val="000B3655"/>
    <w:rsid w:val="000B530C"/>
    <w:rsid w:val="000B624E"/>
    <w:rsid w:val="000C088C"/>
    <w:rsid w:val="000C0961"/>
    <w:rsid w:val="000C1EF4"/>
    <w:rsid w:val="000C2123"/>
    <w:rsid w:val="000C2F0C"/>
    <w:rsid w:val="000C5160"/>
    <w:rsid w:val="000C63B2"/>
    <w:rsid w:val="000C7100"/>
    <w:rsid w:val="000C763B"/>
    <w:rsid w:val="000C7EF0"/>
    <w:rsid w:val="000C7F4A"/>
    <w:rsid w:val="000D08F6"/>
    <w:rsid w:val="000D2F88"/>
    <w:rsid w:val="000D451B"/>
    <w:rsid w:val="000D5A40"/>
    <w:rsid w:val="000D70FE"/>
    <w:rsid w:val="000E03B5"/>
    <w:rsid w:val="000E1CDB"/>
    <w:rsid w:val="000E1F8D"/>
    <w:rsid w:val="000E4E0D"/>
    <w:rsid w:val="000E5E2F"/>
    <w:rsid w:val="000E63D6"/>
    <w:rsid w:val="000F0708"/>
    <w:rsid w:val="000F59B9"/>
    <w:rsid w:val="000F606A"/>
    <w:rsid w:val="000F79EF"/>
    <w:rsid w:val="000F7E97"/>
    <w:rsid w:val="00100C34"/>
    <w:rsid w:val="001029F0"/>
    <w:rsid w:val="00102D2E"/>
    <w:rsid w:val="00103075"/>
    <w:rsid w:val="00107A85"/>
    <w:rsid w:val="00112952"/>
    <w:rsid w:val="00113566"/>
    <w:rsid w:val="00114A10"/>
    <w:rsid w:val="00116044"/>
    <w:rsid w:val="00117DD1"/>
    <w:rsid w:val="00121504"/>
    <w:rsid w:val="00122CDC"/>
    <w:rsid w:val="00123B11"/>
    <w:rsid w:val="00123DE2"/>
    <w:rsid w:val="00127135"/>
    <w:rsid w:val="00131A9C"/>
    <w:rsid w:val="00131F06"/>
    <w:rsid w:val="00133EA2"/>
    <w:rsid w:val="00133FCF"/>
    <w:rsid w:val="001359DE"/>
    <w:rsid w:val="00137D08"/>
    <w:rsid w:val="00140700"/>
    <w:rsid w:val="0014294B"/>
    <w:rsid w:val="001430FB"/>
    <w:rsid w:val="00145522"/>
    <w:rsid w:val="00151C98"/>
    <w:rsid w:val="001543F9"/>
    <w:rsid w:val="0015476C"/>
    <w:rsid w:val="00154CB7"/>
    <w:rsid w:val="001560EC"/>
    <w:rsid w:val="00156602"/>
    <w:rsid w:val="00160003"/>
    <w:rsid w:val="00160B6E"/>
    <w:rsid w:val="00161489"/>
    <w:rsid w:val="0016292F"/>
    <w:rsid w:val="0016474E"/>
    <w:rsid w:val="00165767"/>
    <w:rsid w:val="00165A4C"/>
    <w:rsid w:val="00165B6A"/>
    <w:rsid w:val="00165DA7"/>
    <w:rsid w:val="0016641C"/>
    <w:rsid w:val="00170DA7"/>
    <w:rsid w:val="0017284A"/>
    <w:rsid w:val="00173007"/>
    <w:rsid w:val="00173078"/>
    <w:rsid w:val="00173F11"/>
    <w:rsid w:val="00176541"/>
    <w:rsid w:val="00182635"/>
    <w:rsid w:val="00182D5A"/>
    <w:rsid w:val="001846FE"/>
    <w:rsid w:val="0018682C"/>
    <w:rsid w:val="00186F63"/>
    <w:rsid w:val="00190BCA"/>
    <w:rsid w:val="00192925"/>
    <w:rsid w:val="00192EA4"/>
    <w:rsid w:val="00194040"/>
    <w:rsid w:val="001953CE"/>
    <w:rsid w:val="00195C69"/>
    <w:rsid w:val="00196A38"/>
    <w:rsid w:val="001A081F"/>
    <w:rsid w:val="001A2443"/>
    <w:rsid w:val="001A4553"/>
    <w:rsid w:val="001A519C"/>
    <w:rsid w:val="001A6F5F"/>
    <w:rsid w:val="001B010C"/>
    <w:rsid w:val="001B1184"/>
    <w:rsid w:val="001B1B66"/>
    <w:rsid w:val="001B1C87"/>
    <w:rsid w:val="001B259C"/>
    <w:rsid w:val="001B4B9A"/>
    <w:rsid w:val="001B68CD"/>
    <w:rsid w:val="001B718B"/>
    <w:rsid w:val="001C43C9"/>
    <w:rsid w:val="001C65DB"/>
    <w:rsid w:val="001D0636"/>
    <w:rsid w:val="001D377C"/>
    <w:rsid w:val="001D3AB5"/>
    <w:rsid w:val="001D5915"/>
    <w:rsid w:val="001D5BD4"/>
    <w:rsid w:val="001D5D84"/>
    <w:rsid w:val="001D6705"/>
    <w:rsid w:val="001D673D"/>
    <w:rsid w:val="001E08E2"/>
    <w:rsid w:val="001E1295"/>
    <w:rsid w:val="001E4D7E"/>
    <w:rsid w:val="001E7147"/>
    <w:rsid w:val="001E7F65"/>
    <w:rsid w:val="001F1D9C"/>
    <w:rsid w:val="001F409B"/>
    <w:rsid w:val="001F4B9A"/>
    <w:rsid w:val="001F568A"/>
    <w:rsid w:val="001F61D6"/>
    <w:rsid w:val="001F6927"/>
    <w:rsid w:val="001F740E"/>
    <w:rsid w:val="0020121C"/>
    <w:rsid w:val="00202284"/>
    <w:rsid w:val="002027C5"/>
    <w:rsid w:val="002044CC"/>
    <w:rsid w:val="00204CFD"/>
    <w:rsid w:val="0021059B"/>
    <w:rsid w:val="00210981"/>
    <w:rsid w:val="00210C5D"/>
    <w:rsid w:val="00212C80"/>
    <w:rsid w:val="00213C66"/>
    <w:rsid w:val="0021683C"/>
    <w:rsid w:val="002212D5"/>
    <w:rsid w:val="00222623"/>
    <w:rsid w:val="00222CE9"/>
    <w:rsid w:val="00222D53"/>
    <w:rsid w:val="0022577B"/>
    <w:rsid w:val="00227B7D"/>
    <w:rsid w:val="00230022"/>
    <w:rsid w:val="00231E20"/>
    <w:rsid w:val="00234B50"/>
    <w:rsid w:val="00234F92"/>
    <w:rsid w:val="002351A0"/>
    <w:rsid w:val="00235BF4"/>
    <w:rsid w:val="00236A7E"/>
    <w:rsid w:val="002376F7"/>
    <w:rsid w:val="0023777D"/>
    <w:rsid w:val="002416C1"/>
    <w:rsid w:val="002426DD"/>
    <w:rsid w:val="00245F85"/>
    <w:rsid w:val="00246CF2"/>
    <w:rsid w:val="00246E44"/>
    <w:rsid w:val="002473DB"/>
    <w:rsid w:val="0025052C"/>
    <w:rsid w:val="00251268"/>
    <w:rsid w:val="00252291"/>
    <w:rsid w:val="00254790"/>
    <w:rsid w:val="00260869"/>
    <w:rsid w:val="00261A8E"/>
    <w:rsid w:val="00262AE5"/>
    <w:rsid w:val="00262FC6"/>
    <w:rsid w:val="002655A2"/>
    <w:rsid w:val="0026595B"/>
    <w:rsid w:val="00270FFC"/>
    <w:rsid w:val="0027378D"/>
    <w:rsid w:val="00273EB6"/>
    <w:rsid w:val="00277055"/>
    <w:rsid w:val="002771D1"/>
    <w:rsid w:val="002773B4"/>
    <w:rsid w:val="002777EF"/>
    <w:rsid w:val="0027787A"/>
    <w:rsid w:val="00280D49"/>
    <w:rsid w:val="00286E32"/>
    <w:rsid w:val="002878FB"/>
    <w:rsid w:val="002928AE"/>
    <w:rsid w:val="0029322D"/>
    <w:rsid w:val="00293322"/>
    <w:rsid w:val="00294303"/>
    <w:rsid w:val="00294D4F"/>
    <w:rsid w:val="002A389D"/>
    <w:rsid w:val="002B087F"/>
    <w:rsid w:val="002B2048"/>
    <w:rsid w:val="002B5263"/>
    <w:rsid w:val="002B68A4"/>
    <w:rsid w:val="002B7647"/>
    <w:rsid w:val="002B7756"/>
    <w:rsid w:val="002B786C"/>
    <w:rsid w:val="002B7D3E"/>
    <w:rsid w:val="002C2860"/>
    <w:rsid w:val="002C432B"/>
    <w:rsid w:val="002C5CA0"/>
    <w:rsid w:val="002D0E98"/>
    <w:rsid w:val="002D1605"/>
    <w:rsid w:val="002D165E"/>
    <w:rsid w:val="002D5255"/>
    <w:rsid w:val="002D7118"/>
    <w:rsid w:val="002D7F35"/>
    <w:rsid w:val="002E0A4E"/>
    <w:rsid w:val="002E0B26"/>
    <w:rsid w:val="002E1445"/>
    <w:rsid w:val="002E16A3"/>
    <w:rsid w:val="002E292B"/>
    <w:rsid w:val="002E29C1"/>
    <w:rsid w:val="002E41BB"/>
    <w:rsid w:val="002E6883"/>
    <w:rsid w:val="002E747B"/>
    <w:rsid w:val="002E7E6B"/>
    <w:rsid w:val="002F03F7"/>
    <w:rsid w:val="002F3A7B"/>
    <w:rsid w:val="002F7B22"/>
    <w:rsid w:val="002F7C13"/>
    <w:rsid w:val="003015F4"/>
    <w:rsid w:val="003050C5"/>
    <w:rsid w:val="0030599A"/>
    <w:rsid w:val="0030667A"/>
    <w:rsid w:val="00306CAA"/>
    <w:rsid w:val="00306D86"/>
    <w:rsid w:val="00306FFE"/>
    <w:rsid w:val="00307DFB"/>
    <w:rsid w:val="003104E6"/>
    <w:rsid w:val="003111A5"/>
    <w:rsid w:val="00311D6D"/>
    <w:rsid w:val="0031247C"/>
    <w:rsid w:val="00312D5F"/>
    <w:rsid w:val="00315B81"/>
    <w:rsid w:val="00316C6E"/>
    <w:rsid w:val="00320F3E"/>
    <w:rsid w:val="00321A60"/>
    <w:rsid w:val="0032319A"/>
    <w:rsid w:val="003241C6"/>
    <w:rsid w:val="003243F7"/>
    <w:rsid w:val="0032453F"/>
    <w:rsid w:val="00324B9A"/>
    <w:rsid w:val="00325D1A"/>
    <w:rsid w:val="00326A75"/>
    <w:rsid w:val="00331198"/>
    <w:rsid w:val="003332CA"/>
    <w:rsid w:val="0033341F"/>
    <w:rsid w:val="00334D00"/>
    <w:rsid w:val="00335DCB"/>
    <w:rsid w:val="00337E08"/>
    <w:rsid w:val="00342079"/>
    <w:rsid w:val="00345400"/>
    <w:rsid w:val="00352051"/>
    <w:rsid w:val="00352FD1"/>
    <w:rsid w:val="00354BC0"/>
    <w:rsid w:val="00354D8F"/>
    <w:rsid w:val="00356DBE"/>
    <w:rsid w:val="003575EE"/>
    <w:rsid w:val="003577B8"/>
    <w:rsid w:val="00360C70"/>
    <w:rsid w:val="003639FF"/>
    <w:rsid w:val="00365FD4"/>
    <w:rsid w:val="0036647F"/>
    <w:rsid w:val="00366F00"/>
    <w:rsid w:val="0036789A"/>
    <w:rsid w:val="003710D4"/>
    <w:rsid w:val="00375A20"/>
    <w:rsid w:val="00377923"/>
    <w:rsid w:val="00377D7C"/>
    <w:rsid w:val="00380E83"/>
    <w:rsid w:val="00381F06"/>
    <w:rsid w:val="00382DB2"/>
    <w:rsid w:val="00387C88"/>
    <w:rsid w:val="00391897"/>
    <w:rsid w:val="0039549E"/>
    <w:rsid w:val="003954C8"/>
    <w:rsid w:val="0039600B"/>
    <w:rsid w:val="003974BA"/>
    <w:rsid w:val="00397733"/>
    <w:rsid w:val="00397847"/>
    <w:rsid w:val="003A249A"/>
    <w:rsid w:val="003A33E3"/>
    <w:rsid w:val="003A36B2"/>
    <w:rsid w:val="003A3FC9"/>
    <w:rsid w:val="003B0108"/>
    <w:rsid w:val="003B2D20"/>
    <w:rsid w:val="003B2E5A"/>
    <w:rsid w:val="003B41AF"/>
    <w:rsid w:val="003B41DE"/>
    <w:rsid w:val="003B57E0"/>
    <w:rsid w:val="003B6C49"/>
    <w:rsid w:val="003C12A8"/>
    <w:rsid w:val="003C150F"/>
    <w:rsid w:val="003C322D"/>
    <w:rsid w:val="003C42B8"/>
    <w:rsid w:val="003C4C3D"/>
    <w:rsid w:val="003C65D2"/>
    <w:rsid w:val="003C770C"/>
    <w:rsid w:val="003D1799"/>
    <w:rsid w:val="003D404A"/>
    <w:rsid w:val="003D468D"/>
    <w:rsid w:val="003D4C59"/>
    <w:rsid w:val="003D550F"/>
    <w:rsid w:val="003D5610"/>
    <w:rsid w:val="003D5DFA"/>
    <w:rsid w:val="003D708E"/>
    <w:rsid w:val="003E17E7"/>
    <w:rsid w:val="003E2896"/>
    <w:rsid w:val="003E3061"/>
    <w:rsid w:val="003E5634"/>
    <w:rsid w:val="003E5D67"/>
    <w:rsid w:val="003E5F0E"/>
    <w:rsid w:val="003F0C5F"/>
    <w:rsid w:val="003F28C2"/>
    <w:rsid w:val="003F2AB5"/>
    <w:rsid w:val="003F7CA0"/>
    <w:rsid w:val="004006FA"/>
    <w:rsid w:val="00401215"/>
    <w:rsid w:val="004034E7"/>
    <w:rsid w:val="00404984"/>
    <w:rsid w:val="00407590"/>
    <w:rsid w:val="004126FD"/>
    <w:rsid w:val="00412A78"/>
    <w:rsid w:val="00413643"/>
    <w:rsid w:val="00413B48"/>
    <w:rsid w:val="004216AC"/>
    <w:rsid w:val="0042236E"/>
    <w:rsid w:val="00424F8A"/>
    <w:rsid w:val="00426F1D"/>
    <w:rsid w:val="004279AB"/>
    <w:rsid w:val="00427C82"/>
    <w:rsid w:val="00431492"/>
    <w:rsid w:val="00433489"/>
    <w:rsid w:val="00433503"/>
    <w:rsid w:val="00433FDC"/>
    <w:rsid w:val="00437169"/>
    <w:rsid w:val="00440A1F"/>
    <w:rsid w:val="00441DC8"/>
    <w:rsid w:val="0044341A"/>
    <w:rsid w:val="00446B8F"/>
    <w:rsid w:val="00446E3B"/>
    <w:rsid w:val="004471CE"/>
    <w:rsid w:val="004534CE"/>
    <w:rsid w:val="00453C7E"/>
    <w:rsid w:val="004568E5"/>
    <w:rsid w:val="00457B72"/>
    <w:rsid w:val="00457F9F"/>
    <w:rsid w:val="004603DC"/>
    <w:rsid w:val="00467160"/>
    <w:rsid w:val="00467487"/>
    <w:rsid w:val="004675E3"/>
    <w:rsid w:val="00470C45"/>
    <w:rsid w:val="00470DFC"/>
    <w:rsid w:val="004723A7"/>
    <w:rsid w:val="0047327A"/>
    <w:rsid w:val="00474D68"/>
    <w:rsid w:val="00481984"/>
    <w:rsid w:val="0048326A"/>
    <w:rsid w:val="00483DB3"/>
    <w:rsid w:val="0048512E"/>
    <w:rsid w:val="004858FA"/>
    <w:rsid w:val="00485A11"/>
    <w:rsid w:val="00486D1B"/>
    <w:rsid w:val="00486D99"/>
    <w:rsid w:val="00486E65"/>
    <w:rsid w:val="00487163"/>
    <w:rsid w:val="004918BB"/>
    <w:rsid w:val="00492D4F"/>
    <w:rsid w:val="00494156"/>
    <w:rsid w:val="00495085"/>
    <w:rsid w:val="00495F00"/>
    <w:rsid w:val="0049679E"/>
    <w:rsid w:val="004A0883"/>
    <w:rsid w:val="004A0FAA"/>
    <w:rsid w:val="004A1995"/>
    <w:rsid w:val="004A3F28"/>
    <w:rsid w:val="004A4D0A"/>
    <w:rsid w:val="004A547A"/>
    <w:rsid w:val="004A5E36"/>
    <w:rsid w:val="004A6F0B"/>
    <w:rsid w:val="004B0203"/>
    <w:rsid w:val="004B0813"/>
    <w:rsid w:val="004B0A49"/>
    <w:rsid w:val="004B2719"/>
    <w:rsid w:val="004B2B9E"/>
    <w:rsid w:val="004B4B0E"/>
    <w:rsid w:val="004B5504"/>
    <w:rsid w:val="004B5CB8"/>
    <w:rsid w:val="004B6BE8"/>
    <w:rsid w:val="004B7F51"/>
    <w:rsid w:val="004C16E7"/>
    <w:rsid w:val="004C4B8D"/>
    <w:rsid w:val="004C5FC4"/>
    <w:rsid w:val="004C6079"/>
    <w:rsid w:val="004D0989"/>
    <w:rsid w:val="004D119E"/>
    <w:rsid w:val="004D7750"/>
    <w:rsid w:val="004D7E45"/>
    <w:rsid w:val="004E1607"/>
    <w:rsid w:val="004E20C4"/>
    <w:rsid w:val="004E34FA"/>
    <w:rsid w:val="004E58D7"/>
    <w:rsid w:val="004E58E9"/>
    <w:rsid w:val="004E5FDC"/>
    <w:rsid w:val="004F2604"/>
    <w:rsid w:val="004F398D"/>
    <w:rsid w:val="004F6002"/>
    <w:rsid w:val="004F61DC"/>
    <w:rsid w:val="005004FE"/>
    <w:rsid w:val="00503260"/>
    <w:rsid w:val="00505A6F"/>
    <w:rsid w:val="00505B88"/>
    <w:rsid w:val="00506974"/>
    <w:rsid w:val="00506FF3"/>
    <w:rsid w:val="00511083"/>
    <w:rsid w:val="00511146"/>
    <w:rsid w:val="00512344"/>
    <w:rsid w:val="00512AB0"/>
    <w:rsid w:val="00512EF7"/>
    <w:rsid w:val="0051337A"/>
    <w:rsid w:val="0051341E"/>
    <w:rsid w:val="00517072"/>
    <w:rsid w:val="005209C2"/>
    <w:rsid w:val="00521F64"/>
    <w:rsid w:val="00523CE9"/>
    <w:rsid w:val="00525294"/>
    <w:rsid w:val="005254CF"/>
    <w:rsid w:val="005264B3"/>
    <w:rsid w:val="00530140"/>
    <w:rsid w:val="005301BD"/>
    <w:rsid w:val="005316E8"/>
    <w:rsid w:val="00532BEA"/>
    <w:rsid w:val="00533482"/>
    <w:rsid w:val="0053429E"/>
    <w:rsid w:val="00537332"/>
    <w:rsid w:val="00537C98"/>
    <w:rsid w:val="0054064F"/>
    <w:rsid w:val="00540739"/>
    <w:rsid w:val="00546BD0"/>
    <w:rsid w:val="0054725F"/>
    <w:rsid w:val="005514A7"/>
    <w:rsid w:val="005515BB"/>
    <w:rsid w:val="0055598D"/>
    <w:rsid w:val="00555F18"/>
    <w:rsid w:val="005619CB"/>
    <w:rsid w:val="00563483"/>
    <w:rsid w:val="00564822"/>
    <w:rsid w:val="00564B92"/>
    <w:rsid w:val="00567A47"/>
    <w:rsid w:val="00571721"/>
    <w:rsid w:val="0057185E"/>
    <w:rsid w:val="00571887"/>
    <w:rsid w:val="0057265C"/>
    <w:rsid w:val="00573899"/>
    <w:rsid w:val="00573FA6"/>
    <w:rsid w:val="00574B1F"/>
    <w:rsid w:val="00577A2D"/>
    <w:rsid w:val="00581DF1"/>
    <w:rsid w:val="00582CBF"/>
    <w:rsid w:val="00582D40"/>
    <w:rsid w:val="00583098"/>
    <w:rsid w:val="00583C46"/>
    <w:rsid w:val="00585865"/>
    <w:rsid w:val="00586123"/>
    <w:rsid w:val="0058648A"/>
    <w:rsid w:val="00586C90"/>
    <w:rsid w:val="005870EA"/>
    <w:rsid w:val="00587DE0"/>
    <w:rsid w:val="00592C37"/>
    <w:rsid w:val="005941E5"/>
    <w:rsid w:val="00596376"/>
    <w:rsid w:val="00596C9D"/>
    <w:rsid w:val="005A0ACE"/>
    <w:rsid w:val="005A1CFD"/>
    <w:rsid w:val="005A31AF"/>
    <w:rsid w:val="005A31F4"/>
    <w:rsid w:val="005A35C6"/>
    <w:rsid w:val="005A470C"/>
    <w:rsid w:val="005A4718"/>
    <w:rsid w:val="005A48FC"/>
    <w:rsid w:val="005A5536"/>
    <w:rsid w:val="005A7FF4"/>
    <w:rsid w:val="005B0AD7"/>
    <w:rsid w:val="005B1093"/>
    <w:rsid w:val="005B25B7"/>
    <w:rsid w:val="005B2837"/>
    <w:rsid w:val="005B2C41"/>
    <w:rsid w:val="005B49AA"/>
    <w:rsid w:val="005C16B1"/>
    <w:rsid w:val="005C17E9"/>
    <w:rsid w:val="005C17EB"/>
    <w:rsid w:val="005C1FF1"/>
    <w:rsid w:val="005C37BC"/>
    <w:rsid w:val="005C4CC6"/>
    <w:rsid w:val="005C5D10"/>
    <w:rsid w:val="005D499D"/>
    <w:rsid w:val="005D5434"/>
    <w:rsid w:val="005D7F2B"/>
    <w:rsid w:val="005E333F"/>
    <w:rsid w:val="005E447D"/>
    <w:rsid w:val="005E485C"/>
    <w:rsid w:val="005E48E7"/>
    <w:rsid w:val="005E57B6"/>
    <w:rsid w:val="005F03D0"/>
    <w:rsid w:val="005F122E"/>
    <w:rsid w:val="005F1737"/>
    <w:rsid w:val="005F1EC6"/>
    <w:rsid w:val="005F2999"/>
    <w:rsid w:val="005F466C"/>
    <w:rsid w:val="005F69C9"/>
    <w:rsid w:val="005F7B59"/>
    <w:rsid w:val="006000CB"/>
    <w:rsid w:val="00601517"/>
    <w:rsid w:val="0060297D"/>
    <w:rsid w:val="0060334B"/>
    <w:rsid w:val="00604593"/>
    <w:rsid w:val="00607429"/>
    <w:rsid w:val="0061005E"/>
    <w:rsid w:val="00611B8B"/>
    <w:rsid w:val="006130B7"/>
    <w:rsid w:val="006135D9"/>
    <w:rsid w:val="006139F7"/>
    <w:rsid w:val="00613CEB"/>
    <w:rsid w:val="00613D6C"/>
    <w:rsid w:val="00613F96"/>
    <w:rsid w:val="00614DA1"/>
    <w:rsid w:val="006170CA"/>
    <w:rsid w:val="006173F7"/>
    <w:rsid w:val="00617C74"/>
    <w:rsid w:val="00620E59"/>
    <w:rsid w:val="0062242D"/>
    <w:rsid w:val="006251FB"/>
    <w:rsid w:val="006252A5"/>
    <w:rsid w:val="0062635D"/>
    <w:rsid w:val="00626479"/>
    <w:rsid w:val="006315F0"/>
    <w:rsid w:val="006320B3"/>
    <w:rsid w:val="006344BB"/>
    <w:rsid w:val="006344FB"/>
    <w:rsid w:val="00636B26"/>
    <w:rsid w:val="00637FEA"/>
    <w:rsid w:val="00640A83"/>
    <w:rsid w:val="00642D12"/>
    <w:rsid w:val="00643015"/>
    <w:rsid w:val="006462E8"/>
    <w:rsid w:val="00650D4B"/>
    <w:rsid w:val="00651B16"/>
    <w:rsid w:val="0065218A"/>
    <w:rsid w:val="00653083"/>
    <w:rsid w:val="006532EA"/>
    <w:rsid w:val="006543E2"/>
    <w:rsid w:val="00655061"/>
    <w:rsid w:val="00662C76"/>
    <w:rsid w:val="00663093"/>
    <w:rsid w:val="006633BC"/>
    <w:rsid w:val="006647AB"/>
    <w:rsid w:val="006661AA"/>
    <w:rsid w:val="006668AA"/>
    <w:rsid w:val="006674C0"/>
    <w:rsid w:val="0066795E"/>
    <w:rsid w:val="00671BE4"/>
    <w:rsid w:val="00672191"/>
    <w:rsid w:val="006729FD"/>
    <w:rsid w:val="0067428B"/>
    <w:rsid w:val="00674582"/>
    <w:rsid w:val="006745AF"/>
    <w:rsid w:val="00676D47"/>
    <w:rsid w:val="00680971"/>
    <w:rsid w:val="006813F5"/>
    <w:rsid w:val="00682E72"/>
    <w:rsid w:val="00682F6C"/>
    <w:rsid w:val="006833F9"/>
    <w:rsid w:val="006853FA"/>
    <w:rsid w:val="006860B8"/>
    <w:rsid w:val="0069098D"/>
    <w:rsid w:val="0069109A"/>
    <w:rsid w:val="0069233C"/>
    <w:rsid w:val="00693129"/>
    <w:rsid w:val="00694059"/>
    <w:rsid w:val="00694396"/>
    <w:rsid w:val="00696E7A"/>
    <w:rsid w:val="00697504"/>
    <w:rsid w:val="006978DE"/>
    <w:rsid w:val="00697929"/>
    <w:rsid w:val="006A04C3"/>
    <w:rsid w:val="006A1A11"/>
    <w:rsid w:val="006A1D27"/>
    <w:rsid w:val="006A6760"/>
    <w:rsid w:val="006B17B1"/>
    <w:rsid w:val="006B326B"/>
    <w:rsid w:val="006B3A19"/>
    <w:rsid w:val="006C00A5"/>
    <w:rsid w:val="006C096C"/>
    <w:rsid w:val="006C2BCE"/>
    <w:rsid w:val="006D0561"/>
    <w:rsid w:val="006D0697"/>
    <w:rsid w:val="006D0A1C"/>
    <w:rsid w:val="006D25D1"/>
    <w:rsid w:val="006D350B"/>
    <w:rsid w:val="006D3F4A"/>
    <w:rsid w:val="006D3FFC"/>
    <w:rsid w:val="006D6D3F"/>
    <w:rsid w:val="006E1238"/>
    <w:rsid w:val="006E39C2"/>
    <w:rsid w:val="006E3D01"/>
    <w:rsid w:val="006E429C"/>
    <w:rsid w:val="006E4E45"/>
    <w:rsid w:val="006E6E4B"/>
    <w:rsid w:val="006E7863"/>
    <w:rsid w:val="006F0A22"/>
    <w:rsid w:val="006F19AD"/>
    <w:rsid w:val="006F1FED"/>
    <w:rsid w:val="006F3556"/>
    <w:rsid w:val="006F3EE0"/>
    <w:rsid w:val="006F6FE7"/>
    <w:rsid w:val="00700FDD"/>
    <w:rsid w:val="00701BAD"/>
    <w:rsid w:val="00703530"/>
    <w:rsid w:val="00703686"/>
    <w:rsid w:val="00704AC3"/>
    <w:rsid w:val="00705E1D"/>
    <w:rsid w:val="00711B77"/>
    <w:rsid w:val="00714A69"/>
    <w:rsid w:val="00715976"/>
    <w:rsid w:val="00715E3F"/>
    <w:rsid w:val="00717F1A"/>
    <w:rsid w:val="007204C3"/>
    <w:rsid w:val="00720BB5"/>
    <w:rsid w:val="00721D52"/>
    <w:rsid w:val="00723389"/>
    <w:rsid w:val="00725A71"/>
    <w:rsid w:val="00725B4A"/>
    <w:rsid w:val="00726C9D"/>
    <w:rsid w:val="00730888"/>
    <w:rsid w:val="00731FA9"/>
    <w:rsid w:val="0073290C"/>
    <w:rsid w:val="00733507"/>
    <w:rsid w:val="00735051"/>
    <w:rsid w:val="0073744B"/>
    <w:rsid w:val="00741D34"/>
    <w:rsid w:val="007459B6"/>
    <w:rsid w:val="007521A6"/>
    <w:rsid w:val="007556A7"/>
    <w:rsid w:val="00755F30"/>
    <w:rsid w:val="007628F8"/>
    <w:rsid w:val="00763065"/>
    <w:rsid w:val="00763FAB"/>
    <w:rsid w:val="007642AF"/>
    <w:rsid w:val="00764664"/>
    <w:rsid w:val="0076473F"/>
    <w:rsid w:val="0076611D"/>
    <w:rsid w:val="007667A9"/>
    <w:rsid w:val="00770173"/>
    <w:rsid w:val="00771C29"/>
    <w:rsid w:val="007756FF"/>
    <w:rsid w:val="007808FF"/>
    <w:rsid w:val="007832ED"/>
    <w:rsid w:val="00783892"/>
    <w:rsid w:val="00785A53"/>
    <w:rsid w:val="00794090"/>
    <w:rsid w:val="00795195"/>
    <w:rsid w:val="0079590B"/>
    <w:rsid w:val="00797FA9"/>
    <w:rsid w:val="007A0CE5"/>
    <w:rsid w:val="007A3EE9"/>
    <w:rsid w:val="007A706D"/>
    <w:rsid w:val="007A72A7"/>
    <w:rsid w:val="007A797C"/>
    <w:rsid w:val="007B1DFA"/>
    <w:rsid w:val="007B3936"/>
    <w:rsid w:val="007B3ED0"/>
    <w:rsid w:val="007B66A1"/>
    <w:rsid w:val="007B6818"/>
    <w:rsid w:val="007B6E5E"/>
    <w:rsid w:val="007C2BB0"/>
    <w:rsid w:val="007C5571"/>
    <w:rsid w:val="007C571C"/>
    <w:rsid w:val="007C59B9"/>
    <w:rsid w:val="007C61BC"/>
    <w:rsid w:val="007C6E67"/>
    <w:rsid w:val="007C7990"/>
    <w:rsid w:val="007C79CD"/>
    <w:rsid w:val="007D04F4"/>
    <w:rsid w:val="007D2CC6"/>
    <w:rsid w:val="007D3043"/>
    <w:rsid w:val="007D318F"/>
    <w:rsid w:val="007D4E4B"/>
    <w:rsid w:val="007D4FDA"/>
    <w:rsid w:val="007D68E2"/>
    <w:rsid w:val="007D7B59"/>
    <w:rsid w:val="007E26E7"/>
    <w:rsid w:val="007E27BA"/>
    <w:rsid w:val="007E50FC"/>
    <w:rsid w:val="007F10E5"/>
    <w:rsid w:val="007F28A1"/>
    <w:rsid w:val="007F327C"/>
    <w:rsid w:val="007F4982"/>
    <w:rsid w:val="007F4F64"/>
    <w:rsid w:val="007F5420"/>
    <w:rsid w:val="007F6A4C"/>
    <w:rsid w:val="00801727"/>
    <w:rsid w:val="00801835"/>
    <w:rsid w:val="0080236B"/>
    <w:rsid w:val="0080386C"/>
    <w:rsid w:val="00803CA3"/>
    <w:rsid w:val="008040CC"/>
    <w:rsid w:val="00805800"/>
    <w:rsid w:val="008078B1"/>
    <w:rsid w:val="0081092D"/>
    <w:rsid w:val="0081240B"/>
    <w:rsid w:val="00821B8E"/>
    <w:rsid w:val="00822DA4"/>
    <w:rsid w:val="008237FA"/>
    <w:rsid w:val="00823D74"/>
    <w:rsid w:val="008252CF"/>
    <w:rsid w:val="00825B6D"/>
    <w:rsid w:val="00826A26"/>
    <w:rsid w:val="0083050A"/>
    <w:rsid w:val="008309B6"/>
    <w:rsid w:val="00833453"/>
    <w:rsid w:val="0083445D"/>
    <w:rsid w:val="00834CF8"/>
    <w:rsid w:val="00835A3F"/>
    <w:rsid w:val="00835DF4"/>
    <w:rsid w:val="00837255"/>
    <w:rsid w:val="00843D74"/>
    <w:rsid w:val="00844A44"/>
    <w:rsid w:val="00844CD2"/>
    <w:rsid w:val="00845F4E"/>
    <w:rsid w:val="00847139"/>
    <w:rsid w:val="00847623"/>
    <w:rsid w:val="00847915"/>
    <w:rsid w:val="008501A9"/>
    <w:rsid w:val="00850DD6"/>
    <w:rsid w:val="00854C8C"/>
    <w:rsid w:val="00860AAE"/>
    <w:rsid w:val="00862EA2"/>
    <w:rsid w:val="00863B6E"/>
    <w:rsid w:val="0086536C"/>
    <w:rsid w:val="008677CA"/>
    <w:rsid w:val="00867E28"/>
    <w:rsid w:val="00870023"/>
    <w:rsid w:val="0087342C"/>
    <w:rsid w:val="008749A7"/>
    <w:rsid w:val="0087657C"/>
    <w:rsid w:val="008766EF"/>
    <w:rsid w:val="00877E3C"/>
    <w:rsid w:val="00881F51"/>
    <w:rsid w:val="008822D9"/>
    <w:rsid w:val="00883575"/>
    <w:rsid w:val="008840F0"/>
    <w:rsid w:val="00884A26"/>
    <w:rsid w:val="0088520D"/>
    <w:rsid w:val="00885D05"/>
    <w:rsid w:val="00886686"/>
    <w:rsid w:val="008914EE"/>
    <w:rsid w:val="008927F7"/>
    <w:rsid w:val="00896616"/>
    <w:rsid w:val="008969E4"/>
    <w:rsid w:val="00897B1C"/>
    <w:rsid w:val="008A1AE1"/>
    <w:rsid w:val="008A1ED5"/>
    <w:rsid w:val="008A2DD1"/>
    <w:rsid w:val="008A439B"/>
    <w:rsid w:val="008A6144"/>
    <w:rsid w:val="008B193C"/>
    <w:rsid w:val="008B2C08"/>
    <w:rsid w:val="008B4CE3"/>
    <w:rsid w:val="008C2DF9"/>
    <w:rsid w:val="008C36F0"/>
    <w:rsid w:val="008C6B4E"/>
    <w:rsid w:val="008C7362"/>
    <w:rsid w:val="008D1B3C"/>
    <w:rsid w:val="008D27AD"/>
    <w:rsid w:val="008D2C9E"/>
    <w:rsid w:val="008D3175"/>
    <w:rsid w:val="008D3FD8"/>
    <w:rsid w:val="008D45E9"/>
    <w:rsid w:val="008D4CD8"/>
    <w:rsid w:val="008D78F8"/>
    <w:rsid w:val="008E0A78"/>
    <w:rsid w:val="008E2A0F"/>
    <w:rsid w:val="008E5324"/>
    <w:rsid w:val="008E6169"/>
    <w:rsid w:val="008E6796"/>
    <w:rsid w:val="008E7DDC"/>
    <w:rsid w:val="008F03F3"/>
    <w:rsid w:val="008F0AC5"/>
    <w:rsid w:val="008F15EC"/>
    <w:rsid w:val="008F1F2E"/>
    <w:rsid w:val="008F3A8C"/>
    <w:rsid w:val="0090029A"/>
    <w:rsid w:val="00904EE4"/>
    <w:rsid w:val="00905939"/>
    <w:rsid w:val="00905AA7"/>
    <w:rsid w:val="00906FC8"/>
    <w:rsid w:val="00910287"/>
    <w:rsid w:val="0091180A"/>
    <w:rsid w:val="0091289B"/>
    <w:rsid w:val="009147CE"/>
    <w:rsid w:val="0091699D"/>
    <w:rsid w:val="00917495"/>
    <w:rsid w:val="00920865"/>
    <w:rsid w:val="009216B6"/>
    <w:rsid w:val="00924831"/>
    <w:rsid w:val="009266A2"/>
    <w:rsid w:val="009269A7"/>
    <w:rsid w:val="00934522"/>
    <w:rsid w:val="009351F9"/>
    <w:rsid w:val="00935D44"/>
    <w:rsid w:val="00935FD0"/>
    <w:rsid w:val="00937D81"/>
    <w:rsid w:val="00940F2F"/>
    <w:rsid w:val="00941AC7"/>
    <w:rsid w:val="0094217B"/>
    <w:rsid w:val="00942CCF"/>
    <w:rsid w:val="00944DB6"/>
    <w:rsid w:val="009453F0"/>
    <w:rsid w:val="00945DE4"/>
    <w:rsid w:val="0094609E"/>
    <w:rsid w:val="00950872"/>
    <w:rsid w:val="00950C3C"/>
    <w:rsid w:val="00950C45"/>
    <w:rsid w:val="00952E2A"/>
    <w:rsid w:val="00954646"/>
    <w:rsid w:val="00955082"/>
    <w:rsid w:val="00955EA5"/>
    <w:rsid w:val="00956D31"/>
    <w:rsid w:val="00960468"/>
    <w:rsid w:val="009633A0"/>
    <w:rsid w:val="009646A5"/>
    <w:rsid w:val="00964BAE"/>
    <w:rsid w:val="0096677F"/>
    <w:rsid w:val="00967C6B"/>
    <w:rsid w:val="00970D46"/>
    <w:rsid w:val="009737B5"/>
    <w:rsid w:val="00974BE9"/>
    <w:rsid w:val="00975237"/>
    <w:rsid w:val="009773A7"/>
    <w:rsid w:val="009779FC"/>
    <w:rsid w:val="009810C6"/>
    <w:rsid w:val="00982B18"/>
    <w:rsid w:val="00985554"/>
    <w:rsid w:val="009864D7"/>
    <w:rsid w:val="00987D77"/>
    <w:rsid w:val="009900B3"/>
    <w:rsid w:val="009900CB"/>
    <w:rsid w:val="00991EC6"/>
    <w:rsid w:val="00992F40"/>
    <w:rsid w:val="00993399"/>
    <w:rsid w:val="00995AEF"/>
    <w:rsid w:val="00996B23"/>
    <w:rsid w:val="00996F55"/>
    <w:rsid w:val="009A0B97"/>
    <w:rsid w:val="009A1C1D"/>
    <w:rsid w:val="009A3180"/>
    <w:rsid w:val="009A52E0"/>
    <w:rsid w:val="009A5AC4"/>
    <w:rsid w:val="009A6D32"/>
    <w:rsid w:val="009B1AC2"/>
    <w:rsid w:val="009B2F57"/>
    <w:rsid w:val="009B3026"/>
    <w:rsid w:val="009B3BD0"/>
    <w:rsid w:val="009B65AA"/>
    <w:rsid w:val="009C001D"/>
    <w:rsid w:val="009C27EA"/>
    <w:rsid w:val="009C4D82"/>
    <w:rsid w:val="009C54E5"/>
    <w:rsid w:val="009C5F1F"/>
    <w:rsid w:val="009D1FF5"/>
    <w:rsid w:val="009D25D6"/>
    <w:rsid w:val="009D2E58"/>
    <w:rsid w:val="009D2FE6"/>
    <w:rsid w:val="009D40A8"/>
    <w:rsid w:val="009E213F"/>
    <w:rsid w:val="009E289A"/>
    <w:rsid w:val="009E49ED"/>
    <w:rsid w:val="009F16F8"/>
    <w:rsid w:val="009F1F5E"/>
    <w:rsid w:val="009F378D"/>
    <w:rsid w:val="009F530D"/>
    <w:rsid w:val="009F5C61"/>
    <w:rsid w:val="009F5EF9"/>
    <w:rsid w:val="009F6763"/>
    <w:rsid w:val="00A00136"/>
    <w:rsid w:val="00A00550"/>
    <w:rsid w:val="00A016AD"/>
    <w:rsid w:val="00A01C46"/>
    <w:rsid w:val="00A039A3"/>
    <w:rsid w:val="00A03D1F"/>
    <w:rsid w:val="00A056E6"/>
    <w:rsid w:val="00A069EC"/>
    <w:rsid w:val="00A075BF"/>
    <w:rsid w:val="00A12681"/>
    <w:rsid w:val="00A13B7B"/>
    <w:rsid w:val="00A1417A"/>
    <w:rsid w:val="00A14C7B"/>
    <w:rsid w:val="00A17419"/>
    <w:rsid w:val="00A206AF"/>
    <w:rsid w:val="00A206EE"/>
    <w:rsid w:val="00A209C1"/>
    <w:rsid w:val="00A215C6"/>
    <w:rsid w:val="00A21A74"/>
    <w:rsid w:val="00A21E7F"/>
    <w:rsid w:val="00A22883"/>
    <w:rsid w:val="00A312F7"/>
    <w:rsid w:val="00A31381"/>
    <w:rsid w:val="00A317E6"/>
    <w:rsid w:val="00A32FFC"/>
    <w:rsid w:val="00A34019"/>
    <w:rsid w:val="00A34516"/>
    <w:rsid w:val="00A34BA5"/>
    <w:rsid w:val="00A3675D"/>
    <w:rsid w:val="00A414CC"/>
    <w:rsid w:val="00A419B5"/>
    <w:rsid w:val="00A41C8B"/>
    <w:rsid w:val="00A42419"/>
    <w:rsid w:val="00A4285F"/>
    <w:rsid w:val="00A42A31"/>
    <w:rsid w:val="00A43C92"/>
    <w:rsid w:val="00A457F5"/>
    <w:rsid w:val="00A45FEB"/>
    <w:rsid w:val="00A462B1"/>
    <w:rsid w:val="00A4763D"/>
    <w:rsid w:val="00A47C62"/>
    <w:rsid w:val="00A500C4"/>
    <w:rsid w:val="00A50AA8"/>
    <w:rsid w:val="00A55094"/>
    <w:rsid w:val="00A556F3"/>
    <w:rsid w:val="00A5673E"/>
    <w:rsid w:val="00A57BC7"/>
    <w:rsid w:val="00A6091C"/>
    <w:rsid w:val="00A63165"/>
    <w:rsid w:val="00A63642"/>
    <w:rsid w:val="00A66E2A"/>
    <w:rsid w:val="00A66FC0"/>
    <w:rsid w:val="00A6704B"/>
    <w:rsid w:val="00A70E89"/>
    <w:rsid w:val="00A717E4"/>
    <w:rsid w:val="00A71A19"/>
    <w:rsid w:val="00A72094"/>
    <w:rsid w:val="00A73A00"/>
    <w:rsid w:val="00A757C8"/>
    <w:rsid w:val="00A75AFA"/>
    <w:rsid w:val="00A76DCC"/>
    <w:rsid w:val="00A8100E"/>
    <w:rsid w:val="00A8166D"/>
    <w:rsid w:val="00A81E3F"/>
    <w:rsid w:val="00A909AD"/>
    <w:rsid w:val="00A90CA6"/>
    <w:rsid w:val="00A9247D"/>
    <w:rsid w:val="00A94B9F"/>
    <w:rsid w:val="00A97C7E"/>
    <w:rsid w:val="00AA26AC"/>
    <w:rsid w:val="00AA3C93"/>
    <w:rsid w:val="00AA4485"/>
    <w:rsid w:val="00AB06E0"/>
    <w:rsid w:val="00AB3D1C"/>
    <w:rsid w:val="00AB6CCB"/>
    <w:rsid w:val="00AB7658"/>
    <w:rsid w:val="00AC060F"/>
    <w:rsid w:val="00AC2F83"/>
    <w:rsid w:val="00AC42AC"/>
    <w:rsid w:val="00AC66C2"/>
    <w:rsid w:val="00AC78B3"/>
    <w:rsid w:val="00AC7C74"/>
    <w:rsid w:val="00AD08C8"/>
    <w:rsid w:val="00AD08F9"/>
    <w:rsid w:val="00AD0FEE"/>
    <w:rsid w:val="00AD3167"/>
    <w:rsid w:val="00AD4576"/>
    <w:rsid w:val="00AD51FC"/>
    <w:rsid w:val="00AD5DC7"/>
    <w:rsid w:val="00AE0AFD"/>
    <w:rsid w:val="00AE1157"/>
    <w:rsid w:val="00AE3B8E"/>
    <w:rsid w:val="00AE46A5"/>
    <w:rsid w:val="00AE5114"/>
    <w:rsid w:val="00AE5FCF"/>
    <w:rsid w:val="00AE7B03"/>
    <w:rsid w:val="00AF1BED"/>
    <w:rsid w:val="00AF2178"/>
    <w:rsid w:val="00AF219C"/>
    <w:rsid w:val="00AF3348"/>
    <w:rsid w:val="00AF353A"/>
    <w:rsid w:val="00AF54A4"/>
    <w:rsid w:val="00B00810"/>
    <w:rsid w:val="00B00D7B"/>
    <w:rsid w:val="00B0118C"/>
    <w:rsid w:val="00B012B0"/>
    <w:rsid w:val="00B024C2"/>
    <w:rsid w:val="00B0334F"/>
    <w:rsid w:val="00B045B4"/>
    <w:rsid w:val="00B0484E"/>
    <w:rsid w:val="00B05D92"/>
    <w:rsid w:val="00B06156"/>
    <w:rsid w:val="00B0781B"/>
    <w:rsid w:val="00B079D2"/>
    <w:rsid w:val="00B122E0"/>
    <w:rsid w:val="00B13908"/>
    <w:rsid w:val="00B14FB9"/>
    <w:rsid w:val="00B15145"/>
    <w:rsid w:val="00B15CA3"/>
    <w:rsid w:val="00B16D38"/>
    <w:rsid w:val="00B20317"/>
    <w:rsid w:val="00B22AC4"/>
    <w:rsid w:val="00B26B2F"/>
    <w:rsid w:val="00B3352D"/>
    <w:rsid w:val="00B34E75"/>
    <w:rsid w:val="00B35865"/>
    <w:rsid w:val="00B367F6"/>
    <w:rsid w:val="00B3773F"/>
    <w:rsid w:val="00B37AF1"/>
    <w:rsid w:val="00B40972"/>
    <w:rsid w:val="00B42419"/>
    <w:rsid w:val="00B42510"/>
    <w:rsid w:val="00B426CB"/>
    <w:rsid w:val="00B50584"/>
    <w:rsid w:val="00B53907"/>
    <w:rsid w:val="00B53A48"/>
    <w:rsid w:val="00B53FE1"/>
    <w:rsid w:val="00B55FDA"/>
    <w:rsid w:val="00B60688"/>
    <w:rsid w:val="00B64383"/>
    <w:rsid w:val="00B65DEE"/>
    <w:rsid w:val="00B70CE6"/>
    <w:rsid w:val="00B71349"/>
    <w:rsid w:val="00B73818"/>
    <w:rsid w:val="00B76F03"/>
    <w:rsid w:val="00B80910"/>
    <w:rsid w:val="00B81268"/>
    <w:rsid w:val="00B83167"/>
    <w:rsid w:val="00B8438E"/>
    <w:rsid w:val="00B8502C"/>
    <w:rsid w:val="00B85AC0"/>
    <w:rsid w:val="00B8727C"/>
    <w:rsid w:val="00B87AB7"/>
    <w:rsid w:val="00B90BBD"/>
    <w:rsid w:val="00B9179C"/>
    <w:rsid w:val="00B930C9"/>
    <w:rsid w:val="00B9528E"/>
    <w:rsid w:val="00B96EEF"/>
    <w:rsid w:val="00B976BC"/>
    <w:rsid w:val="00BA249C"/>
    <w:rsid w:val="00BA3BE1"/>
    <w:rsid w:val="00BA3C22"/>
    <w:rsid w:val="00BA5988"/>
    <w:rsid w:val="00BA6FD8"/>
    <w:rsid w:val="00BB0D60"/>
    <w:rsid w:val="00BB4771"/>
    <w:rsid w:val="00BB4DCB"/>
    <w:rsid w:val="00BB525D"/>
    <w:rsid w:val="00BB61BA"/>
    <w:rsid w:val="00BB7690"/>
    <w:rsid w:val="00BC0B2C"/>
    <w:rsid w:val="00BC191E"/>
    <w:rsid w:val="00BC4A45"/>
    <w:rsid w:val="00BC7798"/>
    <w:rsid w:val="00BD1150"/>
    <w:rsid w:val="00BD20EB"/>
    <w:rsid w:val="00BD3BE9"/>
    <w:rsid w:val="00BD73CE"/>
    <w:rsid w:val="00BE06DC"/>
    <w:rsid w:val="00BE1B08"/>
    <w:rsid w:val="00BE4B0F"/>
    <w:rsid w:val="00BE4FA5"/>
    <w:rsid w:val="00BE7167"/>
    <w:rsid w:val="00BF07C1"/>
    <w:rsid w:val="00BF1168"/>
    <w:rsid w:val="00BF162B"/>
    <w:rsid w:val="00BF2543"/>
    <w:rsid w:val="00BF3100"/>
    <w:rsid w:val="00BF38C6"/>
    <w:rsid w:val="00BF438B"/>
    <w:rsid w:val="00C00F5D"/>
    <w:rsid w:val="00C0177F"/>
    <w:rsid w:val="00C04EA1"/>
    <w:rsid w:val="00C05501"/>
    <w:rsid w:val="00C06A7B"/>
    <w:rsid w:val="00C11779"/>
    <w:rsid w:val="00C11AAC"/>
    <w:rsid w:val="00C122B7"/>
    <w:rsid w:val="00C13511"/>
    <w:rsid w:val="00C15B5C"/>
    <w:rsid w:val="00C1630C"/>
    <w:rsid w:val="00C20274"/>
    <w:rsid w:val="00C2042F"/>
    <w:rsid w:val="00C21767"/>
    <w:rsid w:val="00C24407"/>
    <w:rsid w:val="00C2616C"/>
    <w:rsid w:val="00C26975"/>
    <w:rsid w:val="00C31ED8"/>
    <w:rsid w:val="00C3287A"/>
    <w:rsid w:val="00C34101"/>
    <w:rsid w:val="00C347E2"/>
    <w:rsid w:val="00C34D49"/>
    <w:rsid w:val="00C378F5"/>
    <w:rsid w:val="00C40D0F"/>
    <w:rsid w:val="00C4150D"/>
    <w:rsid w:val="00C442D7"/>
    <w:rsid w:val="00C46028"/>
    <w:rsid w:val="00C46CDA"/>
    <w:rsid w:val="00C50B8F"/>
    <w:rsid w:val="00C50C85"/>
    <w:rsid w:val="00C51C29"/>
    <w:rsid w:val="00C51F82"/>
    <w:rsid w:val="00C52353"/>
    <w:rsid w:val="00C54D36"/>
    <w:rsid w:val="00C55C67"/>
    <w:rsid w:val="00C55CF2"/>
    <w:rsid w:val="00C610B5"/>
    <w:rsid w:val="00C61EFC"/>
    <w:rsid w:val="00C6205C"/>
    <w:rsid w:val="00C64114"/>
    <w:rsid w:val="00C64152"/>
    <w:rsid w:val="00C65129"/>
    <w:rsid w:val="00C667BE"/>
    <w:rsid w:val="00C704BB"/>
    <w:rsid w:val="00C70642"/>
    <w:rsid w:val="00C710E9"/>
    <w:rsid w:val="00C715D9"/>
    <w:rsid w:val="00C72160"/>
    <w:rsid w:val="00C7231D"/>
    <w:rsid w:val="00C7254E"/>
    <w:rsid w:val="00C72764"/>
    <w:rsid w:val="00C7408B"/>
    <w:rsid w:val="00C7441F"/>
    <w:rsid w:val="00C748D3"/>
    <w:rsid w:val="00C76CFE"/>
    <w:rsid w:val="00C81E1D"/>
    <w:rsid w:val="00C854B9"/>
    <w:rsid w:val="00C86624"/>
    <w:rsid w:val="00C869A4"/>
    <w:rsid w:val="00C86B44"/>
    <w:rsid w:val="00C90779"/>
    <w:rsid w:val="00C92A09"/>
    <w:rsid w:val="00C93D11"/>
    <w:rsid w:val="00C96A51"/>
    <w:rsid w:val="00CA0ACA"/>
    <w:rsid w:val="00CA0FCA"/>
    <w:rsid w:val="00CA3C40"/>
    <w:rsid w:val="00CA5184"/>
    <w:rsid w:val="00CA56C9"/>
    <w:rsid w:val="00CA5775"/>
    <w:rsid w:val="00CA7397"/>
    <w:rsid w:val="00CB0FF5"/>
    <w:rsid w:val="00CB22B2"/>
    <w:rsid w:val="00CB5B9A"/>
    <w:rsid w:val="00CB6CC6"/>
    <w:rsid w:val="00CB764A"/>
    <w:rsid w:val="00CC1DB6"/>
    <w:rsid w:val="00CC34F1"/>
    <w:rsid w:val="00CC3DCF"/>
    <w:rsid w:val="00CC642B"/>
    <w:rsid w:val="00CC6C59"/>
    <w:rsid w:val="00CC7415"/>
    <w:rsid w:val="00CC757F"/>
    <w:rsid w:val="00CC7EA9"/>
    <w:rsid w:val="00CD12C2"/>
    <w:rsid w:val="00CD12C9"/>
    <w:rsid w:val="00CD3A1F"/>
    <w:rsid w:val="00CD652A"/>
    <w:rsid w:val="00CD6F69"/>
    <w:rsid w:val="00CE0803"/>
    <w:rsid w:val="00CE0DDA"/>
    <w:rsid w:val="00CE3BD0"/>
    <w:rsid w:val="00CE4231"/>
    <w:rsid w:val="00CE5296"/>
    <w:rsid w:val="00CE680F"/>
    <w:rsid w:val="00CE6880"/>
    <w:rsid w:val="00CF0CD2"/>
    <w:rsid w:val="00CF1B85"/>
    <w:rsid w:val="00CF1BB7"/>
    <w:rsid w:val="00CF3BAC"/>
    <w:rsid w:val="00CF497C"/>
    <w:rsid w:val="00CF5EA5"/>
    <w:rsid w:val="00CF619B"/>
    <w:rsid w:val="00CF66A9"/>
    <w:rsid w:val="00CF71D8"/>
    <w:rsid w:val="00D001EC"/>
    <w:rsid w:val="00D00FA8"/>
    <w:rsid w:val="00D02970"/>
    <w:rsid w:val="00D02C02"/>
    <w:rsid w:val="00D03AAB"/>
    <w:rsid w:val="00D04535"/>
    <w:rsid w:val="00D04D83"/>
    <w:rsid w:val="00D05A04"/>
    <w:rsid w:val="00D05AA8"/>
    <w:rsid w:val="00D06EF1"/>
    <w:rsid w:val="00D11251"/>
    <w:rsid w:val="00D12040"/>
    <w:rsid w:val="00D20ADB"/>
    <w:rsid w:val="00D20BFD"/>
    <w:rsid w:val="00D21AB9"/>
    <w:rsid w:val="00D23974"/>
    <w:rsid w:val="00D30BF1"/>
    <w:rsid w:val="00D31290"/>
    <w:rsid w:val="00D31A6A"/>
    <w:rsid w:val="00D33245"/>
    <w:rsid w:val="00D33C8A"/>
    <w:rsid w:val="00D33CD8"/>
    <w:rsid w:val="00D35043"/>
    <w:rsid w:val="00D364F2"/>
    <w:rsid w:val="00D400D2"/>
    <w:rsid w:val="00D403F8"/>
    <w:rsid w:val="00D42C5D"/>
    <w:rsid w:val="00D44B49"/>
    <w:rsid w:val="00D44D93"/>
    <w:rsid w:val="00D53064"/>
    <w:rsid w:val="00D53570"/>
    <w:rsid w:val="00D563C1"/>
    <w:rsid w:val="00D56B08"/>
    <w:rsid w:val="00D57E36"/>
    <w:rsid w:val="00D61650"/>
    <w:rsid w:val="00D61D01"/>
    <w:rsid w:val="00D61EA8"/>
    <w:rsid w:val="00D62EF7"/>
    <w:rsid w:val="00D63393"/>
    <w:rsid w:val="00D6456E"/>
    <w:rsid w:val="00D65AB7"/>
    <w:rsid w:val="00D65B6F"/>
    <w:rsid w:val="00D6673A"/>
    <w:rsid w:val="00D67397"/>
    <w:rsid w:val="00D714EE"/>
    <w:rsid w:val="00D715D8"/>
    <w:rsid w:val="00D74634"/>
    <w:rsid w:val="00D7463E"/>
    <w:rsid w:val="00D77238"/>
    <w:rsid w:val="00D77418"/>
    <w:rsid w:val="00D81A08"/>
    <w:rsid w:val="00D83892"/>
    <w:rsid w:val="00D83AFD"/>
    <w:rsid w:val="00D84111"/>
    <w:rsid w:val="00D848A0"/>
    <w:rsid w:val="00D84ACA"/>
    <w:rsid w:val="00D859D3"/>
    <w:rsid w:val="00D86806"/>
    <w:rsid w:val="00D869D2"/>
    <w:rsid w:val="00D86D55"/>
    <w:rsid w:val="00D873FA"/>
    <w:rsid w:val="00D875C6"/>
    <w:rsid w:val="00D87B1D"/>
    <w:rsid w:val="00D87C9D"/>
    <w:rsid w:val="00D901DF"/>
    <w:rsid w:val="00D919B7"/>
    <w:rsid w:val="00D94CE0"/>
    <w:rsid w:val="00D95808"/>
    <w:rsid w:val="00D95964"/>
    <w:rsid w:val="00D9789F"/>
    <w:rsid w:val="00DA12A6"/>
    <w:rsid w:val="00DA1AB1"/>
    <w:rsid w:val="00DA2097"/>
    <w:rsid w:val="00DA2500"/>
    <w:rsid w:val="00DA392D"/>
    <w:rsid w:val="00DA7132"/>
    <w:rsid w:val="00DB121C"/>
    <w:rsid w:val="00DB1C44"/>
    <w:rsid w:val="00DB52C5"/>
    <w:rsid w:val="00DB6862"/>
    <w:rsid w:val="00DB69F7"/>
    <w:rsid w:val="00DB6E1C"/>
    <w:rsid w:val="00DC0C1F"/>
    <w:rsid w:val="00DC4FB9"/>
    <w:rsid w:val="00DC5516"/>
    <w:rsid w:val="00DC68F4"/>
    <w:rsid w:val="00DC6AE3"/>
    <w:rsid w:val="00DD017E"/>
    <w:rsid w:val="00DD040A"/>
    <w:rsid w:val="00DD0A08"/>
    <w:rsid w:val="00DD0AA1"/>
    <w:rsid w:val="00DD0B4E"/>
    <w:rsid w:val="00DD0C90"/>
    <w:rsid w:val="00DD1E19"/>
    <w:rsid w:val="00DD42CE"/>
    <w:rsid w:val="00DD52FC"/>
    <w:rsid w:val="00DD6AF1"/>
    <w:rsid w:val="00DD6FB3"/>
    <w:rsid w:val="00DD7C48"/>
    <w:rsid w:val="00DE0FF9"/>
    <w:rsid w:val="00DE1EAC"/>
    <w:rsid w:val="00DE3650"/>
    <w:rsid w:val="00DF038C"/>
    <w:rsid w:val="00DF2299"/>
    <w:rsid w:val="00DF41B5"/>
    <w:rsid w:val="00DF4AEA"/>
    <w:rsid w:val="00DF4AFA"/>
    <w:rsid w:val="00DF7A88"/>
    <w:rsid w:val="00DF7E74"/>
    <w:rsid w:val="00E074DB"/>
    <w:rsid w:val="00E10763"/>
    <w:rsid w:val="00E10E68"/>
    <w:rsid w:val="00E121CF"/>
    <w:rsid w:val="00E12588"/>
    <w:rsid w:val="00E152E4"/>
    <w:rsid w:val="00E1535D"/>
    <w:rsid w:val="00E17800"/>
    <w:rsid w:val="00E21505"/>
    <w:rsid w:val="00E237CC"/>
    <w:rsid w:val="00E25228"/>
    <w:rsid w:val="00E25C20"/>
    <w:rsid w:val="00E263B4"/>
    <w:rsid w:val="00E26B7A"/>
    <w:rsid w:val="00E27033"/>
    <w:rsid w:val="00E27D46"/>
    <w:rsid w:val="00E30447"/>
    <w:rsid w:val="00E31472"/>
    <w:rsid w:val="00E31744"/>
    <w:rsid w:val="00E31CBC"/>
    <w:rsid w:val="00E358C3"/>
    <w:rsid w:val="00E3773B"/>
    <w:rsid w:val="00E4228B"/>
    <w:rsid w:val="00E43144"/>
    <w:rsid w:val="00E442C8"/>
    <w:rsid w:val="00E44E40"/>
    <w:rsid w:val="00E44F94"/>
    <w:rsid w:val="00E45056"/>
    <w:rsid w:val="00E46383"/>
    <w:rsid w:val="00E46EFB"/>
    <w:rsid w:val="00E5020E"/>
    <w:rsid w:val="00E5048C"/>
    <w:rsid w:val="00E50BE1"/>
    <w:rsid w:val="00E5241E"/>
    <w:rsid w:val="00E53228"/>
    <w:rsid w:val="00E53728"/>
    <w:rsid w:val="00E5479C"/>
    <w:rsid w:val="00E5543E"/>
    <w:rsid w:val="00E56EE1"/>
    <w:rsid w:val="00E607C8"/>
    <w:rsid w:val="00E610B5"/>
    <w:rsid w:val="00E64435"/>
    <w:rsid w:val="00E64B5D"/>
    <w:rsid w:val="00E65CAC"/>
    <w:rsid w:val="00E6686E"/>
    <w:rsid w:val="00E671E4"/>
    <w:rsid w:val="00E71950"/>
    <w:rsid w:val="00E71B02"/>
    <w:rsid w:val="00E73DBE"/>
    <w:rsid w:val="00E76A6E"/>
    <w:rsid w:val="00E81C18"/>
    <w:rsid w:val="00E828AD"/>
    <w:rsid w:val="00E86318"/>
    <w:rsid w:val="00E867AC"/>
    <w:rsid w:val="00E9019A"/>
    <w:rsid w:val="00E90BF4"/>
    <w:rsid w:val="00E9305C"/>
    <w:rsid w:val="00E936BB"/>
    <w:rsid w:val="00E9582C"/>
    <w:rsid w:val="00E96762"/>
    <w:rsid w:val="00EA1A2F"/>
    <w:rsid w:val="00EA3ECF"/>
    <w:rsid w:val="00EA4690"/>
    <w:rsid w:val="00EA5005"/>
    <w:rsid w:val="00EA7B3A"/>
    <w:rsid w:val="00EB08DC"/>
    <w:rsid w:val="00EB337C"/>
    <w:rsid w:val="00EB4583"/>
    <w:rsid w:val="00EB4F40"/>
    <w:rsid w:val="00EC1564"/>
    <w:rsid w:val="00EC7166"/>
    <w:rsid w:val="00ED0AB9"/>
    <w:rsid w:val="00ED12A6"/>
    <w:rsid w:val="00ED1909"/>
    <w:rsid w:val="00ED5019"/>
    <w:rsid w:val="00EE14CC"/>
    <w:rsid w:val="00EE2BDF"/>
    <w:rsid w:val="00EE75F1"/>
    <w:rsid w:val="00EE7CA9"/>
    <w:rsid w:val="00EF0CCA"/>
    <w:rsid w:val="00EF1B07"/>
    <w:rsid w:val="00EF3128"/>
    <w:rsid w:val="00EF343E"/>
    <w:rsid w:val="00EF4656"/>
    <w:rsid w:val="00EF5A06"/>
    <w:rsid w:val="00EF6860"/>
    <w:rsid w:val="00F00226"/>
    <w:rsid w:val="00F00DBA"/>
    <w:rsid w:val="00F01FAE"/>
    <w:rsid w:val="00F044E5"/>
    <w:rsid w:val="00F04CA5"/>
    <w:rsid w:val="00F04DCC"/>
    <w:rsid w:val="00F0656D"/>
    <w:rsid w:val="00F109B0"/>
    <w:rsid w:val="00F14199"/>
    <w:rsid w:val="00F14611"/>
    <w:rsid w:val="00F15666"/>
    <w:rsid w:val="00F15A25"/>
    <w:rsid w:val="00F20E8D"/>
    <w:rsid w:val="00F24205"/>
    <w:rsid w:val="00F25132"/>
    <w:rsid w:val="00F2601D"/>
    <w:rsid w:val="00F2737D"/>
    <w:rsid w:val="00F30620"/>
    <w:rsid w:val="00F3108C"/>
    <w:rsid w:val="00F3504A"/>
    <w:rsid w:val="00F35D5C"/>
    <w:rsid w:val="00F377EE"/>
    <w:rsid w:val="00F40CA6"/>
    <w:rsid w:val="00F42762"/>
    <w:rsid w:val="00F45C1A"/>
    <w:rsid w:val="00F54E3B"/>
    <w:rsid w:val="00F554AA"/>
    <w:rsid w:val="00F55BE4"/>
    <w:rsid w:val="00F57D0F"/>
    <w:rsid w:val="00F57D1F"/>
    <w:rsid w:val="00F62876"/>
    <w:rsid w:val="00F64680"/>
    <w:rsid w:val="00F6735E"/>
    <w:rsid w:val="00F678F0"/>
    <w:rsid w:val="00F70470"/>
    <w:rsid w:val="00F708D4"/>
    <w:rsid w:val="00F7387F"/>
    <w:rsid w:val="00F74CC8"/>
    <w:rsid w:val="00F76BB9"/>
    <w:rsid w:val="00F81177"/>
    <w:rsid w:val="00F8255C"/>
    <w:rsid w:val="00F82ABA"/>
    <w:rsid w:val="00F849AA"/>
    <w:rsid w:val="00F87D95"/>
    <w:rsid w:val="00F90B7C"/>
    <w:rsid w:val="00F90E2A"/>
    <w:rsid w:val="00F9187F"/>
    <w:rsid w:val="00F91BA9"/>
    <w:rsid w:val="00F91F9E"/>
    <w:rsid w:val="00F9515A"/>
    <w:rsid w:val="00F967B4"/>
    <w:rsid w:val="00FA1922"/>
    <w:rsid w:val="00FA2152"/>
    <w:rsid w:val="00FA49CC"/>
    <w:rsid w:val="00FA5752"/>
    <w:rsid w:val="00FA5CF3"/>
    <w:rsid w:val="00FA74CF"/>
    <w:rsid w:val="00FA7DE9"/>
    <w:rsid w:val="00FB0CEF"/>
    <w:rsid w:val="00FB1591"/>
    <w:rsid w:val="00FB3F91"/>
    <w:rsid w:val="00FB582E"/>
    <w:rsid w:val="00FB642E"/>
    <w:rsid w:val="00FB7D9A"/>
    <w:rsid w:val="00FC06A0"/>
    <w:rsid w:val="00FC12AD"/>
    <w:rsid w:val="00FC29EE"/>
    <w:rsid w:val="00FC7E81"/>
    <w:rsid w:val="00FD016E"/>
    <w:rsid w:val="00FD1E08"/>
    <w:rsid w:val="00FD2395"/>
    <w:rsid w:val="00FD5769"/>
    <w:rsid w:val="00FD5C00"/>
    <w:rsid w:val="00FD5C33"/>
    <w:rsid w:val="00FD6037"/>
    <w:rsid w:val="00FD6D9C"/>
    <w:rsid w:val="00FE017D"/>
    <w:rsid w:val="00FE018E"/>
    <w:rsid w:val="00FE189A"/>
    <w:rsid w:val="00FE4185"/>
    <w:rsid w:val="00FE601C"/>
    <w:rsid w:val="00FF4795"/>
    <w:rsid w:val="00FF67F3"/>
    <w:rsid w:val="00FF69C9"/>
    <w:rsid w:val="02E15BF9"/>
    <w:rsid w:val="0D480A57"/>
    <w:rsid w:val="10BB601E"/>
    <w:rsid w:val="118627B3"/>
    <w:rsid w:val="1B8D49C2"/>
    <w:rsid w:val="21510C9D"/>
    <w:rsid w:val="22A6739A"/>
    <w:rsid w:val="244D243E"/>
    <w:rsid w:val="25380F83"/>
    <w:rsid w:val="2B2844CF"/>
    <w:rsid w:val="2C4B7F0E"/>
    <w:rsid w:val="2CFB4C20"/>
    <w:rsid w:val="394005D3"/>
    <w:rsid w:val="3B9F2653"/>
    <w:rsid w:val="3DE87628"/>
    <w:rsid w:val="3EC86A4C"/>
    <w:rsid w:val="46324B98"/>
    <w:rsid w:val="467E0835"/>
    <w:rsid w:val="555B6441"/>
    <w:rsid w:val="56373594"/>
    <w:rsid w:val="65D36BE3"/>
    <w:rsid w:val="66CA23CC"/>
    <w:rsid w:val="67EE17C0"/>
    <w:rsid w:val="6C5320C1"/>
    <w:rsid w:val="71580D3D"/>
    <w:rsid w:val="717D67B9"/>
    <w:rsid w:val="73335EE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qFormat="1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qFormat="1" w:uiPriority="0" w:semiHidden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semiHidden="0" w:name="Default Paragraph Font"/>
    <w:lsdException w:qFormat="1" w:unhideWhenUsed="0" w:uiPriority="0" w:semiHidden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qFormat="1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tabs>
        <w:tab w:val="left" w:pos="672"/>
      </w:tabs>
      <w:spacing w:before="60" w:after="60" w:line="400" w:lineRule="exact"/>
      <w:ind w:left="672" w:right="113" w:hanging="432"/>
      <w:jc w:val="left"/>
      <w:outlineLvl w:val="0"/>
    </w:pPr>
    <w:rPr>
      <w:rFonts w:ascii="Arial" w:hAnsi="Arial"/>
      <w:b/>
      <w:sz w:val="24"/>
      <w:szCs w:val="20"/>
    </w:rPr>
  </w:style>
  <w:style w:type="paragraph" w:styleId="3">
    <w:name w:val="heading 2"/>
    <w:basedOn w:val="1"/>
    <w:next w:val="1"/>
    <w:qFormat/>
    <w:uiPriority w:val="0"/>
    <w:pPr>
      <w:keepNext/>
      <w:tabs>
        <w:tab w:val="left" w:pos="816"/>
      </w:tabs>
      <w:spacing w:before="60" w:after="60" w:line="400" w:lineRule="exact"/>
      <w:ind w:left="816" w:hanging="576"/>
      <w:jc w:val="left"/>
      <w:outlineLvl w:val="1"/>
    </w:pPr>
    <w:rPr>
      <w:rFonts w:ascii="Arial" w:hAnsi="Arial"/>
      <w:b/>
      <w:sz w:val="24"/>
      <w:szCs w:val="20"/>
    </w:rPr>
  </w:style>
  <w:style w:type="paragraph" w:styleId="4">
    <w:name w:val="heading 3"/>
    <w:basedOn w:val="1"/>
    <w:next w:val="1"/>
    <w:qFormat/>
    <w:uiPriority w:val="0"/>
    <w:pPr>
      <w:keepNext/>
      <w:tabs>
        <w:tab w:val="left" w:pos="960"/>
      </w:tabs>
      <w:adjustRightInd w:val="0"/>
      <w:snapToGrid w:val="0"/>
      <w:spacing w:before="60" w:after="60" w:line="400" w:lineRule="atLeast"/>
      <w:ind w:left="960" w:hanging="720"/>
      <w:jc w:val="left"/>
      <w:outlineLvl w:val="2"/>
    </w:pPr>
    <w:rPr>
      <w:rFonts w:ascii="Arial" w:hAnsi="Arial"/>
      <w:b/>
      <w:sz w:val="24"/>
      <w:szCs w:val="20"/>
    </w:rPr>
  </w:style>
  <w:style w:type="paragraph" w:styleId="5">
    <w:name w:val="heading 4"/>
    <w:basedOn w:val="1"/>
    <w:next w:val="1"/>
    <w:qFormat/>
    <w:uiPriority w:val="0"/>
    <w:pPr>
      <w:keepNext/>
      <w:shd w:val="clear" w:color="FFFFFF" w:fill="auto"/>
      <w:tabs>
        <w:tab w:val="left" w:pos="1104"/>
      </w:tabs>
      <w:spacing w:before="60" w:after="60" w:line="400" w:lineRule="exact"/>
      <w:ind w:left="1072" w:hanging="862"/>
      <w:jc w:val="left"/>
      <w:outlineLvl w:val="3"/>
    </w:pPr>
    <w:rPr>
      <w:rFonts w:ascii="Arial" w:hAnsi="Arial" w:cs="Arial"/>
      <w:b/>
      <w:sz w:val="24"/>
      <w:szCs w:val="20"/>
      <w:shd w:val="clear" w:color="auto" w:fill="FFFFFF"/>
    </w:rPr>
  </w:style>
  <w:style w:type="paragraph" w:styleId="6">
    <w:name w:val="heading 5"/>
    <w:basedOn w:val="1"/>
    <w:next w:val="1"/>
    <w:qFormat/>
    <w:uiPriority w:val="0"/>
    <w:pPr>
      <w:keepNext/>
      <w:tabs>
        <w:tab w:val="left" w:pos="1248"/>
      </w:tabs>
      <w:adjustRightInd w:val="0"/>
      <w:snapToGrid w:val="0"/>
      <w:spacing w:before="60" w:after="60" w:line="400" w:lineRule="atLeast"/>
      <w:ind w:left="1219" w:hanging="1009"/>
      <w:outlineLvl w:val="4"/>
    </w:pPr>
    <w:rPr>
      <w:rFonts w:ascii="Arial" w:hAnsi="Arial"/>
      <w:b/>
      <w:sz w:val="24"/>
      <w:szCs w:val="20"/>
      <w:shd w:val="pct10" w:color="FFFFFF" w:fill="FFFFFF"/>
    </w:rPr>
  </w:style>
  <w:style w:type="paragraph" w:styleId="7">
    <w:name w:val="heading 6"/>
    <w:basedOn w:val="1"/>
    <w:next w:val="1"/>
    <w:qFormat/>
    <w:uiPriority w:val="0"/>
    <w:pPr>
      <w:widowControl/>
      <w:tabs>
        <w:tab w:val="left" w:pos="1392"/>
      </w:tabs>
      <w:overflowPunct w:val="0"/>
      <w:autoSpaceDE w:val="0"/>
      <w:autoSpaceDN w:val="0"/>
      <w:spacing w:before="60" w:after="60" w:line="400" w:lineRule="atLeast"/>
      <w:ind w:left="1361" w:hanging="1151"/>
      <w:jc w:val="left"/>
      <w:textAlignment w:val="baseline"/>
      <w:outlineLvl w:val="5"/>
    </w:pPr>
    <w:rPr>
      <w:rFonts w:ascii="Arial" w:hAnsi="Arial"/>
      <w:b/>
      <w:kern w:val="0"/>
      <w:sz w:val="24"/>
      <w:szCs w:val="20"/>
      <w:lang w:val="en-GB"/>
    </w:rPr>
  </w:style>
  <w:style w:type="paragraph" w:styleId="8">
    <w:name w:val="heading 7"/>
    <w:basedOn w:val="1"/>
    <w:next w:val="1"/>
    <w:qFormat/>
    <w:uiPriority w:val="0"/>
    <w:pPr>
      <w:widowControl/>
      <w:tabs>
        <w:tab w:val="left" w:pos="1536"/>
      </w:tabs>
      <w:overflowPunct w:val="0"/>
      <w:autoSpaceDE w:val="0"/>
      <w:autoSpaceDN w:val="0"/>
      <w:adjustRightInd w:val="0"/>
      <w:spacing w:before="240" w:after="60"/>
      <w:ind w:left="1536" w:hanging="1296"/>
      <w:jc w:val="left"/>
      <w:textAlignment w:val="baseline"/>
      <w:outlineLvl w:val="6"/>
    </w:pPr>
    <w:rPr>
      <w:rFonts w:ascii="Arial" w:hAnsi="Arial"/>
      <w:kern w:val="0"/>
      <w:sz w:val="24"/>
      <w:szCs w:val="20"/>
      <w:lang w:val="en-GB"/>
    </w:rPr>
  </w:style>
  <w:style w:type="paragraph" w:styleId="9">
    <w:name w:val="heading 8"/>
    <w:basedOn w:val="1"/>
    <w:next w:val="1"/>
    <w:qFormat/>
    <w:uiPriority w:val="0"/>
    <w:pPr>
      <w:widowControl/>
      <w:tabs>
        <w:tab w:val="left" w:pos="1680"/>
      </w:tabs>
      <w:overflowPunct w:val="0"/>
      <w:autoSpaceDE w:val="0"/>
      <w:autoSpaceDN w:val="0"/>
      <w:adjustRightInd w:val="0"/>
      <w:spacing w:before="240" w:after="60"/>
      <w:ind w:left="1680" w:hanging="1440"/>
      <w:jc w:val="left"/>
      <w:textAlignment w:val="baseline"/>
      <w:outlineLvl w:val="7"/>
    </w:pPr>
    <w:rPr>
      <w:rFonts w:ascii="Arial" w:hAnsi="Arial"/>
      <w:i/>
      <w:kern w:val="0"/>
      <w:sz w:val="24"/>
      <w:szCs w:val="20"/>
      <w:lang w:val="en-GB"/>
    </w:rPr>
  </w:style>
  <w:style w:type="paragraph" w:styleId="10">
    <w:name w:val="heading 9"/>
    <w:basedOn w:val="1"/>
    <w:next w:val="1"/>
    <w:qFormat/>
    <w:uiPriority w:val="0"/>
    <w:pPr>
      <w:widowControl/>
      <w:tabs>
        <w:tab w:val="left" w:pos="1824"/>
      </w:tabs>
      <w:overflowPunct w:val="0"/>
      <w:autoSpaceDE w:val="0"/>
      <w:autoSpaceDN w:val="0"/>
      <w:adjustRightInd w:val="0"/>
      <w:spacing w:before="240" w:after="60"/>
      <w:ind w:left="1824" w:hanging="1584"/>
      <w:jc w:val="left"/>
      <w:textAlignment w:val="baseline"/>
      <w:outlineLvl w:val="8"/>
    </w:pPr>
    <w:rPr>
      <w:rFonts w:ascii="Arial" w:hAnsi="Arial"/>
      <w:i/>
      <w:kern w:val="0"/>
      <w:sz w:val="18"/>
      <w:szCs w:val="20"/>
      <w:lang w:val="en-GB"/>
    </w:rPr>
  </w:style>
  <w:style w:type="character" w:default="1" w:styleId="23">
    <w:name w:val="Default Paragraph Font"/>
    <w:unhideWhenUsed/>
    <w:qFormat/>
    <w:uiPriority w:val="1"/>
  </w:style>
  <w:style w:type="table" w:default="1" w:styleId="21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Document Map"/>
    <w:basedOn w:val="1"/>
    <w:link w:val="28"/>
    <w:qFormat/>
    <w:uiPriority w:val="0"/>
    <w:rPr>
      <w:rFonts w:ascii="宋体"/>
      <w:sz w:val="18"/>
      <w:szCs w:val="18"/>
    </w:rPr>
  </w:style>
  <w:style w:type="paragraph" w:styleId="12">
    <w:name w:val="annotation text"/>
    <w:basedOn w:val="1"/>
    <w:link w:val="37"/>
    <w:unhideWhenUsed/>
    <w:qFormat/>
    <w:uiPriority w:val="0"/>
    <w:pPr>
      <w:jc w:val="left"/>
    </w:pPr>
  </w:style>
  <w:style w:type="paragraph" w:styleId="13">
    <w:name w:val="Body Text"/>
    <w:basedOn w:val="1"/>
    <w:qFormat/>
    <w:uiPriority w:val="0"/>
    <w:pPr>
      <w:spacing w:after="120"/>
    </w:pPr>
  </w:style>
  <w:style w:type="paragraph" w:styleId="14">
    <w:name w:val="Plain Text"/>
    <w:basedOn w:val="1"/>
    <w:link w:val="27"/>
    <w:qFormat/>
    <w:uiPriority w:val="0"/>
    <w:rPr>
      <w:rFonts w:ascii="宋体" w:hAnsi="Courier New"/>
      <w:szCs w:val="20"/>
    </w:rPr>
  </w:style>
  <w:style w:type="paragraph" w:styleId="15">
    <w:name w:val="Balloon Text"/>
    <w:basedOn w:val="1"/>
    <w:semiHidden/>
    <w:qFormat/>
    <w:uiPriority w:val="0"/>
    <w:rPr>
      <w:sz w:val="18"/>
      <w:szCs w:val="18"/>
    </w:rPr>
  </w:style>
  <w:style w:type="paragraph" w:styleId="16">
    <w:name w:val="footer"/>
    <w:basedOn w:val="1"/>
    <w:link w:val="29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7">
    <w:name w:val="header"/>
    <w:basedOn w:val="1"/>
    <w:link w:val="30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8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</w:rPr>
  </w:style>
  <w:style w:type="paragraph" w:styleId="19">
    <w:name w:val="annotation subject"/>
    <w:basedOn w:val="12"/>
    <w:next w:val="12"/>
    <w:link w:val="38"/>
    <w:unhideWhenUsed/>
    <w:qFormat/>
    <w:uiPriority w:val="0"/>
    <w:rPr>
      <w:b/>
      <w:bCs/>
    </w:rPr>
  </w:style>
  <w:style w:type="paragraph" w:styleId="20">
    <w:name w:val="Body Text First Indent"/>
    <w:basedOn w:val="13"/>
    <w:unhideWhenUsed/>
    <w:qFormat/>
    <w:uiPriority w:val="0"/>
    <w:pPr>
      <w:ind w:firstLine="420" w:firstLineChars="100"/>
    </w:pPr>
    <w:rPr>
      <w:szCs w:val="20"/>
    </w:rPr>
  </w:style>
  <w:style w:type="table" w:styleId="22">
    <w:name w:val="Table Grid"/>
    <w:basedOn w:val="21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4">
    <w:name w:val="Strong"/>
    <w:qFormat/>
    <w:uiPriority w:val="22"/>
    <w:rPr>
      <w:b/>
      <w:bCs/>
    </w:rPr>
  </w:style>
  <w:style w:type="character" w:styleId="25">
    <w:name w:val="page number"/>
    <w:basedOn w:val="23"/>
    <w:qFormat/>
    <w:uiPriority w:val="0"/>
  </w:style>
  <w:style w:type="character" w:styleId="26">
    <w:name w:val="annotation reference"/>
    <w:basedOn w:val="23"/>
    <w:unhideWhenUsed/>
    <w:qFormat/>
    <w:uiPriority w:val="0"/>
    <w:rPr>
      <w:sz w:val="21"/>
      <w:szCs w:val="21"/>
    </w:rPr>
  </w:style>
  <w:style w:type="character" w:customStyle="1" w:styleId="27">
    <w:name w:val="纯文本 Char"/>
    <w:link w:val="14"/>
    <w:qFormat/>
    <w:uiPriority w:val="0"/>
    <w:rPr>
      <w:rFonts w:ascii="宋体" w:hAnsi="Courier New"/>
      <w:kern w:val="2"/>
      <w:sz w:val="21"/>
    </w:rPr>
  </w:style>
  <w:style w:type="character" w:customStyle="1" w:styleId="28">
    <w:name w:val="文档结构图 Char"/>
    <w:link w:val="11"/>
    <w:qFormat/>
    <w:uiPriority w:val="0"/>
    <w:rPr>
      <w:rFonts w:ascii="宋体"/>
      <w:kern w:val="2"/>
      <w:sz w:val="18"/>
      <w:szCs w:val="18"/>
    </w:rPr>
  </w:style>
  <w:style w:type="character" w:customStyle="1" w:styleId="29">
    <w:name w:val="页脚 Char"/>
    <w:link w:val="16"/>
    <w:qFormat/>
    <w:locked/>
    <w:uiPriority w:val="99"/>
    <w:rPr>
      <w:kern w:val="2"/>
      <w:sz w:val="18"/>
      <w:szCs w:val="18"/>
    </w:rPr>
  </w:style>
  <w:style w:type="character" w:customStyle="1" w:styleId="30">
    <w:name w:val="页眉 Char"/>
    <w:link w:val="17"/>
    <w:qFormat/>
    <w:uiPriority w:val="99"/>
    <w:rPr>
      <w:kern w:val="2"/>
      <w:sz w:val="18"/>
      <w:szCs w:val="18"/>
    </w:rPr>
  </w:style>
  <w:style w:type="character" w:customStyle="1" w:styleId="31">
    <w:name w:val="普通文字 Char Char"/>
    <w:qFormat/>
    <w:uiPriority w:val="0"/>
    <w:rPr>
      <w:rFonts w:ascii="宋体" w:hAnsi="Courier New" w:eastAsia="宋体" w:cs="Times New Roman"/>
      <w:szCs w:val="20"/>
    </w:rPr>
  </w:style>
  <w:style w:type="paragraph" w:customStyle="1" w:styleId="32">
    <w:name w:val="Char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/>
      <w:kern w:val="0"/>
      <w:sz w:val="24"/>
      <w:szCs w:val="20"/>
      <w:lang w:eastAsia="en-US"/>
    </w:rPr>
  </w:style>
  <w:style w:type="paragraph" w:customStyle="1" w:styleId="33">
    <w:name w:val="纯文本1"/>
    <w:basedOn w:val="1"/>
    <w:qFormat/>
    <w:uiPriority w:val="0"/>
    <w:pPr>
      <w:adjustRightInd w:val="0"/>
      <w:textAlignment w:val="baseline"/>
    </w:pPr>
    <w:rPr>
      <w:rFonts w:ascii="宋体"/>
      <w:kern w:val="0"/>
      <w:sz w:val="24"/>
      <w:szCs w:val="20"/>
    </w:rPr>
  </w:style>
  <w:style w:type="paragraph" w:customStyle="1" w:styleId="34">
    <w:name w:val="Char1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/>
      <w:kern w:val="0"/>
      <w:sz w:val="24"/>
      <w:szCs w:val="20"/>
      <w:lang w:eastAsia="en-US"/>
    </w:rPr>
  </w:style>
  <w:style w:type="paragraph" w:customStyle="1" w:styleId="35">
    <w:name w:val="List Paragraph"/>
    <w:basedOn w:val="1"/>
    <w:qFormat/>
    <w:uiPriority w:val="99"/>
    <w:pPr>
      <w:ind w:firstLine="420" w:firstLineChars="200"/>
    </w:pPr>
    <w:rPr>
      <w:rFonts w:ascii="Calibri" w:hAnsi="Calibri"/>
      <w:szCs w:val="22"/>
    </w:rPr>
  </w:style>
  <w:style w:type="paragraph" w:customStyle="1" w:styleId="36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character" w:customStyle="1" w:styleId="37">
    <w:name w:val="批注文字 Char"/>
    <w:basedOn w:val="23"/>
    <w:link w:val="12"/>
    <w:semiHidden/>
    <w:qFormat/>
    <w:uiPriority w:val="0"/>
    <w:rPr>
      <w:kern w:val="2"/>
      <w:sz w:val="21"/>
      <w:szCs w:val="24"/>
    </w:rPr>
  </w:style>
  <w:style w:type="character" w:customStyle="1" w:styleId="38">
    <w:name w:val="批注主题 Char"/>
    <w:basedOn w:val="37"/>
    <w:link w:val="19"/>
    <w:semiHidden/>
    <w:qFormat/>
    <w:uiPriority w:val="0"/>
    <w:rPr>
      <w:b/>
      <w:bCs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8</Pages>
  <Words>2944</Words>
  <Characters>3121</Characters>
  <Lines>195</Lines>
  <Paragraphs>131</Paragraphs>
  <TotalTime>2</TotalTime>
  <ScaleCrop>false</ScaleCrop>
  <LinksUpToDate>false</LinksUpToDate>
  <CharactersWithSpaces>5934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2017-06-29T13:35:00Z</dcterms:created>
  <dc:creator>chenweiguo</dc:creator>
  <cp:lastModifiedBy>8612759AFF3D4B659A17036508AF04D4</cp:lastModifiedBy>
  <cp:lastPrinted>2017-06-29T03:05:00Z</cp:lastPrinted>
  <dcterms:modified xsi:type="dcterms:W3CDTF">2024-07-08T08:31:02Z</dcterms:modified>
  <dc:title>安全协议书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5A61EE65CFFB4656B72F82828CF9E72D</vt:lpwstr>
  </property>
</Properties>
</file>