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DAFD962"/>
    <w:p w14:paraId="4D5D4353">
      <w:pPr>
        <w:jc w:val="center"/>
        <w:rPr>
          <w:rFonts w:ascii="黑体" w:hAnsi="黑体" w:eastAsia="黑体"/>
          <w:sz w:val="52"/>
          <w:szCs w:val="52"/>
        </w:rPr>
      </w:pPr>
    </w:p>
    <w:p w14:paraId="737FE157">
      <w:pPr>
        <w:jc w:val="center"/>
        <w:rPr>
          <w:rFonts w:hint="eastAsia" w:ascii="黑体" w:hAnsi="黑体" w:eastAsia="黑体"/>
          <w:sz w:val="52"/>
          <w:szCs w:val="52"/>
        </w:rPr>
      </w:pPr>
      <w:r>
        <w:rPr>
          <w:rFonts w:hint="eastAsia" w:ascii="黑体" w:hAnsi="黑体" w:eastAsia="黑体"/>
          <w:sz w:val="52"/>
          <w:szCs w:val="52"/>
          <w:lang w:val="en-US" w:eastAsia="zh-CN"/>
        </w:rPr>
        <w:t>来宾城区供电分局电费催收技术支持服务</w:t>
      </w:r>
      <w:r>
        <w:rPr>
          <w:rFonts w:hint="eastAsia" w:ascii="黑体" w:hAnsi="黑体" w:eastAsia="黑体"/>
          <w:sz w:val="52"/>
          <w:szCs w:val="52"/>
        </w:rPr>
        <w:t>项目</w:t>
      </w:r>
    </w:p>
    <w:p w14:paraId="3841D5FC">
      <w:pPr>
        <w:jc w:val="center"/>
        <w:rPr>
          <w:rFonts w:ascii="黑体" w:hAnsi="黑体" w:eastAsia="黑体"/>
          <w:sz w:val="52"/>
          <w:szCs w:val="52"/>
        </w:rPr>
      </w:pPr>
      <w:r>
        <w:rPr>
          <w:rFonts w:hint="eastAsia" w:ascii="黑体" w:hAnsi="黑体" w:eastAsia="黑体"/>
          <w:sz w:val="52"/>
          <w:szCs w:val="52"/>
        </w:rPr>
        <w:t>技术规范书</w:t>
      </w:r>
    </w:p>
    <w:p w14:paraId="11B3AB54"/>
    <w:p w14:paraId="1E981F97"/>
    <w:p w14:paraId="65760516"/>
    <w:p w14:paraId="5C795CD6"/>
    <w:p w14:paraId="487B3574"/>
    <w:p w14:paraId="0838506F"/>
    <w:p w14:paraId="10C08F79"/>
    <w:p w14:paraId="1307331F"/>
    <w:p w14:paraId="60BB6087"/>
    <w:p w14:paraId="6B5A84BC"/>
    <w:p w14:paraId="23CF2838"/>
    <w:p w14:paraId="637A8CA8"/>
    <w:p w14:paraId="4FCDDC43"/>
    <w:p w14:paraId="54052D89"/>
    <w:p w14:paraId="0B424A14">
      <w:pPr>
        <w:jc w:val="center"/>
        <w:rPr>
          <w:sz w:val="32"/>
          <w:szCs w:val="32"/>
        </w:rPr>
      </w:pPr>
      <w:r>
        <w:rPr>
          <w:rFonts w:hint="eastAsia"/>
          <w:sz w:val="32"/>
          <w:szCs w:val="32"/>
          <w:lang w:val="en-US" w:eastAsia="zh-CN"/>
        </w:rPr>
        <w:t>来宾城区供电分局</w:t>
      </w:r>
    </w:p>
    <w:p w14:paraId="3BF50A82">
      <w:pPr>
        <w:jc w:val="center"/>
        <w:rPr>
          <w:sz w:val="32"/>
          <w:szCs w:val="32"/>
        </w:rPr>
      </w:pPr>
      <w:r>
        <w:rPr>
          <w:rFonts w:hint="eastAsia"/>
          <w:sz w:val="32"/>
          <w:szCs w:val="32"/>
        </w:rPr>
        <w:t>202</w:t>
      </w:r>
      <w:r>
        <w:rPr>
          <w:rFonts w:hint="eastAsia"/>
          <w:sz w:val="32"/>
          <w:szCs w:val="32"/>
          <w:lang w:val="en-US" w:eastAsia="zh-CN"/>
        </w:rPr>
        <w:t>5</w:t>
      </w:r>
      <w:r>
        <w:rPr>
          <w:rFonts w:hint="eastAsia"/>
          <w:sz w:val="32"/>
          <w:szCs w:val="32"/>
        </w:rPr>
        <w:t>年</w:t>
      </w:r>
      <w:r>
        <w:rPr>
          <w:rFonts w:hint="eastAsia"/>
          <w:sz w:val="32"/>
          <w:szCs w:val="32"/>
          <w:lang w:val="en-US" w:eastAsia="zh-CN"/>
        </w:rPr>
        <w:t>7</w:t>
      </w:r>
      <w:r>
        <w:rPr>
          <w:rFonts w:hint="eastAsia"/>
          <w:sz w:val="32"/>
          <w:szCs w:val="32"/>
        </w:rPr>
        <w:t>月</w:t>
      </w:r>
    </w:p>
    <w:p w14:paraId="7D9543C9">
      <w:pPr>
        <w:jc w:val="center"/>
      </w:pPr>
      <w:r>
        <w:br w:type="page"/>
      </w:r>
      <w:r>
        <w:rPr>
          <w:rFonts w:hint="eastAsia"/>
        </w:rPr>
        <w:t>目  录</w:t>
      </w:r>
    </w:p>
    <w:p w14:paraId="23F04FE8">
      <w:pPr>
        <w:pStyle w:val="20"/>
        <w:tabs>
          <w:tab w:val="right" w:leader="dot" w:pos="8306"/>
          <w:tab w:val="clear" w:pos="8296"/>
        </w:tabs>
      </w:pPr>
      <w:r>
        <w:fldChar w:fldCharType="begin"/>
      </w:r>
      <w:r>
        <w:instrText xml:space="preserve"> </w:instrText>
      </w:r>
      <w:r>
        <w:rPr>
          <w:rFonts w:hint="eastAsia"/>
        </w:rPr>
        <w:instrText xml:space="preserve">TOC \o "1-1" \h \z \u</w:instrText>
      </w:r>
      <w:r>
        <w:instrText xml:space="preserve"> </w:instrText>
      </w:r>
      <w:r>
        <w:fldChar w:fldCharType="separate"/>
      </w:r>
      <w:r>
        <w:fldChar w:fldCharType="begin"/>
      </w:r>
      <w:r>
        <w:instrText xml:space="preserve"> HYPERLINK \l _Toc23804 </w:instrText>
      </w:r>
      <w:r>
        <w:fldChar w:fldCharType="separate"/>
      </w:r>
      <w:r>
        <w:t xml:space="preserve">1 </w:t>
      </w:r>
      <w:r>
        <w:rPr>
          <w:rFonts w:hint="eastAsia"/>
        </w:rPr>
        <w:t>总则</w:t>
      </w:r>
      <w:r>
        <w:tab/>
      </w:r>
      <w:r>
        <w:fldChar w:fldCharType="begin"/>
      </w:r>
      <w:r>
        <w:instrText xml:space="preserve"> PAGEREF _Toc23804 \h </w:instrText>
      </w:r>
      <w:r>
        <w:fldChar w:fldCharType="separate"/>
      </w:r>
      <w:r>
        <w:t>1</w:t>
      </w:r>
      <w:r>
        <w:fldChar w:fldCharType="end"/>
      </w:r>
      <w:r>
        <w:fldChar w:fldCharType="end"/>
      </w:r>
    </w:p>
    <w:p w14:paraId="02AA8668">
      <w:pPr>
        <w:pStyle w:val="20"/>
        <w:tabs>
          <w:tab w:val="right" w:leader="dot" w:pos="8306"/>
          <w:tab w:val="clear" w:pos="8296"/>
        </w:tabs>
      </w:pPr>
      <w:r>
        <w:fldChar w:fldCharType="begin"/>
      </w:r>
      <w:r>
        <w:instrText xml:space="preserve"> HYPERLINK \l _Toc31507 </w:instrText>
      </w:r>
      <w:r>
        <w:fldChar w:fldCharType="separate"/>
      </w:r>
      <w:r>
        <w:t xml:space="preserve">2 </w:t>
      </w:r>
      <w:r>
        <w:rPr>
          <w:rFonts w:hint="eastAsia"/>
        </w:rPr>
        <w:t>应遵循的主要标准</w:t>
      </w:r>
      <w:r>
        <w:tab/>
      </w:r>
      <w:r>
        <w:fldChar w:fldCharType="begin"/>
      </w:r>
      <w:r>
        <w:instrText xml:space="preserve"> PAGEREF _Toc31507 \h </w:instrText>
      </w:r>
      <w:r>
        <w:fldChar w:fldCharType="separate"/>
      </w:r>
      <w:r>
        <w:t>3</w:t>
      </w:r>
      <w:r>
        <w:fldChar w:fldCharType="end"/>
      </w:r>
      <w:r>
        <w:fldChar w:fldCharType="end"/>
      </w:r>
    </w:p>
    <w:p w14:paraId="6441E0BC">
      <w:pPr>
        <w:pStyle w:val="20"/>
        <w:tabs>
          <w:tab w:val="right" w:leader="dot" w:pos="8306"/>
          <w:tab w:val="clear" w:pos="8296"/>
        </w:tabs>
      </w:pPr>
      <w:r>
        <w:fldChar w:fldCharType="begin"/>
      </w:r>
      <w:r>
        <w:instrText xml:space="preserve"> HYPERLINK \l _Toc23994 </w:instrText>
      </w:r>
      <w:r>
        <w:fldChar w:fldCharType="separate"/>
      </w:r>
      <w:r>
        <w:t xml:space="preserve">3 </w:t>
      </w:r>
      <w:r>
        <w:rPr>
          <w:rFonts w:hint="eastAsia"/>
        </w:rPr>
        <w:t>项目概述</w:t>
      </w:r>
      <w:r>
        <w:tab/>
      </w:r>
      <w:r>
        <w:fldChar w:fldCharType="begin"/>
      </w:r>
      <w:r>
        <w:instrText xml:space="preserve"> PAGEREF _Toc23994 \h </w:instrText>
      </w:r>
      <w:r>
        <w:fldChar w:fldCharType="separate"/>
      </w:r>
      <w:r>
        <w:t>3</w:t>
      </w:r>
      <w:r>
        <w:fldChar w:fldCharType="end"/>
      </w:r>
      <w:r>
        <w:fldChar w:fldCharType="end"/>
      </w:r>
    </w:p>
    <w:p w14:paraId="49F9BA04">
      <w:pPr>
        <w:pStyle w:val="20"/>
        <w:tabs>
          <w:tab w:val="right" w:leader="dot" w:pos="8306"/>
          <w:tab w:val="clear" w:pos="8296"/>
        </w:tabs>
      </w:pPr>
      <w:r>
        <w:fldChar w:fldCharType="begin"/>
      </w:r>
      <w:r>
        <w:instrText xml:space="preserve"> HYPERLINK \l _Toc20777 </w:instrText>
      </w:r>
      <w:r>
        <w:fldChar w:fldCharType="separate"/>
      </w:r>
      <w:r>
        <w:t xml:space="preserve">4 </w:t>
      </w:r>
      <w:r>
        <w:rPr>
          <w:rFonts w:hint="eastAsia"/>
        </w:rPr>
        <w:t>范围和内容</w:t>
      </w:r>
      <w:r>
        <w:tab/>
      </w:r>
      <w:r>
        <w:fldChar w:fldCharType="begin"/>
      </w:r>
      <w:r>
        <w:instrText xml:space="preserve"> PAGEREF _Toc20777 \h </w:instrText>
      </w:r>
      <w:r>
        <w:fldChar w:fldCharType="separate"/>
      </w:r>
      <w:r>
        <w:t>4</w:t>
      </w:r>
      <w:r>
        <w:fldChar w:fldCharType="end"/>
      </w:r>
      <w:r>
        <w:fldChar w:fldCharType="end"/>
      </w:r>
    </w:p>
    <w:p w14:paraId="031A1BDD">
      <w:pPr>
        <w:pStyle w:val="20"/>
        <w:tabs>
          <w:tab w:val="right" w:leader="dot" w:pos="8306"/>
          <w:tab w:val="clear" w:pos="8296"/>
        </w:tabs>
      </w:pPr>
      <w:r>
        <w:fldChar w:fldCharType="begin"/>
      </w:r>
      <w:r>
        <w:instrText xml:space="preserve"> HYPERLINK \l _Toc28194 </w:instrText>
      </w:r>
      <w:r>
        <w:fldChar w:fldCharType="separate"/>
      </w:r>
      <w:r>
        <w:t xml:space="preserve">5 </w:t>
      </w:r>
      <w:r>
        <w:rPr>
          <w:rFonts w:hint="eastAsia"/>
        </w:rPr>
        <w:t>总体要求</w:t>
      </w:r>
      <w:r>
        <w:tab/>
      </w:r>
      <w:r>
        <w:fldChar w:fldCharType="begin"/>
      </w:r>
      <w:r>
        <w:instrText xml:space="preserve"> PAGEREF _Toc28194 \h </w:instrText>
      </w:r>
      <w:r>
        <w:fldChar w:fldCharType="separate"/>
      </w:r>
      <w:r>
        <w:t>5</w:t>
      </w:r>
      <w:r>
        <w:fldChar w:fldCharType="end"/>
      </w:r>
      <w:r>
        <w:fldChar w:fldCharType="end"/>
      </w:r>
    </w:p>
    <w:p w14:paraId="357D9F7B">
      <w:pPr>
        <w:pStyle w:val="20"/>
        <w:tabs>
          <w:tab w:val="right" w:leader="dot" w:pos="8306"/>
          <w:tab w:val="clear" w:pos="8296"/>
        </w:tabs>
      </w:pPr>
      <w:r>
        <w:fldChar w:fldCharType="begin"/>
      </w:r>
      <w:r>
        <w:instrText xml:space="preserve"> HYPERLINK \l _Toc5400 </w:instrText>
      </w:r>
      <w:r>
        <w:fldChar w:fldCharType="separate"/>
      </w:r>
      <w:r>
        <w:t xml:space="preserve">6 </w:t>
      </w:r>
      <w:r>
        <w:rPr>
          <w:rFonts w:hint="eastAsia"/>
        </w:rPr>
        <w:t>主要技术要求</w:t>
      </w:r>
      <w:r>
        <w:tab/>
      </w:r>
      <w:r>
        <w:fldChar w:fldCharType="begin"/>
      </w:r>
      <w:r>
        <w:instrText xml:space="preserve"> PAGEREF _Toc5400 \h </w:instrText>
      </w:r>
      <w:r>
        <w:fldChar w:fldCharType="separate"/>
      </w:r>
      <w:r>
        <w:t>5</w:t>
      </w:r>
      <w:r>
        <w:fldChar w:fldCharType="end"/>
      </w:r>
      <w:r>
        <w:fldChar w:fldCharType="end"/>
      </w:r>
    </w:p>
    <w:p w14:paraId="03901CD3">
      <w:pPr>
        <w:pStyle w:val="20"/>
        <w:tabs>
          <w:tab w:val="right" w:leader="dot" w:pos="8306"/>
          <w:tab w:val="clear" w:pos="8296"/>
        </w:tabs>
      </w:pPr>
      <w:r>
        <w:fldChar w:fldCharType="begin"/>
      </w:r>
      <w:r>
        <w:instrText xml:space="preserve"> HYPERLINK \l _Toc15235 </w:instrText>
      </w:r>
      <w:r>
        <w:fldChar w:fldCharType="separate"/>
      </w:r>
      <w:r>
        <w:t xml:space="preserve">7 </w:t>
      </w:r>
      <w:r>
        <w:rPr>
          <w:rFonts w:hint="eastAsia"/>
        </w:rPr>
        <w:t>其他要求</w:t>
      </w:r>
      <w:r>
        <w:tab/>
      </w:r>
      <w:r>
        <w:fldChar w:fldCharType="begin"/>
      </w:r>
      <w:r>
        <w:instrText xml:space="preserve"> PAGEREF _Toc15235 \h </w:instrText>
      </w:r>
      <w:r>
        <w:fldChar w:fldCharType="separate"/>
      </w:r>
      <w:r>
        <w:t>8</w:t>
      </w:r>
      <w:r>
        <w:fldChar w:fldCharType="end"/>
      </w:r>
      <w:r>
        <w:fldChar w:fldCharType="end"/>
      </w:r>
    </w:p>
    <w:p w14:paraId="75A6F988">
      <w:pPr>
        <w:pStyle w:val="20"/>
        <w:tabs>
          <w:tab w:val="right" w:leader="dot" w:pos="8306"/>
          <w:tab w:val="clear" w:pos="8296"/>
        </w:tabs>
      </w:pPr>
      <w:r>
        <w:fldChar w:fldCharType="begin"/>
      </w:r>
      <w:r>
        <w:instrText xml:space="preserve"> HYPERLINK \l _Toc30599 </w:instrText>
      </w:r>
      <w:r>
        <w:fldChar w:fldCharType="separate"/>
      </w:r>
      <w:r>
        <w:rPr>
          <w:rFonts w:hAnsi="宋体"/>
        </w:rPr>
        <w:t xml:space="preserve">8 </w:t>
      </w:r>
      <w:r>
        <w:rPr>
          <w:rFonts w:hint="eastAsia" w:hAnsi="宋体"/>
        </w:rPr>
        <w:t>附件</w:t>
      </w:r>
      <w:r>
        <w:tab/>
      </w:r>
      <w:r>
        <w:fldChar w:fldCharType="begin"/>
      </w:r>
      <w:r>
        <w:instrText xml:space="preserve"> PAGEREF _Toc30599 \h </w:instrText>
      </w:r>
      <w:r>
        <w:fldChar w:fldCharType="separate"/>
      </w:r>
      <w:r>
        <w:t>11</w:t>
      </w:r>
      <w:r>
        <w:fldChar w:fldCharType="end"/>
      </w:r>
      <w:r>
        <w:fldChar w:fldCharType="end"/>
      </w:r>
    </w:p>
    <w:p w14:paraId="4A9D88F2">
      <w:r>
        <w:fldChar w:fldCharType="end"/>
      </w:r>
    </w:p>
    <w:p w14:paraId="20855F0C">
      <w:pPr>
        <w:sectPr>
          <w:footerReference r:id="rId5" w:type="default"/>
          <w:footerReference r:id="rId6" w:type="even"/>
          <w:pgSz w:w="11906" w:h="16838"/>
          <w:pgMar w:top="1440" w:right="1800" w:bottom="1440" w:left="1800" w:header="851" w:footer="992" w:gutter="0"/>
          <w:cols w:space="720" w:num="1"/>
          <w:docGrid w:type="lines" w:linePitch="312" w:charSpace="0"/>
        </w:sectPr>
      </w:pPr>
    </w:p>
    <w:p w14:paraId="01634783">
      <w:pPr>
        <w:pStyle w:val="4"/>
      </w:pPr>
      <w:bookmarkStart w:id="0" w:name="_Toc23804"/>
      <w:bookmarkStart w:id="1" w:name="_Toc8609"/>
      <w:bookmarkStart w:id="2" w:name="_Toc34582623"/>
      <w:bookmarkStart w:id="3" w:name="_Toc4742"/>
      <w:r>
        <w:rPr>
          <w:rFonts w:hint="eastAsia"/>
        </w:rPr>
        <w:t>总则</w:t>
      </w:r>
      <w:bookmarkEnd w:id="0"/>
      <w:bookmarkEnd w:id="1"/>
      <w:bookmarkEnd w:id="2"/>
      <w:bookmarkEnd w:id="3"/>
    </w:p>
    <w:p w14:paraId="33D3C448">
      <w:pPr>
        <w:pStyle w:val="5"/>
      </w:pPr>
      <w:r>
        <w:rPr>
          <w:rFonts w:hint="eastAsia"/>
        </w:rPr>
        <w:t>一般要求</w:t>
      </w:r>
    </w:p>
    <w:p w14:paraId="3625F2F1">
      <w:r>
        <w:rPr>
          <w:rFonts w:hint="eastAsia"/>
        </w:rPr>
        <w:t>1.1.1投标方必须认真阅读本技术条款内容，以免造成投标失败。</w:t>
      </w:r>
    </w:p>
    <w:p w14:paraId="522BF498">
      <w:r>
        <w:rPr>
          <w:rFonts w:hint="eastAsia"/>
        </w:rPr>
        <w:t>1.1.2本技术规范书主要描述</w:t>
      </w:r>
      <w:r>
        <w:rPr>
          <w:rFonts w:hint="eastAsia"/>
          <w:lang w:eastAsia="zh-CN"/>
        </w:rPr>
        <w:t>来宾城区供电分局</w:t>
      </w:r>
      <w:r>
        <w:rPr>
          <w:rFonts w:hint="eastAsia"/>
        </w:rPr>
        <w:t>电费催收技术支持服务项目</w:t>
      </w:r>
      <w:r>
        <w:rPr>
          <w:rFonts w:hint="eastAsia"/>
          <w:lang w:eastAsia="zh-CN"/>
        </w:rPr>
        <w:t>实施</w:t>
      </w:r>
      <w:r>
        <w:rPr>
          <w:rFonts w:hint="eastAsia"/>
        </w:rPr>
        <w:t>服务要求有关事项。</w:t>
      </w:r>
    </w:p>
    <w:p w14:paraId="20BBB54F">
      <w:r>
        <w:rPr>
          <w:rFonts w:hint="eastAsia"/>
        </w:rPr>
        <w:t>1.1.3本技术规范书提出的是最低限度的技术要求,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14:paraId="34813E44">
      <w:r>
        <w:rPr>
          <w:rFonts w:hint="eastAsia"/>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14:paraId="0B2281D8">
      <w:r>
        <w:rPr>
          <w:rFonts w:hint="eastAsia"/>
        </w:rPr>
        <w:t>1.1.5如果投标方认为本技术条款所描述技术要求等存在不合理性或不明白的，可在响应原要求后陈述相关建议。</w:t>
      </w:r>
    </w:p>
    <w:p w14:paraId="6C4B293E">
      <w:r>
        <w:rPr>
          <w:rFonts w:hint="eastAsia"/>
        </w:rPr>
        <w:t>1.1.6投标方也可提出满足本技术规范书要求，且技术先进、成熟、价格合理的其他建议，供招标方选择。</w:t>
      </w:r>
    </w:p>
    <w:p w14:paraId="28B5F078">
      <w:r>
        <w:rPr>
          <w:rFonts w:hint="eastAsia"/>
        </w:rPr>
        <w:t>1.1.7投标方应提供满足本技术规范书要求的完整的服务、工作产品，满足国家及用户提出的有关质量标准要求。所有工作产品必须具有在中国境内的合法使用权。</w:t>
      </w:r>
    </w:p>
    <w:p w14:paraId="1240D300">
      <w:r>
        <w:rPr>
          <w:rFonts w:hint="eastAsia"/>
        </w:rPr>
        <w:t>1.1.8本技术规范书所使用的标准如与投标方所执行的标准不一致，按较高标准执行。</w:t>
      </w:r>
    </w:p>
    <w:p w14:paraId="367FFCC1">
      <w:r>
        <w:rPr>
          <w:rFonts w:hint="eastAsia"/>
        </w:rPr>
        <w:t>1.1.9如果因为无法提供的原因而提供其他产品、服务，投标方应明确说明并提出质量保证承诺。</w:t>
      </w:r>
    </w:p>
    <w:p w14:paraId="5C9F97D1">
      <w:r>
        <w:rPr>
          <w:rFonts w:hint="eastAsia"/>
        </w:rPr>
        <w:t>1.1.10投标方应保证为今后招标方开发的或招标方委托第三方开发的其他工作产品提供可靠的性能和兼容性。</w:t>
      </w:r>
    </w:p>
    <w:p w14:paraId="2C7B4DE5">
      <w:r>
        <w:rPr>
          <w:rFonts w:hint="eastAsia"/>
        </w:rPr>
        <w:t>1.1.11投标方应对本次投标所有文件保密，不得向其他单位公布或泄漏招标项目的有关信息。</w:t>
      </w:r>
    </w:p>
    <w:p w14:paraId="0D40984A">
      <w:r>
        <w:rPr>
          <w:rFonts w:hint="eastAsia"/>
        </w:rPr>
        <w:t>1.1.12在不超出本技术规范书要求的情况下，投标方应对招标方提出的所有细化要求予以满足。</w:t>
      </w:r>
    </w:p>
    <w:p w14:paraId="412A99B9">
      <w:r>
        <w:rPr>
          <w:rFonts w:hint="eastAsia"/>
        </w:rPr>
        <w:t>1.1.13</w:t>
      </w:r>
      <w:r>
        <w:rPr>
          <w:rFonts w:hint="eastAsia" w:hAnsi="宋体" w:cs="宋体"/>
        </w:rPr>
        <w:t>投标方建议书的详细要求见招标书的商务部分。投标方必须按照招标书要求提供相应文件</w:t>
      </w:r>
      <w:r>
        <w:rPr>
          <w:rFonts w:hint="eastAsia"/>
        </w:rPr>
        <w:t>。</w:t>
      </w:r>
    </w:p>
    <w:p w14:paraId="4CF418DB">
      <w:r>
        <w:rPr>
          <w:rFonts w:hint="eastAsia"/>
        </w:rPr>
        <w:t>1.1.14</w:t>
      </w:r>
      <w:r>
        <w:rPr>
          <w:rFonts w:hint="eastAsia" w:hAnsi="宋体" w:cs="宋体"/>
        </w:rPr>
        <w:t>所有计算、说明、图纸文件、手册等使用国际单位制</w:t>
      </w:r>
      <w:r>
        <w:rPr>
          <w:rFonts w:hint="eastAsia"/>
        </w:rPr>
        <w:t>。</w:t>
      </w:r>
    </w:p>
    <w:p w14:paraId="097CC9C3">
      <w:pPr>
        <w:pStyle w:val="5"/>
      </w:pPr>
      <w:r>
        <w:rPr>
          <w:rFonts w:hint="eastAsia"/>
        </w:rPr>
        <w:t>投标方职责</w:t>
      </w:r>
    </w:p>
    <w:p w14:paraId="20F0B207">
      <w:r>
        <w:rPr>
          <w:rFonts w:hint="eastAsia"/>
        </w:rPr>
        <w:t>1.2.1负责本规范书内所需服务、工作产品的方案设计，并根据招标方需求细化。</w:t>
      </w:r>
    </w:p>
    <w:p w14:paraId="3A9E9D5E">
      <w:r>
        <w:rPr>
          <w:rFonts w:hint="eastAsia"/>
        </w:rPr>
        <w:t>1.2.2负责服务、工作产品现场验收。</w:t>
      </w:r>
    </w:p>
    <w:p w14:paraId="5EA221F3">
      <w:r>
        <w:rPr>
          <w:rFonts w:hint="eastAsia"/>
        </w:rPr>
        <w:t>1.2.3</w:t>
      </w:r>
      <w:r>
        <w:rPr>
          <w:rFonts w:hint="eastAsia"/>
          <w:bCs/>
        </w:rPr>
        <w:t>签订合同后为招标方提供项目管理服务，如招标方有需求，根据招标方要求提供技术培训服务</w:t>
      </w:r>
      <w:r>
        <w:rPr>
          <w:rFonts w:hint="eastAsia"/>
        </w:rPr>
        <w:t>。</w:t>
      </w:r>
    </w:p>
    <w:p w14:paraId="648B3408">
      <w:r>
        <w:rPr>
          <w:rFonts w:hint="eastAsia"/>
        </w:rPr>
        <w:t>1.2.4负责提供项目内软件的光盘备份。</w:t>
      </w:r>
    </w:p>
    <w:p w14:paraId="4E20FA11">
      <w:r>
        <w:rPr>
          <w:rFonts w:hint="eastAsia"/>
        </w:rPr>
        <w:t>1.2.5列出需招标方提供的数据、资料详细清单。</w:t>
      </w:r>
    </w:p>
    <w:p w14:paraId="75F26B41">
      <w:r>
        <w:rPr>
          <w:rFonts w:hint="eastAsia"/>
        </w:rPr>
        <w:t>1.2.6负责提供服务、工作产品的所有文件资料和技术资料。</w:t>
      </w:r>
    </w:p>
    <w:p w14:paraId="04435CDD">
      <w:r>
        <w:rPr>
          <w:rFonts w:hint="eastAsia"/>
        </w:rPr>
        <w:t>1.2.7负责最终提供的全部技术资料的准确性。</w:t>
      </w:r>
    </w:p>
    <w:p w14:paraId="212904BC">
      <w:r>
        <w:rPr>
          <w:rFonts w:hint="eastAsia"/>
        </w:rPr>
        <w:t>1.2.8保证提供的所有服务、工作产品的质量及技术指标完全满足本规范书要求。</w:t>
      </w:r>
    </w:p>
    <w:p w14:paraId="1897B361">
      <w:r>
        <w:rPr>
          <w:rFonts w:hint="eastAsia"/>
        </w:rPr>
        <w:t>1.2.9负责配合招标方有关人员在投标方地点的联络会等事宜，投标方自理投标方项目组人员的往返交通、住宿等费用等。</w:t>
      </w:r>
    </w:p>
    <w:p w14:paraId="64A85DE8">
      <w:pPr>
        <w:pStyle w:val="2"/>
      </w:pPr>
      <w:r>
        <w:rPr>
          <w:rFonts w:hint="eastAsia"/>
        </w:rPr>
        <w:t>1.2.10</w:t>
      </w:r>
      <w:r>
        <w:rPr>
          <w:rFonts w:hint="eastAsia" w:hAnsi="宋体" w:cs="宋体"/>
        </w:rPr>
        <w:t>投标方（服务商、供应商）按照广西电网公司档案管理要求，根据归档范围负责自“项目准备”至“项目验收”阶段的项目文件收集、整理、组卷，并按规定时限向招标方项目负责人移交。</w:t>
      </w:r>
      <w:r>
        <w:rPr>
          <w:rFonts w:hint="eastAsia"/>
        </w:rPr>
        <w:t>投标方应明确负责档案管理的人员，开工前投标方必须向招标方提供档案管理人员名单表，经招标方确认后方可实施</w:t>
      </w:r>
      <w:r>
        <w:rPr>
          <w:rFonts w:hint="eastAsia" w:hAnsi="宋体" w:cs="宋体"/>
        </w:rPr>
        <w:t>。</w:t>
      </w:r>
    </w:p>
    <w:p w14:paraId="397CCE28">
      <w:pPr>
        <w:pStyle w:val="5"/>
      </w:pPr>
      <w:r>
        <w:rPr>
          <w:rFonts w:hint="eastAsia"/>
        </w:rPr>
        <w:t>招标方职责</w:t>
      </w:r>
    </w:p>
    <w:p w14:paraId="72C0C19B">
      <w:r>
        <w:rPr>
          <w:rFonts w:hint="eastAsia"/>
        </w:rPr>
        <w:t>1.3.1负责提供与本项目有关的技术资料、参数及图纸。</w:t>
      </w:r>
    </w:p>
    <w:p w14:paraId="4878D49E">
      <w:r>
        <w:rPr>
          <w:rFonts w:hint="eastAsia"/>
        </w:rPr>
        <w:t>1.3.2确认投标方提供的服务、工作产品的文件资料和技术。</w:t>
      </w:r>
    </w:p>
    <w:p w14:paraId="73675746">
      <w:r>
        <w:rPr>
          <w:rFonts w:hint="eastAsia"/>
        </w:rPr>
        <w:t>1.3.3参加相关联络会。</w:t>
      </w:r>
    </w:p>
    <w:p w14:paraId="2A1A7E85">
      <w:r>
        <w:rPr>
          <w:rFonts w:hint="eastAsia"/>
        </w:rPr>
        <w:t>1.3.4负责向投标方解释技术规范书中的要求。</w:t>
      </w:r>
    </w:p>
    <w:p w14:paraId="528F540D">
      <w:r>
        <w:rPr>
          <w:rFonts w:hint="eastAsia"/>
        </w:rPr>
        <w:t>1.3.5配合投标方完成项目工作，并组织验收。</w:t>
      </w:r>
    </w:p>
    <w:p w14:paraId="2CDBDBD6"/>
    <w:p w14:paraId="4C153942">
      <w:pPr>
        <w:pStyle w:val="4"/>
      </w:pPr>
      <w:bookmarkStart w:id="4" w:name="_Toc12495"/>
      <w:bookmarkStart w:id="5" w:name="_Toc31507"/>
      <w:bookmarkStart w:id="6" w:name="_Toc28690"/>
      <w:bookmarkStart w:id="7" w:name="_Toc351129172"/>
      <w:bookmarkStart w:id="8" w:name="_Toc34582624"/>
      <w:r>
        <w:rPr>
          <w:rFonts w:hint="eastAsia"/>
        </w:rPr>
        <w:t>应遵循的主要标准</w:t>
      </w:r>
      <w:bookmarkEnd w:id="4"/>
      <w:bookmarkEnd w:id="5"/>
      <w:bookmarkEnd w:id="6"/>
      <w:bookmarkEnd w:id="7"/>
      <w:bookmarkEnd w:id="8"/>
    </w:p>
    <w:p w14:paraId="4E232AED">
      <w:pPr>
        <w:ind w:firstLine="480"/>
        <w:rPr>
          <w:rFonts w:hAnsi="宋体"/>
          <w:color w:val="000000"/>
        </w:rPr>
      </w:pPr>
      <w:r>
        <w:rPr>
          <w:rFonts w:hint="eastAsia" w:hAnsi="宋体"/>
          <w:color w:val="000000"/>
        </w:rPr>
        <w:t>投标方在开发实施工作过程中提供的所有服务、技术支持、工作产品，除本规范书中规定的技术参数和要求外，其余均应遵照最新版本的国际电信联盟(ITU)、国际电工委员会标准(IEC)、国际公制(SI)、国际标准化组织（ISO）、国家标准及广西电网有限责任公司的相关管理制度。如果投标方有自己的标准或规范经招标方同意方可采用，但原则上均不能低于上述标准的有关规定，特别是这些规定或规程中互相矛盾的地方，应先征得招标方同意，再开展开发实施工作。本项目的工作应遵循以下标准和文件要求：</w:t>
      </w:r>
    </w:p>
    <w:tbl>
      <w:tblPr>
        <w:tblStyle w:val="23"/>
        <w:tblW w:w="0" w:type="auto"/>
        <w:tblInd w:w="-127" w:type="dxa"/>
        <w:tblLayout w:type="autofit"/>
        <w:tblCellMar>
          <w:top w:w="0" w:type="dxa"/>
          <w:left w:w="108" w:type="dxa"/>
          <w:bottom w:w="0" w:type="dxa"/>
          <w:right w:w="108" w:type="dxa"/>
        </w:tblCellMar>
      </w:tblPr>
      <w:tblGrid>
        <w:gridCol w:w="2526"/>
        <w:gridCol w:w="5936"/>
      </w:tblGrid>
      <w:tr w14:paraId="15119925">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77B39D4">
            <w:pPr>
              <w:widowControl/>
              <w:spacing w:line="240" w:lineRule="auto"/>
              <w:jc w:val="center"/>
              <w:rPr>
                <w:rFonts w:hAnsi="宋体" w:cs="宋体"/>
                <w:b/>
                <w:bCs/>
                <w:color w:val="000000"/>
                <w:kern w:val="0"/>
                <w:sz w:val="22"/>
                <w:szCs w:val="22"/>
              </w:rPr>
            </w:pPr>
            <w:r>
              <w:rPr>
                <w:rFonts w:hint="eastAsia" w:hAnsi="宋体" w:cs="宋体"/>
                <w:b/>
                <w:bCs/>
                <w:color w:val="000000"/>
                <w:kern w:val="0"/>
                <w:sz w:val="22"/>
                <w:szCs w:val="22"/>
              </w:rPr>
              <w:t>标准号或文号</w:t>
            </w:r>
          </w:p>
        </w:tc>
        <w:tc>
          <w:tcPr>
            <w:tcW w:w="0" w:type="auto"/>
            <w:tcBorders>
              <w:top w:val="single" w:color="auto" w:sz="4" w:space="0"/>
              <w:left w:val="nil"/>
              <w:bottom w:val="single" w:color="auto" w:sz="4" w:space="0"/>
              <w:right w:val="single" w:color="auto" w:sz="4" w:space="0"/>
            </w:tcBorders>
            <w:shd w:val="clear" w:color="auto" w:fill="auto"/>
            <w:vAlign w:val="center"/>
          </w:tcPr>
          <w:p w14:paraId="6D0CACF2">
            <w:pPr>
              <w:widowControl/>
              <w:spacing w:line="240" w:lineRule="auto"/>
              <w:jc w:val="center"/>
              <w:rPr>
                <w:rFonts w:hAnsi="宋体" w:cs="宋体"/>
                <w:b/>
                <w:bCs/>
                <w:color w:val="000000"/>
                <w:kern w:val="0"/>
                <w:sz w:val="22"/>
                <w:szCs w:val="22"/>
              </w:rPr>
            </w:pPr>
            <w:r>
              <w:rPr>
                <w:rFonts w:hint="eastAsia" w:hAnsi="宋体" w:cs="宋体"/>
                <w:b/>
                <w:bCs/>
                <w:color w:val="000000"/>
                <w:kern w:val="0"/>
                <w:sz w:val="22"/>
                <w:szCs w:val="22"/>
              </w:rPr>
              <w:t>标准名称</w:t>
            </w:r>
          </w:p>
        </w:tc>
      </w:tr>
      <w:tr w14:paraId="3C306384">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14:paraId="1A5528C9">
            <w:pPr>
              <w:widowControl/>
              <w:spacing w:line="240" w:lineRule="auto"/>
              <w:textAlignment w:val="top"/>
              <w:rPr>
                <w:rFonts w:hAnsi="宋体" w:cs="宋体"/>
                <w:bCs/>
                <w:color w:val="000000"/>
                <w:kern w:val="0"/>
                <w:sz w:val="22"/>
                <w:szCs w:val="22"/>
              </w:rPr>
            </w:pPr>
            <w:r>
              <w:rPr>
                <w:rFonts w:hint="eastAsia" w:hAnsi="宋体" w:cs="宋体"/>
                <w:color w:val="000000"/>
                <w:kern w:val="0"/>
                <w:sz w:val="22"/>
                <w:szCs w:val="22"/>
                <w:lang w:bidi="ar"/>
              </w:rPr>
              <w:t>Q/CSG2153078-2020</w:t>
            </w:r>
          </w:p>
        </w:tc>
        <w:tc>
          <w:tcPr>
            <w:tcW w:w="0" w:type="auto"/>
            <w:tcBorders>
              <w:top w:val="single" w:color="auto" w:sz="4" w:space="0"/>
              <w:left w:val="nil"/>
              <w:bottom w:val="single" w:color="auto" w:sz="4" w:space="0"/>
              <w:right w:val="single" w:color="auto" w:sz="4" w:space="0"/>
            </w:tcBorders>
            <w:shd w:val="clear" w:color="auto" w:fill="auto"/>
            <w:vAlign w:val="center"/>
          </w:tcPr>
          <w:p w14:paraId="0DF6B009">
            <w:pPr>
              <w:widowControl/>
              <w:spacing w:line="240" w:lineRule="auto"/>
              <w:textAlignment w:val="center"/>
              <w:rPr>
                <w:rFonts w:hAnsi="宋体" w:cstheme="minorEastAsia"/>
                <w:sz w:val="22"/>
                <w:szCs w:val="22"/>
              </w:rPr>
            </w:pPr>
            <w:r>
              <w:rPr>
                <w:rFonts w:hint="eastAsia" w:hAnsi="宋体" w:cs="宋体"/>
                <w:color w:val="000000"/>
                <w:kern w:val="0"/>
                <w:sz w:val="22"/>
                <w:szCs w:val="22"/>
                <w:lang w:bidi="ar"/>
              </w:rPr>
              <w:t>中国南方电网有限责任公司信息化项目管理细则</w:t>
            </w:r>
          </w:p>
        </w:tc>
      </w:tr>
      <w:tr w14:paraId="23587F38">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tcPr>
          <w:p w14:paraId="754C3287">
            <w:pPr>
              <w:widowControl/>
              <w:spacing w:line="240" w:lineRule="auto"/>
              <w:textAlignment w:val="top"/>
              <w:rPr>
                <w:rFonts w:hAnsi="宋体" w:cs="宋体"/>
                <w:bCs/>
                <w:color w:val="000000"/>
                <w:kern w:val="0"/>
                <w:sz w:val="22"/>
                <w:szCs w:val="22"/>
              </w:rPr>
            </w:pPr>
            <w:r>
              <w:rPr>
                <w:rFonts w:hint="eastAsia" w:hAnsi="宋体" w:cs="宋体"/>
                <w:color w:val="000000"/>
                <w:kern w:val="0"/>
                <w:sz w:val="22"/>
                <w:szCs w:val="22"/>
                <w:lang w:bidi="ar"/>
              </w:rPr>
              <w:t>Q/CSG2153080-2020</w:t>
            </w:r>
          </w:p>
        </w:tc>
        <w:tc>
          <w:tcPr>
            <w:tcW w:w="0" w:type="auto"/>
            <w:tcBorders>
              <w:top w:val="single" w:color="auto" w:sz="4" w:space="0"/>
              <w:left w:val="nil"/>
              <w:bottom w:val="single" w:color="auto" w:sz="4" w:space="0"/>
              <w:right w:val="single" w:color="auto" w:sz="4" w:space="0"/>
            </w:tcBorders>
            <w:shd w:val="clear" w:color="auto" w:fill="auto"/>
            <w:vAlign w:val="center"/>
          </w:tcPr>
          <w:p w14:paraId="0054CE10">
            <w:pPr>
              <w:widowControl/>
              <w:spacing w:line="240" w:lineRule="auto"/>
              <w:textAlignment w:val="center"/>
              <w:rPr>
                <w:rFonts w:hAnsi="宋体" w:cs="宋体"/>
                <w:color w:val="000000"/>
                <w:kern w:val="0"/>
              </w:rPr>
            </w:pPr>
            <w:r>
              <w:rPr>
                <w:rFonts w:hint="eastAsia" w:hAnsi="宋体" w:cs="宋体"/>
                <w:color w:val="000000"/>
                <w:kern w:val="0"/>
                <w:sz w:val="22"/>
                <w:szCs w:val="22"/>
                <w:lang w:bidi="ar"/>
              </w:rPr>
              <w:t>中国南方电网有限责任公司信息化项目建设管理细则</w:t>
            </w:r>
          </w:p>
        </w:tc>
      </w:tr>
      <w:tr w14:paraId="3CC90B03">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ED2B28E">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Q/CSG-GXPG2IT002-2019</w:t>
            </w:r>
          </w:p>
        </w:tc>
        <w:tc>
          <w:tcPr>
            <w:tcW w:w="0" w:type="auto"/>
            <w:tcBorders>
              <w:top w:val="single" w:color="auto" w:sz="4" w:space="0"/>
              <w:left w:val="nil"/>
              <w:bottom w:val="single" w:color="auto" w:sz="4" w:space="0"/>
              <w:right w:val="single" w:color="auto" w:sz="4" w:space="0"/>
            </w:tcBorders>
            <w:shd w:val="clear" w:color="auto" w:fill="auto"/>
            <w:vAlign w:val="center"/>
          </w:tcPr>
          <w:p w14:paraId="779D4821">
            <w:pPr>
              <w:widowControl/>
              <w:spacing w:line="240" w:lineRule="auto"/>
              <w:jc w:val="left"/>
              <w:textAlignment w:val="center"/>
              <w:rPr>
                <w:rFonts w:hAnsi="宋体" w:cs="宋体"/>
                <w:color w:val="000000"/>
                <w:kern w:val="0"/>
              </w:rPr>
            </w:pPr>
            <w:r>
              <w:rPr>
                <w:rFonts w:hint="eastAsia" w:hAnsi="宋体" w:cs="宋体"/>
                <w:color w:val="000000"/>
                <w:kern w:val="0"/>
                <w:sz w:val="22"/>
                <w:szCs w:val="22"/>
                <w:lang w:bidi="ar"/>
              </w:rPr>
              <w:t>广西电网有限责任公司网络安全管理细则</w:t>
            </w:r>
          </w:p>
        </w:tc>
      </w:tr>
      <w:tr w14:paraId="01DA465B">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173AC4F">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办数字〔2020〕12号</w:t>
            </w:r>
          </w:p>
        </w:tc>
        <w:tc>
          <w:tcPr>
            <w:tcW w:w="0" w:type="auto"/>
            <w:tcBorders>
              <w:top w:val="single" w:color="auto" w:sz="4" w:space="0"/>
              <w:left w:val="nil"/>
              <w:bottom w:val="single" w:color="auto" w:sz="4" w:space="0"/>
              <w:right w:val="single" w:color="auto" w:sz="4" w:space="0"/>
            </w:tcBorders>
            <w:shd w:val="clear" w:color="auto" w:fill="auto"/>
            <w:vAlign w:val="center"/>
          </w:tcPr>
          <w:p w14:paraId="419FDD53">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南方电网公司网络安全技术管控工作指引（2020年版）</w:t>
            </w:r>
          </w:p>
        </w:tc>
      </w:tr>
      <w:tr w14:paraId="0720619B">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2B0A1D5">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Q/CSG218005-2018</w:t>
            </w:r>
          </w:p>
        </w:tc>
        <w:tc>
          <w:tcPr>
            <w:tcW w:w="0" w:type="auto"/>
            <w:tcBorders>
              <w:top w:val="single" w:color="auto" w:sz="4" w:space="0"/>
              <w:left w:val="nil"/>
              <w:bottom w:val="single" w:color="auto" w:sz="4" w:space="0"/>
              <w:right w:val="single" w:color="auto" w:sz="4" w:space="0"/>
            </w:tcBorders>
            <w:shd w:val="clear" w:color="auto" w:fill="auto"/>
            <w:vAlign w:val="center"/>
          </w:tcPr>
          <w:p w14:paraId="66906DF8">
            <w:pPr>
              <w:widowControl/>
              <w:spacing w:line="240" w:lineRule="auto"/>
              <w:jc w:val="left"/>
              <w:textAlignment w:val="center"/>
              <w:rPr>
                <w:rFonts w:hAnsi="宋体" w:cs="宋体"/>
                <w:b/>
                <w:bCs/>
                <w:color w:val="000000"/>
                <w:kern w:val="0"/>
                <w:sz w:val="22"/>
                <w:szCs w:val="22"/>
              </w:rPr>
            </w:pPr>
            <w:r>
              <w:rPr>
                <w:rFonts w:hint="eastAsia" w:hAnsi="宋体" w:cs="宋体"/>
                <w:color w:val="000000"/>
                <w:kern w:val="0"/>
                <w:sz w:val="22"/>
                <w:szCs w:val="22"/>
                <w:lang w:bidi="ar"/>
              </w:rPr>
              <w:t>中国南方电网有限责任公司数据资产管理办法</w:t>
            </w:r>
          </w:p>
        </w:tc>
      </w:tr>
      <w:tr w14:paraId="32C0C9C4">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626489F">
            <w:pPr>
              <w:spacing w:line="240" w:lineRule="auto"/>
              <w:rPr>
                <w:rFonts w:hAnsi="宋体" w:cs="宋体"/>
                <w:bCs/>
                <w:color w:val="000000"/>
                <w:kern w:val="0"/>
                <w:sz w:val="22"/>
                <w:szCs w:val="22"/>
              </w:rPr>
            </w:pPr>
          </w:p>
        </w:tc>
        <w:tc>
          <w:tcPr>
            <w:tcW w:w="0" w:type="auto"/>
            <w:tcBorders>
              <w:top w:val="single" w:color="auto" w:sz="4" w:space="0"/>
              <w:left w:val="nil"/>
              <w:bottom w:val="single" w:color="auto" w:sz="4" w:space="0"/>
              <w:right w:val="single" w:color="auto" w:sz="4" w:space="0"/>
            </w:tcBorders>
            <w:shd w:val="clear" w:color="auto" w:fill="auto"/>
            <w:vAlign w:val="center"/>
          </w:tcPr>
          <w:p w14:paraId="64238054">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中国南方电网有限责任公司数据共享开放管理细则</w:t>
            </w:r>
          </w:p>
        </w:tc>
      </w:tr>
      <w:tr w14:paraId="78FD2A8F">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62332A1">
            <w:pPr>
              <w:spacing w:line="240" w:lineRule="auto"/>
              <w:rPr>
                <w:rFonts w:hAnsi="宋体" w:cs="宋体"/>
                <w:bCs/>
                <w:color w:val="000000"/>
                <w:kern w:val="0"/>
                <w:sz w:val="22"/>
                <w:szCs w:val="22"/>
              </w:rPr>
            </w:pPr>
          </w:p>
        </w:tc>
        <w:tc>
          <w:tcPr>
            <w:tcW w:w="0" w:type="auto"/>
            <w:tcBorders>
              <w:top w:val="single" w:color="auto" w:sz="4" w:space="0"/>
              <w:left w:val="nil"/>
              <w:bottom w:val="single" w:color="auto" w:sz="4" w:space="0"/>
              <w:right w:val="single" w:color="auto" w:sz="4" w:space="0"/>
            </w:tcBorders>
            <w:shd w:val="clear" w:color="auto" w:fill="auto"/>
            <w:vAlign w:val="center"/>
          </w:tcPr>
          <w:p w14:paraId="6F3F1FEE">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中国南方电网有限责任公司主数据管理细则</w:t>
            </w:r>
          </w:p>
        </w:tc>
      </w:tr>
      <w:tr w14:paraId="44AA8BBF">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D377803">
            <w:pPr>
              <w:spacing w:line="240" w:lineRule="auto"/>
              <w:rPr>
                <w:rFonts w:hAnsi="宋体" w:cs="宋体"/>
                <w:bCs/>
                <w:color w:val="000000"/>
                <w:kern w:val="0"/>
                <w:sz w:val="22"/>
                <w:szCs w:val="22"/>
              </w:rPr>
            </w:pPr>
          </w:p>
        </w:tc>
        <w:tc>
          <w:tcPr>
            <w:tcW w:w="0" w:type="auto"/>
            <w:tcBorders>
              <w:top w:val="single" w:color="auto" w:sz="4" w:space="0"/>
              <w:left w:val="nil"/>
              <w:bottom w:val="single" w:color="auto" w:sz="4" w:space="0"/>
              <w:right w:val="single" w:color="auto" w:sz="4" w:space="0"/>
            </w:tcBorders>
            <w:shd w:val="clear" w:color="auto" w:fill="auto"/>
            <w:vAlign w:val="center"/>
          </w:tcPr>
          <w:p w14:paraId="6833BC6C">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中国南方电网有限责任公司元数据管理指导意见（试行）</w:t>
            </w:r>
          </w:p>
        </w:tc>
      </w:tr>
      <w:tr w14:paraId="65011B06">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8278AB8">
            <w:pPr>
              <w:spacing w:line="240" w:lineRule="auto"/>
              <w:rPr>
                <w:rFonts w:hAnsi="宋体" w:cs="宋体"/>
                <w:bCs/>
                <w:color w:val="000000"/>
                <w:kern w:val="0"/>
                <w:sz w:val="22"/>
                <w:szCs w:val="22"/>
              </w:rPr>
            </w:pPr>
          </w:p>
        </w:tc>
        <w:tc>
          <w:tcPr>
            <w:tcW w:w="0" w:type="auto"/>
            <w:tcBorders>
              <w:top w:val="single" w:color="auto" w:sz="4" w:space="0"/>
              <w:left w:val="nil"/>
              <w:bottom w:val="single" w:color="auto" w:sz="4" w:space="0"/>
              <w:right w:val="single" w:color="auto" w:sz="4" w:space="0"/>
            </w:tcBorders>
            <w:shd w:val="clear" w:color="auto" w:fill="auto"/>
            <w:vAlign w:val="center"/>
          </w:tcPr>
          <w:p w14:paraId="482A4B67">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中国南方电网有限责任公司元数据与数据资产目录管理细则</w:t>
            </w:r>
          </w:p>
        </w:tc>
      </w:tr>
      <w:tr w14:paraId="3D52AA5B">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2186536">
            <w:pPr>
              <w:spacing w:line="240" w:lineRule="auto"/>
              <w:rPr>
                <w:rFonts w:hAnsi="宋体" w:cs="宋体"/>
                <w:bCs/>
                <w:color w:val="000000"/>
                <w:kern w:val="0"/>
                <w:sz w:val="22"/>
                <w:szCs w:val="22"/>
              </w:rPr>
            </w:pPr>
          </w:p>
        </w:tc>
        <w:tc>
          <w:tcPr>
            <w:tcW w:w="0" w:type="auto"/>
            <w:tcBorders>
              <w:top w:val="single" w:color="auto" w:sz="4" w:space="0"/>
              <w:left w:val="nil"/>
              <w:bottom w:val="single" w:color="auto" w:sz="4" w:space="0"/>
              <w:right w:val="single" w:color="auto" w:sz="4" w:space="0"/>
            </w:tcBorders>
            <w:shd w:val="clear" w:color="auto" w:fill="auto"/>
            <w:vAlign w:val="center"/>
          </w:tcPr>
          <w:p w14:paraId="7BEF92FC">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中国南方电网有限责任公司数据认责管理细则</w:t>
            </w:r>
          </w:p>
        </w:tc>
      </w:tr>
      <w:tr w14:paraId="684991ED">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79D2487">
            <w:pPr>
              <w:spacing w:line="240" w:lineRule="auto"/>
              <w:rPr>
                <w:rFonts w:hAnsi="宋体" w:cs="宋体"/>
                <w:bCs/>
                <w:color w:val="000000"/>
                <w:kern w:val="0"/>
                <w:sz w:val="22"/>
                <w:szCs w:val="22"/>
              </w:rPr>
            </w:pPr>
          </w:p>
        </w:tc>
        <w:tc>
          <w:tcPr>
            <w:tcW w:w="0" w:type="auto"/>
            <w:tcBorders>
              <w:top w:val="single" w:color="auto" w:sz="4" w:space="0"/>
              <w:left w:val="nil"/>
              <w:bottom w:val="single" w:color="auto" w:sz="4" w:space="0"/>
              <w:right w:val="single" w:color="auto" w:sz="4" w:space="0"/>
            </w:tcBorders>
            <w:shd w:val="clear" w:color="auto" w:fill="auto"/>
            <w:vAlign w:val="center"/>
          </w:tcPr>
          <w:p w14:paraId="33FA713F">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中国南方电网有限责任公司数据模型管理细则</w:t>
            </w:r>
          </w:p>
        </w:tc>
      </w:tr>
      <w:tr w14:paraId="1425B614">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487CE91">
            <w:pPr>
              <w:spacing w:line="240" w:lineRule="auto"/>
              <w:rPr>
                <w:rFonts w:hAnsi="宋体" w:cs="宋体"/>
                <w:bCs/>
                <w:color w:val="000000"/>
                <w:kern w:val="0"/>
                <w:sz w:val="22"/>
                <w:szCs w:val="22"/>
              </w:rPr>
            </w:pPr>
          </w:p>
        </w:tc>
        <w:tc>
          <w:tcPr>
            <w:tcW w:w="0" w:type="auto"/>
            <w:tcBorders>
              <w:top w:val="single" w:color="auto" w:sz="4" w:space="0"/>
              <w:left w:val="nil"/>
              <w:bottom w:val="single" w:color="auto" w:sz="4" w:space="0"/>
              <w:right w:val="single" w:color="auto" w:sz="4" w:space="0"/>
            </w:tcBorders>
            <w:shd w:val="clear" w:color="auto" w:fill="auto"/>
            <w:vAlign w:val="center"/>
          </w:tcPr>
          <w:p w14:paraId="3F81A3AE">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中国南方电网有限责任公司数据采集与运维管理细则</w:t>
            </w:r>
          </w:p>
        </w:tc>
      </w:tr>
      <w:tr w14:paraId="70D62AF2">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0F682BE">
            <w:pPr>
              <w:widowControl/>
              <w:spacing w:line="240" w:lineRule="auto"/>
              <w:jc w:val="left"/>
              <w:textAlignment w:val="center"/>
              <w:rPr>
                <w:rFonts w:hAnsi="宋体" w:cs="宋体"/>
                <w:bCs/>
                <w:color w:val="000000"/>
                <w:kern w:val="0"/>
                <w:sz w:val="22"/>
                <w:szCs w:val="22"/>
              </w:rPr>
            </w:pPr>
            <w:r>
              <w:rPr>
                <w:rFonts w:hint="eastAsia" w:hAnsi="宋体" w:cs="宋体"/>
                <w:color w:val="000000"/>
                <w:kern w:val="0"/>
                <w:sz w:val="22"/>
                <w:szCs w:val="22"/>
                <w:lang w:bidi="ar"/>
              </w:rPr>
              <w:t>Q/CSG-GXPG2IT003-2019</w:t>
            </w:r>
          </w:p>
        </w:tc>
        <w:tc>
          <w:tcPr>
            <w:tcW w:w="0" w:type="auto"/>
            <w:tcBorders>
              <w:top w:val="single" w:color="auto" w:sz="4" w:space="0"/>
              <w:left w:val="nil"/>
              <w:bottom w:val="single" w:color="auto" w:sz="4" w:space="0"/>
              <w:right w:val="single" w:color="auto" w:sz="4" w:space="0"/>
            </w:tcBorders>
            <w:shd w:val="clear" w:color="auto" w:fill="auto"/>
            <w:vAlign w:val="center"/>
          </w:tcPr>
          <w:p w14:paraId="67E717AF">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广西电网有限责任公司数据安全管理细则</w:t>
            </w:r>
          </w:p>
        </w:tc>
      </w:tr>
      <w:tr w14:paraId="04FE6FD4">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0FD0682">
            <w:pPr>
              <w:widowControl/>
              <w:spacing w:line="240" w:lineRule="auto"/>
              <w:jc w:val="left"/>
              <w:textAlignment w:val="center"/>
              <w:rPr>
                <w:rFonts w:hAnsi="宋体" w:cs="宋体"/>
                <w:bCs/>
                <w:color w:val="000000"/>
                <w:kern w:val="0"/>
                <w:sz w:val="22"/>
                <w:szCs w:val="22"/>
              </w:rPr>
            </w:pPr>
            <w:r>
              <w:rPr>
                <w:rFonts w:hint="eastAsia" w:hAnsi="宋体" w:cs="宋体"/>
                <w:color w:val="000000"/>
                <w:kern w:val="0"/>
                <w:sz w:val="22"/>
                <w:szCs w:val="22"/>
                <w:lang w:bidi="ar"/>
              </w:rPr>
              <w:t>Q/CSG-GXPG2IT004-2019</w:t>
            </w:r>
          </w:p>
        </w:tc>
        <w:tc>
          <w:tcPr>
            <w:tcW w:w="0" w:type="auto"/>
            <w:tcBorders>
              <w:top w:val="single" w:color="auto" w:sz="4" w:space="0"/>
              <w:left w:val="nil"/>
              <w:bottom w:val="single" w:color="auto" w:sz="4" w:space="0"/>
              <w:right w:val="single" w:color="auto" w:sz="4" w:space="0"/>
            </w:tcBorders>
            <w:shd w:val="clear" w:color="auto" w:fill="auto"/>
            <w:vAlign w:val="center"/>
          </w:tcPr>
          <w:p w14:paraId="745D27BA">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广西电网有限责任公司数据共享开放实施细则</w:t>
            </w:r>
          </w:p>
        </w:tc>
      </w:tr>
      <w:tr w14:paraId="795F9C5F">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BEF6A5F">
            <w:pPr>
              <w:widowControl/>
              <w:spacing w:line="240" w:lineRule="auto"/>
              <w:jc w:val="left"/>
              <w:textAlignment w:val="center"/>
              <w:rPr>
                <w:rFonts w:hAnsi="宋体" w:cs="宋体"/>
                <w:bCs/>
                <w:color w:val="000000"/>
                <w:kern w:val="0"/>
                <w:sz w:val="22"/>
                <w:szCs w:val="22"/>
              </w:rPr>
            </w:pPr>
            <w:r>
              <w:rPr>
                <w:rFonts w:hint="eastAsia" w:hAnsi="宋体" w:cs="宋体"/>
                <w:color w:val="000000"/>
                <w:kern w:val="0"/>
                <w:sz w:val="22"/>
                <w:szCs w:val="22"/>
                <w:lang w:bidi="ar"/>
              </w:rPr>
              <w:t>Q/CSG-GXPG2IT006-2019</w:t>
            </w:r>
          </w:p>
        </w:tc>
        <w:tc>
          <w:tcPr>
            <w:tcW w:w="0" w:type="auto"/>
            <w:tcBorders>
              <w:top w:val="single" w:color="auto" w:sz="4" w:space="0"/>
              <w:left w:val="nil"/>
              <w:bottom w:val="single" w:color="auto" w:sz="4" w:space="0"/>
              <w:right w:val="single" w:color="auto" w:sz="4" w:space="0"/>
            </w:tcBorders>
            <w:shd w:val="clear" w:color="auto" w:fill="auto"/>
            <w:vAlign w:val="center"/>
          </w:tcPr>
          <w:p w14:paraId="066720C4">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广西电网有限责任公司数据应用管理细则</w:t>
            </w:r>
          </w:p>
        </w:tc>
      </w:tr>
      <w:tr w14:paraId="04E955B2">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C91E501">
            <w:pPr>
              <w:widowControl/>
              <w:spacing w:line="240" w:lineRule="auto"/>
              <w:jc w:val="left"/>
              <w:textAlignment w:val="center"/>
              <w:rPr>
                <w:rFonts w:hAnsi="宋体" w:cs="宋体"/>
                <w:bCs/>
                <w:color w:val="000000"/>
                <w:kern w:val="0"/>
                <w:sz w:val="22"/>
                <w:szCs w:val="22"/>
              </w:rPr>
            </w:pPr>
            <w:r>
              <w:rPr>
                <w:rFonts w:hint="eastAsia" w:hAnsi="宋体" w:cs="宋体"/>
                <w:color w:val="000000"/>
                <w:kern w:val="0"/>
                <w:sz w:val="22"/>
                <w:szCs w:val="22"/>
                <w:lang w:bidi="ar"/>
              </w:rPr>
              <w:t>Q/CSG-GXPG2IT005-2019</w:t>
            </w:r>
          </w:p>
        </w:tc>
        <w:tc>
          <w:tcPr>
            <w:tcW w:w="0" w:type="auto"/>
            <w:tcBorders>
              <w:top w:val="single" w:color="auto" w:sz="4" w:space="0"/>
              <w:left w:val="nil"/>
              <w:bottom w:val="single" w:color="auto" w:sz="4" w:space="0"/>
              <w:right w:val="single" w:color="auto" w:sz="4" w:space="0"/>
            </w:tcBorders>
            <w:shd w:val="clear" w:color="auto" w:fill="auto"/>
            <w:vAlign w:val="center"/>
          </w:tcPr>
          <w:p w14:paraId="33BE75AF">
            <w:pPr>
              <w:widowControl/>
              <w:spacing w:line="240" w:lineRule="auto"/>
              <w:jc w:val="left"/>
              <w:textAlignment w:val="center"/>
              <w:rPr>
                <w:rFonts w:hAnsi="宋体" w:cstheme="minorEastAsia"/>
                <w:sz w:val="22"/>
                <w:szCs w:val="22"/>
              </w:rPr>
            </w:pPr>
            <w:r>
              <w:rPr>
                <w:rFonts w:hint="eastAsia" w:hAnsi="宋体" w:cs="宋体"/>
                <w:color w:val="000000"/>
                <w:kern w:val="0"/>
                <w:sz w:val="22"/>
                <w:szCs w:val="22"/>
                <w:lang w:bidi="ar"/>
              </w:rPr>
              <w:t>广西电网有限责任公司数据运行维护管理细则</w:t>
            </w:r>
          </w:p>
        </w:tc>
      </w:tr>
      <w:tr w14:paraId="6D7D604A">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ACE6A3E">
            <w:pPr>
              <w:widowControl/>
              <w:spacing w:line="240" w:lineRule="auto"/>
              <w:textAlignment w:val="center"/>
              <w:rPr>
                <w:rFonts w:hAnsi="宋体" w:cs="宋体"/>
                <w:bCs/>
                <w:color w:val="000000"/>
                <w:kern w:val="0"/>
                <w:sz w:val="22"/>
                <w:szCs w:val="22"/>
              </w:rPr>
            </w:pPr>
            <w:r>
              <w:rPr>
                <w:rFonts w:hint="eastAsia" w:hAnsi="宋体" w:cs="宋体"/>
                <w:color w:val="000000"/>
                <w:kern w:val="0"/>
                <w:sz w:val="22"/>
                <w:szCs w:val="22"/>
                <w:lang w:bidi="ar"/>
              </w:rPr>
              <w:t>Q/CSG-GXPG218007-2014</w:t>
            </w:r>
          </w:p>
        </w:tc>
        <w:tc>
          <w:tcPr>
            <w:tcW w:w="0" w:type="auto"/>
            <w:tcBorders>
              <w:top w:val="single" w:color="auto" w:sz="4" w:space="0"/>
              <w:left w:val="nil"/>
              <w:bottom w:val="single" w:color="auto" w:sz="4" w:space="0"/>
              <w:right w:val="single" w:color="auto" w:sz="4" w:space="0"/>
            </w:tcBorders>
            <w:shd w:val="clear" w:color="auto" w:fill="auto"/>
            <w:vAlign w:val="center"/>
          </w:tcPr>
          <w:p w14:paraId="0129D8C4">
            <w:pPr>
              <w:widowControl/>
              <w:spacing w:line="240" w:lineRule="auto"/>
              <w:textAlignment w:val="center"/>
              <w:rPr>
                <w:rFonts w:hAnsi="宋体" w:cstheme="minorEastAsia"/>
                <w:sz w:val="22"/>
                <w:szCs w:val="22"/>
              </w:rPr>
            </w:pPr>
            <w:r>
              <w:rPr>
                <w:rFonts w:hint="eastAsia" w:hAnsi="宋体" w:cs="宋体"/>
                <w:color w:val="000000"/>
                <w:kern w:val="0"/>
                <w:sz w:val="22"/>
                <w:szCs w:val="22"/>
                <w:lang w:bidi="ar"/>
              </w:rPr>
              <w:t>广西电网有限责任公司IT服务管理细则</w:t>
            </w:r>
          </w:p>
        </w:tc>
      </w:tr>
      <w:tr w14:paraId="6DC7BE54">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8A39207">
            <w:pPr>
              <w:spacing w:line="240" w:lineRule="auto"/>
              <w:rPr>
                <w:rFonts w:hAnsi="宋体" w:cs="宋体"/>
                <w:bCs/>
                <w:kern w:val="0"/>
                <w:sz w:val="22"/>
                <w:szCs w:val="22"/>
              </w:rPr>
            </w:pPr>
            <w:r>
              <w:rPr>
                <w:rFonts w:hint="eastAsia" w:hAnsi="宋体" w:cs="宋体"/>
                <w:bCs/>
                <w:kern w:val="0"/>
                <w:sz w:val="22"/>
                <w:szCs w:val="22"/>
              </w:rPr>
              <w:t>GX-YYZX2KF016-2022</w:t>
            </w:r>
          </w:p>
        </w:tc>
        <w:tc>
          <w:tcPr>
            <w:tcW w:w="0" w:type="auto"/>
            <w:tcBorders>
              <w:top w:val="single" w:color="auto" w:sz="4" w:space="0"/>
              <w:left w:val="nil"/>
              <w:bottom w:val="single" w:color="auto" w:sz="4" w:space="0"/>
              <w:right w:val="single" w:color="auto" w:sz="4" w:space="0"/>
            </w:tcBorders>
            <w:shd w:val="clear" w:color="auto" w:fill="auto"/>
            <w:vAlign w:val="center"/>
          </w:tcPr>
          <w:p w14:paraId="7180D440">
            <w:pPr>
              <w:widowControl/>
              <w:spacing w:line="240" w:lineRule="auto"/>
              <w:textAlignment w:val="center"/>
              <w:rPr>
                <w:rFonts w:hAnsi="宋体" w:cstheme="minorEastAsia"/>
                <w:sz w:val="22"/>
                <w:szCs w:val="22"/>
              </w:rPr>
            </w:pPr>
            <w:r>
              <w:rPr>
                <w:rFonts w:hint="eastAsia" w:hAnsi="宋体" w:cs="宋体"/>
                <w:kern w:val="0"/>
                <w:sz w:val="22"/>
                <w:szCs w:val="22"/>
                <w:lang w:bidi="ar"/>
              </w:rPr>
              <w:t>客户服务中心网络信息安全管理工作指引</w:t>
            </w:r>
          </w:p>
        </w:tc>
      </w:tr>
      <w:tr w14:paraId="0752851F">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13A893F">
            <w:pPr>
              <w:spacing w:line="240" w:lineRule="auto"/>
              <w:rPr>
                <w:rFonts w:hAnsi="宋体" w:cs="宋体"/>
                <w:bCs/>
                <w:color w:val="000000"/>
                <w:kern w:val="0"/>
                <w:sz w:val="22"/>
                <w:szCs w:val="22"/>
              </w:rPr>
            </w:pPr>
          </w:p>
        </w:tc>
        <w:tc>
          <w:tcPr>
            <w:tcW w:w="0" w:type="auto"/>
            <w:tcBorders>
              <w:top w:val="single" w:color="auto" w:sz="4" w:space="0"/>
              <w:left w:val="nil"/>
              <w:bottom w:val="single" w:color="auto" w:sz="4" w:space="0"/>
              <w:right w:val="single" w:color="auto" w:sz="4" w:space="0"/>
            </w:tcBorders>
            <w:shd w:val="clear" w:color="auto" w:fill="auto"/>
            <w:vAlign w:val="center"/>
          </w:tcPr>
          <w:p w14:paraId="2BAF369A">
            <w:pPr>
              <w:widowControl/>
              <w:spacing w:line="240" w:lineRule="auto"/>
              <w:textAlignment w:val="center"/>
              <w:rPr>
                <w:rFonts w:hAnsi="宋体" w:cs="宋体"/>
                <w:color w:val="000000"/>
                <w:kern w:val="0"/>
                <w:sz w:val="22"/>
                <w:szCs w:val="22"/>
                <w:lang w:bidi="ar"/>
              </w:rPr>
            </w:pPr>
            <w:r>
              <w:rPr>
                <w:rFonts w:hint="eastAsia" w:hAnsi="宋体" w:cs="宋体"/>
                <w:color w:val="000000"/>
                <w:kern w:val="0"/>
                <w:sz w:val="22"/>
                <w:szCs w:val="22"/>
                <w:lang w:bidi="ar"/>
              </w:rPr>
              <w:t>信息中心信息作业安全管理工作指引</w:t>
            </w:r>
          </w:p>
        </w:tc>
      </w:tr>
    </w:tbl>
    <w:p w14:paraId="27D126FD">
      <w:pPr>
        <w:pStyle w:val="4"/>
      </w:pPr>
      <w:bookmarkStart w:id="9" w:name="_Toc23608"/>
      <w:bookmarkStart w:id="10" w:name="_Toc23994"/>
      <w:bookmarkStart w:id="11" w:name="_Toc16482"/>
      <w:r>
        <w:rPr>
          <w:rFonts w:hint="eastAsia"/>
        </w:rPr>
        <w:t>项目概述</w:t>
      </w:r>
      <w:bookmarkEnd w:id="9"/>
      <w:bookmarkEnd w:id="10"/>
      <w:bookmarkEnd w:id="11"/>
    </w:p>
    <w:p w14:paraId="2468B99D">
      <w:pPr>
        <w:adjustRightInd w:val="0"/>
        <w:spacing w:line="360" w:lineRule="auto"/>
        <w:ind w:firstLine="480" w:firstLineChars="200"/>
        <w:textAlignment w:val="baseline"/>
        <w:rPr>
          <w:rFonts w:hint="default" w:ascii="宋体" w:hAnsi="宋体"/>
          <w:lang w:val="en-US" w:eastAsia="zh-CN"/>
        </w:rPr>
      </w:pPr>
      <w:bookmarkStart w:id="12" w:name="OLE_LINK7"/>
      <w:bookmarkStart w:id="13" w:name="_Toc20777"/>
      <w:bookmarkStart w:id="14" w:name="_Toc23750"/>
      <w:bookmarkStart w:id="15" w:name="_Toc13971"/>
      <w:r>
        <w:rPr>
          <w:rFonts w:hint="eastAsia" w:ascii="宋体" w:hAnsi="宋体"/>
          <w:lang w:val="en-US" w:eastAsia="zh-CN"/>
        </w:rPr>
        <w:t>为</w:t>
      </w:r>
      <w:r>
        <w:rPr>
          <w:rFonts w:hint="default" w:ascii="宋体" w:hAnsi="宋体"/>
          <w:lang w:val="en-US" w:eastAsia="zh-CN"/>
        </w:rPr>
        <w:t>强化电费回收管理，保障资金及时足额回流，维持公司运营的资金链稳定。本项目将提供多方面技术支持。一是提供专用号码资源，为</w:t>
      </w:r>
      <w:r>
        <w:rPr>
          <w:rFonts w:hint="eastAsia" w:hAnsi="宋体"/>
          <w:lang w:val="en-US" w:eastAsia="zh-CN"/>
        </w:rPr>
        <w:t>来宾城区供电分局</w:t>
      </w:r>
      <w:r>
        <w:rPr>
          <w:rFonts w:hint="default" w:ascii="宋体" w:hAnsi="宋体"/>
          <w:lang w:val="en-US" w:eastAsia="zh-CN"/>
        </w:rPr>
        <w:t>局配备固话号码用于电费催缴。这些固话号码专属且稳定，能避免因号码杂乱给用户带来不信任感，减少拒接情况，为电费催缴搭建可靠的沟通桥梁。​</w:t>
      </w:r>
    </w:p>
    <w:p w14:paraId="3D3AC801">
      <w:pPr>
        <w:adjustRightInd w:val="0"/>
        <w:spacing w:line="360" w:lineRule="auto"/>
        <w:ind w:firstLine="480" w:firstLineChars="200"/>
        <w:textAlignment w:val="baseline"/>
        <w:rPr>
          <w:rFonts w:hint="default" w:ascii="宋体" w:hAnsi="宋体"/>
          <w:lang w:val="en-US" w:eastAsia="zh-CN"/>
        </w:rPr>
      </w:pPr>
      <w:r>
        <w:rPr>
          <w:rFonts w:hint="default" w:ascii="宋体" w:hAnsi="宋体"/>
          <w:lang w:val="en-US" w:eastAsia="zh-CN"/>
        </w:rPr>
        <w:t>二是进行号码认证，将提供的固话号码单独认证为 “</w:t>
      </w:r>
      <w:r>
        <w:rPr>
          <w:rFonts w:hint="eastAsia" w:hAnsi="宋体"/>
          <w:lang w:val="en-US" w:eastAsia="zh-CN"/>
        </w:rPr>
        <w:t>来宾城区供电分局</w:t>
      </w:r>
      <w:r>
        <w:rPr>
          <w:rFonts w:hint="default" w:ascii="宋体" w:hAnsi="宋体"/>
          <w:lang w:val="en-US" w:eastAsia="zh-CN"/>
        </w:rPr>
        <w:t>电费服务热线”。用户接到来电时，显示认证后的号码及标识，能让用户快速识别来电用途，提升对来电的信任度，降低拦截概率，有效提高接通率，保障催缴信息顺利传达。​</w:t>
      </w:r>
    </w:p>
    <w:p w14:paraId="27B3C94B">
      <w:pPr>
        <w:adjustRightInd w:val="0"/>
        <w:spacing w:line="360" w:lineRule="auto"/>
        <w:ind w:firstLine="480" w:firstLineChars="200"/>
        <w:textAlignment w:val="baseline"/>
        <w:rPr>
          <w:rFonts w:hint="default" w:ascii="宋体" w:hAnsi="宋体"/>
          <w:lang w:val="en-US" w:eastAsia="zh-CN"/>
        </w:rPr>
      </w:pPr>
      <w:r>
        <w:rPr>
          <w:rFonts w:hint="default" w:ascii="宋体" w:hAnsi="宋体"/>
          <w:lang w:val="en-US" w:eastAsia="zh-CN"/>
        </w:rPr>
        <w:t>三是做好呼叫平台外呼号码配置，基于</w:t>
      </w:r>
      <w:r>
        <w:rPr>
          <w:rFonts w:hint="eastAsia" w:hAnsi="宋体"/>
          <w:lang w:val="en-US" w:eastAsia="zh-CN"/>
        </w:rPr>
        <w:t>城区</w:t>
      </w:r>
      <w:r>
        <w:rPr>
          <w:rFonts w:hint="default" w:ascii="宋体" w:hAnsi="宋体"/>
          <w:lang w:val="en-US" w:eastAsia="zh-CN"/>
        </w:rPr>
        <w:t>供电</w:t>
      </w:r>
      <w:r>
        <w:rPr>
          <w:rFonts w:hint="eastAsia" w:hAnsi="宋体"/>
          <w:lang w:val="en-US" w:eastAsia="zh-CN"/>
        </w:rPr>
        <w:t>分</w:t>
      </w:r>
      <w:r>
        <w:rPr>
          <w:rFonts w:hint="default" w:ascii="宋体" w:hAnsi="宋体"/>
          <w:lang w:val="en-US" w:eastAsia="zh-CN"/>
        </w:rPr>
        <w:t>局电费催缴需求，协调将提供的固话号码路由指向广西电网公司指定的呼叫中心语音网关。这一配置实现了外呼功能，确保</w:t>
      </w:r>
      <w:r>
        <w:rPr>
          <w:rFonts w:hint="eastAsia" w:hAnsi="宋体"/>
          <w:lang w:val="en-US" w:eastAsia="zh-CN"/>
        </w:rPr>
        <w:t>来宾城区供</w:t>
      </w:r>
      <w:r>
        <w:rPr>
          <w:rFonts w:hint="default" w:ascii="宋体" w:hAnsi="宋体"/>
          <w:lang w:val="en-US" w:eastAsia="zh-CN"/>
        </w:rPr>
        <w:t>电</w:t>
      </w:r>
      <w:r>
        <w:rPr>
          <w:rFonts w:hint="eastAsia" w:hAnsi="宋体"/>
          <w:lang w:val="en-US" w:eastAsia="zh-CN"/>
        </w:rPr>
        <w:t>分</w:t>
      </w:r>
      <w:r>
        <w:rPr>
          <w:rFonts w:hint="default" w:ascii="宋体" w:hAnsi="宋体"/>
          <w:lang w:val="en-US" w:eastAsia="zh-CN"/>
        </w:rPr>
        <w:t>局能借助这些固话号码，向欠费用户发起自动语音催缴呼叫，保证催缴工作有序开展。​</w:t>
      </w:r>
    </w:p>
    <w:p w14:paraId="5B9CB6C3">
      <w:pPr>
        <w:pageBreakBefore w:val="0"/>
        <w:kinsoku/>
        <w:wordWrap/>
        <w:overflowPunct/>
        <w:autoSpaceDE/>
        <w:autoSpaceDN/>
        <w:bidi w:val="0"/>
        <w:spacing w:line="360" w:lineRule="auto"/>
        <w:ind w:left="0" w:leftChars="0" w:firstLine="480" w:firstLineChars="200"/>
        <w:rPr>
          <w:rFonts w:hint="eastAsia"/>
        </w:rPr>
      </w:pPr>
      <w:r>
        <w:rPr>
          <w:rFonts w:hint="default" w:ascii="宋体" w:hAnsi="宋体"/>
          <w:lang w:val="en-US" w:eastAsia="zh-CN"/>
        </w:rPr>
        <w:t>这些技术支持与自动外呼系统等协同作用，专用号码是沟通基础，认证提升信任与接通率，外呼配置保障功能实现，共同提升电费催收效率与质量，助力</w:t>
      </w:r>
      <w:r>
        <w:rPr>
          <w:rFonts w:hint="eastAsia" w:hAnsi="宋体"/>
          <w:lang w:val="en-US" w:eastAsia="zh-CN"/>
        </w:rPr>
        <w:t>来宾城区供电分局</w:t>
      </w:r>
      <w:r>
        <w:rPr>
          <w:rFonts w:hint="default" w:ascii="宋体" w:hAnsi="宋体"/>
          <w:lang w:val="en-US" w:eastAsia="zh-CN"/>
        </w:rPr>
        <w:t>完成</w:t>
      </w:r>
      <w:r>
        <w:rPr>
          <w:rFonts w:hint="eastAsia" w:hAnsi="宋体"/>
          <w:lang w:val="en-US" w:eastAsia="zh-CN"/>
        </w:rPr>
        <w:t>来宾供电局</w:t>
      </w:r>
      <w:r>
        <w:rPr>
          <w:rFonts w:hint="default" w:ascii="宋体" w:hAnsi="宋体"/>
          <w:lang w:val="en-US" w:eastAsia="zh-CN"/>
        </w:rPr>
        <w:t>下达的催收任务</w:t>
      </w:r>
      <w:r>
        <w:rPr>
          <w:rFonts w:hint="eastAsia" w:ascii="宋体" w:hAnsi="宋体" w:cs="宋体"/>
          <w:color w:val="000000"/>
          <w:kern w:val="0"/>
          <w:sz w:val="24"/>
          <w:szCs w:val="24"/>
          <w:lang w:val="en-US" w:eastAsia="zh-CN" w:bidi="ar"/>
        </w:rPr>
        <w:t>。</w:t>
      </w:r>
    </w:p>
    <w:bookmarkEnd w:id="12"/>
    <w:p w14:paraId="44CC4A37">
      <w:pPr>
        <w:pStyle w:val="4"/>
      </w:pPr>
      <w:r>
        <w:rPr>
          <w:rFonts w:hint="eastAsia"/>
        </w:rPr>
        <w:t>范围和内容</w:t>
      </w:r>
      <w:bookmarkEnd w:id="13"/>
      <w:bookmarkEnd w:id="14"/>
      <w:bookmarkEnd w:id="15"/>
    </w:p>
    <w:p w14:paraId="593DA6E9">
      <w:pPr>
        <w:pageBreakBefore w:val="0"/>
        <w:kinsoku/>
        <w:wordWrap/>
        <w:overflowPunct/>
        <w:autoSpaceDE/>
        <w:autoSpaceDN/>
        <w:bidi w:val="0"/>
        <w:spacing w:line="360" w:lineRule="auto"/>
        <w:ind w:left="0" w:leftChars="0" w:firstLine="480" w:firstLineChars="200"/>
        <w:rPr>
          <w:rFonts w:hint="default"/>
          <w:highlight w:val="none"/>
          <w:lang w:val="en-US"/>
        </w:rPr>
      </w:pPr>
      <w:r>
        <w:rPr>
          <w:rFonts w:hint="eastAsia"/>
          <w:highlight w:val="none"/>
        </w:rPr>
        <w:t>开展</w:t>
      </w:r>
      <w:r>
        <w:rPr>
          <w:rFonts w:hint="eastAsia"/>
          <w:lang w:eastAsia="zh-CN"/>
        </w:rPr>
        <w:t>来宾城区供电分局</w:t>
      </w:r>
      <w:r>
        <w:rPr>
          <w:rFonts w:hint="eastAsia"/>
        </w:rPr>
        <w:t>电费催收技术支持服务项目</w:t>
      </w:r>
      <w:r>
        <w:rPr>
          <w:rFonts w:hint="eastAsia"/>
          <w:highlight w:val="none"/>
        </w:rPr>
        <w:t>工作，</w:t>
      </w:r>
      <w:r>
        <w:rPr>
          <w:rFonts w:hint="default" w:ascii="宋体" w:hAnsi="宋体"/>
          <w:lang w:val="en-US" w:eastAsia="zh-CN"/>
        </w:rPr>
        <w:t>通过技术支持</w:t>
      </w:r>
      <w:r>
        <w:rPr>
          <w:rFonts w:hint="eastAsia" w:ascii="宋体" w:hAnsi="宋体"/>
          <w:lang w:val="en-US" w:eastAsia="zh-CN"/>
        </w:rPr>
        <w:t>服务</w:t>
      </w:r>
      <w:r>
        <w:rPr>
          <w:rFonts w:hint="default" w:ascii="宋体" w:hAnsi="宋体"/>
          <w:lang w:val="en-US" w:eastAsia="zh-CN"/>
        </w:rPr>
        <w:t>，实现电费催收效能的全面提升，确保广西电网资金周转顺畅，为公司运营稳定提供有力支撑。依托专用号码资源与认证机制，显著增强用户对催缴来电的信任度，将有效接通率提升至合理水平，减少因号码识别问题导致的信息传达障碍；借助外呼功能的稳定运行，保障自动语音催缴呼叫高效触达欠费用户，推动催缴工作效率提升，缩短欠费回收周期；通过各项技术支持的协同作用，与自动外呼系统形成合力，大幅提高电费催收成功率，确保资金及时足额回流，助力</w:t>
      </w:r>
      <w:r>
        <w:rPr>
          <w:rFonts w:hint="eastAsia" w:hAnsi="宋体"/>
          <w:lang w:val="en-US" w:eastAsia="zh-CN"/>
        </w:rPr>
        <w:t>来宾城区供电分局</w:t>
      </w:r>
      <w:r>
        <w:rPr>
          <w:rFonts w:hint="eastAsia" w:ascii="宋体" w:hAnsi="宋体"/>
          <w:lang w:val="en-US" w:eastAsia="zh-CN"/>
        </w:rPr>
        <w:t>电费“颗粒归仓”</w:t>
      </w:r>
      <w:r>
        <w:rPr>
          <w:rFonts w:hint="default" w:ascii="宋体" w:hAnsi="宋体"/>
          <w:lang w:val="en-US" w:eastAsia="zh-CN"/>
        </w:rPr>
        <w:t>，最终实现电费回收管理水平的系统性提</w:t>
      </w:r>
      <w:r>
        <w:rPr>
          <w:rFonts w:hint="eastAsia" w:ascii="宋体" w:hAnsi="宋体"/>
          <w:lang w:val="en-US" w:eastAsia="zh-CN"/>
        </w:rPr>
        <w:t>升</w:t>
      </w:r>
      <w:r>
        <w:rPr>
          <w:rFonts w:hint="eastAsia" w:ascii="宋体" w:hAnsi="宋体" w:cs="宋体"/>
          <w:color w:val="000000"/>
          <w:kern w:val="0"/>
          <w:sz w:val="24"/>
          <w:szCs w:val="24"/>
          <w:highlight w:val="none"/>
          <w:lang w:val="en-US" w:eastAsia="zh-CN" w:bidi="ar"/>
        </w:rPr>
        <w:t>。</w:t>
      </w:r>
    </w:p>
    <w:p w14:paraId="043B9C90">
      <w:pPr>
        <w:ind w:firstLine="480" w:firstLineChars="200"/>
        <w:rPr>
          <w:rFonts w:hint="eastAsia" w:hAnsi="宋体"/>
          <w:color w:val="000000"/>
        </w:rPr>
      </w:pPr>
      <w:r>
        <w:rPr>
          <w:rFonts w:hint="eastAsia" w:hAnsi="宋体"/>
          <w:color w:val="000000"/>
        </w:rPr>
        <w:t>建设单位：</w:t>
      </w:r>
      <w:r>
        <w:rPr>
          <w:rFonts w:hint="eastAsia" w:hAnsi="宋体"/>
          <w:color w:val="000000"/>
          <w:lang w:val="en-US" w:eastAsia="zh-CN"/>
        </w:rPr>
        <w:t>来宾城区供电分局</w:t>
      </w:r>
      <w:r>
        <w:rPr>
          <w:rFonts w:hint="eastAsia" w:hAnsi="宋体"/>
          <w:color w:val="000000"/>
        </w:rPr>
        <w:t>。</w:t>
      </w:r>
    </w:p>
    <w:p w14:paraId="07C7512A">
      <w:pPr>
        <w:ind w:firstLine="480" w:firstLineChars="200"/>
        <w:rPr>
          <w:rFonts w:hint="eastAsia" w:hAnsi="宋体"/>
          <w:color w:val="000000"/>
        </w:rPr>
      </w:pPr>
      <w:r>
        <w:rPr>
          <w:rFonts w:hint="eastAsia" w:hAnsi="宋体"/>
          <w:color w:val="000000"/>
        </w:rPr>
        <w:t>业务范围：市场营销域。</w:t>
      </w:r>
    </w:p>
    <w:p w14:paraId="7041BF03">
      <w:pPr>
        <w:adjustRightInd w:val="0"/>
        <w:spacing w:line="360" w:lineRule="auto"/>
        <w:ind w:firstLine="480" w:firstLineChars="200"/>
        <w:textAlignment w:val="baseline"/>
      </w:pPr>
      <w:r>
        <w:rPr>
          <w:rFonts w:hint="eastAsia" w:hAnsi="宋体"/>
          <w:color w:val="000000"/>
        </w:rPr>
        <w:t>用户范围：</w:t>
      </w:r>
      <w:r>
        <w:rPr>
          <w:rFonts w:hint="eastAsia" w:hAnsi="宋体"/>
          <w:lang w:val="en-US" w:eastAsia="zh-CN"/>
        </w:rPr>
        <w:t>来宾城区供电分局</w:t>
      </w:r>
      <w:r>
        <w:rPr>
          <w:rFonts w:hint="eastAsia" w:ascii="宋体" w:hAnsi="宋体"/>
          <w:lang w:val="en-US" w:eastAsia="zh-CN"/>
        </w:rPr>
        <w:t>用户。</w:t>
      </w:r>
    </w:p>
    <w:p w14:paraId="5C549ADA">
      <w:pPr>
        <w:ind w:firstLine="480" w:firstLineChars="200"/>
        <w:rPr>
          <w:rFonts w:hint="eastAsia"/>
        </w:rPr>
      </w:pPr>
      <w:r>
        <w:rPr>
          <w:rFonts w:hint="eastAsia"/>
        </w:rPr>
        <w:t>本次采购的范围和内容如下，投标方应按此进行响应并分项报价：</w:t>
      </w:r>
    </w:p>
    <w:p w14:paraId="570D847E">
      <w:r>
        <w:rPr>
          <w:rFonts w:hint="eastAsia"/>
        </w:rPr>
        <w:t>本次采购范围及内容如下，投标方应按此内容进行分项报价：</w:t>
      </w:r>
    </w:p>
    <w:tbl>
      <w:tblPr>
        <w:tblStyle w:val="23"/>
        <w:tblW w:w="8613" w:type="dxa"/>
        <w:tblInd w:w="0" w:type="dxa"/>
        <w:tblLayout w:type="autofit"/>
        <w:tblCellMar>
          <w:top w:w="0" w:type="dxa"/>
          <w:left w:w="108" w:type="dxa"/>
          <w:bottom w:w="0" w:type="dxa"/>
          <w:right w:w="108" w:type="dxa"/>
        </w:tblCellMar>
      </w:tblPr>
      <w:tblGrid>
        <w:gridCol w:w="917"/>
        <w:gridCol w:w="4078"/>
        <w:gridCol w:w="1776"/>
        <w:gridCol w:w="1842"/>
      </w:tblGrid>
      <w:tr w14:paraId="521CAA22">
        <w:tblPrEx>
          <w:tblCellMar>
            <w:top w:w="0" w:type="dxa"/>
            <w:left w:w="108" w:type="dxa"/>
            <w:bottom w:w="0" w:type="dxa"/>
            <w:right w:w="108" w:type="dxa"/>
          </w:tblCellMar>
        </w:tblPrEx>
        <w:trPr>
          <w:trHeight w:val="270" w:hRule="atLeast"/>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center"/>
          </w:tcPr>
          <w:p w14:paraId="46D61A44">
            <w:pPr>
              <w:widowControl/>
              <w:spacing w:line="240" w:lineRule="auto"/>
              <w:jc w:val="left"/>
              <w:rPr>
                <w:rFonts w:hAnsi="宋体" w:cs="宋体"/>
                <w:kern w:val="0"/>
              </w:rPr>
            </w:pPr>
            <w:r>
              <w:rPr>
                <w:rFonts w:hint="eastAsia" w:hAnsi="宋体" w:cs="宋体"/>
                <w:kern w:val="0"/>
              </w:rPr>
              <w:t>序号</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1EBA8B3B">
            <w:pPr>
              <w:widowControl/>
              <w:spacing w:line="240" w:lineRule="auto"/>
              <w:jc w:val="left"/>
              <w:rPr>
                <w:rFonts w:hAnsi="宋体" w:cs="宋体"/>
                <w:kern w:val="0"/>
              </w:rPr>
            </w:pPr>
            <w:r>
              <w:rPr>
                <w:rFonts w:hint="eastAsia" w:hAnsi="宋体" w:cs="宋体"/>
                <w:kern w:val="0"/>
              </w:rPr>
              <w:t>内容</w:t>
            </w:r>
          </w:p>
        </w:tc>
        <w:tc>
          <w:tcPr>
            <w:tcW w:w="1776" w:type="dxa"/>
            <w:tcBorders>
              <w:top w:val="single" w:color="auto" w:sz="4" w:space="0"/>
              <w:left w:val="nil"/>
              <w:bottom w:val="single" w:color="auto" w:sz="4" w:space="0"/>
              <w:right w:val="single" w:color="auto" w:sz="4" w:space="0"/>
            </w:tcBorders>
            <w:shd w:val="clear" w:color="auto" w:fill="auto"/>
            <w:noWrap/>
            <w:vAlign w:val="center"/>
          </w:tcPr>
          <w:p w14:paraId="757C18D1">
            <w:pPr>
              <w:widowControl/>
              <w:spacing w:line="240" w:lineRule="auto"/>
              <w:jc w:val="center"/>
              <w:rPr>
                <w:rFonts w:hAnsi="宋体" w:cs="宋体"/>
                <w:kern w:val="0"/>
              </w:rPr>
            </w:pPr>
            <w:r>
              <w:rPr>
                <w:rFonts w:hint="eastAsia" w:hAnsi="宋体" w:cs="宋体"/>
                <w:kern w:val="0"/>
              </w:rPr>
              <w:t>数量</w:t>
            </w:r>
          </w:p>
        </w:tc>
        <w:tc>
          <w:tcPr>
            <w:tcW w:w="1842" w:type="dxa"/>
            <w:tcBorders>
              <w:top w:val="single" w:color="auto" w:sz="4" w:space="0"/>
              <w:left w:val="nil"/>
              <w:bottom w:val="single" w:color="auto" w:sz="4" w:space="0"/>
              <w:right w:val="single" w:color="auto" w:sz="4" w:space="0"/>
            </w:tcBorders>
            <w:shd w:val="clear" w:color="auto" w:fill="auto"/>
            <w:noWrap/>
            <w:vAlign w:val="center"/>
          </w:tcPr>
          <w:p w14:paraId="34D10795">
            <w:pPr>
              <w:widowControl/>
              <w:spacing w:line="240" w:lineRule="auto"/>
              <w:jc w:val="center"/>
              <w:rPr>
                <w:rFonts w:hAnsi="宋体" w:cs="宋体"/>
                <w:kern w:val="0"/>
              </w:rPr>
            </w:pPr>
            <w:r>
              <w:rPr>
                <w:rFonts w:hint="eastAsia" w:hAnsi="宋体" w:cs="宋体"/>
                <w:kern w:val="0"/>
              </w:rPr>
              <w:t>单位</w:t>
            </w:r>
          </w:p>
        </w:tc>
      </w:tr>
      <w:tr w14:paraId="1787B958">
        <w:tblPrEx>
          <w:tblCellMar>
            <w:top w:w="0" w:type="dxa"/>
            <w:left w:w="108" w:type="dxa"/>
            <w:bottom w:w="0" w:type="dxa"/>
            <w:right w:w="108" w:type="dxa"/>
          </w:tblCellMar>
        </w:tblPrEx>
        <w:trPr>
          <w:trHeight w:val="359"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0DB5F9E3">
            <w:pPr>
              <w:widowControl/>
              <w:spacing w:line="240" w:lineRule="auto"/>
              <w:jc w:val="left"/>
              <w:rPr>
                <w:rFonts w:hAnsi="宋体" w:cs="宋体"/>
                <w:kern w:val="0"/>
              </w:rPr>
            </w:pPr>
            <w:r>
              <w:rPr>
                <w:rFonts w:hint="eastAsia" w:hAnsi="宋体" w:cs="宋体"/>
                <w:kern w:val="0"/>
              </w:rPr>
              <w:t>1</w:t>
            </w:r>
          </w:p>
        </w:tc>
        <w:tc>
          <w:tcPr>
            <w:tcW w:w="0" w:type="auto"/>
            <w:tcBorders>
              <w:top w:val="nil"/>
              <w:left w:val="nil"/>
              <w:bottom w:val="single" w:color="auto" w:sz="4" w:space="0"/>
              <w:right w:val="single" w:color="auto" w:sz="4" w:space="0"/>
            </w:tcBorders>
            <w:shd w:val="clear" w:color="auto" w:fill="auto"/>
            <w:vAlign w:val="center"/>
          </w:tcPr>
          <w:p w14:paraId="31B01B1F">
            <w:pPr>
              <w:rPr>
                <w:rFonts w:hint="default"/>
                <w:lang w:val="en-US" w:eastAsia="zh-CN"/>
              </w:rPr>
            </w:pPr>
            <w:r>
              <w:rPr>
                <w:rFonts w:hint="default"/>
                <w:lang w:val="en-US" w:eastAsia="zh-CN"/>
              </w:rPr>
              <w:t>专</w:t>
            </w:r>
            <w:r>
              <w:rPr>
                <w:rFonts w:hint="eastAsia"/>
                <w:lang w:val="en-US" w:eastAsia="zh-CN"/>
              </w:rPr>
              <w:t>用</w:t>
            </w:r>
            <w:r>
              <w:rPr>
                <w:rFonts w:hint="default"/>
                <w:lang w:val="en-US" w:eastAsia="zh-CN"/>
              </w:rPr>
              <w:t>号码资源</w:t>
            </w:r>
            <w:r>
              <w:rPr>
                <w:rFonts w:hint="eastAsia"/>
                <w:lang w:val="en-US" w:eastAsia="zh-CN"/>
              </w:rPr>
              <w:t>技术支持</w:t>
            </w:r>
          </w:p>
        </w:tc>
        <w:tc>
          <w:tcPr>
            <w:tcW w:w="1776" w:type="dxa"/>
            <w:tcBorders>
              <w:top w:val="nil"/>
              <w:left w:val="nil"/>
              <w:bottom w:val="single" w:color="auto" w:sz="4" w:space="0"/>
              <w:right w:val="single" w:color="auto" w:sz="4" w:space="0"/>
            </w:tcBorders>
            <w:shd w:val="clear" w:color="auto" w:fill="auto"/>
            <w:noWrap/>
            <w:vAlign w:val="center"/>
          </w:tcPr>
          <w:p w14:paraId="4C8A9C6C">
            <w:pPr>
              <w:widowControl/>
              <w:spacing w:line="240" w:lineRule="auto"/>
              <w:jc w:val="center"/>
              <w:rPr>
                <w:rFonts w:hint="eastAsia" w:hAnsi="宋体" w:eastAsia="宋体" w:cs="宋体"/>
                <w:kern w:val="0"/>
                <w:lang w:val="en-US" w:eastAsia="zh-CN"/>
              </w:rPr>
            </w:pPr>
            <w:r>
              <w:rPr>
                <w:rFonts w:hint="eastAsia" w:hAnsi="宋体" w:cs="宋体"/>
                <w:kern w:val="0"/>
                <w:lang w:val="en-US" w:eastAsia="zh-CN"/>
              </w:rPr>
              <w:t>1</w:t>
            </w:r>
          </w:p>
        </w:tc>
        <w:tc>
          <w:tcPr>
            <w:tcW w:w="1842" w:type="dxa"/>
            <w:tcBorders>
              <w:top w:val="nil"/>
              <w:left w:val="nil"/>
              <w:bottom w:val="single" w:color="auto" w:sz="4" w:space="0"/>
              <w:right w:val="single" w:color="auto" w:sz="4" w:space="0"/>
            </w:tcBorders>
            <w:shd w:val="clear" w:color="auto" w:fill="auto"/>
            <w:noWrap/>
            <w:vAlign w:val="center"/>
          </w:tcPr>
          <w:p w14:paraId="7C9FBFA3">
            <w:pPr>
              <w:widowControl/>
              <w:spacing w:line="240" w:lineRule="auto"/>
              <w:jc w:val="center"/>
              <w:rPr>
                <w:rFonts w:hAnsi="宋体" w:cs="宋体"/>
                <w:kern w:val="0"/>
              </w:rPr>
            </w:pPr>
            <w:r>
              <w:rPr>
                <w:rFonts w:hint="eastAsia" w:hAnsi="宋体" w:cs="宋体"/>
                <w:kern w:val="0"/>
              </w:rPr>
              <w:t>项</w:t>
            </w:r>
          </w:p>
        </w:tc>
      </w:tr>
      <w:tr w14:paraId="227BB41F">
        <w:tblPrEx>
          <w:tblCellMar>
            <w:top w:w="0" w:type="dxa"/>
            <w:left w:w="108" w:type="dxa"/>
            <w:bottom w:w="0" w:type="dxa"/>
            <w:right w:w="108" w:type="dxa"/>
          </w:tblCellMar>
        </w:tblPrEx>
        <w:trPr>
          <w:trHeight w:val="27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CDE1273">
            <w:pPr>
              <w:widowControl/>
              <w:spacing w:line="240" w:lineRule="auto"/>
              <w:jc w:val="left"/>
              <w:rPr>
                <w:rFonts w:hint="eastAsia" w:hAnsi="宋体" w:eastAsia="宋体" w:cs="宋体"/>
                <w:kern w:val="0"/>
                <w:lang w:eastAsia="zh-CN"/>
              </w:rPr>
            </w:pPr>
            <w:r>
              <w:rPr>
                <w:rFonts w:hint="eastAsia" w:hAnsi="宋体" w:cs="宋体"/>
                <w:kern w:val="0"/>
                <w:lang w:val="en-US" w:eastAsia="zh-CN"/>
              </w:rPr>
              <w:t>2</w:t>
            </w:r>
          </w:p>
        </w:tc>
        <w:tc>
          <w:tcPr>
            <w:tcW w:w="0" w:type="auto"/>
            <w:tcBorders>
              <w:top w:val="nil"/>
              <w:left w:val="nil"/>
              <w:bottom w:val="single" w:color="auto" w:sz="4" w:space="0"/>
              <w:right w:val="single" w:color="auto" w:sz="4" w:space="0"/>
            </w:tcBorders>
            <w:shd w:val="clear" w:color="auto" w:fill="auto"/>
            <w:vAlign w:val="center"/>
          </w:tcPr>
          <w:p w14:paraId="5182C9BA">
            <w:pPr>
              <w:rPr>
                <w:rFonts w:hint="eastAsia"/>
              </w:rPr>
            </w:pPr>
            <w:r>
              <w:rPr>
                <w:rFonts w:hint="eastAsia"/>
                <w:lang w:val="en-US" w:eastAsia="zh-CN"/>
              </w:rPr>
              <w:t>号码认证技术支持</w:t>
            </w:r>
          </w:p>
        </w:tc>
        <w:tc>
          <w:tcPr>
            <w:tcW w:w="1776" w:type="dxa"/>
            <w:tcBorders>
              <w:top w:val="nil"/>
              <w:left w:val="nil"/>
              <w:bottom w:val="single" w:color="auto" w:sz="4" w:space="0"/>
              <w:right w:val="single" w:color="auto" w:sz="4" w:space="0"/>
            </w:tcBorders>
            <w:shd w:val="clear" w:color="auto" w:fill="auto"/>
            <w:noWrap/>
            <w:vAlign w:val="center"/>
          </w:tcPr>
          <w:p w14:paraId="294ED121">
            <w:pPr>
              <w:widowControl/>
              <w:spacing w:line="240" w:lineRule="auto"/>
              <w:jc w:val="center"/>
              <w:rPr>
                <w:rFonts w:hAnsi="宋体" w:cs="宋体"/>
                <w:kern w:val="0"/>
              </w:rPr>
            </w:pPr>
            <w:r>
              <w:rPr>
                <w:rFonts w:hint="eastAsia" w:hAnsi="宋体" w:cs="宋体"/>
                <w:kern w:val="0"/>
              </w:rPr>
              <w:t>1</w:t>
            </w:r>
          </w:p>
        </w:tc>
        <w:tc>
          <w:tcPr>
            <w:tcW w:w="1842" w:type="dxa"/>
            <w:tcBorders>
              <w:top w:val="nil"/>
              <w:left w:val="nil"/>
              <w:bottom w:val="single" w:color="auto" w:sz="4" w:space="0"/>
              <w:right w:val="single" w:color="auto" w:sz="4" w:space="0"/>
            </w:tcBorders>
            <w:shd w:val="clear" w:color="auto" w:fill="auto"/>
            <w:noWrap/>
            <w:vAlign w:val="center"/>
          </w:tcPr>
          <w:p w14:paraId="4FB9B5AE">
            <w:pPr>
              <w:widowControl/>
              <w:spacing w:line="240" w:lineRule="auto"/>
              <w:jc w:val="center"/>
              <w:rPr>
                <w:rFonts w:hAnsi="宋体" w:cs="宋体"/>
                <w:kern w:val="0"/>
              </w:rPr>
            </w:pPr>
            <w:r>
              <w:rPr>
                <w:rFonts w:hint="eastAsia" w:hAnsi="宋体" w:cs="宋体"/>
                <w:kern w:val="0"/>
              </w:rPr>
              <w:t>项</w:t>
            </w:r>
          </w:p>
        </w:tc>
      </w:tr>
      <w:tr w14:paraId="7C6BA23D">
        <w:tblPrEx>
          <w:tblCellMar>
            <w:top w:w="0" w:type="dxa"/>
            <w:left w:w="108" w:type="dxa"/>
            <w:bottom w:w="0" w:type="dxa"/>
            <w:right w:w="108" w:type="dxa"/>
          </w:tblCellMar>
        </w:tblPrEx>
        <w:trPr>
          <w:trHeight w:val="298"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7EB9CFEA">
            <w:pPr>
              <w:widowControl/>
              <w:spacing w:line="240" w:lineRule="auto"/>
              <w:jc w:val="left"/>
              <w:rPr>
                <w:rFonts w:hint="eastAsia" w:hAnsi="宋体" w:eastAsia="宋体" w:cs="宋体"/>
                <w:kern w:val="0"/>
                <w:lang w:eastAsia="zh-CN"/>
              </w:rPr>
            </w:pPr>
            <w:r>
              <w:rPr>
                <w:rFonts w:hint="eastAsia" w:hAnsi="宋体" w:cs="宋体"/>
                <w:kern w:val="0"/>
                <w:lang w:val="en-US" w:eastAsia="zh-CN"/>
              </w:rPr>
              <w:t>3</w:t>
            </w:r>
          </w:p>
        </w:tc>
        <w:tc>
          <w:tcPr>
            <w:tcW w:w="0" w:type="auto"/>
            <w:tcBorders>
              <w:top w:val="nil"/>
              <w:left w:val="nil"/>
              <w:bottom w:val="single" w:color="auto" w:sz="4" w:space="0"/>
              <w:right w:val="single" w:color="auto" w:sz="4" w:space="0"/>
            </w:tcBorders>
            <w:shd w:val="clear" w:color="auto" w:fill="auto"/>
            <w:vAlign w:val="center"/>
          </w:tcPr>
          <w:p w14:paraId="48FFDD63">
            <w:pPr>
              <w:rPr>
                <w:rFonts w:hint="eastAsia"/>
              </w:rPr>
            </w:pPr>
            <w:r>
              <w:rPr>
                <w:rFonts w:hint="default"/>
                <w:lang w:val="en-US" w:eastAsia="zh-CN"/>
              </w:rPr>
              <w:t>高频外呼保障</w:t>
            </w:r>
            <w:r>
              <w:rPr>
                <w:rFonts w:hint="eastAsia"/>
                <w:lang w:val="en-US" w:eastAsia="zh-CN"/>
              </w:rPr>
              <w:t>服务技术支持</w:t>
            </w:r>
          </w:p>
        </w:tc>
        <w:tc>
          <w:tcPr>
            <w:tcW w:w="1776" w:type="dxa"/>
            <w:tcBorders>
              <w:top w:val="nil"/>
              <w:left w:val="nil"/>
              <w:bottom w:val="single" w:color="auto" w:sz="4" w:space="0"/>
              <w:right w:val="single" w:color="auto" w:sz="4" w:space="0"/>
            </w:tcBorders>
            <w:shd w:val="clear" w:color="auto" w:fill="auto"/>
            <w:noWrap/>
            <w:vAlign w:val="center"/>
          </w:tcPr>
          <w:p w14:paraId="3E6E2A6E">
            <w:pPr>
              <w:widowControl/>
              <w:spacing w:line="240" w:lineRule="auto"/>
              <w:jc w:val="center"/>
              <w:rPr>
                <w:rFonts w:hAnsi="宋体" w:cs="宋体"/>
                <w:kern w:val="0"/>
              </w:rPr>
            </w:pPr>
            <w:r>
              <w:rPr>
                <w:rFonts w:hint="eastAsia" w:hAnsi="宋体" w:cs="宋体"/>
                <w:kern w:val="0"/>
              </w:rPr>
              <w:t>1</w:t>
            </w:r>
          </w:p>
        </w:tc>
        <w:tc>
          <w:tcPr>
            <w:tcW w:w="1842" w:type="dxa"/>
            <w:tcBorders>
              <w:top w:val="nil"/>
              <w:left w:val="nil"/>
              <w:bottom w:val="single" w:color="auto" w:sz="4" w:space="0"/>
              <w:right w:val="single" w:color="auto" w:sz="4" w:space="0"/>
            </w:tcBorders>
            <w:shd w:val="clear" w:color="auto" w:fill="auto"/>
            <w:noWrap/>
            <w:vAlign w:val="center"/>
          </w:tcPr>
          <w:p w14:paraId="235E86F1">
            <w:pPr>
              <w:widowControl/>
              <w:spacing w:line="240" w:lineRule="auto"/>
              <w:jc w:val="center"/>
              <w:rPr>
                <w:rFonts w:hAnsi="宋体" w:cs="宋体"/>
                <w:kern w:val="0"/>
              </w:rPr>
            </w:pPr>
            <w:r>
              <w:rPr>
                <w:rFonts w:hint="eastAsia" w:hAnsi="宋体" w:cs="宋体"/>
                <w:kern w:val="0"/>
              </w:rPr>
              <w:t>项</w:t>
            </w:r>
          </w:p>
        </w:tc>
      </w:tr>
      <w:tr w14:paraId="07AA8884">
        <w:tblPrEx>
          <w:tblCellMar>
            <w:top w:w="0" w:type="dxa"/>
            <w:left w:w="108" w:type="dxa"/>
            <w:bottom w:w="0" w:type="dxa"/>
            <w:right w:w="108" w:type="dxa"/>
          </w:tblCellMar>
        </w:tblPrEx>
        <w:trPr>
          <w:trHeight w:val="27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483C046E">
            <w:pPr>
              <w:widowControl/>
              <w:spacing w:line="240" w:lineRule="auto"/>
              <w:jc w:val="left"/>
              <w:rPr>
                <w:rFonts w:hint="eastAsia" w:hAnsi="宋体" w:eastAsia="宋体" w:cs="宋体"/>
                <w:kern w:val="0"/>
                <w:lang w:eastAsia="zh-CN"/>
              </w:rPr>
            </w:pPr>
            <w:r>
              <w:rPr>
                <w:rFonts w:hint="eastAsia" w:hAnsi="宋体" w:cs="宋体"/>
                <w:kern w:val="0"/>
                <w:lang w:val="en-US" w:eastAsia="zh-CN"/>
              </w:rPr>
              <w:t>4</w:t>
            </w:r>
          </w:p>
        </w:tc>
        <w:tc>
          <w:tcPr>
            <w:tcW w:w="0" w:type="auto"/>
            <w:tcBorders>
              <w:top w:val="nil"/>
              <w:left w:val="nil"/>
              <w:bottom w:val="single" w:color="auto" w:sz="4" w:space="0"/>
              <w:right w:val="single" w:color="auto" w:sz="4" w:space="0"/>
            </w:tcBorders>
            <w:shd w:val="clear" w:color="auto" w:fill="auto"/>
            <w:vAlign w:val="center"/>
          </w:tcPr>
          <w:p w14:paraId="1B7EEE11">
            <w:pPr>
              <w:rPr>
                <w:rFonts w:hint="eastAsia"/>
              </w:rPr>
            </w:pPr>
            <w:r>
              <w:rPr>
                <w:rFonts w:hint="eastAsia"/>
                <w:lang w:val="en-US" w:eastAsia="zh-CN"/>
              </w:rPr>
              <w:t>服务管理技术支持</w:t>
            </w:r>
          </w:p>
        </w:tc>
        <w:tc>
          <w:tcPr>
            <w:tcW w:w="1776" w:type="dxa"/>
            <w:tcBorders>
              <w:top w:val="nil"/>
              <w:left w:val="nil"/>
              <w:bottom w:val="single" w:color="auto" w:sz="4" w:space="0"/>
              <w:right w:val="single" w:color="auto" w:sz="4" w:space="0"/>
            </w:tcBorders>
            <w:shd w:val="clear" w:color="auto" w:fill="auto"/>
            <w:noWrap/>
            <w:vAlign w:val="center"/>
          </w:tcPr>
          <w:p w14:paraId="54646E09">
            <w:pPr>
              <w:widowControl/>
              <w:spacing w:line="240" w:lineRule="auto"/>
              <w:jc w:val="center"/>
              <w:rPr>
                <w:rFonts w:hAnsi="宋体" w:cs="宋体"/>
                <w:kern w:val="0"/>
              </w:rPr>
            </w:pPr>
            <w:r>
              <w:rPr>
                <w:rFonts w:hint="eastAsia" w:hAnsi="宋体" w:cs="宋体"/>
                <w:kern w:val="0"/>
              </w:rPr>
              <w:t>1</w:t>
            </w:r>
          </w:p>
        </w:tc>
        <w:tc>
          <w:tcPr>
            <w:tcW w:w="1842" w:type="dxa"/>
            <w:tcBorders>
              <w:top w:val="nil"/>
              <w:left w:val="nil"/>
              <w:bottom w:val="single" w:color="auto" w:sz="4" w:space="0"/>
              <w:right w:val="single" w:color="auto" w:sz="4" w:space="0"/>
            </w:tcBorders>
            <w:shd w:val="clear" w:color="auto" w:fill="auto"/>
            <w:noWrap/>
            <w:vAlign w:val="center"/>
          </w:tcPr>
          <w:p w14:paraId="2BDE3BD8">
            <w:pPr>
              <w:widowControl/>
              <w:spacing w:line="240" w:lineRule="auto"/>
              <w:jc w:val="center"/>
              <w:rPr>
                <w:rFonts w:hAnsi="宋体" w:cs="宋体"/>
                <w:kern w:val="0"/>
              </w:rPr>
            </w:pPr>
            <w:r>
              <w:rPr>
                <w:rFonts w:hint="eastAsia" w:hAnsi="宋体" w:cs="宋体"/>
                <w:kern w:val="0"/>
              </w:rPr>
              <w:t>项</w:t>
            </w:r>
          </w:p>
        </w:tc>
      </w:tr>
      <w:tr w14:paraId="53BB7298">
        <w:tblPrEx>
          <w:tblCellMar>
            <w:top w:w="0" w:type="dxa"/>
            <w:left w:w="108" w:type="dxa"/>
            <w:bottom w:w="0" w:type="dxa"/>
            <w:right w:w="108" w:type="dxa"/>
          </w:tblCellMar>
        </w:tblPrEx>
        <w:trPr>
          <w:trHeight w:val="270" w:hRule="atLeast"/>
        </w:trPr>
        <w:tc>
          <w:tcPr>
            <w:tcW w:w="0" w:type="auto"/>
            <w:tcBorders>
              <w:top w:val="nil"/>
              <w:left w:val="single" w:color="auto" w:sz="4" w:space="0"/>
              <w:bottom w:val="single" w:color="auto" w:sz="4" w:space="0"/>
              <w:right w:val="single" w:color="auto" w:sz="4" w:space="0"/>
            </w:tcBorders>
            <w:shd w:val="clear" w:color="auto" w:fill="auto"/>
            <w:noWrap/>
            <w:vAlign w:val="center"/>
          </w:tcPr>
          <w:p w14:paraId="3443E886">
            <w:pPr>
              <w:widowControl/>
              <w:spacing w:line="240" w:lineRule="auto"/>
              <w:jc w:val="left"/>
              <w:rPr>
                <w:rFonts w:hint="eastAsia" w:hAnsi="宋体" w:eastAsia="宋体" w:cs="宋体"/>
                <w:kern w:val="0"/>
                <w:lang w:eastAsia="zh-CN"/>
              </w:rPr>
            </w:pPr>
            <w:r>
              <w:rPr>
                <w:rFonts w:hint="eastAsia" w:hAnsi="宋体" w:cs="宋体"/>
                <w:kern w:val="0"/>
                <w:lang w:val="en-US" w:eastAsia="zh-CN"/>
              </w:rPr>
              <w:t>5</w:t>
            </w:r>
          </w:p>
        </w:tc>
        <w:tc>
          <w:tcPr>
            <w:tcW w:w="0" w:type="auto"/>
            <w:tcBorders>
              <w:top w:val="nil"/>
              <w:left w:val="nil"/>
              <w:bottom w:val="single" w:color="auto" w:sz="4" w:space="0"/>
              <w:right w:val="single" w:color="auto" w:sz="4" w:space="0"/>
            </w:tcBorders>
            <w:shd w:val="clear" w:color="auto" w:fill="auto"/>
            <w:vAlign w:val="center"/>
          </w:tcPr>
          <w:p w14:paraId="2C23415A">
            <w:pPr>
              <w:rPr>
                <w:rFonts w:hint="eastAsia"/>
              </w:rPr>
            </w:pPr>
            <w:r>
              <w:rPr>
                <w:rFonts w:hint="eastAsia"/>
                <w:lang w:val="en-US" w:eastAsia="zh-CN"/>
              </w:rPr>
              <w:t>高并发通道技术支持</w:t>
            </w:r>
          </w:p>
        </w:tc>
        <w:tc>
          <w:tcPr>
            <w:tcW w:w="1776" w:type="dxa"/>
            <w:tcBorders>
              <w:top w:val="nil"/>
              <w:left w:val="nil"/>
              <w:bottom w:val="single" w:color="auto" w:sz="4" w:space="0"/>
              <w:right w:val="single" w:color="auto" w:sz="4" w:space="0"/>
            </w:tcBorders>
            <w:shd w:val="clear" w:color="auto" w:fill="auto"/>
            <w:noWrap/>
            <w:vAlign w:val="center"/>
          </w:tcPr>
          <w:p w14:paraId="1DD074CF">
            <w:pPr>
              <w:widowControl/>
              <w:spacing w:line="240" w:lineRule="auto"/>
              <w:jc w:val="center"/>
              <w:rPr>
                <w:rFonts w:hAnsi="宋体" w:cs="宋体"/>
                <w:kern w:val="0"/>
              </w:rPr>
            </w:pPr>
            <w:r>
              <w:rPr>
                <w:rFonts w:hint="eastAsia" w:hAnsi="宋体" w:cs="宋体"/>
                <w:kern w:val="0"/>
              </w:rPr>
              <w:t>1</w:t>
            </w:r>
          </w:p>
        </w:tc>
        <w:tc>
          <w:tcPr>
            <w:tcW w:w="1842" w:type="dxa"/>
            <w:tcBorders>
              <w:top w:val="nil"/>
              <w:left w:val="nil"/>
              <w:bottom w:val="single" w:color="auto" w:sz="4" w:space="0"/>
              <w:right w:val="single" w:color="auto" w:sz="4" w:space="0"/>
            </w:tcBorders>
            <w:shd w:val="clear" w:color="auto" w:fill="auto"/>
            <w:noWrap/>
            <w:vAlign w:val="center"/>
          </w:tcPr>
          <w:p w14:paraId="611DEA89">
            <w:pPr>
              <w:widowControl/>
              <w:spacing w:line="240" w:lineRule="auto"/>
              <w:jc w:val="center"/>
              <w:rPr>
                <w:rFonts w:hAnsi="宋体" w:cs="宋体"/>
                <w:kern w:val="0"/>
              </w:rPr>
            </w:pPr>
            <w:r>
              <w:rPr>
                <w:rFonts w:hint="eastAsia" w:hAnsi="宋体" w:cs="宋体"/>
                <w:kern w:val="0"/>
              </w:rPr>
              <w:t>项</w:t>
            </w:r>
          </w:p>
        </w:tc>
      </w:tr>
    </w:tbl>
    <w:p w14:paraId="2E8C2E23"/>
    <w:p w14:paraId="32D38D68">
      <w:pPr>
        <w:pStyle w:val="4"/>
      </w:pPr>
      <w:bookmarkStart w:id="16" w:name="_Toc7020"/>
      <w:bookmarkStart w:id="17" w:name="_Toc28194"/>
      <w:bookmarkStart w:id="18" w:name="_Toc18192"/>
      <w:bookmarkStart w:id="19" w:name="_Toc34582627"/>
      <w:r>
        <w:rPr>
          <w:rFonts w:hint="eastAsia"/>
        </w:rPr>
        <w:t>总体要求</w:t>
      </w:r>
      <w:bookmarkEnd w:id="16"/>
      <w:bookmarkEnd w:id="17"/>
      <w:bookmarkEnd w:id="18"/>
      <w:bookmarkEnd w:id="19"/>
    </w:p>
    <w:p w14:paraId="2184AA1D">
      <w:pPr>
        <w:pStyle w:val="5"/>
        <w:numPr>
          <w:ilvl w:val="0"/>
          <w:numId w:val="0"/>
        </w:numPr>
        <w:rPr>
          <w:b/>
          <w:bCs/>
        </w:rPr>
      </w:pPr>
      <w:r>
        <w:rPr>
          <w:rFonts w:hint="eastAsia"/>
        </w:rPr>
        <w:t>投标方必须响应并承诺下列要求。</w:t>
      </w:r>
    </w:p>
    <w:p w14:paraId="696D008F">
      <w:pPr>
        <w:pStyle w:val="5"/>
      </w:pPr>
      <w:r>
        <w:rPr>
          <w:rFonts w:hint="eastAsia"/>
        </w:rPr>
        <w:t>本规范书指标要求中，凡标有下划线或加“★”的地方均被视为重要的技术指标要求或性能要求。投标方要特别加以注意，必须完全满足这些要求。</w:t>
      </w:r>
    </w:p>
    <w:p w14:paraId="1C360EF2">
      <w:pPr>
        <w:pStyle w:val="5"/>
      </w:pPr>
      <w:r>
        <w:rPr>
          <w:rFonts w:hint="eastAsia"/>
        </w:rPr>
        <w:t>投标方应列出各个单项工作的报价，还应对各个单项工作的不同阶段工作进行划分，并列出各阶段工作的详细报价。</w:t>
      </w:r>
    </w:p>
    <w:p w14:paraId="03DCAC24">
      <w:pPr>
        <w:pStyle w:val="5"/>
      </w:pPr>
      <w:r>
        <w:rPr>
          <w:rFonts w:hint="eastAsia"/>
        </w:rPr>
        <w:t>投标方必须提供完整的建议书，至少包含以下内容：</w:t>
      </w:r>
    </w:p>
    <w:p w14:paraId="398BF2AC">
      <w:r>
        <w:rPr>
          <w:rFonts w:hint="eastAsia"/>
        </w:rPr>
        <w:t>（1）必须阐述本项目总体的建设思路，并提出系统的建设目标。</w:t>
      </w:r>
    </w:p>
    <w:p w14:paraId="3C889EF2">
      <w:r>
        <w:rPr>
          <w:rFonts w:hint="eastAsia"/>
        </w:rPr>
        <w:t>（2）提供本项目的需求建议，对企业整体的需求做出实质性的评估。</w:t>
      </w:r>
    </w:p>
    <w:p w14:paraId="09C423C4">
      <w:r>
        <w:rPr>
          <w:rFonts w:hint="eastAsia"/>
        </w:rPr>
        <w:t>（3）确定本项目的技术手段，提供每项技术的选型依据。</w:t>
      </w:r>
    </w:p>
    <w:p w14:paraId="133B3BF6">
      <w:pPr>
        <w:pStyle w:val="5"/>
      </w:pPr>
      <w:r>
        <w:rPr>
          <w:rFonts w:hint="eastAsia"/>
        </w:rPr>
        <w:t>安全要求</w:t>
      </w:r>
    </w:p>
    <w:p w14:paraId="7E0BF595">
      <w:pPr>
        <w:ind w:firstLine="480" w:firstLineChars="200"/>
        <w:rPr>
          <w:bCs/>
        </w:rPr>
      </w:pPr>
      <w:r>
        <w:rPr>
          <w:rFonts w:hint="eastAsia"/>
          <w:bCs/>
        </w:rPr>
        <w:t>（1）投标方及其产品和服务的提供者须配合招标方进行网络安全审查。</w:t>
      </w:r>
    </w:p>
    <w:p w14:paraId="6C5B03C2">
      <w:pPr>
        <w:ind w:firstLine="480" w:firstLineChars="200"/>
        <w:rPr>
          <w:bCs/>
        </w:rPr>
      </w:pPr>
      <w:r>
        <w:rPr>
          <w:rFonts w:hint="eastAsia"/>
          <w:bCs/>
        </w:rPr>
        <w:t>（2）投标方及其产品和服务的提供者须承诺不利用提供产品和服务的便利条件非法获取用户数据、非法控制和操纵用户设备。无正当理由不中断产品供应或必要的技术支持服务等。</w:t>
      </w:r>
    </w:p>
    <w:p w14:paraId="2EE5A766">
      <w:pPr>
        <w:pStyle w:val="28"/>
        <w:ind w:firstLine="480" w:firstLineChars="200"/>
      </w:pPr>
      <w:r>
        <w:rPr>
          <w:rFonts w:hint="eastAsia"/>
          <w:bCs/>
        </w:rPr>
        <w:t>（3）</w:t>
      </w:r>
      <w:r>
        <w:rPr>
          <w:rFonts w:hAnsi="宋体" w:cs="宋体"/>
        </w:rPr>
        <w:t>投标方产品要求</w:t>
      </w:r>
      <w:r>
        <w:rPr>
          <w:rFonts w:hint="eastAsia" w:hAnsi="宋体" w:cs="宋体"/>
          <w:lang w:eastAsia="zh-CN"/>
        </w:rPr>
        <w:t>满足</w:t>
      </w:r>
      <w:r>
        <w:rPr>
          <w:rFonts w:hint="eastAsia"/>
        </w:rPr>
        <w:t>南网公司自主可控适配目录清单</w:t>
      </w:r>
      <w:r>
        <w:rPr>
          <w:rFonts w:hAnsi="宋体" w:cs="宋体"/>
        </w:rPr>
        <w:t>，如：含处理器设备支持国产操作系统或国产开源操作系统（如银河麒麟、</w:t>
      </w:r>
      <w:r>
        <w:rPr>
          <w:rFonts w:hint="eastAsia" w:ascii="Times New Roman" w:hAnsi="Times New Roman" w:eastAsia="宋体" w:cs="Times New Roman"/>
          <w:lang w:val="en-US" w:eastAsia="zh-CN"/>
        </w:rPr>
        <w:t>麒麟信安</w:t>
      </w:r>
      <w:r>
        <w:rPr>
          <w:rFonts w:hAnsi="宋体" w:cs="宋体"/>
        </w:rPr>
        <w:t>、</w:t>
      </w:r>
      <w:r>
        <w:rPr>
          <w:rFonts w:hint="eastAsia" w:ascii="Times New Roman" w:hAnsi="Times New Roman" w:eastAsia="宋体" w:cs="Times New Roman"/>
          <w:lang w:val="en-US" w:eastAsia="zh-CN"/>
        </w:rPr>
        <w:t>统信</w:t>
      </w:r>
      <w:r>
        <w:rPr>
          <w:rFonts w:hAnsi="宋体" w:cs="宋体"/>
        </w:rPr>
        <w:t>、</w:t>
      </w:r>
      <w:r>
        <w:rPr>
          <w:rFonts w:hint="eastAsia" w:ascii="Times New Roman" w:hAnsi="Times New Roman" w:eastAsia="宋体" w:cs="Times New Roman"/>
          <w:lang w:val="en-US" w:eastAsia="zh-CN"/>
        </w:rPr>
        <w:t>华为云欧拉</w:t>
      </w:r>
      <w:r>
        <w:rPr>
          <w:rFonts w:hAnsi="宋体" w:cs="宋体"/>
        </w:rPr>
        <w:t>、</w:t>
      </w:r>
      <w:r>
        <w:rPr>
          <w:rFonts w:hint="eastAsia" w:ascii="Times New Roman" w:hAnsi="Times New Roman" w:eastAsia="宋体" w:cs="Times New Roman"/>
          <w:lang w:val="en-US" w:eastAsia="zh-CN"/>
        </w:rPr>
        <w:t>阿里云、新支点、凝思</w:t>
      </w:r>
      <w:r>
        <w:rPr>
          <w:rFonts w:hAnsi="宋体" w:cs="宋体"/>
        </w:rPr>
        <w:t>等）；</w:t>
      </w:r>
      <w:r>
        <w:rPr>
          <w:rFonts w:hint="eastAsia" w:hAnsi="宋体" w:cs="宋体"/>
          <w:lang w:eastAsia="zh-CN"/>
        </w:rPr>
        <w:t>中间件软件使用</w:t>
      </w:r>
      <w:r>
        <w:rPr>
          <w:rFonts w:hAnsi="宋体" w:cs="宋体"/>
        </w:rPr>
        <w:t>国产</w:t>
      </w:r>
      <w:r>
        <w:rPr>
          <w:rFonts w:hint="eastAsia" w:hAnsi="宋体" w:cs="宋体"/>
          <w:lang w:eastAsia="zh-CN"/>
        </w:rPr>
        <w:t>中间件</w:t>
      </w:r>
      <w:r>
        <w:rPr>
          <w:rFonts w:hAnsi="宋体" w:cs="宋体"/>
        </w:rPr>
        <w:t>或国产开源</w:t>
      </w:r>
      <w:r>
        <w:rPr>
          <w:rFonts w:hint="eastAsia" w:hAnsi="宋体" w:cs="宋体"/>
          <w:lang w:eastAsia="zh-CN"/>
        </w:rPr>
        <w:t>中间件（如：中创）</w:t>
      </w:r>
      <w:r>
        <w:rPr>
          <w:rFonts w:hAnsi="宋体" w:cs="宋体"/>
        </w:rPr>
        <w:t>；数据库使用国产数据库或国产开源数据库（如达梦</w:t>
      </w:r>
      <w:r>
        <w:rPr>
          <w:rFonts w:hint="eastAsia" w:ascii="宋体" w:hAnsi="宋体" w:eastAsia="宋体" w:cs="宋体"/>
          <w:i w:val="0"/>
          <w:iCs w:val="0"/>
          <w:color w:val="000000"/>
          <w:kern w:val="0"/>
          <w:sz w:val="24"/>
          <w:szCs w:val="24"/>
          <w:highlight w:val="none"/>
          <w:u w:val="none"/>
          <w:lang w:val="en-US" w:eastAsia="zh-CN" w:bidi="ar"/>
        </w:rPr>
        <w:t>DM8</w:t>
      </w:r>
      <w:r>
        <w:rPr>
          <w:rFonts w:hAnsi="宋体" w:cs="宋体"/>
        </w:rPr>
        <w:t>、南大</w:t>
      </w:r>
      <w:r>
        <w:rPr>
          <w:rFonts w:ascii="宋体" w:hAnsi="宋体" w:eastAsia="宋体" w:cs="宋体"/>
        </w:rPr>
        <w:t>通用</w:t>
      </w:r>
      <w:r>
        <w:rPr>
          <w:rFonts w:hint="eastAsia" w:ascii="宋体" w:hAnsi="宋体" w:eastAsia="宋体" w:cs="宋体"/>
          <w:lang w:val="en-US" w:eastAsia="zh-CN"/>
        </w:rPr>
        <w:t>GBase</w:t>
      </w:r>
      <w:r>
        <w:rPr>
          <w:rFonts w:ascii="宋体" w:hAnsi="宋体" w:eastAsia="宋体" w:cs="宋体"/>
        </w:rPr>
        <w:t>、</w:t>
      </w:r>
      <w:r>
        <w:rPr>
          <w:rFonts w:hint="eastAsia" w:ascii="宋体" w:hAnsi="宋体" w:eastAsia="宋体" w:cs="宋体"/>
          <w:lang w:val="en-US" w:eastAsia="zh-CN"/>
        </w:rPr>
        <w:t>金仓KingbaseES</w:t>
      </w:r>
      <w:r>
        <w:rPr>
          <w:rFonts w:ascii="宋体" w:hAnsi="宋体" w:eastAsia="宋体" w:cs="宋体"/>
        </w:rPr>
        <w:t>、</w:t>
      </w:r>
      <w:r>
        <w:rPr>
          <w:rFonts w:hint="eastAsia" w:ascii="宋体" w:hAnsi="宋体" w:eastAsia="宋体" w:cs="宋体"/>
          <w:lang w:val="en-US" w:eastAsia="zh-CN"/>
        </w:rPr>
        <w:t>阿里云PolarDB、</w:t>
      </w:r>
      <w:r>
        <w:rPr>
          <w:rFonts w:hint="eastAsia" w:ascii="宋体" w:hAnsi="宋体" w:eastAsia="宋体" w:cs="宋体"/>
          <w:i w:val="0"/>
          <w:iCs w:val="0"/>
          <w:color w:val="000000"/>
          <w:kern w:val="0"/>
          <w:sz w:val="24"/>
          <w:szCs w:val="24"/>
          <w:highlight w:val="none"/>
          <w:u w:val="none"/>
          <w:lang w:val="en-US" w:eastAsia="zh-CN" w:bidi="ar"/>
        </w:rPr>
        <w:t>腾讯云、GaussDB</w:t>
      </w:r>
      <w:r>
        <w:rPr>
          <w:rFonts w:ascii="宋体" w:hAnsi="宋体" w:eastAsia="宋体" w:cs="宋体"/>
        </w:rPr>
        <w:t>等）</w:t>
      </w:r>
      <w:r>
        <w:rPr>
          <w:rFonts w:hint="eastAsia"/>
          <w:bCs/>
        </w:rPr>
        <w:t>。</w:t>
      </w:r>
    </w:p>
    <w:p w14:paraId="521A5F04">
      <w:pPr>
        <w:pStyle w:val="4"/>
      </w:pPr>
      <w:bookmarkStart w:id="20" w:name="_Toc13326"/>
      <w:bookmarkStart w:id="21" w:name="_Toc21374"/>
      <w:bookmarkStart w:id="22" w:name="_Toc5400"/>
      <w:r>
        <w:rPr>
          <w:rFonts w:hint="eastAsia"/>
        </w:rPr>
        <w:t>主要技术要求</w:t>
      </w:r>
      <w:bookmarkEnd w:id="20"/>
      <w:bookmarkEnd w:id="21"/>
      <w:bookmarkEnd w:id="22"/>
    </w:p>
    <w:p w14:paraId="10A10E0F">
      <w:pPr>
        <w:pStyle w:val="28"/>
        <w:ind w:firstLine="480" w:firstLineChars="200"/>
      </w:pPr>
      <w:r>
        <w:rPr>
          <w:rFonts w:hint="eastAsia" w:cs="Times New Roman"/>
          <w:b w:val="0"/>
          <w:bCs w:val="0"/>
          <w:color w:val="auto"/>
          <w:kern w:val="2"/>
          <w:sz w:val="24"/>
          <w:szCs w:val="24"/>
          <w:highlight w:val="none"/>
          <w:lang w:val="en-US" w:eastAsia="zh-CN" w:bidi="ar-SA"/>
        </w:rPr>
        <w:t>投标方来宾市</w:t>
      </w:r>
      <w:bookmarkStart w:id="40" w:name="_GoBack"/>
      <w:bookmarkEnd w:id="40"/>
      <w:r>
        <w:rPr>
          <w:rFonts w:hint="eastAsia" w:ascii="宋体" w:hAnsi="宋体" w:eastAsia="宋体" w:cs="宋体"/>
          <w:lang w:val="en-US" w:eastAsia="zh-CN"/>
        </w:rPr>
        <w:t>开展</w:t>
      </w:r>
      <w:r>
        <w:rPr>
          <w:rFonts w:hint="eastAsia"/>
          <w:lang w:eastAsia="zh-CN"/>
        </w:rPr>
        <w:t>来宾城区供电分局</w:t>
      </w:r>
      <w:r>
        <w:rPr>
          <w:rFonts w:hint="eastAsia"/>
        </w:rPr>
        <w:t>电费催收技术支持服务项目</w:t>
      </w:r>
      <w:r>
        <w:rPr>
          <w:rFonts w:hint="eastAsia"/>
          <w:lang w:val="en-US" w:eastAsia="zh-CN"/>
        </w:rPr>
        <w:t>实施工作，</w:t>
      </w:r>
      <w:r>
        <w:rPr>
          <w:rFonts w:hint="eastAsia" w:cs="Times New Roman"/>
          <w:b w:val="0"/>
          <w:bCs w:val="0"/>
          <w:color w:val="auto"/>
          <w:kern w:val="2"/>
          <w:sz w:val="24"/>
          <w:szCs w:val="24"/>
          <w:highlight w:val="none"/>
          <w:lang w:val="en-US" w:eastAsia="zh-CN" w:bidi="ar-SA"/>
        </w:rPr>
        <w:t>主要包括如下内容：</w:t>
      </w:r>
    </w:p>
    <w:p w14:paraId="20A9EE34">
      <w:pPr>
        <w:pStyle w:val="5"/>
        <w:bidi w:val="0"/>
        <w:rPr>
          <w:b/>
          <w:bCs/>
        </w:rPr>
      </w:pPr>
      <w:bookmarkStart w:id="23" w:name="OLE_LINK34"/>
      <w:bookmarkStart w:id="24" w:name="_Toc12459"/>
      <w:bookmarkStart w:id="25" w:name="_Toc6642"/>
      <w:bookmarkStart w:id="26" w:name="_Toc24710"/>
      <w:r>
        <w:rPr>
          <w:rFonts w:hint="default" w:ascii="Calibri" w:hAnsi="Calibri" w:eastAsia="宋体" w:cs="Times New Roman"/>
          <w:b/>
          <w:bCs/>
          <w:kern w:val="2"/>
          <w:sz w:val="24"/>
          <w:szCs w:val="28"/>
          <w:lang w:val="en-US" w:eastAsia="zh-CN" w:bidi="ar-SA"/>
        </w:rPr>
        <w:t>专</w:t>
      </w:r>
      <w:r>
        <w:rPr>
          <w:rFonts w:hint="eastAsia" w:cs="Times New Roman"/>
          <w:b/>
          <w:bCs/>
          <w:kern w:val="2"/>
          <w:sz w:val="24"/>
          <w:szCs w:val="28"/>
          <w:lang w:val="en-US" w:eastAsia="zh-CN" w:bidi="ar-SA"/>
        </w:rPr>
        <w:t>用</w:t>
      </w:r>
      <w:r>
        <w:rPr>
          <w:rFonts w:hint="default" w:ascii="Calibri" w:hAnsi="Calibri" w:eastAsia="宋体" w:cs="Times New Roman"/>
          <w:b/>
          <w:bCs/>
          <w:kern w:val="2"/>
          <w:sz w:val="24"/>
          <w:szCs w:val="28"/>
          <w:lang w:val="en-US" w:eastAsia="zh-CN" w:bidi="ar-SA"/>
        </w:rPr>
        <w:t>号码资源</w:t>
      </w:r>
      <w:r>
        <w:rPr>
          <w:rFonts w:hint="eastAsia" w:cs="Times New Roman"/>
          <w:b/>
          <w:bCs/>
          <w:kern w:val="2"/>
          <w:sz w:val="24"/>
          <w:szCs w:val="28"/>
          <w:lang w:val="en-US" w:eastAsia="zh-CN" w:bidi="ar-SA"/>
        </w:rPr>
        <w:t>技术支持</w:t>
      </w:r>
    </w:p>
    <w:p w14:paraId="01B74E18">
      <w:pPr>
        <w:pStyle w:val="28"/>
        <w:ind w:firstLine="480" w:firstLineChars="200"/>
        <w:rPr>
          <w:rFonts w:hint="eastAsia"/>
        </w:rPr>
      </w:pPr>
      <w:bookmarkStart w:id="27" w:name="OLE_LINK18"/>
      <w:r>
        <w:rPr>
          <w:rFonts w:hint="default" w:ascii="宋体" w:hAnsi="宋体" w:eastAsia="宋体" w:cs="宋体"/>
          <w:lang w:val="en-US" w:eastAsia="zh-CN"/>
        </w:rPr>
        <w:t>为满足电费催缴沟通需求，将为来宾城区供电分局配置专属且稳定的固话号码资源。这些号码作为催缴专用通道，需通过信安认证及反诈中心审核，确保号码来源合规、用途透明，从源头降低被标记为骚扰或诈骗电话的风险。同时，号码需具备唯一性和持续性，避免因频繁变更导致用户信任度下降。号码数量将根据分局欠费用户规模及催缴频次合理分配，确保覆盖日常及高峰期外呼需求。建立号码资源池储备机制，所有储备号码均提前完成信安认证与反诈审核，当在用号码出现异常时可快速替换，保障催缴工作不中断，为电费催缴搭建合规且可靠的基础沟通桥梁。</w:t>
      </w:r>
    </w:p>
    <w:bookmarkEnd w:id="27"/>
    <w:p w14:paraId="2635E3E6">
      <w:pPr>
        <w:pStyle w:val="5"/>
        <w:bidi w:val="0"/>
        <w:rPr>
          <w:b/>
          <w:bCs/>
        </w:rPr>
      </w:pPr>
      <w:r>
        <w:rPr>
          <w:rFonts w:hint="eastAsia" w:ascii="Calibri" w:hAnsi="Calibri" w:eastAsia="宋体" w:cs="Times New Roman"/>
          <w:b/>
          <w:bCs/>
          <w:kern w:val="2"/>
          <w:sz w:val="24"/>
          <w:szCs w:val="28"/>
          <w:lang w:val="en-US" w:eastAsia="zh-CN" w:bidi="ar-SA"/>
        </w:rPr>
        <w:t>号码认证</w:t>
      </w:r>
      <w:r>
        <w:rPr>
          <w:rFonts w:hint="eastAsia" w:cs="Times New Roman"/>
          <w:b/>
          <w:bCs/>
          <w:kern w:val="2"/>
          <w:sz w:val="24"/>
          <w:szCs w:val="28"/>
          <w:lang w:val="en-US" w:eastAsia="zh-CN" w:bidi="ar-SA"/>
        </w:rPr>
        <w:t>技术支持</w:t>
      </w:r>
    </w:p>
    <w:p w14:paraId="131B4F33">
      <w:pPr>
        <w:adjustRightInd w:val="0"/>
        <w:spacing w:line="360" w:lineRule="auto"/>
        <w:ind w:firstLine="480" w:firstLineChars="200"/>
        <w:textAlignment w:val="baseline"/>
        <w:rPr>
          <w:rFonts w:hint="default" w:eastAsia="宋体"/>
          <w:lang w:val="en-US" w:eastAsia="zh-CN"/>
        </w:rPr>
      </w:pPr>
      <w:bookmarkStart w:id="28" w:name="OLE_LINK33"/>
      <w:r>
        <w:rPr>
          <w:rFonts w:hint="eastAsia"/>
          <w:lang w:val="en-US" w:eastAsia="zh-CN"/>
        </w:rPr>
        <w:t>针对配置的专用固话号码，将统一完成 “来宾供电局服务热线” 官方认证。通过与通信运营商协调，实现用户接到来电时，终端清晰显示认证后的号码及专属标识。认证过程需严格遵循企业信息核验标准，确保标识信息准确规范，提升用户对来电的识别度与信任度，降低被拦截概率，为催缴信息顺利传达提供信任保障。</w:t>
      </w:r>
    </w:p>
    <w:bookmarkEnd w:id="28"/>
    <w:p w14:paraId="0F8FF22C">
      <w:pPr>
        <w:pStyle w:val="5"/>
        <w:bidi w:val="0"/>
        <w:rPr>
          <w:rFonts w:hint="eastAsia" w:ascii="Times New Roman" w:hAnsi="Times New Roman" w:eastAsia="宋体" w:cs="Times New Roman"/>
          <w:lang w:val="en-US" w:eastAsia="zh-CN"/>
        </w:rPr>
      </w:pPr>
      <w:r>
        <w:rPr>
          <w:rFonts w:hint="default" w:ascii="Calibri" w:hAnsi="Calibri" w:eastAsia="宋体" w:cs="Times New Roman"/>
          <w:b/>
          <w:bCs/>
          <w:kern w:val="2"/>
          <w:sz w:val="24"/>
          <w:szCs w:val="28"/>
          <w:lang w:val="en-US" w:eastAsia="zh-CN" w:bidi="ar-SA"/>
        </w:rPr>
        <w:t>高频外呼保障</w:t>
      </w:r>
      <w:r>
        <w:rPr>
          <w:rFonts w:hint="eastAsia" w:cs="Times New Roman"/>
          <w:b/>
          <w:bCs/>
          <w:kern w:val="2"/>
          <w:sz w:val="24"/>
          <w:szCs w:val="28"/>
          <w:lang w:val="en-US" w:eastAsia="zh-CN" w:bidi="ar-SA"/>
        </w:rPr>
        <w:t>服务技术支持</w:t>
      </w:r>
    </w:p>
    <w:p w14:paraId="25E947A1">
      <w:pPr>
        <w:adjustRightInd w:val="0"/>
        <w:spacing w:line="360" w:lineRule="auto"/>
        <w:ind w:firstLine="480" w:firstLineChars="200"/>
        <w:textAlignment w:val="baseline"/>
      </w:pPr>
      <w:r>
        <w:rPr>
          <w:rFonts w:hint="eastAsia"/>
          <w:lang w:val="en-US" w:eastAsia="zh-CN"/>
        </w:rPr>
        <w:t>本服务具备每月稳定提供不低于30000通外呼电话的能力，可充分满足电费催缴业务中大规模、高频次的外呼需求，确保对欠费用户的全面覆盖。同时，在通话时长上不设任何限制，为与用户的沟通提供充分灵活性。</w:t>
      </w:r>
    </w:p>
    <w:p w14:paraId="2C9C455C">
      <w:pPr>
        <w:pStyle w:val="5"/>
        <w:bidi w:val="0"/>
        <w:rPr>
          <w:rFonts w:hint="eastAsia"/>
          <w:highlight w:val="none"/>
        </w:rPr>
      </w:pPr>
      <w:bookmarkStart w:id="29" w:name="OLE_LINK29"/>
      <w:r>
        <w:rPr>
          <w:rFonts w:hint="eastAsia" w:cs="Times New Roman"/>
          <w:b/>
          <w:bCs/>
          <w:kern w:val="2"/>
          <w:sz w:val="24"/>
          <w:szCs w:val="28"/>
          <w:lang w:val="en-US" w:eastAsia="zh-CN" w:bidi="ar-SA"/>
        </w:rPr>
        <w:t>服务管理技术支持</w:t>
      </w:r>
      <w:r>
        <w:rPr>
          <w:rFonts w:hint="eastAsia" w:ascii="宋体" w:hAnsi="宋体" w:eastAsia="宋体" w:cs="宋体"/>
          <w:sz w:val="24"/>
          <w:szCs w:val="24"/>
          <w:highlight w:val="none"/>
        </w:rPr>
        <w:t>。</w:t>
      </w:r>
    </w:p>
    <w:bookmarkEnd w:id="29"/>
    <w:p w14:paraId="65921949">
      <w:pPr>
        <w:adjustRightInd w:val="0"/>
        <w:spacing w:line="360" w:lineRule="auto"/>
        <w:ind w:firstLine="480" w:firstLineChars="200"/>
        <w:textAlignment w:val="baseline"/>
        <w:rPr>
          <w:rFonts w:hint="eastAsia" w:ascii="宋体" w:hAnsi="宋体" w:eastAsia="宋体" w:cs="宋体"/>
          <w:sz w:val="24"/>
          <w:szCs w:val="24"/>
          <w:highlight w:val="none"/>
        </w:rPr>
      </w:pPr>
      <w:r>
        <w:rPr>
          <w:rFonts w:hint="eastAsia"/>
          <w:lang w:val="en-US" w:eastAsia="zh-CN"/>
        </w:rPr>
        <w:t>支撑项目全周期运维保障，包括专用号码的日常管理、故障排查、技术支持等。具体涵盖号码资源的动态监控、认证信息的维护更新、与运营商及电网公司内部系统的对接协调等工作。同时，还包含专业运维团队的投入，确保能快速响应各供电局的问题反馈，解决号码路由故障、外呼系统异常等技术难题，保障催缴业务持续稳定运行</w:t>
      </w:r>
      <w:r>
        <w:rPr>
          <w:rFonts w:hint="eastAsia"/>
        </w:rPr>
        <w:t>。</w:t>
      </w:r>
    </w:p>
    <w:bookmarkEnd w:id="23"/>
    <w:p w14:paraId="1139D53A">
      <w:pPr>
        <w:pStyle w:val="5"/>
        <w:bidi w:val="0"/>
        <w:rPr>
          <w:rFonts w:hint="eastAsia" w:ascii="Times New Roman" w:hAnsi="Times New Roman" w:eastAsia="宋体" w:cs="Times New Roman"/>
          <w:sz w:val="24"/>
          <w:szCs w:val="24"/>
          <w:lang w:val="en-US" w:eastAsia="zh-CN"/>
        </w:rPr>
      </w:pPr>
      <w:r>
        <w:rPr>
          <w:rFonts w:hint="eastAsia" w:cs="Times New Roman"/>
          <w:b/>
          <w:bCs/>
          <w:kern w:val="2"/>
          <w:sz w:val="24"/>
          <w:szCs w:val="28"/>
          <w:lang w:val="en-US" w:eastAsia="zh-CN" w:bidi="ar-SA"/>
        </w:rPr>
        <w:t>并发通道技术支持</w:t>
      </w:r>
    </w:p>
    <w:p w14:paraId="604609EA">
      <w:pPr>
        <w:numPr>
          <w:ilvl w:val="0"/>
          <w:numId w:val="0"/>
        </w:numPr>
        <w:ind w:firstLine="480" w:firstLineChars="200"/>
        <w:rPr>
          <w:rFonts w:hint="eastAsia" w:cs="Times New Roman"/>
          <w:sz w:val="24"/>
          <w:szCs w:val="24"/>
          <w:lang w:val="en-US" w:eastAsia="zh-CN"/>
        </w:rPr>
      </w:pPr>
      <w:r>
        <w:rPr>
          <w:rFonts w:hint="eastAsia"/>
          <w:lang w:val="en-US" w:eastAsia="zh-CN"/>
        </w:rPr>
        <w:t>基于电费催缴高频次、大规模的需求，提供不低于99路的通话并发通道。通过优化呼叫平台外呼配置，将专用号码路由精准指向指定语音网关，确保在催缴高峰期仍能保持通道畅通，避免因并发不足导致外呼延迟或失败。并发通道建设需与自动外呼系统协同适配，满足批量自动语音催缴的功能需求，提升催缴工作的效率与覆盖范围</w:t>
      </w:r>
      <w:r>
        <w:rPr>
          <w:rFonts w:hint="eastAsia" w:cs="Times New Roman"/>
          <w:sz w:val="24"/>
          <w:szCs w:val="24"/>
          <w:lang w:val="en-US" w:eastAsia="zh-CN"/>
        </w:rPr>
        <w:t>。</w:t>
      </w:r>
    </w:p>
    <w:bookmarkEnd w:id="24"/>
    <w:bookmarkEnd w:id="25"/>
    <w:bookmarkEnd w:id="26"/>
    <w:p w14:paraId="1B3D4569">
      <w:pPr>
        <w:pStyle w:val="4"/>
      </w:pPr>
      <w:bookmarkStart w:id="30" w:name="_Toc34582629"/>
      <w:bookmarkStart w:id="31" w:name="_Toc15235"/>
      <w:bookmarkStart w:id="32" w:name="_Toc28481"/>
      <w:bookmarkStart w:id="33" w:name="_Toc27605"/>
      <w:bookmarkStart w:id="34" w:name="_Toc351129175"/>
      <w:r>
        <w:rPr>
          <w:rFonts w:hint="eastAsia"/>
        </w:rPr>
        <w:t>其他要求</w:t>
      </w:r>
      <w:bookmarkEnd w:id="30"/>
      <w:bookmarkEnd w:id="31"/>
      <w:bookmarkEnd w:id="32"/>
      <w:bookmarkEnd w:id="33"/>
    </w:p>
    <w:p w14:paraId="49E796D0">
      <w:pPr>
        <w:pStyle w:val="5"/>
      </w:pPr>
      <w:r>
        <w:rPr>
          <w:rFonts w:hint="eastAsia"/>
        </w:rPr>
        <w:t>项目进度</w:t>
      </w:r>
    </w:p>
    <w:p w14:paraId="5FA13615">
      <w:pPr>
        <w:pStyle w:val="6"/>
        <w:rPr>
          <w:b/>
        </w:rPr>
      </w:pPr>
      <w:r>
        <w:rPr>
          <w:rFonts w:hint="eastAsia"/>
        </w:rPr>
        <w:t>本技术规范书范围和内容要求</w:t>
      </w:r>
      <w:r>
        <w:rPr>
          <w:rFonts w:hint="eastAsia"/>
          <w:u w:val="single"/>
          <w:lang w:eastAsia="zh-CN"/>
        </w:rPr>
        <w:t>自合同签订之日起</w:t>
      </w:r>
      <w:r>
        <w:rPr>
          <w:rFonts w:hint="eastAsia"/>
          <w:u w:val="single"/>
          <w:lang w:val="en-US" w:eastAsia="zh-CN"/>
        </w:rPr>
        <w:t>12个月内</w:t>
      </w:r>
      <w:r>
        <w:rPr>
          <w:rFonts w:hint="eastAsia"/>
        </w:rPr>
        <w:t>完成。</w:t>
      </w:r>
    </w:p>
    <w:p w14:paraId="498EFFAD">
      <w:pPr>
        <w:pStyle w:val="6"/>
      </w:pPr>
      <w:r>
        <w:rPr>
          <w:rFonts w:hint="eastAsia"/>
        </w:rPr>
        <w:t>投标方必须响应并承诺下列要求：投标方应在建议书中根据招标方要求的服务、工作产品交付日期，提出详细的项目进度表及工作组织安排，合同签订时将在此基础上确定最终进度。投标方应明确对最短可行项目进度的承诺。</w:t>
      </w:r>
    </w:p>
    <w:p w14:paraId="0F96D014">
      <w:pPr>
        <w:pStyle w:val="5"/>
      </w:pPr>
      <w:r>
        <w:rPr>
          <w:rFonts w:hint="eastAsia"/>
        </w:rPr>
        <w:t>项目联络</w:t>
      </w:r>
    </w:p>
    <w:p w14:paraId="79C14F7D">
      <w:pPr>
        <w:pStyle w:val="6"/>
      </w:pPr>
      <w:r>
        <w:rPr>
          <w:rFonts w:hint="eastAsia"/>
        </w:rPr>
        <w:t>为审查和确认工作进展，便于合同按期执行，在系统开发实施过程中投标方根据招标方要求召开联络会，协调解决项目开发实施中的工作。</w:t>
      </w:r>
    </w:p>
    <w:p w14:paraId="3CEB0C62">
      <w:pPr>
        <w:pStyle w:val="6"/>
        <w:rPr>
          <w:b/>
        </w:rPr>
      </w:pPr>
      <w:r>
        <w:rPr>
          <w:rFonts w:hint="eastAsia"/>
        </w:rPr>
        <w:t>联络会的内容如下：</w:t>
      </w:r>
    </w:p>
    <w:p w14:paraId="1AED0AE2">
      <w:pPr>
        <w:numPr>
          <w:ilvl w:val="255"/>
          <w:numId w:val="0"/>
        </w:numPr>
        <w:tabs>
          <w:tab w:val="left" w:pos="900"/>
        </w:tabs>
        <w:ind w:left="480" w:leftChars="200"/>
        <w:rPr>
          <w:rFonts w:hAnsi="宋体"/>
        </w:rPr>
      </w:pPr>
      <w:r>
        <w:rPr>
          <w:rFonts w:hint="eastAsia" w:hAnsi="宋体"/>
        </w:rPr>
        <w:t>（1）确认服务、工作产品的功能、性能是否满足规范书要求。</w:t>
      </w:r>
    </w:p>
    <w:p w14:paraId="051EA7EB">
      <w:pPr>
        <w:numPr>
          <w:ilvl w:val="255"/>
          <w:numId w:val="0"/>
        </w:numPr>
        <w:tabs>
          <w:tab w:val="left" w:pos="900"/>
        </w:tabs>
        <w:ind w:left="480" w:leftChars="200"/>
        <w:rPr>
          <w:rFonts w:hAnsi="宋体"/>
        </w:rPr>
      </w:pPr>
      <w:r>
        <w:rPr>
          <w:rFonts w:hint="eastAsia" w:hAnsi="宋体"/>
        </w:rPr>
        <w:t>（2）确认服务、工作产品的实施方案。</w:t>
      </w:r>
    </w:p>
    <w:p w14:paraId="405BFF9F">
      <w:pPr>
        <w:numPr>
          <w:ilvl w:val="255"/>
          <w:numId w:val="0"/>
        </w:numPr>
        <w:tabs>
          <w:tab w:val="left" w:pos="900"/>
        </w:tabs>
        <w:ind w:left="480" w:leftChars="200"/>
        <w:rPr>
          <w:rFonts w:hAnsi="宋体"/>
        </w:rPr>
      </w:pPr>
      <w:r>
        <w:rPr>
          <w:rFonts w:hint="eastAsia" w:hAnsi="宋体"/>
        </w:rPr>
        <w:t>（3）检查、确认投标方提供的技术文件和图纸。</w:t>
      </w:r>
    </w:p>
    <w:p w14:paraId="7575453E">
      <w:pPr>
        <w:numPr>
          <w:ilvl w:val="255"/>
          <w:numId w:val="0"/>
        </w:numPr>
        <w:tabs>
          <w:tab w:val="left" w:pos="900"/>
        </w:tabs>
        <w:ind w:left="480" w:leftChars="200"/>
        <w:rPr>
          <w:rFonts w:hAnsi="宋体"/>
        </w:rPr>
      </w:pPr>
      <w:r>
        <w:rPr>
          <w:rFonts w:hint="eastAsia" w:hAnsi="宋体"/>
        </w:rPr>
        <w:t>（4）其他有关事项。</w:t>
      </w:r>
    </w:p>
    <w:p w14:paraId="40B2CFAA">
      <w:pPr>
        <w:pStyle w:val="5"/>
      </w:pPr>
      <w:r>
        <w:rPr>
          <w:rFonts w:hint="eastAsia"/>
        </w:rPr>
        <w:t>实施人员素质和人数要求</w:t>
      </w:r>
    </w:p>
    <w:p w14:paraId="055BD180">
      <w:pPr>
        <w:pStyle w:val="6"/>
      </w:pPr>
      <w:r>
        <w:t>本项目要求开展</w:t>
      </w:r>
      <w:r>
        <w:rPr>
          <w:rFonts w:hint="eastAsia"/>
        </w:rPr>
        <w:t>电费催收技术支持服务</w:t>
      </w:r>
      <w:r>
        <w:t>的厂家</w:t>
      </w:r>
      <w:r>
        <w:rPr>
          <w:rFonts w:hint="eastAsia"/>
        </w:rPr>
        <w:t>派遣</w:t>
      </w:r>
      <w:r>
        <w:t>具备</w:t>
      </w:r>
      <w:r>
        <w:rPr>
          <w:rFonts w:hint="eastAsia"/>
          <w:lang w:val="en-US" w:eastAsia="zh-CN"/>
        </w:rPr>
        <w:t>技术支持服务实施</w:t>
      </w:r>
      <w:r>
        <w:t>经验2年以上的技术人员，项目经理须具备3年以上项目经理工作经验，</w:t>
      </w:r>
      <w:r>
        <w:rPr>
          <w:rFonts w:hint="eastAsia"/>
        </w:rPr>
        <w:t>能独立编制工作方案和技术方案，能带领团队较好完成工作任务。本</w:t>
      </w:r>
      <w:r>
        <w:t>项目投入人员不少于</w:t>
      </w:r>
      <w:r>
        <w:rPr>
          <w:rFonts w:hint="eastAsia"/>
          <w:lang w:val="en-US" w:eastAsia="zh-CN"/>
        </w:rPr>
        <w:t>2</w:t>
      </w:r>
      <w:r>
        <w:t>人（含项目经理）。</w:t>
      </w:r>
    </w:p>
    <w:p w14:paraId="429C7ACB">
      <w:pPr>
        <w:pStyle w:val="6"/>
      </w:pPr>
      <w:r>
        <w:rPr>
          <w:rFonts w:hint="eastAsia"/>
        </w:rPr>
        <w:t>招标方有对投标方所提供的人员进行面试的权利，对于不满足招标方要求的人员，招标方有权要求投标方无条件更换人员，且不能影响项目进度。</w:t>
      </w:r>
    </w:p>
    <w:p w14:paraId="3F21B522">
      <w:pPr>
        <w:pStyle w:val="6"/>
      </w:pPr>
      <w:r>
        <w:rPr>
          <w:rFonts w:hint="eastAsia"/>
        </w:rPr>
        <w:t>投标方必须向招标方保证实人员组织的稳定性，投标方不得随意抽调。在本项目结束前，参加本项目的人员变动必须取得招标方同意，并立即安排拟订候补人员予以补充。招标方保留拒绝投标人员变更要求的权利。</w:t>
      </w:r>
    </w:p>
    <w:p w14:paraId="0978CC1D">
      <w:pPr>
        <w:pStyle w:val="6"/>
      </w:pPr>
      <w:r>
        <w:rPr>
          <w:rFonts w:hint="eastAsia"/>
        </w:rPr>
        <w:t>投标方的技术人员应遵守招标方各项规章制度，如有违反制度规定的情况出现时，依章处罚。</w:t>
      </w:r>
    </w:p>
    <w:p w14:paraId="77E85D73">
      <w:pPr>
        <w:pStyle w:val="5"/>
      </w:pPr>
      <w:r>
        <w:rPr>
          <w:rFonts w:hint="eastAsia"/>
        </w:rPr>
        <w:t>合作项目及设计确认</w:t>
      </w:r>
    </w:p>
    <w:p w14:paraId="466DB486">
      <w:pPr>
        <w:pStyle w:val="6"/>
        <w:rPr>
          <w:b/>
        </w:rPr>
      </w:pPr>
      <w:r>
        <w:rPr>
          <w:rFonts w:hint="eastAsia"/>
        </w:rPr>
        <w:t>为推进项目工作顺利开展，工作产品符合实际需要，招标方需进行全程参与合作项目。</w:t>
      </w:r>
    </w:p>
    <w:p w14:paraId="6A0A8E3D">
      <w:pPr>
        <w:pStyle w:val="6"/>
        <w:rPr>
          <w:b/>
        </w:rPr>
      </w:pPr>
      <w:r>
        <w:rPr>
          <w:rFonts w:hint="eastAsia"/>
        </w:rPr>
        <w:t>双方责任：在招标方的配合下，投标方全面负责合作配合工作，制定合作项目的工作计划并由招标方确认。</w:t>
      </w:r>
    </w:p>
    <w:p w14:paraId="43247361">
      <w:pPr>
        <w:pStyle w:val="5"/>
      </w:pPr>
      <w:r>
        <w:rPr>
          <w:rFonts w:hint="eastAsia"/>
        </w:rPr>
        <w:t>评审与验收</w:t>
      </w:r>
    </w:p>
    <w:p w14:paraId="01777FDC">
      <w:pPr>
        <w:pStyle w:val="6"/>
        <w:rPr>
          <w:b/>
        </w:rPr>
      </w:pPr>
      <w:r>
        <w:rPr>
          <w:rFonts w:hint="eastAsia"/>
        </w:rPr>
        <w:t>投标方应负责在项目验收时将项目的全部有关技术文件、资料、测试、验收报告等文档汇集成册交付给招标方。</w:t>
      </w:r>
    </w:p>
    <w:p w14:paraId="6E2936D5">
      <w:pPr>
        <w:pStyle w:val="6"/>
        <w:rPr>
          <w:b/>
        </w:rPr>
      </w:pPr>
      <w:r>
        <w:t>招标方可根据合同及招标书和招标方的有关规定进行修改和补充, 经双方确认后形成验收文件作为验收依据。验收</w:t>
      </w:r>
      <w:r>
        <w:rPr>
          <w:rFonts w:hint="eastAsia"/>
        </w:rPr>
        <w:t>评审</w:t>
      </w:r>
      <w:r>
        <w:t>合格后</w:t>
      </w:r>
      <w:r>
        <w:rPr>
          <w:rFonts w:hint="eastAsia"/>
        </w:rPr>
        <w:t>30日内，若无问题，经</w:t>
      </w:r>
      <w:r>
        <w:t>双方</w:t>
      </w:r>
      <w:r>
        <w:rPr>
          <w:rFonts w:hint="eastAsia"/>
        </w:rPr>
        <w:t>确认后</w:t>
      </w:r>
      <w:r>
        <w:t>，签署最终验收文件。</w:t>
      </w:r>
    </w:p>
    <w:p w14:paraId="1AFA7782">
      <w:pPr>
        <w:pStyle w:val="6"/>
        <w:rPr>
          <w:b/>
        </w:rPr>
      </w:pPr>
      <w:r>
        <w:rPr>
          <w:rFonts w:hint="eastAsia"/>
        </w:rPr>
        <w:t>如果在签</w:t>
      </w:r>
      <w:r>
        <w:t>署最终验收文件</w:t>
      </w:r>
      <w:r>
        <w:rPr>
          <w:rFonts w:hint="eastAsia"/>
        </w:rPr>
        <w:t>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14:paraId="00F798CB">
      <w:pPr>
        <w:pStyle w:val="5"/>
      </w:pPr>
      <w:r>
        <w:rPr>
          <w:rFonts w:hint="eastAsia"/>
        </w:rPr>
        <w:t>技术资料和文件</w:t>
      </w:r>
    </w:p>
    <w:p w14:paraId="5A9AB81C">
      <w:pPr>
        <w:pStyle w:val="6"/>
      </w:pPr>
      <w:r>
        <w:rPr>
          <w:rFonts w:hint="eastAsia"/>
        </w:rPr>
        <w:t>投标方提供的文件和资料应能满足招标方进行维护和进一步完善的需要。</w:t>
      </w:r>
    </w:p>
    <w:p w14:paraId="30E8F2E0">
      <w:pPr>
        <w:pStyle w:val="6"/>
      </w:pPr>
      <w:r>
        <w:rPr>
          <w:rFonts w:hint="eastAsia"/>
        </w:rPr>
        <w:t>提供的图纸应符合标准规格。</w:t>
      </w:r>
    </w:p>
    <w:p w14:paraId="2EEF8C33">
      <w:pPr>
        <w:pStyle w:val="6"/>
      </w:pPr>
      <w:r>
        <w:t>投标方应向招标方提供项目的全部过程资料的电子版</w:t>
      </w:r>
      <w:r>
        <w:rPr>
          <w:rFonts w:hint="eastAsia"/>
        </w:rPr>
        <w:t>。</w:t>
      </w:r>
    </w:p>
    <w:p w14:paraId="6A6C790C">
      <w:pPr>
        <w:pStyle w:val="6"/>
      </w:pPr>
      <w:r>
        <w:rPr>
          <w:rFonts w:hint="eastAsia"/>
        </w:rPr>
        <w:t>投标方应按照招标方要求，每周提供项目周报并及时汇报项目进度。</w:t>
      </w:r>
    </w:p>
    <w:p w14:paraId="762EF661">
      <w:pPr>
        <w:pStyle w:val="6"/>
      </w:pPr>
      <w:r>
        <w:rPr>
          <w:rFonts w:hint="eastAsia"/>
        </w:rPr>
        <w:t>若招标方有发表论文和登记软件著作权的需求，招标方配合投标方结合项目内容实际，挖掘项目创新点并提供支持，发表（或录用）论文1篇、登记（或申请）软件著作权1项，发表的相关成果所有权归招标方所有。</w:t>
      </w:r>
    </w:p>
    <w:p w14:paraId="756FA488">
      <w:pPr>
        <w:pStyle w:val="5"/>
      </w:pPr>
      <w:r>
        <w:rPr>
          <w:rFonts w:hint="eastAsia"/>
        </w:rPr>
        <w:t>售后服务</w:t>
      </w:r>
    </w:p>
    <w:p w14:paraId="36383BD4">
      <w:pPr>
        <w:pStyle w:val="6"/>
      </w:pPr>
      <w:r>
        <w:rPr>
          <w:rFonts w:hint="eastAsia" w:hAnsi="宋体" w:cs="宋体"/>
        </w:rPr>
        <w:t>项目验收通过后投标方无需继续提供免费技术咨询服务。</w:t>
      </w:r>
    </w:p>
    <w:p w14:paraId="43D6C5C9">
      <w:pPr>
        <w:pStyle w:val="4"/>
        <w:rPr>
          <w:rFonts w:hAnsi="宋体"/>
        </w:rPr>
      </w:pPr>
      <w:bookmarkStart w:id="35" w:name="_Toc30599"/>
      <w:bookmarkStart w:id="36" w:name="_Toc34582630"/>
      <w:bookmarkStart w:id="37" w:name="_Toc12293"/>
      <w:bookmarkStart w:id="38" w:name="_Toc31211"/>
      <w:bookmarkStart w:id="39" w:name="_Toc23083"/>
      <w:r>
        <w:rPr>
          <w:rFonts w:hint="eastAsia" w:hAnsi="宋体"/>
        </w:rPr>
        <w:t>附件</w:t>
      </w:r>
      <w:bookmarkEnd w:id="35"/>
      <w:bookmarkEnd w:id="36"/>
      <w:bookmarkEnd w:id="37"/>
      <w:bookmarkEnd w:id="38"/>
      <w:bookmarkEnd w:id="39"/>
    </w:p>
    <w:p w14:paraId="588847D9">
      <w:pPr>
        <w:pStyle w:val="5"/>
      </w:pPr>
      <w:r>
        <w:rPr>
          <w:rFonts w:hint="eastAsia"/>
        </w:rPr>
        <w:t>差异表</w:t>
      </w:r>
    </w:p>
    <w:tbl>
      <w:tblPr>
        <w:tblStyle w:val="23"/>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14:paraId="47FE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14:paraId="68F73208">
            <w:r>
              <w:rPr>
                <w:rFonts w:hint="eastAsia"/>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14:paraId="36ADE2AC">
            <w:r>
              <w:rPr>
                <w:rFonts w:hint="eastAsia"/>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14:paraId="017529D7">
            <w:r>
              <w:rPr>
                <w:rFonts w:hint="eastAsia"/>
              </w:rPr>
              <w:t>投标文件</w:t>
            </w:r>
          </w:p>
        </w:tc>
      </w:tr>
      <w:tr w14:paraId="6FA56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011AC524"/>
        </w:tc>
        <w:tc>
          <w:tcPr>
            <w:tcW w:w="1020" w:type="dxa"/>
            <w:tcBorders>
              <w:top w:val="single" w:color="auto" w:sz="4" w:space="0"/>
              <w:left w:val="single" w:color="auto" w:sz="4" w:space="0"/>
              <w:bottom w:val="single" w:color="auto" w:sz="4" w:space="0"/>
              <w:right w:val="single" w:color="auto" w:sz="4" w:space="0"/>
            </w:tcBorders>
            <w:vAlign w:val="center"/>
          </w:tcPr>
          <w:p w14:paraId="3C9B8896">
            <w:r>
              <w:rPr>
                <w:rFonts w:hint="eastAsia"/>
              </w:rPr>
              <w:t>条目</w:t>
            </w:r>
          </w:p>
        </w:tc>
        <w:tc>
          <w:tcPr>
            <w:tcW w:w="2835" w:type="dxa"/>
            <w:tcBorders>
              <w:top w:val="single" w:color="auto" w:sz="4" w:space="0"/>
              <w:left w:val="single" w:color="auto" w:sz="4" w:space="0"/>
              <w:bottom w:val="single" w:color="auto" w:sz="4" w:space="0"/>
              <w:right w:val="single" w:color="auto" w:sz="4" w:space="0"/>
            </w:tcBorders>
            <w:vAlign w:val="center"/>
          </w:tcPr>
          <w:p w14:paraId="3CC55361">
            <w:r>
              <w:rPr>
                <w:rFonts w:hint="eastAsia"/>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14:paraId="5E17A00A">
            <w:r>
              <w:rPr>
                <w:rFonts w:hint="eastAsia"/>
              </w:rPr>
              <w:t>条目</w:t>
            </w:r>
          </w:p>
        </w:tc>
        <w:tc>
          <w:tcPr>
            <w:tcW w:w="2694" w:type="dxa"/>
            <w:tcBorders>
              <w:top w:val="single" w:color="auto" w:sz="4" w:space="0"/>
              <w:left w:val="single" w:color="auto" w:sz="4" w:space="0"/>
              <w:bottom w:val="single" w:color="auto" w:sz="4" w:space="0"/>
              <w:right w:val="single" w:color="auto" w:sz="4" w:space="0"/>
            </w:tcBorders>
            <w:vAlign w:val="center"/>
          </w:tcPr>
          <w:p w14:paraId="12B22EA2">
            <w:r>
              <w:rPr>
                <w:rFonts w:hint="eastAsia"/>
              </w:rPr>
              <w:t>简要内容</w:t>
            </w:r>
          </w:p>
        </w:tc>
      </w:tr>
      <w:tr w14:paraId="1D15F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14:paraId="46B54332"/>
        </w:tc>
        <w:tc>
          <w:tcPr>
            <w:tcW w:w="1020" w:type="dxa"/>
            <w:tcBorders>
              <w:top w:val="single" w:color="auto" w:sz="4" w:space="0"/>
              <w:left w:val="single" w:color="auto" w:sz="4" w:space="0"/>
              <w:bottom w:val="single" w:color="auto" w:sz="4" w:space="0"/>
              <w:right w:val="single" w:color="auto" w:sz="4" w:space="0"/>
            </w:tcBorders>
          </w:tcPr>
          <w:p w14:paraId="59CEC829"/>
        </w:tc>
        <w:tc>
          <w:tcPr>
            <w:tcW w:w="2835" w:type="dxa"/>
            <w:tcBorders>
              <w:top w:val="single" w:color="auto" w:sz="4" w:space="0"/>
              <w:left w:val="single" w:color="auto" w:sz="4" w:space="0"/>
              <w:bottom w:val="single" w:color="auto" w:sz="4" w:space="0"/>
              <w:right w:val="single" w:color="auto" w:sz="4" w:space="0"/>
            </w:tcBorders>
          </w:tcPr>
          <w:p w14:paraId="5120E32F"/>
        </w:tc>
        <w:tc>
          <w:tcPr>
            <w:tcW w:w="1605" w:type="dxa"/>
            <w:tcBorders>
              <w:top w:val="single" w:color="auto" w:sz="4" w:space="0"/>
              <w:left w:val="single" w:color="auto" w:sz="4" w:space="0"/>
              <w:bottom w:val="single" w:color="auto" w:sz="4" w:space="0"/>
              <w:right w:val="single" w:color="auto" w:sz="4" w:space="0"/>
            </w:tcBorders>
          </w:tcPr>
          <w:p w14:paraId="28166A6A"/>
        </w:tc>
        <w:tc>
          <w:tcPr>
            <w:tcW w:w="2694" w:type="dxa"/>
            <w:tcBorders>
              <w:top w:val="single" w:color="auto" w:sz="4" w:space="0"/>
              <w:left w:val="single" w:color="auto" w:sz="4" w:space="0"/>
              <w:bottom w:val="single" w:color="auto" w:sz="4" w:space="0"/>
              <w:right w:val="single" w:color="auto" w:sz="4" w:space="0"/>
            </w:tcBorders>
          </w:tcPr>
          <w:p w14:paraId="5F9F7FF4"/>
        </w:tc>
      </w:tr>
      <w:tr w14:paraId="69B9C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14:paraId="691F680D"/>
        </w:tc>
        <w:tc>
          <w:tcPr>
            <w:tcW w:w="1020" w:type="dxa"/>
            <w:tcBorders>
              <w:top w:val="single" w:color="auto" w:sz="4" w:space="0"/>
              <w:left w:val="single" w:color="auto" w:sz="4" w:space="0"/>
              <w:bottom w:val="single" w:color="auto" w:sz="4" w:space="0"/>
              <w:right w:val="single" w:color="auto" w:sz="4" w:space="0"/>
            </w:tcBorders>
          </w:tcPr>
          <w:p w14:paraId="5A43D775"/>
        </w:tc>
        <w:tc>
          <w:tcPr>
            <w:tcW w:w="2835" w:type="dxa"/>
            <w:tcBorders>
              <w:top w:val="single" w:color="auto" w:sz="4" w:space="0"/>
              <w:left w:val="single" w:color="auto" w:sz="4" w:space="0"/>
              <w:bottom w:val="single" w:color="auto" w:sz="4" w:space="0"/>
              <w:right w:val="single" w:color="auto" w:sz="4" w:space="0"/>
            </w:tcBorders>
          </w:tcPr>
          <w:p w14:paraId="71BAA06A"/>
        </w:tc>
        <w:tc>
          <w:tcPr>
            <w:tcW w:w="1605" w:type="dxa"/>
            <w:tcBorders>
              <w:top w:val="single" w:color="auto" w:sz="4" w:space="0"/>
              <w:left w:val="single" w:color="auto" w:sz="4" w:space="0"/>
              <w:bottom w:val="single" w:color="auto" w:sz="4" w:space="0"/>
              <w:right w:val="single" w:color="auto" w:sz="4" w:space="0"/>
            </w:tcBorders>
          </w:tcPr>
          <w:p w14:paraId="7E57368F"/>
        </w:tc>
        <w:tc>
          <w:tcPr>
            <w:tcW w:w="2694" w:type="dxa"/>
            <w:tcBorders>
              <w:top w:val="single" w:color="auto" w:sz="4" w:space="0"/>
              <w:left w:val="single" w:color="auto" w:sz="4" w:space="0"/>
              <w:bottom w:val="single" w:color="auto" w:sz="4" w:space="0"/>
              <w:right w:val="single" w:color="auto" w:sz="4" w:space="0"/>
            </w:tcBorders>
          </w:tcPr>
          <w:p w14:paraId="3A571F47"/>
        </w:tc>
      </w:tr>
    </w:tbl>
    <w:p w14:paraId="1B72609F">
      <w:pPr>
        <w:pStyle w:val="5"/>
      </w:pPr>
      <w:r>
        <w:rPr>
          <w:rFonts w:hint="eastAsia"/>
        </w:rPr>
        <w:t>投标方需要说明的其它问题</w:t>
      </w:r>
      <w:bookmarkEnd w:id="34"/>
    </w:p>
    <w:sectPr>
      <w:headerReference r:id="rId7" w:type="default"/>
      <w:footerReference r:id="rId8"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C4803">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60B9A">
    <w:pPr>
      <w:framePr w:wrap="around" w:vAnchor="text" w:hAnchor="margin" w:xAlign="center" w:y="2"/>
    </w:pPr>
    <w:r>
      <w:fldChar w:fldCharType="begin"/>
    </w:r>
    <w:r>
      <w:instrText xml:space="preserve">PAGE  </w:instrText>
    </w:r>
    <w:r>
      <w:fldChar w:fldCharType="end"/>
    </w:r>
  </w:p>
  <w:p w14:paraId="24D84AB4">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23B07">
    <w:pPr>
      <w:framePr w:wrap="around" w:vAnchor="text" w:hAnchor="margin" w:xAlign="center" w:y="2"/>
    </w:pPr>
    <w:r>
      <w:fldChar w:fldCharType="begin"/>
    </w:r>
    <w:r>
      <w:instrText xml:space="preserve">PAGE  </w:instrText>
    </w:r>
    <w:r>
      <w:fldChar w:fldCharType="separate"/>
    </w:r>
    <w:r>
      <w:t>20</w:t>
    </w:r>
    <w:r>
      <w:fldChar w:fldCharType="end"/>
    </w:r>
  </w:p>
  <w:p w14:paraId="68DC87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3368A">
    <w:pPr>
      <w:jc w:val="left"/>
    </w:pPr>
    <w:r>
      <w:drawing>
        <wp:inline distT="0" distB="0" distL="114300" distR="114300">
          <wp:extent cx="1554480" cy="273685"/>
          <wp:effectExtent l="0" t="0" r="7620" b="12065"/>
          <wp:docPr id="1" name="Picture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pStyle w:val="29"/>
      <w:isLgl/>
      <w:suff w:val="space"/>
      <w:lvlText w:val="%1.%2.%3"/>
      <w:lvlJc w:val="left"/>
      <w:pPr>
        <w:ind w:left="0" w:firstLine="0"/>
      </w:pPr>
      <w:rPr>
        <w:rFonts w:hint="eastAsia"/>
        <w:b/>
        <w:i w:val="0"/>
      </w:rPr>
    </w:lvl>
    <w:lvl w:ilvl="3" w:tentative="0">
      <w:start w:val="1"/>
      <w:numFmt w:val="decimal"/>
      <w:pStyle w:val="31"/>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39065431"/>
    <w:multiLevelType w:val="multilevel"/>
    <w:tmpl w:val="39065431"/>
    <w:lvl w:ilvl="0" w:tentative="0">
      <w:start w:val="1"/>
      <w:numFmt w:val="decimal"/>
      <w:pStyle w:val="4"/>
      <w:lvlText w:val="%1"/>
      <w:lvlJc w:val="left"/>
      <w:pPr>
        <w:ind w:left="432" w:hanging="432"/>
      </w:pPr>
    </w:lvl>
    <w:lvl w:ilvl="1" w:tentative="0">
      <w:start w:val="1"/>
      <w:numFmt w:val="decimal"/>
      <w:pStyle w:val="5"/>
      <w:lvlText w:val="%1.%2"/>
      <w:lvlJc w:val="left"/>
      <w:pPr>
        <w:ind w:left="576" w:hanging="576"/>
      </w:pPr>
      <w:rPr>
        <w:rFonts w:hint="default" w:asciiTheme="majorEastAsia" w:hAnsiTheme="majorEastAsia" w:eastAsiaTheme="majorEastAsia" w:cstheme="majorEastAsia"/>
        <w:b/>
        <w:bCs/>
      </w:rPr>
    </w:lvl>
    <w:lvl w:ilvl="2" w:tentative="0">
      <w:start w:val="1"/>
      <w:numFmt w:val="decimal"/>
      <w:pStyle w:val="6"/>
      <w:lvlText w:val="%1.%2.%3"/>
      <w:lvlJc w:val="left"/>
      <w:pPr>
        <w:ind w:left="720" w:hanging="720"/>
      </w:pPr>
      <w:rPr>
        <w:rFonts w:hint="default" w:asciiTheme="majorEastAsia" w:hAnsiTheme="majorEastAsia" w:eastAsiaTheme="majorEastAsia" w:cstheme="majorEastAsia"/>
        <w:b/>
        <w:bCs/>
      </w:rPr>
    </w:lvl>
    <w:lvl w:ilvl="3" w:tentative="0">
      <w:start w:val="1"/>
      <w:numFmt w:val="decimal"/>
      <w:pStyle w:val="7"/>
      <w:lvlText w:val="%1.%2.%3.%4"/>
      <w:lvlJc w:val="left"/>
      <w:pPr>
        <w:ind w:left="1824" w:hanging="864"/>
      </w:pPr>
      <w:rPr>
        <w:rFonts w:hint="default"/>
        <w:b/>
        <w:bCs/>
      </w:rPr>
    </w:lvl>
    <w:lvl w:ilvl="4" w:tentative="0">
      <w:start w:val="1"/>
      <w:numFmt w:val="decimal"/>
      <w:pStyle w:val="8"/>
      <w:lvlText w:val="%1.%2.%3.%4.%5"/>
      <w:lvlJc w:val="left"/>
      <w:pPr>
        <w:ind w:left="1008" w:hanging="1008"/>
      </w:pPr>
    </w:lvl>
    <w:lvl w:ilvl="5" w:tentative="0">
      <w:start w:val="1"/>
      <w:numFmt w:val="decimal"/>
      <w:pStyle w:val="9"/>
      <w:lvlText w:val="%1.%2.%3.%4.%5.%6"/>
      <w:lvlJc w:val="left"/>
      <w:pPr>
        <w:ind w:left="1152" w:hanging="1152"/>
      </w:pPr>
    </w:lvl>
    <w:lvl w:ilvl="6" w:tentative="0">
      <w:start w:val="1"/>
      <w:numFmt w:val="decimal"/>
      <w:pStyle w:val="10"/>
      <w:lvlText w:val="%1.%2.%3.%4.%5.%6.%7"/>
      <w:lvlJc w:val="left"/>
      <w:pPr>
        <w:ind w:left="1296" w:hanging="1296"/>
      </w:pPr>
    </w:lvl>
    <w:lvl w:ilvl="7" w:tentative="0">
      <w:start w:val="1"/>
      <w:numFmt w:val="decimal"/>
      <w:pStyle w:val="11"/>
      <w:lvlText w:val="%1.%2.%3.%4.%5.%6.%7.%8"/>
      <w:lvlJc w:val="left"/>
      <w:pPr>
        <w:ind w:left="1440" w:hanging="1440"/>
      </w:pPr>
    </w:lvl>
    <w:lvl w:ilvl="8" w:tentative="0">
      <w:start w:val="1"/>
      <w:numFmt w:val="decimal"/>
      <w:pStyle w:val="12"/>
      <w:lvlText w:val="%1.%2.%3.%4.%5.%6.%7.%8.%9"/>
      <w:lvlJc w:val="left"/>
      <w:pPr>
        <w:ind w:left="1584" w:hanging="1584"/>
      </w:pPr>
    </w:lvl>
  </w:abstractNum>
  <w:abstractNum w:abstractNumId="2">
    <w:nsid w:val="5B621A86"/>
    <w:multiLevelType w:val="multilevel"/>
    <w:tmpl w:val="5B621A86"/>
    <w:lvl w:ilvl="0" w:tentative="0">
      <w:start w:val="1"/>
      <w:numFmt w:val="bullet"/>
      <w:pStyle w:val="47"/>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532BA"/>
    <w:rsid w:val="00081010"/>
    <w:rsid w:val="00095BC4"/>
    <w:rsid w:val="000C54EF"/>
    <w:rsid w:val="000E630A"/>
    <w:rsid w:val="00106182"/>
    <w:rsid w:val="00117A12"/>
    <w:rsid w:val="00125E36"/>
    <w:rsid w:val="00160FCE"/>
    <w:rsid w:val="0016251A"/>
    <w:rsid w:val="0016530B"/>
    <w:rsid w:val="00172A27"/>
    <w:rsid w:val="00190C20"/>
    <w:rsid w:val="001A4921"/>
    <w:rsid w:val="001C4961"/>
    <w:rsid w:val="001E1AEA"/>
    <w:rsid w:val="00261F8C"/>
    <w:rsid w:val="002D30E4"/>
    <w:rsid w:val="002E007A"/>
    <w:rsid w:val="00305644"/>
    <w:rsid w:val="00305671"/>
    <w:rsid w:val="00307C8D"/>
    <w:rsid w:val="00333592"/>
    <w:rsid w:val="00376689"/>
    <w:rsid w:val="00392DB5"/>
    <w:rsid w:val="003D6198"/>
    <w:rsid w:val="003E1259"/>
    <w:rsid w:val="003E62BA"/>
    <w:rsid w:val="003E69A8"/>
    <w:rsid w:val="003F3CD8"/>
    <w:rsid w:val="003F5E79"/>
    <w:rsid w:val="0041380A"/>
    <w:rsid w:val="00431E87"/>
    <w:rsid w:val="0043577C"/>
    <w:rsid w:val="004443E6"/>
    <w:rsid w:val="00483DA2"/>
    <w:rsid w:val="004B1CC4"/>
    <w:rsid w:val="00525854"/>
    <w:rsid w:val="005907EA"/>
    <w:rsid w:val="006025E5"/>
    <w:rsid w:val="006449B3"/>
    <w:rsid w:val="00654EC6"/>
    <w:rsid w:val="006A2FFC"/>
    <w:rsid w:val="006B7218"/>
    <w:rsid w:val="006F66B9"/>
    <w:rsid w:val="006F6E36"/>
    <w:rsid w:val="00702573"/>
    <w:rsid w:val="007039A9"/>
    <w:rsid w:val="007139E4"/>
    <w:rsid w:val="00731902"/>
    <w:rsid w:val="007411C4"/>
    <w:rsid w:val="00742BE4"/>
    <w:rsid w:val="00746EF1"/>
    <w:rsid w:val="00747E38"/>
    <w:rsid w:val="0075075F"/>
    <w:rsid w:val="00751D0F"/>
    <w:rsid w:val="007746EF"/>
    <w:rsid w:val="00774871"/>
    <w:rsid w:val="00774F89"/>
    <w:rsid w:val="0078621E"/>
    <w:rsid w:val="007A2D51"/>
    <w:rsid w:val="007B4155"/>
    <w:rsid w:val="007D08E1"/>
    <w:rsid w:val="007D5245"/>
    <w:rsid w:val="00852D01"/>
    <w:rsid w:val="0085348F"/>
    <w:rsid w:val="008550C7"/>
    <w:rsid w:val="00883C5D"/>
    <w:rsid w:val="00894DF2"/>
    <w:rsid w:val="008F7484"/>
    <w:rsid w:val="009079DD"/>
    <w:rsid w:val="00922BC3"/>
    <w:rsid w:val="00944FB8"/>
    <w:rsid w:val="009546D6"/>
    <w:rsid w:val="00974F37"/>
    <w:rsid w:val="009B0484"/>
    <w:rsid w:val="009C15C6"/>
    <w:rsid w:val="009C1E5B"/>
    <w:rsid w:val="009E53F9"/>
    <w:rsid w:val="009F7D3A"/>
    <w:rsid w:val="00A23F5F"/>
    <w:rsid w:val="00A30B68"/>
    <w:rsid w:val="00A43E63"/>
    <w:rsid w:val="00A45FD8"/>
    <w:rsid w:val="00AE0E3F"/>
    <w:rsid w:val="00AF359B"/>
    <w:rsid w:val="00AF75CF"/>
    <w:rsid w:val="00B064BD"/>
    <w:rsid w:val="00B137E4"/>
    <w:rsid w:val="00B82AFC"/>
    <w:rsid w:val="00B8580A"/>
    <w:rsid w:val="00B9024A"/>
    <w:rsid w:val="00BA2D3C"/>
    <w:rsid w:val="00BB2F71"/>
    <w:rsid w:val="00BB67C9"/>
    <w:rsid w:val="00BC5B20"/>
    <w:rsid w:val="00BE6346"/>
    <w:rsid w:val="00C11131"/>
    <w:rsid w:val="00C209E7"/>
    <w:rsid w:val="00C5405D"/>
    <w:rsid w:val="00C62DC2"/>
    <w:rsid w:val="00C648A2"/>
    <w:rsid w:val="00CF7568"/>
    <w:rsid w:val="00D53292"/>
    <w:rsid w:val="00D57C83"/>
    <w:rsid w:val="00D63548"/>
    <w:rsid w:val="00D66F8C"/>
    <w:rsid w:val="00D86CE5"/>
    <w:rsid w:val="00D86DBD"/>
    <w:rsid w:val="00D944CE"/>
    <w:rsid w:val="00DD56FA"/>
    <w:rsid w:val="00DF618F"/>
    <w:rsid w:val="00E573D9"/>
    <w:rsid w:val="00E76DAB"/>
    <w:rsid w:val="00EA0033"/>
    <w:rsid w:val="00EB105E"/>
    <w:rsid w:val="00F44C27"/>
    <w:rsid w:val="00F74946"/>
    <w:rsid w:val="00FB3DC0"/>
    <w:rsid w:val="01262150"/>
    <w:rsid w:val="02564BEC"/>
    <w:rsid w:val="028766A7"/>
    <w:rsid w:val="03971F1D"/>
    <w:rsid w:val="044472EB"/>
    <w:rsid w:val="047A5C0D"/>
    <w:rsid w:val="0596553A"/>
    <w:rsid w:val="06917E7F"/>
    <w:rsid w:val="07954184"/>
    <w:rsid w:val="098A7634"/>
    <w:rsid w:val="099D720A"/>
    <w:rsid w:val="0A462B02"/>
    <w:rsid w:val="0B5079E9"/>
    <w:rsid w:val="0C2C6DA8"/>
    <w:rsid w:val="0CD6121D"/>
    <w:rsid w:val="0D767261"/>
    <w:rsid w:val="0E5C6463"/>
    <w:rsid w:val="0E9350E4"/>
    <w:rsid w:val="0EE0398E"/>
    <w:rsid w:val="0F335B69"/>
    <w:rsid w:val="106D3EC8"/>
    <w:rsid w:val="10876432"/>
    <w:rsid w:val="11DD2048"/>
    <w:rsid w:val="14507F39"/>
    <w:rsid w:val="145619B8"/>
    <w:rsid w:val="16B368B3"/>
    <w:rsid w:val="16BF7BFA"/>
    <w:rsid w:val="17522616"/>
    <w:rsid w:val="177B29BC"/>
    <w:rsid w:val="180A65AE"/>
    <w:rsid w:val="18E92E35"/>
    <w:rsid w:val="192023F6"/>
    <w:rsid w:val="19A05834"/>
    <w:rsid w:val="19BF34CD"/>
    <w:rsid w:val="19C907D9"/>
    <w:rsid w:val="1B8371BB"/>
    <w:rsid w:val="1BDF511D"/>
    <w:rsid w:val="1D9B006D"/>
    <w:rsid w:val="201F4532"/>
    <w:rsid w:val="20857668"/>
    <w:rsid w:val="20E435D7"/>
    <w:rsid w:val="210A674C"/>
    <w:rsid w:val="21940A05"/>
    <w:rsid w:val="22840572"/>
    <w:rsid w:val="22A86F74"/>
    <w:rsid w:val="23E32AF5"/>
    <w:rsid w:val="24001A27"/>
    <w:rsid w:val="241D4EB8"/>
    <w:rsid w:val="25EA3186"/>
    <w:rsid w:val="26121868"/>
    <w:rsid w:val="26151506"/>
    <w:rsid w:val="269F2808"/>
    <w:rsid w:val="26D97821"/>
    <w:rsid w:val="270D51FC"/>
    <w:rsid w:val="27BA0001"/>
    <w:rsid w:val="28194C6A"/>
    <w:rsid w:val="287C0D7C"/>
    <w:rsid w:val="295D4E96"/>
    <w:rsid w:val="2D71439F"/>
    <w:rsid w:val="2EA00B71"/>
    <w:rsid w:val="2ECC5B5D"/>
    <w:rsid w:val="2EF77BB8"/>
    <w:rsid w:val="30351FA2"/>
    <w:rsid w:val="305D72B5"/>
    <w:rsid w:val="309148BA"/>
    <w:rsid w:val="30A41BF9"/>
    <w:rsid w:val="30C25F69"/>
    <w:rsid w:val="31006D5A"/>
    <w:rsid w:val="3135332E"/>
    <w:rsid w:val="31880A35"/>
    <w:rsid w:val="3230614A"/>
    <w:rsid w:val="32A269DF"/>
    <w:rsid w:val="33A67A93"/>
    <w:rsid w:val="34E168F0"/>
    <w:rsid w:val="34E17CD4"/>
    <w:rsid w:val="35EE1853"/>
    <w:rsid w:val="373F11B0"/>
    <w:rsid w:val="38040B45"/>
    <w:rsid w:val="38305FDC"/>
    <w:rsid w:val="383C73C9"/>
    <w:rsid w:val="38614F07"/>
    <w:rsid w:val="38FE0ADA"/>
    <w:rsid w:val="3B6A388A"/>
    <w:rsid w:val="3B954FF7"/>
    <w:rsid w:val="3BFE7D30"/>
    <w:rsid w:val="3C2F3205"/>
    <w:rsid w:val="3FA52433"/>
    <w:rsid w:val="3FB722E2"/>
    <w:rsid w:val="3FD74DD6"/>
    <w:rsid w:val="444D217E"/>
    <w:rsid w:val="44D70EFD"/>
    <w:rsid w:val="454844F4"/>
    <w:rsid w:val="45743E4A"/>
    <w:rsid w:val="45773005"/>
    <w:rsid w:val="47215995"/>
    <w:rsid w:val="47D27940"/>
    <w:rsid w:val="485560B0"/>
    <w:rsid w:val="4869396F"/>
    <w:rsid w:val="486E637E"/>
    <w:rsid w:val="487205BF"/>
    <w:rsid w:val="48866E92"/>
    <w:rsid w:val="49A123E9"/>
    <w:rsid w:val="49B52FF9"/>
    <w:rsid w:val="4B2866EA"/>
    <w:rsid w:val="4BBD75E9"/>
    <w:rsid w:val="4BF20E80"/>
    <w:rsid w:val="4BF8620C"/>
    <w:rsid w:val="4CF6256F"/>
    <w:rsid w:val="4E1E145E"/>
    <w:rsid w:val="4EAC7A77"/>
    <w:rsid w:val="4F2B696A"/>
    <w:rsid w:val="4F513EFE"/>
    <w:rsid w:val="4F587A3C"/>
    <w:rsid w:val="4FBC0654"/>
    <w:rsid w:val="504650FD"/>
    <w:rsid w:val="51177B30"/>
    <w:rsid w:val="51C8534D"/>
    <w:rsid w:val="53835E44"/>
    <w:rsid w:val="53981803"/>
    <w:rsid w:val="542031BC"/>
    <w:rsid w:val="54CC3768"/>
    <w:rsid w:val="54DB667A"/>
    <w:rsid w:val="54F0539C"/>
    <w:rsid w:val="55081730"/>
    <w:rsid w:val="550A48A6"/>
    <w:rsid w:val="56FF63EB"/>
    <w:rsid w:val="57B03871"/>
    <w:rsid w:val="59512F94"/>
    <w:rsid w:val="59A25E01"/>
    <w:rsid w:val="59CA585C"/>
    <w:rsid w:val="5A455061"/>
    <w:rsid w:val="5A955BDE"/>
    <w:rsid w:val="5B170DDE"/>
    <w:rsid w:val="5B2F01EA"/>
    <w:rsid w:val="5BCC447B"/>
    <w:rsid w:val="5C7268EA"/>
    <w:rsid w:val="5C837D1A"/>
    <w:rsid w:val="5CA8344D"/>
    <w:rsid w:val="5CC44D5D"/>
    <w:rsid w:val="5F934430"/>
    <w:rsid w:val="5FA8778B"/>
    <w:rsid w:val="60E45F26"/>
    <w:rsid w:val="6117305E"/>
    <w:rsid w:val="614F1F46"/>
    <w:rsid w:val="62021F63"/>
    <w:rsid w:val="62791F8C"/>
    <w:rsid w:val="628030BE"/>
    <w:rsid w:val="631A2C3D"/>
    <w:rsid w:val="63750CE8"/>
    <w:rsid w:val="63AA0088"/>
    <w:rsid w:val="663038B4"/>
    <w:rsid w:val="66A64019"/>
    <w:rsid w:val="66F0624D"/>
    <w:rsid w:val="67491CEF"/>
    <w:rsid w:val="67AC12B3"/>
    <w:rsid w:val="67B16E42"/>
    <w:rsid w:val="67EC387D"/>
    <w:rsid w:val="684E3E03"/>
    <w:rsid w:val="685809E5"/>
    <w:rsid w:val="687E769E"/>
    <w:rsid w:val="69884D6A"/>
    <w:rsid w:val="69B012AE"/>
    <w:rsid w:val="6A274783"/>
    <w:rsid w:val="6AB81769"/>
    <w:rsid w:val="6B513B5D"/>
    <w:rsid w:val="6B6F4FA5"/>
    <w:rsid w:val="6B824A06"/>
    <w:rsid w:val="6C80299B"/>
    <w:rsid w:val="6D913271"/>
    <w:rsid w:val="6DAA1E57"/>
    <w:rsid w:val="6E2A3077"/>
    <w:rsid w:val="6EC361AE"/>
    <w:rsid w:val="6FC927F4"/>
    <w:rsid w:val="707D5681"/>
    <w:rsid w:val="710C5E21"/>
    <w:rsid w:val="72A96D22"/>
    <w:rsid w:val="734276BD"/>
    <w:rsid w:val="73555E58"/>
    <w:rsid w:val="741768BA"/>
    <w:rsid w:val="744C0A5D"/>
    <w:rsid w:val="745E3FF9"/>
    <w:rsid w:val="74C7107B"/>
    <w:rsid w:val="750F39DD"/>
    <w:rsid w:val="751951B6"/>
    <w:rsid w:val="753D3344"/>
    <w:rsid w:val="754E212E"/>
    <w:rsid w:val="761E2C13"/>
    <w:rsid w:val="764F015F"/>
    <w:rsid w:val="76A57E71"/>
    <w:rsid w:val="794559D8"/>
    <w:rsid w:val="7A625724"/>
    <w:rsid w:val="7A9F24BA"/>
    <w:rsid w:val="7B294453"/>
    <w:rsid w:val="7B2F595A"/>
    <w:rsid w:val="7C3E7E36"/>
    <w:rsid w:val="7E29513A"/>
    <w:rsid w:val="7E355F24"/>
    <w:rsid w:val="7E7E0C0F"/>
    <w:rsid w:val="7F764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4">
    <w:name w:val="heading 1"/>
    <w:basedOn w:val="1"/>
    <w:next w:val="1"/>
    <w:qFormat/>
    <w:uiPriority w:val="0"/>
    <w:pPr>
      <w:keepNext/>
      <w:keepLines/>
      <w:numPr>
        <w:ilvl w:val="0"/>
        <w:numId w:val="1"/>
      </w:numPr>
      <w:outlineLvl w:val="0"/>
    </w:pPr>
    <w:rPr>
      <w:b/>
      <w:bCs/>
      <w:kern w:val="44"/>
      <w:szCs w:val="44"/>
    </w:rPr>
  </w:style>
  <w:style w:type="paragraph" w:styleId="5">
    <w:name w:val="heading 2"/>
    <w:basedOn w:val="1"/>
    <w:next w:val="1"/>
    <w:qFormat/>
    <w:uiPriority w:val="0"/>
    <w:pPr>
      <w:keepNext/>
      <w:keepLines/>
      <w:numPr>
        <w:ilvl w:val="1"/>
        <w:numId w:val="1"/>
      </w:numPr>
      <w:ind w:left="0" w:firstLine="0"/>
      <w:outlineLvl w:val="1"/>
    </w:pPr>
    <w:rPr>
      <w:rFonts w:hAnsi="Arial"/>
      <w:szCs w:val="32"/>
    </w:rPr>
  </w:style>
  <w:style w:type="paragraph" w:styleId="6">
    <w:name w:val="heading 3"/>
    <w:basedOn w:val="1"/>
    <w:next w:val="1"/>
    <w:link w:val="40"/>
    <w:qFormat/>
    <w:uiPriority w:val="0"/>
    <w:pPr>
      <w:numPr>
        <w:ilvl w:val="2"/>
        <w:numId w:val="1"/>
      </w:numPr>
      <w:ind w:left="0" w:firstLine="0"/>
      <w:outlineLvl w:val="2"/>
    </w:pPr>
    <w:rPr>
      <w:bCs/>
    </w:rPr>
  </w:style>
  <w:style w:type="paragraph" w:styleId="7">
    <w:name w:val="heading 4"/>
    <w:basedOn w:val="1"/>
    <w:next w:val="1"/>
    <w:link w:val="33"/>
    <w:qFormat/>
    <w:uiPriority w:val="0"/>
    <w:pPr>
      <w:keepNext/>
      <w:keepLines/>
      <w:numPr>
        <w:ilvl w:val="3"/>
        <w:numId w:val="1"/>
      </w:numPr>
      <w:outlineLvl w:val="3"/>
    </w:pPr>
    <w:rPr>
      <w:rFonts w:hAnsi="宋体" w:cs="宋体"/>
    </w:rPr>
  </w:style>
  <w:style w:type="paragraph" w:styleId="8">
    <w:name w:val="heading 5"/>
    <w:basedOn w:val="1"/>
    <w:next w:val="1"/>
    <w:link w:val="37"/>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qFormat/>
    <w:uiPriority w:val="0"/>
    <w:pPr>
      <w:numPr>
        <w:ilvl w:val="5"/>
        <w:numId w:val="1"/>
      </w:numPr>
      <w:spacing w:before="60" w:after="60"/>
      <w:outlineLvl w:val="5"/>
    </w:pPr>
    <w:rPr>
      <w:rFonts w:hAnsi="宋体"/>
      <w:b/>
      <w:bCs/>
    </w:rPr>
  </w:style>
  <w:style w:type="paragraph" w:styleId="10">
    <w:name w:val="heading 7"/>
    <w:basedOn w:val="1"/>
    <w:next w:val="1"/>
    <w:link w:val="41"/>
    <w:unhideWhenUsed/>
    <w:qFormat/>
    <w:uiPriority w:val="0"/>
    <w:pPr>
      <w:keepNext/>
      <w:keepLines/>
      <w:numPr>
        <w:ilvl w:val="6"/>
        <w:numId w:val="1"/>
      </w:numPr>
      <w:spacing w:before="240" w:after="64" w:line="320" w:lineRule="auto"/>
      <w:outlineLvl w:val="6"/>
    </w:pPr>
    <w:rPr>
      <w:b/>
      <w:bCs/>
    </w:rPr>
  </w:style>
  <w:style w:type="paragraph" w:styleId="11">
    <w:name w:val="heading 8"/>
    <w:basedOn w:val="1"/>
    <w:next w:val="1"/>
    <w:link w:val="42"/>
    <w:unhideWhenUsed/>
    <w:qFormat/>
    <w:uiPriority w:val="0"/>
    <w:pPr>
      <w:keepNext/>
      <w:keepLines/>
      <w:numPr>
        <w:ilvl w:val="7"/>
        <w:numId w:val="1"/>
      </w:numPr>
      <w:spacing w:before="240" w:after="64" w:line="320" w:lineRule="auto"/>
      <w:outlineLvl w:val="7"/>
    </w:pPr>
    <w:rPr>
      <w:rFonts w:asciiTheme="majorHAnsi" w:hAnsiTheme="majorHAnsi" w:eastAsiaTheme="majorEastAsia" w:cstheme="majorBidi"/>
    </w:rPr>
  </w:style>
  <w:style w:type="paragraph" w:styleId="12">
    <w:name w:val="heading 9"/>
    <w:basedOn w:val="1"/>
    <w:next w:val="1"/>
    <w:link w:val="43"/>
    <w:unhideWhenUsed/>
    <w:qFormat/>
    <w:uiPriority w:val="0"/>
    <w:pPr>
      <w:keepNext/>
      <w:keepLines/>
      <w:numPr>
        <w:ilvl w:val="8"/>
        <w:numId w:val="1"/>
      </w:numPr>
      <w:spacing w:before="240" w:after="64" w:line="320" w:lineRule="auto"/>
      <w:outlineLvl w:val="8"/>
    </w:pPr>
    <w:rPr>
      <w:rFonts w:asciiTheme="majorHAnsi" w:hAnsiTheme="majorHAnsi" w:eastAsiaTheme="majorEastAsia" w:cstheme="majorBidi"/>
      <w:sz w:val="21"/>
      <w:szCs w:val="21"/>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10"/>
    <w:pPr>
      <w:jc w:val="center"/>
      <w:outlineLvl w:val="0"/>
    </w:pPr>
    <w:rPr>
      <w:rFonts w:cs="方正小标宋_GBK"/>
      <w:sz w:val="28"/>
      <w:szCs w:val="44"/>
    </w:rPr>
  </w:style>
  <w:style w:type="paragraph" w:styleId="13">
    <w:name w:val="Normal Indent"/>
    <w:basedOn w:val="1"/>
    <w:unhideWhenUsed/>
    <w:qFormat/>
    <w:uiPriority w:val="0"/>
    <w:pPr>
      <w:spacing w:line="360" w:lineRule="auto"/>
      <w:ind w:firstLine="420" w:firstLineChars="200"/>
    </w:pPr>
    <w:rPr>
      <w:sz w:val="24"/>
    </w:rPr>
  </w:style>
  <w:style w:type="paragraph" w:styleId="14">
    <w:name w:val="Document Map"/>
    <w:basedOn w:val="1"/>
    <w:link w:val="34"/>
    <w:unhideWhenUsed/>
    <w:qFormat/>
    <w:uiPriority w:val="99"/>
    <w:rPr>
      <w:sz w:val="18"/>
      <w:szCs w:val="18"/>
    </w:rPr>
  </w:style>
  <w:style w:type="paragraph" w:styleId="15">
    <w:name w:val="annotation text"/>
    <w:basedOn w:val="1"/>
    <w:link w:val="35"/>
    <w:unhideWhenUsed/>
    <w:qFormat/>
    <w:uiPriority w:val="99"/>
    <w:pPr>
      <w:jc w:val="left"/>
    </w:pPr>
  </w:style>
  <w:style w:type="paragraph" w:styleId="16">
    <w:name w:val="Body Text Indent"/>
    <w:basedOn w:val="1"/>
    <w:link w:val="46"/>
    <w:semiHidden/>
    <w:unhideWhenUsed/>
    <w:qFormat/>
    <w:uiPriority w:val="99"/>
    <w:pPr>
      <w:spacing w:after="120"/>
      <w:ind w:left="420" w:leftChars="200"/>
    </w:pPr>
  </w:style>
  <w:style w:type="paragraph" w:styleId="17">
    <w:name w:val="Balloon Text"/>
    <w:basedOn w:val="1"/>
    <w:link w:val="36"/>
    <w:unhideWhenUsed/>
    <w:qFormat/>
    <w:uiPriority w:val="99"/>
    <w:pPr>
      <w:spacing w:line="240" w:lineRule="auto"/>
    </w:pPr>
    <w:rPr>
      <w:sz w:val="18"/>
      <w:szCs w:val="18"/>
    </w:rPr>
  </w:style>
  <w:style w:type="paragraph" w:styleId="18">
    <w:name w:val="footer"/>
    <w:basedOn w:val="1"/>
    <w:qFormat/>
    <w:uiPriority w:val="0"/>
    <w:pPr>
      <w:tabs>
        <w:tab w:val="center" w:pos="4153"/>
        <w:tab w:val="right" w:pos="8306"/>
      </w:tabs>
      <w:snapToGrid w:val="0"/>
      <w:jc w:val="left"/>
    </w:pPr>
    <w:rPr>
      <w:sz w:val="18"/>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sz w:val="18"/>
    </w:rPr>
  </w:style>
  <w:style w:type="paragraph" w:styleId="20">
    <w:name w:val="toc 1"/>
    <w:basedOn w:val="1"/>
    <w:next w:val="1"/>
    <w:unhideWhenUsed/>
    <w:qFormat/>
    <w:uiPriority w:val="39"/>
    <w:pPr>
      <w:tabs>
        <w:tab w:val="right" w:leader="dot" w:pos="8296"/>
      </w:tabs>
    </w:pPr>
  </w:style>
  <w:style w:type="paragraph" w:styleId="21">
    <w:name w:val="toc 2"/>
    <w:basedOn w:val="1"/>
    <w:next w:val="1"/>
    <w:qFormat/>
    <w:uiPriority w:val="39"/>
    <w:pPr>
      <w:ind w:left="420" w:leftChars="200"/>
    </w:pPr>
  </w:style>
  <w:style w:type="paragraph" w:styleId="22">
    <w:name w:val="annotation subject"/>
    <w:basedOn w:val="15"/>
    <w:next w:val="15"/>
    <w:link w:val="38"/>
    <w:unhideWhenUsed/>
    <w:qFormat/>
    <w:uiPriority w:val="99"/>
    <w:rPr>
      <w:b/>
      <w:bCs/>
    </w:rPr>
  </w:style>
  <w:style w:type="table" w:styleId="24">
    <w:name w:val="Table Grid"/>
    <w:basedOn w:val="2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Hyperlink"/>
    <w:unhideWhenUsed/>
    <w:qFormat/>
    <w:uiPriority w:val="99"/>
    <w:rPr>
      <w:color w:val="0000FF"/>
      <w:u w:val="single"/>
    </w:rPr>
  </w:style>
  <w:style w:type="character" w:styleId="27">
    <w:name w:val="annotation reference"/>
    <w:unhideWhenUsed/>
    <w:qFormat/>
    <w:uiPriority w:val="99"/>
    <w:rPr>
      <w:sz w:val="21"/>
      <w:szCs w:val="21"/>
    </w:rPr>
  </w:style>
  <w:style w:type="paragraph" w:customStyle="1" w:styleId="28">
    <w:name w:val="主内容"/>
    <w:basedOn w:val="1"/>
    <w:qFormat/>
    <w:uiPriority w:val="0"/>
    <w:pPr>
      <w:ind w:firstLine="425" w:firstLineChars="177"/>
      <w:jc w:val="left"/>
    </w:pPr>
    <w:rPr>
      <w:rFonts w:hAnsi="宋体" w:cstheme="minorBidi"/>
    </w:rPr>
  </w:style>
  <w:style w:type="paragraph" w:customStyle="1" w:styleId="29">
    <w:name w:val="样式1"/>
    <w:basedOn w:val="1"/>
    <w:qFormat/>
    <w:uiPriority w:val="0"/>
    <w:pPr>
      <w:numPr>
        <w:ilvl w:val="2"/>
        <w:numId w:val="2"/>
      </w:numPr>
    </w:pPr>
  </w:style>
  <w:style w:type="paragraph" w:customStyle="1" w:styleId="30">
    <w:name w:val="列出段落1"/>
    <w:qFormat/>
    <w:uiPriority w:val="0"/>
    <w:pPr>
      <w:widowControl w:val="0"/>
      <w:ind w:firstLine="420"/>
      <w:jc w:val="both"/>
    </w:pPr>
    <w:rPr>
      <w:rFonts w:ascii="Calibri" w:hAnsi="Calibri" w:eastAsia="Calibri" w:cs="Calibri"/>
      <w:color w:val="000000"/>
      <w:kern w:val="2"/>
      <w:sz w:val="21"/>
      <w:szCs w:val="21"/>
      <w:lang w:val="en-US" w:eastAsia="zh-CN" w:bidi="ar-SA"/>
    </w:rPr>
  </w:style>
  <w:style w:type="paragraph" w:customStyle="1" w:styleId="31">
    <w:name w:val="样式2"/>
    <w:basedOn w:val="1"/>
    <w:qFormat/>
    <w:uiPriority w:val="0"/>
    <w:pPr>
      <w:numPr>
        <w:ilvl w:val="3"/>
        <w:numId w:val="2"/>
      </w:numPr>
    </w:pPr>
  </w:style>
  <w:style w:type="paragraph" w:customStyle="1" w:styleId="32">
    <w:name w:val="列出段落11"/>
    <w:qFormat/>
    <w:uiPriority w:val="0"/>
    <w:pPr>
      <w:widowControl w:val="0"/>
      <w:ind w:firstLine="420"/>
      <w:jc w:val="both"/>
    </w:pPr>
    <w:rPr>
      <w:rFonts w:ascii="Calibri" w:hAnsi="Calibri" w:eastAsia="Calibri" w:cs="Calibri"/>
      <w:color w:val="000000"/>
      <w:kern w:val="2"/>
      <w:sz w:val="24"/>
      <w:szCs w:val="24"/>
      <w:u w:color="000000"/>
      <w:lang w:val="en-US" w:eastAsia="zh-CN" w:bidi="ar-SA"/>
    </w:rPr>
  </w:style>
  <w:style w:type="character" w:customStyle="1" w:styleId="33">
    <w:name w:val="标题 4 字符"/>
    <w:link w:val="7"/>
    <w:qFormat/>
    <w:uiPriority w:val="0"/>
    <w:rPr>
      <w:rFonts w:ascii="宋体" w:hAnsi="宋体" w:cs="宋体"/>
      <w:kern w:val="2"/>
      <w:sz w:val="24"/>
      <w:szCs w:val="24"/>
    </w:rPr>
  </w:style>
  <w:style w:type="character" w:customStyle="1" w:styleId="34">
    <w:name w:val="文档结构图 字符"/>
    <w:link w:val="14"/>
    <w:semiHidden/>
    <w:qFormat/>
    <w:uiPriority w:val="99"/>
    <w:rPr>
      <w:rFonts w:ascii="宋体"/>
      <w:kern w:val="2"/>
      <w:sz w:val="18"/>
      <w:szCs w:val="18"/>
    </w:rPr>
  </w:style>
  <w:style w:type="character" w:customStyle="1" w:styleId="35">
    <w:name w:val="批注文字 字符"/>
    <w:link w:val="15"/>
    <w:semiHidden/>
    <w:qFormat/>
    <w:uiPriority w:val="99"/>
    <w:rPr>
      <w:rFonts w:ascii="宋体"/>
      <w:kern w:val="2"/>
      <w:sz w:val="24"/>
      <w:szCs w:val="24"/>
    </w:rPr>
  </w:style>
  <w:style w:type="character" w:customStyle="1" w:styleId="36">
    <w:name w:val="批注框文本 字符"/>
    <w:link w:val="17"/>
    <w:semiHidden/>
    <w:qFormat/>
    <w:uiPriority w:val="99"/>
    <w:rPr>
      <w:rFonts w:ascii="宋体"/>
      <w:kern w:val="2"/>
      <w:sz w:val="18"/>
      <w:szCs w:val="18"/>
    </w:rPr>
  </w:style>
  <w:style w:type="character" w:customStyle="1" w:styleId="37">
    <w:name w:val="标题 5 字符"/>
    <w:link w:val="8"/>
    <w:qFormat/>
    <w:uiPriority w:val="0"/>
    <w:rPr>
      <w:rFonts w:ascii="宋体"/>
      <w:b/>
      <w:bCs/>
      <w:kern w:val="2"/>
      <w:sz w:val="28"/>
      <w:szCs w:val="28"/>
    </w:rPr>
  </w:style>
  <w:style w:type="character" w:customStyle="1" w:styleId="38">
    <w:name w:val="批注主题 字符"/>
    <w:link w:val="22"/>
    <w:semiHidden/>
    <w:qFormat/>
    <w:uiPriority w:val="99"/>
    <w:rPr>
      <w:rFonts w:ascii="宋体"/>
      <w:b/>
      <w:bCs/>
      <w:kern w:val="2"/>
      <w:sz w:val="24"/>
      <w:szCs w:val="24"/>
    </w:rPr>
  </w:style>
  <w:style w:type="paragraph" w:customStyle="1" w:styleId="39">
    <w:name w:val="列出段落2"/>
    <w:basedOn w:val="1"/>
    <w:qFormat/>
    <w:uiPriority w:val="99"/>
    <w:pPr>
      <w:ind w:firstLine="420"/>
    </w:pPr>
  </w:style>
  <w:style w:type="character" w:customStyle="1" w:styleId="40">
    <w:name w:val="标题 3 字符"/>
    <w:link w:val="6"/>
    <w:qFormat/>
    <w:uiPriority w:val="0"/>
    <w:rPr>
      <w:rFonts w:ascii="宋体"/>
      <w:bCs/>
      <w:kern w:val="2"/>
      <w:sz w:val="24"/>
      <w:szCs w:val="24"/>
    </w:rPr>
  </w:style>
  <w:style w:type="character" w:customStyle="1" w:styleId="41">
    <w:name w:val="标题 7 字符"/>
    <w:basedOn w:val="25"/>
    <w:link w:val="10"/>
    <w:qFormat/>
    <w:uiPriority w:val="0"/>
    <w:rPr>
      <w:rFonts w:ascii="宋体"/>
      <w:b/>
      <w:bCs/>
      <w:kern w:val="2"/>
      <w:sz w:val="24"/>
      <w:szCs w:val="24"/>
    </w:rPr>
  </w:style>
  <w:style w:type="character" w:customStyle="1" w:styleId="42">
    <w:name w:val="标题 8 字符"/>
    <w:basedOn w:val="25"/>
    <w:link w:val="11"/>
    <w:qFormat/>
    <w:uiPriority w:val="0"/>
    <w:rPr>
      <w:rFonts w:asciiTheme="majorHAnsi" w:hAnsiTheme="majorHAnsi" w:eastAsiaTheme="majorEastAsia" w:cstheme="majorBidi"/>
      <w:kern w:val="2"/>
      <w:sz w:val="24"/>
      <w:szCs w:val="24"/>
    </w:rPr>
  </w:style>
  <w:style w:type="character" w:customStyle="1" w:styleId="43">
    <w:name w:val="标题 9 字符"/>
    <w:basedOn w:val="25"/>
    <w:link w:val="12"/>
    <w:qFormat/>
    <w:uiPriority w:val="0"/>
    <w:rPr>
      <w:rFonts w:asciiTheme="majorHAnsi" w:hAnsiTheme="majorHAnsi" w:eastAsiaTheme="majorEastAsia" w:cstheme="majorBidi"/>
      <w:kern w:val="2"/>
      <w:sz w:val="21"/>
      <w:szCs w:val="21"/>
    </w:rPr>
  </w:style>
  <w:style w:type="paragraph" w:customStyle="1" w:styleId="44">
    <w:name w:val="标准正文"/>
    <w:basedOn w:val="16"/>
    <w:qFormat/>
    <w:uiPriority w:val="0"/>
    <w:pPr>
      <w:spacing w:before="60" w:after="60"/>
      <w:ind w:left="0" w:leftChars="0" w:firstLine="482"/>
    </w:pPr>
    <w:rPr>
      <w:rFonts w:ascii="Arial" w:hAnsi="Arial"/>
      <w:szCs w:val="20"/>
    </w:rPr>
  </w:style>
  <w:style w:type="character" w:customStyle="1" w:styleId="45">
    <w:name w:val="ql-author-3442138"/>
    <w:basedOn w:val="25"/>
    <w:qFormat/>
    <w:uiPriority w:val="0"/>
  </w:style>
  <w:style w:type="character" w:customStyle="1" w:styleId="46">
    <w:name w:val="正文文本缩进 字符"/>
    <w:basedOn w:val="25"/>
    <w:link w:val="16"/>
    <w:semiHidden/>
    <w:qFormat/>
    <w:uiPriority w:val="99"/>
    <w:rPr>
      <w:rFonts w:ascii="宋体"/>
      <w:kern w:val="2"/>
      <w:sz w:val="24"/>
      <w:szCs w:val="24"/>
    </w:rPr>
  </w:style>
  <w:style w:type="paragraph" w:customStyle="1" w:styleId="47">
    <w:name w:val="项目符号"/>
    <w:basedOn w:val="1"/>
    <w:qFormat/>
    <w:uiPriority w:val="0"/>
    <w:pPr>
      <w:numPr>
        <w:ilvl w:val="0"/>
        <w:numId w:val="3"/>
      </w:numPr>
      <w:spacing w:line="480" w:lineRule="atLeast"/>
      <w:ind w:firstLine="0"/>
    </w:pPr>
    <w:rPr>
      <w:rFonts w:ascii="Times New Roman"/>
    </w:rPr>
  </w:style>
  <w:style w:type="paragraph" w:customStyle="1" w:styleId="48">
    <w:name w:val="封面一级标题文字"/>
    <w:basedOn w:val="1"/>
    <w:semiHidden/>
    <w:qFormat/>
    <w:uiPriority w:val="0"/>
    <w:pPr>
      <w:spacing w:line="640" w:lineRule="exact"/>
      <w:jc w:val="center"/>
    </w:pPr>
    <w:rPr>
      <w:rFonts w:ascii="黑体" w:hAnsi="黑体" w:eastAsia="黑体"/>
      <w:b/>
      <w:bCs/>
      <w:sz w:val="5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5564</Words>
  <Characters>5944</Characters>
  <Lines>70</Lines>
  <Paragraphs>19</Paragraphs>
  <TotalTime>1</TotalTime>
  <ScaleCrop>false</ScaleCrop>
  <LinksUpToDate>false</LinksUpToDate>
  <CharactersWithSpaces>5967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2019-02-21T01:31:00Z</dcterms:created>
  <dc:creator>凌涵钧</dc:creator>
  <cp:lastModifiedBy>叫我先生、</cp:lastModifiedBy>
  <dcterms:modified xsi:type="dcterms:W3CDTF">2025-08-11T02:16:48Z</dcterms:modified>
  <dc:title>1000号智能客服系统建设项目</dc:title>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3FBCDC79FFD146EA91BD89EE777FE71B</vt:lpwstr>
  </property>
  <property fmtid="{D5CDD505-2E9C-101B-9397-08002B2CF9AE}" pid="4" name="KSOTemplateDocerSaveRecord">
    <vt:lpwstr>eyJoZGlkIjoiM2U2MjJmMzY3NTNiMTk5ZjIwY2RkN2Q0MTYwNjYxM2YiLCJ1c2VySWQiOiIxMTM5MTMxOTI0In0=</vt:lpwstr>
  </property>
</Properties>
</file>