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DD97D9">
      <w:pPr>
        <w:spacing w:before="156"/>
        <w:jc w:val="center"/>
        <w:rPr>
          <w:rFonts w:hint="eastAsia" w:ascii="宋体" w:hAnsi="宋体" w:eastAsia="宋体" w:cs="宋体"/>
          <w:b/>
          <w:bCs/>
          <w:sz w:val="36"/>
          <w:szCs w:val="36"/>
          <w:u w:val="none"/>
          <w:lang w:val="en-US"/>
        </w:rPr>
      </w:pPr>
      <w:bookmarkStart w:id="0" w:name="_Toc183578143"/>
      <w:bookmarkStart w:id="1" w:name="_Toc131133981"/>
      <w:bookmarkStart w:id="2" w:name="_Toc131134226"/>
      <w:bookmarkStart w:id="3" w:name="_Toc131168595"/>
      <w:bookmarkStart w:id="4" w:name="_Toc114028927"/>
      <w:bookmarkStart w:id="5" w:name="_Toc131134327"/>
      <w:r>
        <w:rPr>
          <w:rFonts w:hint="eastAsia" w:ascii="宋体" w:hAnsi="宋体" w:eastAsia="宋体" w:cs="宋体"/>
          <w:b/>
          <w:bCs/>
          <w:sz w:val="36"/>
          <w:szCs w:val="36"/>
          <w:u w:val="none"/>
          <w:lang w:val="en-US" w:eastAsia="zh-CN"/>
        </w:rPr>
        <w:drawing>
          <wp:anchor distT="0" distB="0" distL="114300" distR="114300" simplePos="0" relativeHeight="251659264" behindDoc="1" locked="0" layoutInCell="1" allowOverlap="1">
            <wp:simplePos x="0" y="0"/>
            <wp:positionH relativeFrom="column">
              <wp:posOffset>-1201420</wp:posOffset>
            </wp:positionH>
            <wp:positionV relativeFrom="paragraph">
              <wp:posOffset>-944880</wp:posOffset>
            </wp:positionV>
            <wp:extent cx="7578090" cy="2736850"/>
            <wp:effectExtent l="0" t="0" r="3810" b="6350"/>
            <wp:wrapTight wrapText="bothSides">
              <wp:wrapPolygon>
                <wp:start x="0" y="0"/>
                <wp:lineTo x="0" y="21550"/>
                <wp:lineTo x="21575" y="21550"/>
                <wp:lineTo x="21575"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6"/>
                    <a:stretch>
                      <a:fillRect/>
                    </a:stretch>
                  </pic:blipFill>
                  <pic:spPr>
                    <a:xfrm>
                      <a:off x="0" y="0"/>
                      <a:ext cx="7578090" cy="2736850"/>
                    </a:xfrm>
                    <a:prstGeom prst="rect">
                      <a:avLst/>
                    </a:prstGeom>
                    <a:noFill/>
                    <a:ln>
                      <a:noFill/>
                    </a:ln>
                  </pic:spPr>
                </pic:pic>
              </a:graphicData>
            </a:graphic>
          </wp:anchor>
        </w:drawing>
      </w:r>
    </w:p>
    <w:p w14:paraId="5A79DBE3">
      <w:pPr>
        <w:spacing w:before="624" w:beforeLines="200" w:line="0" w:lineRule="atLeast"/>
        <w:jc w:val="center"/>
        <w:rPr>
          <w:rFonts w:hint="eastAsia" w:ascii="宋体" w:hAnsi="宋体" w:eastAsia="宋体" w:cs="宋体"/>
          <w:b/>
          <w:sz w:val="48"/>
          <w:szCs w:val="21"/>
        </w:rPr>
      </w:pPr>
      <w:r>
        <w:rPr>
          <w:rFonts w:hint="eastAsia" w:ascii="宋体" w:hAnsi="宋体" w:eastAsia="宋体" w:cs="宋体"/>
          <w:b/>
          <w:bCs/>
          <w:sz w:val="40"/>
          <w:szCs w:val="40"/>
          <w:u w:val="none"/>
          <w:lang w:val="en-US" w:eastAsia="zh-CN"/>
        </w:rPr>
        <w:t>一种与集束转接线聚合的模拟断路器试制与应用项目技术规范书</w:t>
      </w:r>
      <w:r>
        <w:rPr>
          <w:rFonts w:hint="eastAsia" w:ascii="宋体" w:hAnsi="宋体" w:eastAsia="宋体" w:cs="宋体"/>
          <w:b/>
          <w:sz w:val="48"/>
          <w:szCs w:val="21"/>
        </w:rPr>
        <w:t xml:space="preserve"> </w:t>
      </w:r>
    </w:p>
    <w:p w14:paraId="4D55C732">
      <w:pPr>
        <w:pStyle w:val="2"/>
        <w:ind w:firstLine="480"/>
        <w:outlineLvl w:val="9"/>
        <w:rPr>
          <w:rFonts w:hint="eastAsia" w:ascii="宋体" w:hAnsi="宋体" w:eastAsia="宋体" w:cs="宋体"/>
        </w:rPr>
      </w:pPr>
    </w:p>
    <w:p w14:paraId="0C6BAAEF">
      <w:pPr>
        <w:bidi w:val="0"/>
        <w:outlineLvl w:val="9"/>
        <w:rPr>
          <w:rFonts w:hint="eastAsia" w:ascii="宋体" w:hAnsi="宋体" w:eastAsia="宋体" w:cs="宋体"/>
        </w:rPr>
      </w:pPr>
    </w:p>
    <w:p w14:paraId="2CAD158D">
      <w:pPr>
        <w:outlineLvl w:val="9"/>
        <w:rPr>
          <w:rFonts w:hint="eastAsia" w:ascii="宋体" w:hAnsi="宋体" w:eastAsia="宋体" w:cs="宋体"/>
        </w:rPr>
      </w:pPr>
    </w:p>
    <w:p w14:paraId="31E5BC36">
      <w:pPr>
        <w:pStyle w:val="2"/>
        <w:outlineLvl w:val="9"/>
        <w:rPr>
          <w:rFonts w:hint="eastAsia" w:ascii="宋体" w:hAnsi="宋体" w:eastAsia="宋体" w:cs="宋体"/>
        </w:rPr>
      </w:pPr>
    </w:p>
    <w:p w14:paraId="4D7DF348">
      <w:pPr>
        <w:bidi w:val="0"/>
        <w:outlineLvl w:val="9"/>
        <w:rPr>
          <w:rFonts w:hint="eastAsia" w:ascii="宋体" w:hAnsi="宋体" w:eastAsia="宋体" w:cs="宋体"/>
        </w:rPr>
      </w:pPr>
    </w:p>
    <w:p w14:paraId="747442E5">
      <w:pPr>
        <w:outlineLvl w:val="9"/>
        <w:rPr>
          <w:rFonts w:hint="eastAsia" w:ascii="宋体" w:hAnsi="宋体" w:eastAsia="宋体" w:cs="宋体"/>
        </w:rPr>
      </w:pPr>
    </w:p>
    <w:p w14:paraId="53142B31">
      <w:pPr>
        <w:pageBreakBefore w:val="0"/>
        <w:numPr>
          <w:ilvl w:val="0"/>
          <w:numId w:val="0"/>
        </w:numPr>
        <w:kinsoku/>
        <w:wordWrap/>
        <w:overflowPunct/>
        <w:topLinePunct w:val="0"/>
        <w:autoSpaceDE/>
        <w:autoSpaceDN/>
        <w:bidi w:val="0"/>
        <w:adjustRightInd/>
        <w:snapToGrid/>
        <w:ind w:leftChars="0"/>
        <w:textAlignment w:val="auto"/>
        <w:outlineLvl w:val="9"/>
        <w:rPr>
          <w:rFonts w:hint="eastAsia" w:ascii="宋体" w:hAnsi="宋体" w:eastAsia="宋体" w:cs="宋体"/>
        </w:rPr>
      </w:pPr>
    </w:p>
    <w:p w14:paraId="26607F15">
      <w:pPr>
        <w:pStyle w:val="2"/>
        <w:bidi w:val="0"/>
        <w:outlineLvl w:val="9"/>
        <w:rPr>
          <w:rFonts w:hint="eastAsia" w:ascii="宋体" w:hAnsi="宋体" w:eastAsia="宋体" w:cs="宋体"/>
        </w:rPr>
      </w:pPr>
    </w:p>
    <w:p w14:paraId="1F4586B2">
      <w:pPr>
        <w:bidi w:val="0"/>
        <w:outlineLvl w:val="9"/>
        <w:rPr>
          <w:rFonts w:hint="eastAsia" w:ascii="宋体" w:hAnsi="宋体" w:eastAsia="宋体" w:cs="宋体"/>
        </w:rPr>
      </w:pPr>
    </w:p>
    <w:p w14:paraId="5111CA03">
      <w:pPr>
        <w:outlineLvl w:val="9"/>
        <w:rPr>
          <w:rFonts w:hint="eastAsia" w:ascii="宋体" w:hAnsi="宋体" w:eastAsia="宋体" w:cs="宋体"/>
        </w:rPr>
      </w:pPr>
    </w:p>
    <w:p w14:paraId="320B0281">
      <w:pPr>
        <w:pageBreakBefore w:val="0"/>
        <w:numPr>
          <w:ilvl w:val="0"/>
          <w:numId w:val="0"/>
        </w:numPr>
        <w:kinsoku/>
        <w:wordWrap/>
        <w:overflowPunct/>
        <w:topLinePunct w:val="0"/>
        <w:autoSpaceDE/>
        <w:autoSpaceDN/>
        <w:bidi w:val="0"/>
        <w:adjustRightInd/>
        <w:snapToGrid/>
        <w:ind w:leftChars="0"/>
        <w:textAlignment w:val="auto"/>
        <w:outlineLvl w:val="9"/>
        <w:rPr>
          <w:rFonts w:hint="eastAsia" w:ascii="宋体" w:hAnsi="宋体" w:eastAsia="宋体" w:cs="宋体"/>
        </w:rPr>
      </w:pPr>
    </w:p>
    <w:p w14:paraId="64D30EFF">
      <w:pPr>
        <w:outlineLvl w:val="9"/>
        <w:rPr>
          <w:rFonts w:hint="eastAsia" w:ascii="宋体" w:hAnsi="宋体" w:eastAsia="宋体" w:cs="宋体"/>
        </w:rPr>
      </w:pPr>
    </w:p>
    <w:p w14:paraId="03978123">
      <w:pPr>
        <w:pStyle w:val="2"/>
        <w:outlineLvl w:val="9"/>
        <w:rPr>
          <w:rFonts w:hint="eastAsia" w:ascii="宋体" w:hAnsi="宋体" w:eastAsia="宋体" w:cs="宋体"/>
        </w:rPr>
      </w:pPr>
    </w:p>
    <w:p w14:paraId="742E3818">
      <w:pPr>
        <w:keepNext w:val="0"/>
        <w:keepLines w:val="0"/>
        <w:pageBreakBefore w:val="0"/>
        <w:widowControl w:val="0"/>
        <w:kinsoku/>
        <w:wordWrap/>
        <w:overflowPunct/>
        <w:topLinePunct w:val="0"/>
        <w:autoSpaceDE/>
        <w:autoSpaceDN/>
        <w:bidi w:val="0"/>
        <w:adjustRightInd/>
        <w:snapToGrid/>
        <w:spacing w:before="624" w:beforeLines="200" w:line="0" w:lineRule="atLeast"/>
        <w:jc w:val="center"/>
        <w:textAlignment w:val="auto"/>
        <w:outlineLvl w:val="9"/>
        <w:rPr>
          <w:rFonts w:hint="eastAsia" w:ascii="宋体" w:hAnsi="宋体" w:eastAsia="宋体" w:cs="宋体"/>
          <w:b/>
          <w:sz w:val="36"/>
        </w:rPr>
      </w:pPr>
      <w:bookmarkStart w:id="6" w:name="_Toc6890"/>
      <w:bookmarkStart w:id="7" w:name="_Toc17545"/>
      <w:bookmarkStart w:id="8" w:name="_Toc20399"/>
      <w:bookmarkStart w:id="9" w:name="_Toc3200"/>
      <w:bookmarkStart w:id="10" w:name="_Toc11253"/>
      <w:bookmarkStart w:id="11" w:name="_Toc20233"/>
      <w:bookmarkStart w:id="12" w:name="_Toc620"/>
      <w:r>
        <w:rPr>
          <w:rFonts w:hint="eastAsia" w:ascii="宋体" w:hAnsi="宋体" w:eastAsia="宋体" w:cs="宋体"/>
          <w:b/>
          <w:sz w:val="36"/>
          <w:lang w:val="en-US" w:eastAsia="zh-CN"/>
        </w:rPr>
        <w:t>广东电网有限责任公司珠海供电局</w:t>
      </w:r>
      <w:bookmarkEnd w:id="6"/>
      <w:bookmarkEnd w:id="7"/>
      <w:bookmarkEnd w:id="8"/>
      <w:bookmarkEnd w:id="9"/>
      <w:bookmarkEnd w:id="10"/>
      <w:bookmarkEnd w:id="11"/>
      <w:bookmarkEnd w:id="12"/>
    </w:p>
    <w:p w14:paraId="7AE1ED08">
      <w:pPr>
        <w:spacing w:line="360" w:lineRule="auto"/>
        <w:jc w:val="center"/>
        <w:rPr>
          <w:rFonts w:hint="eastAsia" w:ascii="宋体" w:hAnsi="宋体" w:eastAsia="宋体" w:cs="宋体"/>
          <w:b/>
          <w:sz w:val="36"/>
        </w:rPr>
      </w:pPr>
      <w:r>
        <w:rPr>
          <w:rFonts w:hint="eastAsia" w:ascii="宋体" w:hAnsi="宋体" w:eastAsia="宋体" w:cs="宋体"/>
          <w:b/>
          <w:sz w:val="36"/>
        </w:rPr>
        <w:t>202</w:t>
      </w:r>
      <w:r>
        <w:rPr>
          <w:rFonts w:hint="eastAsia" w:ascii="宋体" w:hAnsi="宋体" w:eastAsia="宋体" w:cs="宋体"/>
          <w:b/>
          <w:sz w:val="36"/>
          <w:lang w:val="en-US" w:eastAsia="zh-CN"/>
        </w:rPr>
        <w:t>5</w:t>
      </w:r>
      <w:r>
        <w:rPr>
          <w:rFonts w:hint="eastAsia" w:ascii="宋体" w:hAnsi="宋体" w:eastAsia="宋体" w:cs="宋体"/>
          <w:b/>
          <w:sz w:val="36"/>
        </w:rPr>
        <w:t>年</w:t>
      </w:r>
      <w:r>
        <w:rPr>
          <w:rFonts w:hint="eastAsia" w:ascii="宋体" w:hAnsi="宋体" w:eastAsia="宋体" w:cs="宋体"/>
          <w:b/>
          <w:sz w:val="36"/>
          <w:lang w:val="en-US" w:eastAsia="zh-CN"/>
        </w:rPr>
        <w:t>09</w:t>
      </w:r>
      <w:r>
        <w:rPr>
          <w:rFonts w:hint="eastAsia" w:ascii="宋体" w:hAnsi="宋体" w:eastAsia="宋体" w:cs="宋体"/>
          <w:b/>
          <w:sz w:val="36"/>
        </w:rPr>
        <w:t xml:space="preserve">月  </w:t>
      </w:r>
      <w:bookmarkEnd w:id="0"/>
      <w:bookmarkEnd w:id="1"/>
      <w:bookmarkEnd w:id="2"/>
      <w:bookmarkEnd w:id="3"/>
      <w:bookmarkEnd w:id="4"/>
      <w:bookmarkEnd w:id="5"/>
    </w:p>
    <w:p w14:paraId="12BA7450">
      <w:pPr>
        <w:pStyle w:val="2"/>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eastAsia="宋体" w:cs="宋体"/>
          <w:b/>
          <w:sz w:val="32"/>
          <w:szCs w:val="32"/>
        </w:rPr>
      </w:pPr>
      <w:r>
        <w:rPr>
          <w:rFonts w:hint="eastAsia" w:ascii="宋体" w:hAnsi="宋体" w:eastAsia="宋体" w:cs="宋体"/>
          <w:b/>
          <w:sz w:val="36"/>
        </w:rPr>
        <w:br w:type="page"/>
      </w:r>
      <w:r>
        <w:rPr>
          <w:rFonts w:hint="eastAsia" w:ascii="宋体" w:hAnsi="宋体" w:eastAsia="宋体" w:cs="宋体"/>
          <w:b/>
          <w:sz w:val="32"/>
          <w:szCs w:val="32"/>
        </w:rPr>
        <w:t>目</w:t>
      </w:r>
      <w:bookmarkStart w:id="41" w:name="_GoBack"/>
      <w:bookmarkEnd w:id="41"/>
      <w:r>
        <w:rPr>
          <w:rFonts w:hint="eastAsia" w:ascii="宋体" w:hAnsi="宋体" w:eastAsia="宋体" w:cs="宋体"/>
          <w:b/>
          <w:sz w:val="32"/>
          <w:szCs w:val="32"/>
        </w:rPr>
        <w:t xml:space="preserve"> 录</w:t>
      </w:r>
    </w:p>
    <w:p w14:paraId="2D809C78">
      <w:pPr>
        <w:pStyle w:val="17"/>
        <w:tabs>
          <w:tab w:val="right" w:leader="dot" w:pos="8312"/>
        </w:tabs>
        <w:rPr>
          <w:rFonts w:hint="eastAsia" w:ascii="宋体" w:hAnsi="宋体" w:eastAsia="宋体" w:cs="宋体"/>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TOC \o "1-2" \h \u </w:instrText>
      </w:r>
      <w:r>
        <w:rPr>
          <w:rFonts w:hint="eastAsia" w:ascii="宋体" w:hAnsi="宋体" w:eastAsia="宋体" w:cs="宋体"/>
          <w:b/>
          <w:bCs/>
          <w:caps/>
          <w:sz w:val="28"/>
          <w:szCs w:val="28"/>
        </w:rPr>
        <w:fldChar w:fldCharType="separate"/>
      </w:r>
      <w:r>
        <w:rPr>
          <w:rFonts w:hint="eastAsia" w:ascii="宋体" w:hAnsi="宋体" w:eastAsia="宋体" w:cs="宋体"/>
          <w:bCs/>
          <w:caps/>
          <w:szCs w:val="28"/>
        </w:rPr>
        <w:fldChar w:fldCharType="begin"/>
      </w:r>
      <w:r>
        <w:rPr>
          <w:rFonts w:hint="eastAsia" w:ascii="宋体" w:hAnsi="宋体" w:eastAsia="宋体" w:cs="宋体"/>
          <w:bCs/>
          <w:caps/>
          <w:szCs w:val="28"/>
        </w:rPr>
        <w:instrText xml:space="preserve"> HYPERLINK \l _Toc19722 </w:instrText>
      </w:r>
      <w:r>
        <w:rPr>
          <w:rFonts w:hint="eastAsia" w:ascii="宋体" w:hAnsi="宋体" w:eastAsia="宋体" w:cs="宋体"/>
          <w:bCs/>
          <w:caps/>
          <w:szCs w:val="28"/>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1. </w:t>
      </w:r>
      <w:r>
        <w:rPr>
          <w:rFonts w:hint="eastAsia" w:ascii="宋体" w:hAnsi="宋体" w:eastAsia="宋体" w:cs="宋体"/>
          <w:bCs/>
          <w:lang w:val="zh-TW" w:eastAsia="zh-TW"/>
        </w:rPr>
        <w:t>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_Toc19722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bCs/>
          <w:caps/>
          <w:szCs w:val="28"/>
        </w:rPr>
        <w:fldChar w:fldCharType="end"/>
      </w:r>
    </w:p>
    <w:p w14:paraId="10E06713">
      <w:pPr>
        <w:pStyle w:val="17"/>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_Toc22844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2. </w:t>
      </w:r>
      <w:r>
        <w:rPr>
          <w:rFonts w:hint="eastAsia" w:ascii="宋体" w:hAnsi="宋体" w:eastAsia="宋体" w:cs="宋体"/>
          <w:bCs/>
          <w:highlight w:val="none"/>
          <w:lang w:val="en-US" w:eastAsia="zh-CN"/>
        </w:rPr>
        <w:t>工作范围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_Toc22844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737B246E">
      <w:pPr>
        <w:pStyle w:val="17"/>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_Toc31528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3. </w:t>
      </w:r>
      <w:r>
        <w:rPr>
          <w:rFonts w:hint="eastAsia" w:ascii="宋体" w:hAnsi="宋体" w:eastAsia="宋体" w:cs="宋体"/>
          <w:bCs/>
          <w:highlight w:val="none"/>
          <w:lang w:val="en-US" w:eastAsia="zh-CN"/>
        </w:rPr>
        <w:t>应遵循的主要标准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_Toc31528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730897D7">
      <w:pPr>
        <w:pStyle w:val="17"/>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_Toc2190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4. </w:t>
      </w:r>
      <w:r>
        <w:rPr>
          <w:rFonts w:hint="eastAsia" w:ascii="宋体" w:hAnsi="宋体" w:eastAsia="宋体" w:cs="宋体"/>
          <w:bCs/>
          <w:highlight w:val="none"/>
          <w:lang w:val="en-US" w:eastAsia="zh-CN"/>
        </w:rPr>
        <w:t>使用条件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_Toc2190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740232FF">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_Toc29388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4.1. </w:t>
      </w:r>
      <w:r>
        <w:rPr>
          <w:rFonts w:hint="eastAsia" w:ascii="宋体" w:hAnsi="宋体" w:eastAsia="宋体" w:cs="宋体"/>
          <w:szCs w:val="28"/>
          <w:lang w:val="en-US" w:eastAsia="zh-CN"/>
        </w:rPr>
        <w:t>正常工作大气条件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_Toc29388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1DED79D0">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_Toc30958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4.2. </w:t>
      </w:r>
      <w:r>
        <w:rPr>
          <w:rFonts w:hint="eastAsia" w:ascii="宋体" w:hAnsi="宋体" w:eastAsia="宋体" w:cs="宋体"/>
          <w:szCs w:val="28"/>
          <w:lang w:val="en-US" w:eastAsia="zh-CN"/>
        </w:rPr>
        <w:t>试验的标准大气条件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_Toc30958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2F89BDDE">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_Toc25443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4.3. </w:t>
      </w:r>
      <w:r>
        <w:rPr>
          <w:rFonts w:hint="eastAsia" w:ascii="宋体" w:hAnsi="宋体" w:eastAsia="宋体" w:cs="宋体"/>
          <w:szCs w:val="28"/>
          <w:lang w:val="en-US" w:eastAsia="zh-CN"/>
        </w:rPr>
        <w:t>储存、运输极限环境温度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_Toc25443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4A448AC6">
      <w:pPr>
        <w:pStyle w:val="17"/>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_Toc2850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5. </w:t>
      </w:r>
      <w:r>
        <w:rPr>
          <w:rFonts w:hint="eastAsia" w:ascii="宋体" w:hAnsi="宋体" w:eastAsia="宋体" w:cs="宋体"/>
          <w:bCs/>
          <w:highlight w:val="none"/>
          <w:lang w:val="en-US" w:eastAsia="zh-CN"/>
        </w:rPr>
        <w:t>项目要求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_Toc2850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5B574FB5">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_Toc1407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5.1. </w:t>
      </w:r>
      <w:r>
        <w:rPr>
          <w:rFonts w:hint="eastAsia" w:ascii="宋体" w:hAnsi="宋体" w:eastAsia="宋体" w:cs="宋体"/>
          <w:szCs w:val="28"/>
          <w:lang w:val="en-US" w:eastAsia="zh-CN"/>
        </w:rPr>
        <w:t>项目概况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_Toc1407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70C9675E">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_Toc3276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5.2. </w:t>
      </w:r>
      <w:r>
        <w:rPr>
          <w:rFonts w:hint="eastAsia" w:ascii="宋体" w:hAnsi="宋体" w:eastAsia="宋体" w:cs="宋体"/>
          <w:szCs w:val="28"/>
          <w:lang w:val="en-US" w:eastAsia="zh-CN"/>
        </w:rPr>
        <w:t>服务范围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_Toc3276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46CA1C91">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_Toc29222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en-US" w:eastAsia="zh-CN"/>
        </w:rPr>
        <w:t xml:space="preserve">5.3. </w:t>
      </w:r>
      <w:r>
        <w:rPr>
          <w:rFonts w:hint="eastAsia" w:ascii="宋体" w:hAnsi="宋体" w:eastAsia="宋体" w:cs="宋体"/>
          <w:szCs w:val="28"/>
          <w:lang w:val="en-US" w:eastAsia="zh-CN"/>
        </w:rPr>
        <w:t>技术要求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_Toc29222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45D5F2E0">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_Toc29956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en-US" w:eastAsia="zh-CN"/>
        </w:rPr>
        <w:t xml:space="preserve">5.4. </w:t>
      </w:r>
      <w:r>
        <w:rPr>
          <w:rFonts w:hint="eastAsia" w:ascii="宋体" w:hAnsi="宋体" w:eastAsia="宋体" w:cs="宋体"/>
          <w:szCs w:val="28"/>
          <w:lang w:val="en-US" w:eastAsia="zh-CN"/>
        </w:rPr>
        <w:t>功能要求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_Toc29956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2DD2BF6F">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_Toc9623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en-US" w:eastAsia="zh-CN"/>
        </w:rPr>
        <w:t xml:space="preserve">5.5. </w:t>
      </w:r>
      <w:r>
        <w:rPr>
          <w:rFonts w:hint="eastAsia" w:ascii="宋体" w:hAnsi="宋体" w:eastAsia="宋体" w:cs="宋体"/>
          <w:szCs w:val="28"/>
          <w:lang w:val="en-US" w:eastAsia="zh-CN"/>
        </w:rPr>
        <w:t>成果交付</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_Toc9623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4C7F979D">
      <w:pPr>
        <w:pStyle w:val="17"/>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_Toc12936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6. </w:t>
      </w:r>
      <w:r>
        <w:rPr>
          <w:rFonts w:hint="eastAsia" w:ascii="宋体" w:hAnsi="宋体" w:eastAsia="宋体" w:cs="宋体"/>
          <w:bCs/>
          <w:lang w:val="zh-TW" w:eastAsia="zh-TW"/>
        </w:rPr>
        <w:t>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_Toc12936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6DA90587">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_Toc4393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CN"/>
        </w:rPr>
        <w:t xml:space="preserve">6.1. </w:t>
      </w:r>
      <w:r>
        <w:rPr>
          <w:rFonts w:hint="eastAsia" w:ascii="宋体" w:hAnsi="宋体" w:eastAsia="宋体" w:cs="宋体"/>
          <w:szCs w:val="28"/>
          <w:lang w:val="en-US" w:eastAsia="zh-CN"/>
        </w:rPr>
        <w:t>材料要求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_Toc4393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36ADF5E0">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_Toc155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CN"/>
        </w:rPr>
        <w:t xml:space="preserve">6.2. </w:t>
      </w:r>
      <w:r>
        <w:rPr>
          <w:rFonts w:hint="eastAsia" w:ascii="宋体" w:hAnsi="宋体" w:eastAsia="宋体" w:cs="宋体"/>
          <w:szCs w:val="28"/>
          <w:lang w:val="zh-TW" w:eastAsia="zh-CN"/>
        </w:rPr>
        <w:t>基本要求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6AF5700D">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_Toc32050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6.3. </w:t>
      </w:r>
      <w:r>
        <w:rPr>
          <w:rFonts w:hint="eastAsia" w:ascii="宋体" w:hAnsi="宋体" w:eastAsia="宋体" w:cs="宋体"/>
          <w:szCs w:val="28"/>
          <w:lang w:val="en-US" w:eastAsia="zh-CN"/>
        </w:rPr>
        <w:t>包装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_Toc32050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143943DB">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_Toc8151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6.4. </w:t>
      </w:r>
      <w:r>
        <w:rPr>
          <w:rFonts w:hint="eastAsia" w:ascii="宋体" w:hAnsi="宋体" w:eastAsia="宋体" w:cs="宋体"/>
          <w:szCs w:val="28"/>
          <w:lang w:val="en-US" w:eastAsia="zh-CN"/>
        </w:rPr>
        <w:t>运输</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_Toc8151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3A13503D">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_Toc17176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6.5. </w:t>
      </w:r>
      <w:r>
        <w:rPr>
          <w:rFonts w:hint="eastAsia" w:ascii="宋体" w:hAnsi="宋体" w:eastAsia="宋体" w:cs="宋体"/>
          <w:szCs w:val="28"/>
          <w:lang w:val="en-US" w:eastAsia="zh-CN"/>
        </w:rPr>
        <w:t>储存</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_Toc17176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07396D36">
      <w:pPr>
        <w:pStyle w:val="18"/>
        <w:tabs>
          <w:tab w:val="right" w:leader="dot" w:pos="8312"/>
        </w:tabs>
        <w:rPr>
          <w:rFonts w:hint="eastAsia" w:ascii="宋体" w:hAnsi="宋体" w:eastAsia="宋体" w:cs="宋体"/>
        </w:rPr>
      </w:pPr>
      <w:r>
        <w:rPr>
          <w:rFonts w:hint="eastAsia" w:ascii="宋体" w:hAnsi="宋体" w:eastAsia="宋体" w:cs="宋体"/>
          <w:bCs w:val="0"/>
          <w:caps w:val="0"/>
          <w:szCs w:val="28"/>
        </w:rPr>
        <w:fldChar w:fldCharType="begin"/>
      </w:r>
      <w:r>
        <w:rPr>
          <w:rFonts w:hint="eastAsia" w:ascii="宋体" w:hAnsi="宋体" w:eastAsia="宋体" w:cs="宋体"/>
          <w:bCs w:val="0"/>
          <w:caps w:val="0"/>
          <w:szCs w:val="28"/>
        </w:rPr>
        <w:instrText xml:space="preserve"> HYPERLINK \l _Toc31347 </w:instrText>
      </w:r>
      <w:r>
        <w:rPr>
          <w:rFonts w:hint="eastAsia" w:ascii="宋体" w:hAnsi="宋体" w:eastAsia="宋体" w:cs="宋体"/>
          <w:bCs w:val="0"/>
          <w:caps w:val="0"/>
          <w:szCs w:val="28"/>
        </w:rPr>
        <w:fldChar w:fldCharType="separate"/>
      </w:r>
      <w:r>
        <w:rPr>
          <w:rFonts w:hint="eastAsia" w:ascii="宋体" w:hAnsi="宋体" w:eastAsia="宋体" w:cs="宋体"/>
          <w:bCs w:val="0"/>
          <w:i w:val="0"/>
          <w:iCs w:val="0"/>
          <w:caps w:val="0"/>
          <w:smallCaps w:val="0"/>
          <w:spacing w:val="0"/>
          <w:w w:val="100"/>
          <w:kern w:val="0"/>
          <w:position w:val="0"/>
          <w:szCs w:val="28"/>
          <w:highlight w:val="none"/>
          <w:vertAlign w:val="baseline"/>
          <w:lang w:val="zh-TW" w:eastAsia="zh-TW"/>
        </w:rPr>
        <w:t xml:space="preserve">6.6. </w:t>
      </w:r>
      <w:r>
        <w:rPr>
          <w:rFonts w:hint="eastAsia" w:ascii="宋体" w:hAnsi="宋体" w:eastAsia="宋体" w:cs="宋体"/>
          <w:szCs w:val="28"/>
          <w:lang w:val="en-US" w:eastAsia="zh-CN"/>
        </w:rPr>
        <w:t>安装指导</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_Toc31347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bCs w:val="0"/>
          <w:caps w:val="0"/>
          <w:szCs w:val="28"/>
        </w:rPr>
        <w:fldChar w:fldCharType="end"/>
      </w:r>
    </w:p>
    <w:p w14:paraId="01C7AD0D">
      <w:pPr>
        <w:pStyle w:val="30"/>
        <w:tabs>
          <w:tab w:val="left" w:pos="420"/>
          <w:tab w:val="right" w:leader="dot" w:pos="8302"/>
        </w:tabs>
        <w:spacing w:line="360" w:lineRule="auto"/>
        <w:rPr>
          <w:rFonts w:hint="eastAsia" w:ascii="宋体" w:hAnsi="宋体" w:eastAsia="宋体" w:cs="宋体"/>
          <w:sz w:val="24"/>
          <w:szCs w:val="24"/>
        </w:rPr>
      </w:pPr>
      <w:r>
        <w:rPr>
          <w:rFonts w:hint="eastAsia" w:ascii="宋体" w:hAnsi="宋体" w:eastAsia="宋体" w:cs="宋体"/>
          <w:bCs w:val="0"/>
          <w:caps w:val="0"/>
          <w:szCs w:val="28"/>
        </w:rPr>
        <w:fldChar w:fldCharType="end"/>
      </w:r>
    </w:p>
    <w:p w14:paraId="07569408">
      <w:pPr>
        <w:spacing w:line="360" w:lineRule="auto"/>
        <w:rPr>
          <w:rFonts w:hint="eastAsia" w:ascii="宋体" w:hAnsi="宋体" w:eastAsia="宋体" w:cs="宋体"/>
          <w:sz w:val="24"/>
        </w:rPr>
      </w:pPr>
    </w:p>
    <w:p w14:paraId="6F810D63">
      <w:pPr>
        <w:spacing w:line="360" w:lineRule="auto"/>
        <w:rPr>
          <w:rFonts w:hint="eastAsia" w:ascii="宋体" w:hAnsi="宋体" w:eastAsia="宋体" w:cs="宋体"/>
          <w:sz w:val="24"/>
        </w:rPr>
        <w:sectPr>
          <w:footerReference r:id="rId3" w:type="default"/>
          <w:pgSz w:w="11906" w:h="16838"/>
          <w:pgMar w:top="1440" w:right="1797" w:bottom="1440" w:left="1797" w:header="851" w:footer="992" w:gutter="0"/>
          <w:pgNumType w:fmt="lowerRoman" w:start="1"/>
          <w:cols w:space="720" w:num="1"/>
          <w:docGrid w:type="lines" w:linePitch="312" w:charSpace="0"/>
        </w:sectPr>
      </w:pPr>
    </w:p>
    <w:p w14:paraId="04C0D894">
      <w:pPr>
        <w:pStyle w:val="80"/>
        <w:framePr w:wrap="auto" w:vAnchor="margin" w:hAnchor="text" w:yAlign="inline"/>
        <w:numPr>
          <w:ilvl w:val="0"/>
          <w:numId w:val="3"/>
        </w:numPr>
        <w:rPr>
          <w:rFonts w:hint="eastAsia" w:ascii="宋体" w:hAnsi="宋体" w:eastAsia="宋体" w:cs="宋体"/>
          <w:b/>
          <w:bCs/>
          <w:lang w:val="zh-TW" w:eastAsia="zh-TW"/>
        </w:rPr>
      </w:pPr>
      <w:bookmarkStart w:id="13" w:name="_Toc192340307"/>
      <w:bookmarkEnd w:id="13"/>
      <w:bookmarkStart w:id="14" w:name="_Toc192340308"/>
      <w:bookmarkEnd w:id="14"/>
      <w:bookmarkStart w:id="15" w:name="_Toc19722"/>
      <w:r>
        <w:rPr>
          <w:rFonts w:hint="eastAsia" w:ascii="宋体" w:hAnsi="宋体" w:eastAsia="宋体" w:cs="宋体"/>
          <w:b/>
          <w:bCs/>
          <w:lang w:val="zh-TW" w:eastAsia="zh-TW"/>
        </w:rPr>
        <w:t>总则</w:t>
      </w:r>
      <w:bookmarkEnd w:id="15"/>
    </w:p>
    <w:p w14:paraId="7F4E5C12">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1.1</w:t>
      </w:r>
      <w:r>
        <w:rPr>
          <w:rFonts w:hint="eastAsia" w:ascii="宋体" w:hAnsi="宋体" w:eastAsia="宋体" w:cs="宋体"/>
          <w:kern w:val="2"/>
          <w:lang w:val="zh-TW" w:eastAsia="zh-TW"/>
        </w:rPr>
        <w:t>本技术规范书适用于</w:t>
      </w:r>
      <w:r>
        <w:rPr>
          <w:rFonts w:hint="eastAsia" w:ascii="宋体" w:hAnsi="宋体" w:eastAsia="宋体" w:cs="宋体"/>
          <w:b/>
          <w:bCs/>
          <w:kern w:val="2"/>
          <w:lang w:val="zh-TW" w:eastAsia="zh-CN"/>
        </w:rPr>
        <w:t>一种与集束转接线聚合的模拟断路器试制与应用项目</w:t>
      </w:r>
      <w:r>
        <w:rPr>
          <w:rFonts w:hint="eastAsia" w:ascii="宋体" w:hAnsi="宋体" w:eastAsia="宋体" w:cs="宋体"/>
          <w:kern w:val="2"/>
          <w:lang w:val="zh-TW" w:eastAsia="zh-TW"/>
        </w:rPr>
        <w:t>，提出了该项目的技术要求。</w:t>
      </w:r>
    </w:p>
    <w:p w14:paraId="424B3345">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1.2</w:t>
      </w:r>
      <w:r>
        <w:rPr>
          <w:rFonts w:hint="eastAsia" w:ascii="宋体" w:hAnsi="宋体" w:eastAsia="宋体" w:cs="宋体"/>
          <w:kern w:val="2"/>
          <w:lang w:val="zh-TW" w:eastAsia="zh-TW"/>
        </w:rPr>
        <w:t>本技术规范书提出的是最低限度的技术要求。凡本技术规范书中未规定，但在相关的行业标准、国家标准中有规定的规范条文，投标方应按相应标准的条文进行工具设计、制造、试验和安装。对国家有关安全、环保等强制性标准，必须满足其要求。</w:t>
      </w:r>
    </w:p>
    <w:p w14:paraId="4E9C6B9E">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 xml:space="preserve">1.3 </w:t>
      </w:r>
      <w:r>
        <w:rPr>
          <w:rFonts w:hint="eastAsia" w:ascii="宋体" w:hAnsi="宋体" w:eastAsia="宋体" w:cs="宋体"/>
          <w:kern w:val="2"/>
          <w:lang w:val="zh-TW" w:eastAsia="zh-TW"/>
        </w:rPr>
        <w:t>如果投标方没有以书面形式对本技术规范书的条文提出异议，则意味着投标方提供的技术服务完全符合本技术规范书的要求。如有异议，不管是多么微小，都应在报价书中以</w:t>
      </w:r>
      <w:r>
        <w:rPr>
          <w:rFonts w:hint="eastAsia" w:ascii="宋体" w:hAnsi="宋体" w:eastAsia="宋体" w:cs="宋体"/>
          <w:kern w:val="2"/>
        </w:rPr>
        <w:t>“</w:t>
      </w:r>
      <w:r>
        <w:rPr>
          <w:rFonts w:hint="eastAsia" w:ascii="宋体" w:hAnsi="宋体" w:eastAsia="宋体" w:cs="宋体"/>
          <w:kern w:val="2"/>
          <w:lang w:val="zh-TW" w:eastAsia="zh-TW"/>
        </w:rPr>
        <w:t>对技术文件的意见和同技术文件的差异</w:t>
      </w:r>
      <w:r>
        <w:rPr>
          <w:rFonts w:hint="eastAsia" w:ascii="宋体" w:hAnsi="宋体" w:eastAsia="宋体" w:cs="宋体"/>
          <w:kern w:val="2"/>
        </w:rPr>
        <w:t>”</w:t>
      </w:r>
      <w:r>
        <w:rPr>
          <w:rFonts w:hint="eastAsia" w:ascii="宋体" w:hAnsi="宋体" w:eastAsia="宋体" w:cs="宋体"/>
          <w:kern w:val="2"/>
          <w:lang w:val="zh-TW" w:eastAsia="zh-TW"/>
        </w:rPr>
        <w:t>为标题的专门章节中加以详细描述。</w:t>
      </w:r>
    </w:p>
    <w:p w14:paraId="0A16F679">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 xml:space="preserve">1.4 </w:t>
      </w:r>
      <w:r>
        <w:rPr>
          <w:rFonts w:hint="eastAsia" w:ascii="宋体" w:hAnsi="宋体" w:eastAsia="宋体" w:cs="宋体"/>
          <w:kern w:val="2"/>
          <w:lang w:val="zh-TW" w:eastAsia="zh-TW"/>
        </w:rPr>
        <w:t>本技术规范书所使用的标准如遇与投标方所执行的标准不一致时，按较高标准执行。</w:t>
      </w:r>
    </w:p>
    <w:p w14:paraId="58F363F9">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 xml:space="preserve">1.5 </w:t>
      </w:r>
      <w:r>
        <w:rPr>
          <w:rFonts w:hint="eastAsia" w:ascii="宋体" w:hAnsi="宋体" w:eastAsia="宋体" w:cs="宋体"/>
          <w:kern w:val="2"/>
          <w:lang w:val="zh-TW" w:eastAsia="zh-TW"/>
        </w:rPr>
        <w:t>本技术规范书经招、投标双方确认后作为研发合同的技术附件，与合同正文具有同等的法律效力。</w:t>
      </w:r>
    </w:p>
    <w:p w14:paraId="28D8AB5B">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 xml:space="preserve">1.6 </w:t>
      </w:r>
      <w:r>
        <w:rPr>
          <w:rFonts w:hint="eastAsia" w:ascii="宋体" w:hAnsi="宋体" w:eastAsia="宋体" w:cs="宋体"/>
          <w:kern w:val="2"/>
          <w:lang w:val="zh-TW" w:eastAsia="zh-TW"/>
        </w:rPr>
        <w:t>本技术规范书未尽事宜，由招、投标双方协商确定。</w:t>
      </w:r>
    </w:p>
    <w:p w14:paraId="5E4DDE64">
      <w:pPr>
        <w:pStyle w:val="81"/>
        <w:framePr w:wrap="auto" w:vAnchor="margin" w:hAnchor="text" w:yAlign="inline"/>
        <w:ind w:firstLine="480"/>
        <w:jc w:val="both"/>
        <w:rPr>
          <w:rFonts w:hint="eastAsia" w:ascii="宋体" w:hAnsi="宋体" w:eastAsia="宋体" w:cs="宋体"/>
          <w:kern w:val="2"/>
        </w:rPr>
      </w:pPr>
      <w:r>
        <w:rPr>
          <w:rFonts w:hint="eastAsia" w:ascii="宋体" w:hAnsi="宋体" w:eastAsia="宋体" w:cs="宋体"/>
          <w:kern w:val="2"/>
        </w:rPr>
        <w:t xml:space="preserve">1.7 </w:t>
      </w:r>
      <w:r>
        <w:rPr>
          <w:rFonts w:hint="eastAsia" w:ascii="宋体" w:hAnsi="宋体" w:eastAsia="宋体" w:cs="宋体"/>
          <w:kern w:val="2"/>
          <w:lang w:val="zh-TW" w:eastAsia="zh-TW"/>
        </w:rPr>
        <w:t>投标方在应标技术文件中应如实反映应标项目与本技术规范书的技术差异。如果投标方没有提出技术差异，而在执行合同的过程中，招标方发现投标方提供的技术服务与其应标技术文件的条文存在差异，招标方有权终止合同，投标方应承担由此造成的一切损失。</w:t>
      </w:r>
    </w:p>
    <w:p w14:paraId="7ABDF167">
      <w:pPr>
        <w:pStyle w:val="81"/>
        <w:framePr w:wrap="auto" w:vAnchor="margin" w:hAnchor="text" w:yAlign="inline"/>
        <w:ind w:firstLine="480"/>
        <w:jc w:val="both"/>
        <w:rPr>
          <w:rFonts w:hint="eastAsia" w:ascii="宋体" w:hAnsi="宋体" w:eastAsia="宋体" w:cs="宋体"/>
          <w:color w:val="000000"/>
          <w:kern w:val="2"/>
          <w:u w:color="000000"/>
          <w:lang w:val="zh-TW" w:eastAsia="zh-TW"/>
        </w:rPr>
      </w:pPr>
      <w:r>
        <w:rPr>
          <w:rFonts w:hint="eastAsia" w:ascii="宋体" w:hAnsi="宋体" w:eastAsia="宋体" w:cs="宋体"/>
          <w:kern w:val="2"/>
        </w:rPr>
        <w:t xml:space="preserve">1.8 </w:t>
      </w:r>
      <w:r>
        <w:rPr>
          <w:rFonts w:hint="eastAsia" w:ascii="宋体" w:hAnsi="宋体" w:eastAsia="宋体" w:cs="宋体"/>
          <w:kern w:val="2"/>
          <w:lang w:val="zh-TW" w:eastAsia="zh-TW"/>
        </w:rPr>
        <w:t>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3BE9CF47">
      <w:pPr>
        <w:pStyle w:val="80"/>
        <w:framePr w:wrap="auto" w:vAnchor="margin" w:hAnchor="text" w:yAlign="inline"/>
        <w:numPr>
          <w:ilvl w:val="0"/>
          <w:numId w:val="3"/>
        </w:numPr>
        <w:rPr>
          <w:rFonts w:hint="eastAsia" w:ascii="宋体" w:hAnsi="宋体" w:eastAsia="宋体" w:cs="宋体"/>
          <w:b/>
          <w:bCs/>
          <w:highlight w:val="none"/>
          <w:lang w:val="zh-TW" w:eastAsia="zh-TW"/>
        </w:rPr>
      </w:pPr>
      <w:bookmarkStart w:id="16" w:name="_Toc22844"/>
      <w:bookmarkStart w:id="17" w:name="_Toc2"/>
      <w:bookmarkStart w:id="18" w:name="_Toc114175608"/>
      <w:r>
        <w:rPr>
          <w:rFonts w:hint="eastAsia" w:ascii="宋体" w:hAnsi="宋体" w:eastAsia="宋体" w:cs="宋体"/>
          <w:b/>
          <w:bCs/>
          <w:highlight w:val="none"/>
          <w:lang w:val="en-US" w:eastAsia="zh-CN"/>
        </w:rPr>
        <w:t>工作范围</w:t>
      </w:r>
      <w:bookmarkEnd w:id="16"/>
    </w:p>
    <w:p w14:paraId="45EAB86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lang w:val="zh-TW" w:eastAsia="zh-TW"/>
        </w:rPr>
      </w:pPr>
      <w:r>
        <w:rPr>
          <w:rFonts w:hint="eastAsia" w:ascii="宋体" w:hAnsi="宋体" w:eastAsia="宋体" w:cs="宋体"/>
          <w:sz w:val="24"/>
          <w:szCs w:val="24"/>
          <w:highlight w:val="none"/>
        </w:rPr>
        <w:t>本技术规范规定了</w:t>
      </w:r>
      <w:r>
        <w:rPr>
          <w:rFonts w:hint="eastAsia" w:ascii="宋体" w:hAnsi="宋体" w:eastAsia="宋体" w:cs="宋体"/>
          <w:sz w:val="24"/>
          <w:szCs w:val="24"/>
          <w:highlight w:val="none"/>
          <w:lang w:eastAsia="zh-CN"/>
        </w:rPr>
        <w:t>一种与集束转接线聚合的模拟断路器试制与应用</w:t>
      </w:r>
      <w:r>
        <w:rPr>
          <w:rFonts w:hint="eastAsia" w:ascii="宋体" w:hAnsi="宋体" w:eastAsia="宋体" w:cs="宋体"/>
          <w:sz w:val="24"/>
          <w:szCs w:val="24"/>
          <w:highlight w:val="none"/>
        </w:rPr>
        <w:t>的功能、参数、试验、验收、标志、包装、运输、组装的要求。</w:t>
      </w:r>
    </w:p>
    <w:p w14:paraId="46797F91">
      <w:pPr>
        <w:rPr>
          <w:rFonts w:hint="eastAsia" w:ascii="宋体" w:hAnsi="宋体" w:eastAsia="宋体" w:cs="宋体"/>
          <w:b/>
          <w:bCs/>
          <w:highlight w:val="none"/>
          <w:lang w:val="zh-TW" w:eastAsia="zh-TW"/>
        </w:rPr>
      </w:pPr>
      <w:r>
        <w:rPr>
          <w:rFonts w:hint="eastAsia" w:ascii="宋体" w:hAnsi="宋体" w:eastAsia="宋体" w:cs="宋体"/>
          <w:b/>
          <w:bCs/>
          <w:highlight w:val="none"/>
          <w:lang w:val="en-US" w:eastAsia="zh-CN"/>
        </w:rPr>
        <w:br w:type="page"/>
      </w:r>
    </w:p>
    <w:p w14:paraId="089296AE">
      <w:pPr>
        <w:pStyle w:val="80"/>
        <w:framePr w:wrap="auto" w:vAnchor="margin" w:hAnchor="text" w:yAlign="inline"/>
        <w:numPr>
          <w:ilvl w:val="0"/>
          <w:numId w:val="3"/>
        </w:numPr>
        <w:rPr>
          <w:rFonts w:hint="eastAsia" w:ascii="宋体" w:hAnsi="宋体" w:eastAsia="宋体" w:cs="宋体"/>
          <w:b/>
          <w:bCs/>
          <w:highlight w:val="none"/>
          <w:lang w:val="zh-TW" w:eastAsia="zh-TW"/>
        </w:rPr>
      </w:pPr>
      <w:bookmarkStart w:id="19" w:name="_Toc31528"/>
      <w:r>
        <w:rPr>
          <w:rFonts w:hint="eastAsia" w:ascii="宋体" w:hAnsi="宋体" w:eastAsia="宋体" w:cs="宋体"/>
          <w:b/>
          <w:bCs/>
          <w:highlight w:val="none"/>
          <w:lang w:val="en-US" w:eastAsia="zh-CN"/>
        </w:rPr>
        <w:t>应遵循的主要标准</w:t>
      </w:r>
      <w:bookmarkEnd w:id="19"/>
    </w:p>
    <w:p w14:paraId="2E73BE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标准所包含的条文，通过在本招标技术文件中引用而构成本招标技术文件的基本条文。在本招标技术文件出版时，所示版本均为有效。所有标准都会被修订，使用本招标技术文件的各方应探讨使用下列标准最新版本的可能性。按标准号顺序排列标准，如果各标准要求有所不同，满足更高的标准要求。</w:t>
      </w:r>
    </w:p>
    <w:tbl>
      <w:tblPr>
        <w:tblStyle w:val="22"/>
        <w:tblW w:w="833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61"/>
        <w:gridCol w:w="2436"/>
        <w:gridCol w:w="5036"/>
      </w:tblGrid>
      <w:tr w14:paraId="4425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7CB54B45">
            <w:pPr>
              <w:keepNext w:val="0"/>
              <w:keepLines w:val="0"/>
              <w:pageBreakBefore w:val="0"/>
              <w:widowControl w:val="0"/>
              <w:kinsoku/>
              <w:wordWrap/>
              <w:overflowPunct/>
              <w:topLinePunct w:val="0"/>
              <w:autoSpaceDE/>
              <w:autoSpaceDN/>
              <w:bidi w:val="0"/>
              <w:adjustRightInd/>
              <w:spacing w:before="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36" w:type="dxa"/>
            <w:noWrap w:val="0"/>
            <w:tcMar>
              <w:left w:w="0" w:type="dxa"/>
              <w:right w:w="0" w:type="dxa"/>
            </w:tcMar>
            <w:vAlign w:val="center"/>
          </w:tcPr>
          <w:p w14:paraId="5D779C88">
            <w:pPr>
              <w:keepNext w:val="0"/>
              <w:keepLines w:val="0"/>
              <w:pageBreakBefore w:val="0"/>
              <w:widowControl w:val="0"/>
              <w:kinsoku/>
              <w:wordWrap/>
              <w:overflowPunct/>
              <w:topLinePunct w:val="0"/>
              <w:autoSpaceDE/>
              <w:autoSpaceDN/>
              <w:bidi w:val="0"/>
              <w:adjustRightInd/>
              <w:spacing w:before="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标准号</w:t>
            </w:r>
          </w:p>
        </w:tc>
        <w:tc>
          <w:tcPr>
            <w:tcW w:w="5036" w:type="dxa"/>
            <w:noWrap w:val="0"/>
            <w:vAlign w:val="center"/>
          </w:tcPr>
          <w:p w14:paraId="42C2D213">
            <w:pPr>
              <w:keepNext w:val="0"/>
              <w:keepLines w:val="0"/>
              <w:pageBreakBefore w:val="0"/>
              <w:widowControl w:val="0"/>
              <w:kinsoku/>
              <w:wordWrap/>
              <w:overflowPunct/>
              <w:topLinePunct w:val="0"/>
              <w:autoSpaceDE/>
              <w:autoSpaceDN/>
              <w:bidi w:val="0"/>
              <w:adjustRightInd/>
              <w:spacing w:before="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标准名称</w:t>
            </w:r>
          </w:p>
        </w:tc>
      </w:tr>
      <w:tr w14:paraId="7995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0803391">
            <w:pPr>
              <w:pStyle w:val="34"/>
              <w:keepNext w:val="0"/>
              <w:keepLines w:val="0"/>
              <w:pageBreakBefore w:val="0"/>
              <w:widowControl w:val="0"/>
              <w:numPr>
                <w:ilvl w:val="0"/>
                <w:numId w:val="4"/>
              </w:numPr>
              <w:tabs>
                <w:tab w:val="clear" w:pos="0"/>
              </w:tabs>
              <w:kinsoku/>
              <w:wordWrap/>
              <w:overflowPunct/>
              <w:topLinePunct w:val="0"/>
              <w:autoSpaceDE/>
              <w:autoSpaceDN/>
              <w:bidi w:val="0"/>
              <w:adjustRightInd/>
              <w:spacing w:before="50" w:after="50" w:line="360" w:lineRule="auto"/>
              <w:ind w:left="704" w:leftChars="0" w:hanging="420"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55BE1EDE">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191-2008</w:t>
            </w:r>
          </w:p>
        </w:tc>
        <w:tc>
          <w:tcPr>
            <w:tcW w:w="5036" w:type="dxa"/>
            <w:noWrap w:val="0"/>
            <w:vAlign w:val="center"/>
          </w:tcPr>
          <w:p w14:paraId="059DE822">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包装储运图示标志</w:t>
            </w:r>
          </w:p>
        </w:tc>
      </w:tr>
      <w:tr w14:paraId="6171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73929BE7">
            <w:pPr>
              <w:pStyle w:val="34"/>
              <w:keepNext w:val="0"/>
              <w:keepLines w:val="0"/>
              <w:pageBreakBefore w:val="0"/>
              <w:widowControl w:val="0"/>
              <w:numPr>
                <w:ilvl w:val="0"/>
                <w:numId w:val="4"/>
              </w:numPr>
              <w:tabs>
                <w:tab w:val="clear" w:pos="0"/>
              </w:tabs>
              <w:kinsoku/>
              <w:wordWrap/>
              <w:overflowPunct/>
              <w:topLinePunct w:val="0"/>
              <w:autoSpaceDE/>
              <w:autoSpaceDN/>
              <w:bidi w:val="0"/>
              <w:adjustRightInd/>
              <w:spacing w:before="50" w:after="50" w:line="360" w:lineRule="auto"/>
              <w:ind w:left="704" w:leftChars="0" w:hanging="420"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389B16DF">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2423-2006</w:t>
            </w:r>
          </w:p>
        </w:tc>
        <w:tc>
          <w:tcPr>
            <w:tcW w:w="5036" w:type="dxa"/>
            <w:noWrap w:val="0"/>
            <w:vAlign w:val="center"/>
          </w:tcPr>
          <w:p w14:paraId="3BACD217">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电工电子产品环境试验</w:t>
            </w:r>
          </w:p>
        </w:tc>
      </w:tr>
      <w:tr w14:paraId="7757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67FEEFA9">
            <w:pPr>
              <w:pStyle w:val="34"/>
              <w:keepNext w:val="0"/>
              <w:keepLines w:val="0"/>
              <w:pageBreakBefore w:val="0"/>
              <w:widowControl w:val="0"/>
              <w:numPr>
                <w:ilvl w:val="0"/>
                <w:numId w:val="4"/>
              </w:numPr>
              <w:tabs>
                <w:tab w:val="clear" w:pos="0"/>
              </w:tabs>
              <w:kinsoku/>
              <w:wordWrap/>
              <w:overflowPunct/>
              <w:topLinePunct w:val="0"/>
              <w:autoSpaceDE/>
              <w:autoSpaceDN/>
              <w:bidi w:val="0"/>
              <w:adjustRightInd/>
              <w:spacing w:before="50" w:after="50" w:line="360" w:lineRule="auto"/>
              <w:ind w:left="704" w:leftChars="0" w:hanging="420"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6DF2B222">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GB 38755-2019</w:t>
            </w:r>
          </w:p>
        </w:tc>
        <w:tc>
          <w:tcPr>
            <w:tcW w:w="5036" w:type="dxa"/>
            <w:shd w:val="clear" w:color="auto" w:fill="auto"/>
            <w:noWrap w:val="0"/>
            <w:vAlign w:val="center"/>
          </w:tcPr>
          <w:p w14:paraId="6A09D776">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电力系统安全稳定导则</w:t>
            </w:r>
          </w:p>
        </w:tc>
      </w:tr>
      <w:tr w14:paraId="23B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FD858EC">
            <w:pPr>
              <w:pStyle w:val="34"/>
              <w:keepNext w:val="0"/>
              <w:keepLines w:val="0"/>
              <w:pageBreakBefore w:val="0"/>
              <w:widowControl w:val="0"/>
              <w:numPr>
                <w:ilvl w:val="0"/>
                <w:numId w:val="4"/>
              </w:numPr>
              <w:tabs>
                <w:tab w:val="clear" w:pos="0"/>
              </w:tabs>
              <w:kinsoku/>
              <w:wordWrap/>
              <w:overflowPunct/>
              <w:topLinePunct w:val="0"/>
              <w:autoSpaceDE/>
              <w:autoSpaceDN/>
              <w:bidi w:val="0"/>
              <w:adjustRightInd/>
              <w:spacing w:before="50" w:after="50" w:line="360" w:lineRule="auto"/>
              <w:ind w:left="704" w:leftChars="0" w:hanging="420"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035CBA8D">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DL/T 755-2021</w:t>
            </w:r>
          </w:p>
        </w:tc>
        <w:tc>
          <w:tcPr>
            <w:tcW w:w="5036" w:type="dxa"/>
            <w:shd w:val="clear" w:color="auto" w:fill="auto"/>
            <w:noWrap w:val="0"/>
            <w:vAlign w:val="center"/>
          </w:tcPr>
          <w:p w14:paraId="7E022BDF">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电力系统安全稳定导则</w:t>
            </w:r>
          </w:p>
        </w:tc>
      </w:tr>
      <w:tr w14:paraId="2593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3FD119D7">
            <w:pPr>
              <w:pStyle w:val="34"/>
              <w:keepNext w:val="0"/>
              <w:keepLines w:val="0"/>
              <w:pageBreakBefore w:val="0"/>
              <w:widowControl w:val="0"/>
              <w:numPr>
                <w:ilvl w:val="0"/>
                <w:numId w:val="4"/>
              </w:numPr>
              <w:tabs>
                <w:tab w:val="clear" w:pos="0"/>
              </w:tabs>
              <w:kinsoku/>
              <w:wordWrap/>
              <w:overflowPunct/>
              <w:topLinePunct w:val="0"/>
              <w:autoSpaceDE/>
              <w:autoSpaceDN/>
              <w:bidi w:val="0"/>
              <w:adjustRightInd/>
              <w:spacing w:before="50" w:after="50" w:line="360" w:lineRule="auto"/>
              <w:ind w:left="704" w:leftChars="0" w:hanging="420"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7CCD9A84">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Q/CSG 510001-2015</w:t>
            </w:r>
          </w:p>
        </w:tc>
        <w:tc>
          <w:tcPr>
            <w:tcW w:w="5036" w:type="dxa"/>
            <w:shd w:val="clear" w:color="auto" w:fill="auto"/>
            <w:noWrap w:val="0"/>
            <w:vAlign w:val="center"/>
          </w:tcPr>
          <w:p w14:paraId="57BE46CF">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中国南方电网有限责任公司电力安全工作规程</w:t>
            </w:r>
          </w:p>
        </w:tc>
      </w:tr>
    </w:tbl>
    <w:p w14:paraId="3FBD1862">
      <w:pPr>
        <w:pStyle w:val="80"/>
        <w:framePr w:wrap="auto" w:vAnchor="margin" w:hAnchor="text" w:yAlign="inline"/>
        <w:numPr>
          <w:ilvl w:val="0"/>
          <w:numId w:val="3"/>
        </w:numPr>
        <w:rPr>
          <w:rFonts w:hint="eastAsia" w:ascii="宋体" w:hAnsi="宋体" w:eastAsia="宋体" w:cs="宋体"/>
          <w:b/>
          <w:bCs/>
          <w:highlight w:val="none"/>
          <w:lang w:val="zh-TW" w:eastAsia="zh-TW"/>
        </w:rPr>
      </w:pPr>
      <w:bookmarkStart w:id="20" w:name="_Toc2190"/>
      <w:r>
        <w:rPr>
          <w:rFonts w:hint="eastAsia" w:ascii="宋体" w:hAnsi="宋体" w:eastAsia="宋体" w:cs="宋体"/>
          <w:b/>
          <w:bCs/>
          <w:highlight w:val="none"/>
          <w:lang w:val="en-US" w:eastAsia="zh-CN"/>
        </w:rPr>
        <w:t>使用条件</w:t>
      </w:r>
      <w:bookmarkEnd w:id="20"/>
    </w:p>
    <w:p w14:paraId="116214EB">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21" w:name="_Toc29388"/>
      <w:r>
        <w:rPr>
          <w:rFonts w:hint="eastAsia" w:ascii="宋体" w:hAnsi="宋体" w:eastAsia="宋体" w:cs="宋体"/>
          <w:sz w:val="28"/>
          <w:szCs w:val="28"/>
          <w:lang w:val="en-US" w:eastAsia="zh-CN"/>
        </w:rPr>
        <w:t>正常工作大气条件</w:t>
      </w:r>
      <w:bookmarkEnd w:id="21"/>
    </w:p>
    <w:p w14:paraId="2242687A">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环境温度：-20℃～+50℃。</w:t>
      </w:r>
    </w:p>
    <w:p w14:paraId="57E629AA">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相对湿度：0%～90%。</w:t>
      </w:r>
    </w:p>
    <w:p w14:paraId="15FD0B97">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大气压力：70kPa～106kPa。</w:t>
      </w:r>
    </w:p>
    <w:p w14:paraId="1F9409D2">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22" w:name="_Toc30958"/>
      <w:r>
        <w:rPr>
          <w:rFonts w:hint="eastAsia" w:ascii="宋体" w:hAnsi="宋体" w:eastAsia="宋体" w:cs="宋体"/>
          <w:sz w:val="28"/>
          <w:szCs w:val="28"/>
          <w:lang w:val="en-US" w:eastAsia="zh-CN"/>
        </w:rPr>
        <w:t>试验的标准大气条件</w:t>
      </w:r>
      <w:bookmarkEnd w:id="22"/>
    </w:p>
    <w:p w14:paraId="27BB0786">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环境温度：+15℃～+35℃。</w:t>
      </w:r>
    </w:p>
    <w:p w14:paraId="06580C63">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相对湿度：45%～75%。</w:t>
      </w:r>
    </w:p>
    <w:p w14:paraId="47EA78F4">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大气压力：86kPa～106kPa。</w:t>
      </w:r>
    </w:p>
    <w:p w14:paraId="62F6FDDE">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23" w:name="_Toc25443"/>
      <w:r>
        <w:rPr>
          <w:rFonts w:hint="eastAsia" w:ascii="宋体" w:hAnsi="宋体" w:eastAsia="宋体" w:cs="宋体"/>
          <w:sz w:val="28"/>
          <w:szCs w:val="28"/>
          <w:lang w:val="en-US" w:eastAsia="zh-CN"/>
        </w:rPr>
        <w:t>储存、运输极限环境温度</w:t>
      </w:r>
      <w:bookmarkEnd w:id="23"/>
    </w:p>
    <w:p w14:paraId="5C628CD7">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贮存、运输环境温度极限值为-20℃～+60℃，在不施加任何激励量的条件下，装置应不出现不可逆变化。温度恢复正常后，装置的性能应仍符合本部分中的有关要求。</w:t>
      </w:r>
    </w:p>
    <w:p w14:paraId="249602EA">
      <w:pPr>
        <w:bidi w:val="0"/>
        <w:rPr>
          <w:rFonts w:hint="eastAsia" w:ascii="宋体" w:hAnsi="宋体" w:eastAsia="宋体" w:cs="宋体"/>
          <w:lang w:val="zh-TW" w:eastAsia="zh-TW"/>
        </w:rPr>
      </w:pPr>
    </w:p>
    <w:bookmarkEnd w:id="17"/>
    <w:bookmarkEnd w:id="18"/>
    <w:p w14:paraId="3C8BCF9D">
      <w:pPr>
        <w:pStyle w:val="80"/>
        <w:framePr w:wrap="auto" w:vAnchor="margin" w:hAnchor="text" w:yAlign="inline"/>
        <w:numPr>
          <w:ilvl w:val="0"/>
          <w:numId w:val="3"/>
        </w:numPr>
        <w:rPr>
          <w:rFonts w:hint="eastAsia" w:ascii="宋体" w:hAnsi="宋体" w:eastAsia="宋体" w:cs="宋体"/>
          <w:b/>
          <w:bCs/>
          <w:highlight w:val="none"/>
          <w:lang w:val="zh-TW" w:eastAsia="zh-TW"/>
        </w:rPr>
      </w:pPr>
      <w:bookmarkStart w:id="24" w:name="_Toc2850"/>
      <w:r>
        <w:rPr>
          <w:rFonts w:hint="eastAsia" w:ascii="宋体" w:hAnsi="宋体" w:eastAsia="宋体" w:cs="宋体"/>
          <w:b/>
          <w:bCs/>
          <w:highlight w:val="none"/>
          <w:lang w:val="en-US" w:eastAsia="zh-CN"/>
        </w:rPr>
        <w:t>项目要求</w:t>
      </w:r>
      <w:bookmarkEnd w:id="24"/>
    </w:p>
    <w:p w14:paraId="3FE3478B">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25" w:name="_Toc1407"/>
      <w:r>
        <w:rPr>
          <w:rFonts w:hint="eastAsia" w:ascii="宋体" w:hAnsi="宋体" w:eastAsia="宋体" w:cs="宋体"/>
          <w:sz w:val="28"/>
          <w:szCs w:val="28"/>
          <w:lang w:val="en-US" w:eastAsia="zh-CN"/>
        </w:rPr>
        <w:t>项目概况</w:t>
      </w:r>
      <w:bookmarkEnd w:id="25"/>
    </w:p>
    <w:p w14:paraId="48E77E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u w:color="000000"/>
          <w:lang w:val="en-US" w:eastAsia="zh-CN" w:bidi="ar-SA"/>
        </w:rPr>
      </w:pPr>
      <w:r>
        <w:rPr>
          <w:rFonts w:hint="eastAsia" w:ascii="宋体" w:hAnsi="宋体" w:eastAsia="宋体" w:cs="宋体"/>
          <w:color w:val="000000"/>
          <w:kern w:val="0"/>
          <w:sz w:val="24"/>
          <w:szCs w:val="24"/>
          <w:u w:color="000000"/>
          <w:lang w:val="en-US" w:eastAsia="zh-CN" w:bidi="ar-SA"/>
        </w:rPr>
        <w:t>通过设计一种与集束转接线聚合的模拟断路器，实现DTU与模拟断路器之间的快速、准确连接，减少转接头的数量，简化接线过程，提高测试效率和准确性。通过该项目的研究和应用，可以有效地解决传统模式下DTU与模拟断路器接线测试中存在的问题，为配电自动化终端的安装调试提供更加便捷、高效的技术支持。</w:t>
      </w:r>
    </w:p>
    <w:p w14:paraId="2FD038F4">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26" w:name="_Toc3276"/>
      <w:r>
        <w:rPr>
          <w:rFonts w:hint="eastAsia" w:ascii="宋体" w:hAnsi="宋体" w:eastAsia="宋体" w:cs="宋体"/>
          <w:sz w:val="28"/>
          <w:szCs w:val="28"/>
          <w:lang w:val="en-US" w:eastAsia="zh-CN"/>
        </w:rPr>
        <w:t>服务范围</w:t>
      </w:r>
      <w:bookmarkEnd w:id="26"/>
    </w:p>
    <w:p w14:paraId="19667B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u w:color="000000"/>
          <w:lang w:val="en-US" w:eastAsia="zh-CN" w:bidi="ar-SA"/>
        </w:rPr>
      </w:pPr>
      <w:r>
        <w:rPr>
          <w:rFonts w:hint="eastAsia" w:ascii="宋体" w:hAnsi="宋体" w:eastAsia="宋体" w:cs="宋体"/>
          <w:color w:val="000000"/>
          <w:kern w:val="0"/>
          <w:sz w:val="24"/>
          <w:szCs w:val="24"/>
          <w:u w:color="000000"/>
          <w:lang w:val="en-US" w:eastAsia="zh-CN" w:bidi="ar-SA"/>
        </w:rPr>
        <w:t>对《一种与集束转接线聚合的模拟断路器试制与应用的研制与应用》项目提供技术服务。</w:t>
      </w:r>
    </w:p>
    <w:p w14:paraId="4414B9EF">
      <w:pPr>
        <w:pStyle w:val="86"/>
        <w:framePr w:wrap="auto" w:vAnchor="margin" w:hAnchor="text" w:yAlign="inline"/>
        <w:numPr>
          <w:ilvl w:val="1"/>
          <w:numId w:val="3"/>
        </w:numPr>
        <w:rPr>
          <w:rFonts w:hint="eastAsia" w:ascii="宋体" w:hAnsi="宋体" w:eastAsia="宋体" w:cs="宋体"/>
          <w:sz w:val="28"/>
          <w:szCs w:val="28"/>
          <w:lang w:val="en-US" w:eastAsia="zh-CN"/>
        </w:rPr>
      </w:pPr>
      <w:bookmarkStart w:id="27" w:name="_Toc29222"/>
      <w:r>
        <w:rPr>
          <w:rFonts w:hint="eastAsia" w:ascii="宋体" w:hAnsi="宋体" w:eastAsia="宋体" w:cs="宋体"/>
          <w:sz w:val="28"/>
          <w:szCs w:val="28"/>
          <w:lang w:val="en-US" w:eastAsia="zh-CN"/>
        </w:rPr>
        <w:t>技术要求</w:t>
      </w:r>
      <w:bookmarkEnd w:id="27"/>
    </w:p>
    <w:p w14:paraId="61E7B1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u w:color="000000"/>
          <w:lang w:val="en-US" w:eastAsia="zh-CN" w:bidi="ar-SA"/>
        </w:rPr>
      </w:pPr>
      <w:r>
        <w:rPr>
          <w:rFonts w:hint="eastAsia" w:ascii="宋体" w:hAnsi="宋体" w:eastAsia="宋体" w:cs="宋体"/>
          <w:color w:val="000000"/>
          <w:kern w:val="0"/>
          <w:sz w:val="24"/>
          <w:szCs w:val="24"/>
          <w:u w:color="000000"/>
          <w:lang w:val="en-US" w:eastAsia="zh-CN" w:bidi="ar-SA"/>
        </w:rPr>
        <w:t>一种与集束转接线聚合的模拟断路器试制与应用</w:t>
      </w:r>
      <w:r>
        <w:rPr>
          <w:rFonts w:hint="eastAsia" w:ascii="宋体" w:hAnsi="宋体" w:eastAsia="宋体" w:cs="宋体"/>
          <w:color w:val="000000"/>
          <w:kern w:val="0"/>
          <w:sz w:val="24"/>
          <w:szCs w:val="24"/>
          <w:u w:color="000000"/>
          <w:lang w:val="en-US" w:eastAsia="zh-CN" w:bidi="ar-SA"/>
        </w:rPr>
        <w:t>技术参数除应满足国家和行业相关标准外，还应满足表5-1要求。</w:t>
      </w:r>
    </w:p>
    <w:p w14:paraId="52D8592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表</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1 设备主要参数</w:t>
      </w:r>
      <w:r>
        <w:rPr>
          <w:rFonts w:hint="eastAsia" w:ascii="宋体" w:hAnsi="宋体" w:eastAsia="宋体" w:cs="宋体"/>
          <w:sz w:val="21"/>
          <w:szCs w:val="21"/>
          <w:highlight w:val="none"/>
          <w:lang w:val="en-US" w:eastAsia="zh-CN"/>
        </w:rPr>
        <w:t>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2382"/>
        <w:gridCol w:w="4170"/>
        <w:gridCol w:w="1139"/>
      </w:tblGrid>
      <w:tr w14:paraId="3C52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489" w:type="pct"/>
            <w:noWrap w:val="0"/>
            <w:vAlign w:val="center"/>
          </w:tcPr>
          <w:p w14:paraId="6D252BE0">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397" w:type="pct"/>
            <w:noWrap w:val="0"/>
            <w:vAlign w:val="center"/>
          </w:tcPr>
          <w:p w14:paraId="0AA1003D">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名称</w:t>
            </w:r>
          </w:p>
        </w:tc>
        <w:tc>
          <w:tcPr>
            <w:tcW w:w="2445" w:type="pct"/>
            <w:noWrap w:val="0"/>
            <w:vAlign w:val="center"/>
          </w:tcPr>
          <w:p w14:paraId="60202ABA">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技术要求</w:t>
            </w:r>
          </w:p>
        </w:tc>
        <w:tc>
          <w:tcPr>
            <w:tcW w:w="668" w:type="pct"/>
            <w:noWrap w:val="0"/>
            <w:vAlign w:val="center"/>
          </w:tcPr>
          <w:p w14:paraId="5D270A30">
            <w:pPr>
              <w:pStyle w:val="19"/>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备注</w:t>
            </w:r>
          </w:p>
        </w:tc>
      </w:tr>
      <w:tr w14:paraId="5599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5FA80D79">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2382" w:type="dxa"/>
            <w:noWrap w:val="0"/>
            <w:vAlign w:val="center"/>
          </w:tcPr>
          <w:p w14:paraId="60B2520E">
            <w:pPr>
              <w:spacing w:before="62" w:after="62"/>
              <w:jc w:val="center"/>
              <w:rPr>
                <w:rFonts w:hint="eastAsia" w:ascii="宋体" w:hAnsi="宋体" w:eastAsia="宋体" w:cs="宋体"/>
                <w:sz w:val="22"/>
                <w:szCs w:val="22"/>
                <w:highlight w:val="none"/>
              </w:rPr>
            </w:pPr>
            <w:r>
              <w:rPr>
                <w:rFonts w:hint="eastAsia" w:ascii="宋体" w:hAnsi="宋体" w:eastAsia="宋体" w:cs="宋体"/>
                <w:sz w:val="21"/>
                <w:szCs w:val="21"/>
                <w:lang w:val="en-US" w:eastAsia="zh-CN"/>
              </w:rPr>
              <w:t>后备电源</w:t>
            </w:r>
          </w:p>
        </w:tc>
        <w:tc>
          <w:tcPr>
            <w:tcW w:w="4170" w:type="dxa"/>
            <w:noWrap w:val="0"/>
            <w:vAlign w:val="top"/>
          </w:tcPr>
          <w:p w14:paraId="0DA784DD">
            <w:pPr>
              <w:spacing w:before="62" w:after="62"/>
              <w:jc w:val="center"/>
              <w:rPr>
                <w:rFonts w:hint="eastAsia" w:ascii="宋体" w:hAnsi="宋体" w:eastAsia="宋体" w:cs="宋体"/>
                <w:sz w:val="22"/>
                <w:szCs w:val="22"/>
                <w:highlight w:val="none"/>
                <w:lang w:val="en-US"/>
              </w:rPr>
            </w:pPr>
            <w:r>
              <w:rPr>
                <w:rFonts w:hint="eastAsia" w:ascii="宋体" w:hAnsi="宋体" w:eastAsia="宋体" w:cs="宋体"/>
                <w:lang w:val="en-US" w:eastAsia="zh-CN"/>
              </w:rPr>
              <w:t>3.7V 5000Ah锂电池</w:t>
            </w:r>
          </w:p>
        </w:tc>
        <w:tc>
          <w:tcPr>
            <w:tcW w:w="668" w:type="pct"/>
            <w:noWrap w:val="0"/>
            <w:vAlign w:val="center"/>
          </w:tcPr>
          <w:p w14:paraId="24AC1683">
            <w:pPr>
              <w:jc w:val="center"/>
              <w:rPr>
                <w:rFonts w:hint="eastAsia" w:ascii="宋体" w:hAnsi="宋体" w:eastAsia="宋体" w:cs="宋体"/>
                <w:sz w:val="22"/>
                <w:szCs w:val="22"/>
                <w:highlight w:val="none"/>
              </w:rPr>
            </w:pPr>
          </w:p>
        </w:tc>
      </w:tr>
      <w:tr w14:paraId="6E178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4C22208C">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2382" w:type="dxa"/>
            <w:noWrap w:val="0"/>
            <w:vAlign w:val="top"/>
          </w:tcPr>
          <w:p w14:paraId="33CF6098">
            <w:pPr>
              <w:spacing w:before="62" w:after="62"/>
              <w:jc w:val="center"/>
              <w:rPr>
                <w:rFonts w:hint="eastAsia" w:ascii="宋体" w:hAnsi="宋体" w:eastAsia="宋体" w:cs="宋体"/>
                <w:sz w:val="22"/>
                <w:szCs w:val="22"/>
                <w:highlight w:val="none"/>
                <w:lang w:val="en-US" w:eastAsia="zh-CN"/>
              </w:rPr>
            </w:pPr>
            <w:r>
              <w:rPr>
                <w:rFonts w:hint="eastAsia" w:ascii="宋体" w:hAnsi="宋体" w:eastAsia="宋体" w:cs="宋体"/>
              </w:rPr>
              <w:t>人机界面</w:t>
            </w:r>
          </w:p>
        </w:tc>
        <w:tc>
          <w:tcPr>
            <w:tcW w:w="4170" w:type="dxa"/>
            <w:noWrap w:val="0"/>
            <w:vAlign w:val="top"/>
          </w:tcPr>
          <w:p w14:paraId="28E5A96F">
            <w:pPr>
              <w:spacing w:before="62" w:after="62"/>
              <w:jc w:val="center"/>
              <w:rPr>
                <w:rFonts w:hint="eastAsia" w:ascii="宋体" w:hAnsi="宋体" w:eastAsia="宋体" w:cs="宋体"/>
                <w:sz w:val="22"/>
                <w:szCs w:val="22"/>
                <w:highlight w:val="none"/>
                <w:lang w:val="en-US"/>
              </w:rPr>
            </w:pPr>
            <w:r>
              <w:rPr>
                <w:rFonts w:hint="eastAsia" w:ascii="宋体" w:hAnsi="宋体" w:eastAsia="宋体" w:cs="宋体"/>
              </w:rPr>
              <w:t>3</w:t>
            </w:r>
            <w:r>
              <w:rPr>
                <w:rFonts w:hint="eastAsia" w:ascii="宋体" w:hAnsi="宋体" w:eastAsia="宋体" w:cs="宋体"/>
                <w:lang w:val="en-US" w:eastAsia="zh-CN"/>
              </w:rPr>
              <w:t>.5</w:t>
            </w:r>
            <w:r>
              <w:rPr>
                <w:rFonts w:hint="eastAsia" w:ascii="宋体" w:hAnsi="宋体" w:eastAsia="宋体" w:cs="宋体"/>
              </w:rPr>
              <w:t>寸</w:t>
            </w:r>
            <w:r>
              <w:rPr>
                <w:rFonts w:hint="eastAsia" w:ascii="宋体" w:hAnsi="宋体" w:eastAsia="宋体" w:cs="宋体"/>
                <w:lang w:val="en-US" w:eastAsia="zh-CN"/>
              </w:rPr>
              <w:t>普清触摸</w:t>
            </w:r>
            <w:r>
              <w:rPr>
                <w:rFonts w:hint="eastAsia" w:ascii="宋体" w:hAnsi="宋体" w:eastAsia="宋体" w:cs="宋体"/>
              </w:rPr>
              <w:t>屏</w:t>
            </w:r>
          </w:p>
        </w:tc>
        <w:tc>
          <w:tcPr>
            <w:tcW w:w="668" w:type="pct"/>
            <w:noWrap w:val="0"/>
            <w:vAlign w:val="center"/>
          </w:tcPr>
          <w:p w14:paraId="29ADD60C">
            <w:pPr>
              <w:jc w:val="center"/>
              <w:rPr>
                <w:rFonts w:hint="eastAsia" w:ascii="宋体" w:hAnsi="宋体" w:eastAsia="宋体" w:cs="宋体"/>
                <w:sz w:val="22"/>
                <w:szCs w:val="22"/>
                <w:highlight w:val="none"/>
              </w:rPr>
            </w:pPr>
          </w:p>
        </w:tc>
      </w:tr>
      <w:tr w14:paraId="3904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5A195050">
            <w:pPr>
              <w:numPr>
                <w:ilvl w:val="0"/>
                <w:numId w:val="5"/>
              </w:numPr>
              <w:adjustRightInd w:val="0"/>
              <w:ind w:left="454" w:leftChars="0" w:hanging="454" w:firstLineChars="0"/>
              <w:jc w:val="center"/>
              <w:rPr>
                <w:rFonts w:hint="eastAsia" w:ascii="宋体" w:hAnsi="宋体" w:eastAsia="宋体" w:cs="宋体"/>
                <w:sz w:val="22"/>
                <w:szCs w:val="22"/>
                <w:highlight w:val="none"/>
              </w:rPr>
            </w:pPr>
            <w:bookmarkStart w:id="28" w:name="_Toc114175625"/>
            <w:bookmarkStart w:id="29" w:name="_Toc10"/>
          </w:p>
        </w:tc>
        <w:tc>
          <w:tcPr>
            <w:tcW w:w="1397" w:type="pct"/>
            <w:noWrap w:val="0"/>
            <w:vAlign w:val="center"/>
          </w:tcPr>
          <w:p w14:paraId="2299DFA2">
            <w:pPr>
              <w:adjustRightInd w:val="0"/>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重量</w:t>
            </w:r>
          </w:p>
        </w:tc>
        <w:tc>
          <w:tcPr>
            <w:tcW w:w="2445" w:type="pct"/>
            <w:noWrap w:val="0"/>
            <w:vAlign w:val="center"/>
          </w:tcPr>
          <w:p w14:paraId="2B02860C">
            <w:pPr>
              <w:adjustRightIn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t>1kg</w:t>
            </w:r>
          </w:p>
        </w:tc>
        <w:tc>
          <w:tcPr>
            <w:tcW w:w="668" w:type="pct"/>
            <w:noWrap w:val="0"/>
            <w:vAlign w:val="center"/>
          </w:tcPr>
          <w:p w14:paraId="1A5E09C5">
            <w:pPr>
              <w:jc w:val="center"/>
              <w:rPr>
                <w:rFonts w:hint="eastAsia" w:ascii="宋体" w:hAnsi="宋体" w:eastAsia="宋体" w:cs="宋体"/>
                <w:sz w:val="22"/>
                <w:szCs w:val="22"/>
                <w:highlight w:val="none"/>
              </w:rPr>
            </w:pPr>
          </w:p>
        </w:tc>
      </w:tr>
      <w:tr w14:paraId="322B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16F2CF0A">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1397" w:type="pct"/>
            <w:noWrap w:val="0"/>
            <w:vAlign w:val="center"/>
          </w:tcPr>
          <w:p w14:paraId="1AC16DC9">
            <w:pPr>
              <w:adjustRightInd w:val="0"/>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核心功能</w:t>
            </w:r>
          </w:p>
        </w:tc>
        <w:tc>
          <w:tcPr>
            <w:tcW w:w="2445" w:type="pct"/>
            <w:noWrap w:val="0"/>
            <w:vAlign w:val="center"/>
          </w:tcPr>
          <w:p w14:paraId="572A3B50">
            <w:pPr>
              <w:adjustRightInd w:val="0"/>
              <w:jc w:val="center"/>
              <w:rPr>
                <w:rFonts w:hint="eastAsia" w:ascii="宋体" w:hAnsi="宋体" w:eastAsia="宋体" w:cs="宋体"/>
                <w:sz w:val="24"/>
                <w:szCs w:val="24"/>
                <w:lang w:val="en-US" w:eastAsia="zh-CN"/>
              </w:rPr>
            </w:pPr>
            <w:r>
              <w:rPr>
                <w:rFonts w:hint="eastAsia" w:ascii="宋体" w:hAnsi="宋体" w:eastAsia="宋体" w:cs="宋体"/>
                <w:sz w:val="21"/>
                <w:szCs w:val="21"/>
              </w:rPr>
              <w:t>手动分闸</w:t>
            </w:r>
            <w:r>
              <w:rPr>
                <w:rFonts w:hint="eastAsia" w:ascii="宋体" w:hAnsi="宋体" w:eastAsia="宋体" w:cs="宋体"/>
                <w:sz w:val="21"/>
                <w:szCs w:val="21"/>
                <w:lang w:eastAsia="zh-CN"/>
              </w:rPr>
              <w:t>、</w:t>
            </w:r>
            <w:r>
              <w:rPr>
                <w:rFonts w:hint="eastAsia" w:ascii="宋体" w:hAnsi="宋体" w:eastAsia="宋体" w:cs="宋体"/>
                <w:sz w:val="21"/>
                <w:szCs w:val="21"/>
              </w:rPr>
              <w:t>手动合闸</w:t>
            </w:r>
            <w:r>
              <w:rPr>
                <w:rFonts w:hint="eastAsia" w:ascii="宋体" w:hAnsi="宋体" w:eastAsia="宋体" w:cs="宋体"/>
                <w:sz w:val="21"/>
                <w:szCs w:val="21"/>
                <w:lang w:eastAsia="zh-CN"/>
              </w:rPr>
              <w:t>、</w:t>
            </w:r>
            <w:r>
              <w:rPr>
                <w:rFonts w:hint="eastAsia" w:ascii="宋体" w:hAnsi="宋体" w:eastAsia="宋体" w:cs="宋体"/>
                <w:sz w:val="21"/>
                <w:szCs w:val="21"/>
              </w:rPr>
              <w:t>手动储能</w:t>
            </w:r>
          </w:p>
        </w:tc>
        <w:tc>
          <w:tcPr>
            <w:tcW w:w="668" w:type="pct"/>
            <w:noWrap w:val="0"/>
            <w:vAlign w:val="center"/>
          </w:tcPr>
          <w:p w14:paraId="24D1E6FF">
            <w:pPr>
              <w:jc w:val="center"/>
              <w:rPr>
                <w:rFonts w:hint="eastAsia" w:ascii="宋体" w:hAnsi="宋体" w:eastAsia="宋体" w:cs="宋体"/>
                <w:sz w:val="22"/>
                <w:szCs w:val="22"/>
                <w:highlight w:val="none"/>
              </w:rPr>
            </w:pPr>
          </w:p>
        </w:tc>
      </w:tr>
      <w:tr w14:paraId="4A2F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0506E00E">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1397" w:type="pct"/>
            <w:noWrap w:val="0"/>
            <w:vAlign w:val="center"/>
          </w:tcPr>
          <w:p w14:paraId="4FEA2090">
            <w:pPr>
              <w:adjustRightInd w:val="0"/>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功耗</w:t>
            </w:r>
          </w:p>
        </w:tc>
        <w:tc>
          <w:tcPr>
            <w:tcW w:w="2445" w:type="pct"/>
            <w:noWrap w:val="0"/>
            <w:vAlign w:val="center"/>
          </w:tcPr>
          <w:p w14:paraId="6F45C1BB">
            <w:pPr>
              <w:adjustRightIn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w:t>
            </w:r>
          </w:p>
        </w:tc>
        <w:tc>
          <w:tcPr>
            <w:tcW w:w="668" w:type="pct"/>
            <w:noWrap w:val="0"/>
            <w:vAlign w:val="center"/>
          </w:tcPr>
          <w:p w14:paraId="3EA446F5">
            <w:pPr>
              <w:jc w:val="center"/>
              <w:rPr>
                <w:rFonts w:hint="eastAsia" w:ascii="宋体" w:hAnsi="宋体" w:eastAsia="宋体" w:cs="宋体"/>
                <w:sz w:val="22"/>
                <w:szCs w:val="22"/>
                <w:highlight w:val="none"/>
              </w:rPr>
            </w:pPr>
          </w:p>
        </w:tc>
      </w:tr>
    </w:tbl>
    <w:p w14:paraId="4C084543">
      <w:pPr>
        <w:pStyle w:val="86"/>
        <w:framePr w:wrap="auto" w:vAnchor="margin" w:hAnchor="text" w:yAlign="inline"/>
        <w:numPr>
          <w:ilvl w:val="1"/>
          <w:numId w:val="3"/>
        </w:numPr>
        <w:rPr>
          <w:rFonts w:hint="eastAsia" w:ascii="宋体" w:hAnsi="宋体" w:eastAsia="宋体" w:cs="宋体"/>
          <w:sz w:val="28"/>
          <w:szCs w:val="28"/>
          <w:lang w:val="en-US" w:eastAsia="zh-CN"/>
        </w:rPr>
      </w:pPr>
      <w:bookmarkStart w:id="30" w:name="_Toc29956"/>
      <w:r>
        <w:rPr>
          <w:rFonts w:hint="eastAsia" w:ascii="宋体" w:hAnsi="宋体" w:eastAsia="宋体" w:cs="宋体"/>
          <w:sz w:val="28"/>
          <w:szCs w:val="28"/>
          <w:lang w:val="en-US" w:eastAsia="zh-CN"/>
        </w:rPr>
        <w:t>功能要求</w:t>
      </w:r>
      <w:bookmarkEnd w:id="30"/>
    </w:p>
    <w:p w14:paraId="54EE1AA3">
      <w:pPr>
        <w:pStyle w:val="81"/>
        <w:framePr w:wrap="auto" w:vAnchor="margin" w:hAnchor="text" w:yAlign="inline"/>
        <w:ind w:firstLine="480" w:firstLineChars="200"/>
        <w:rPr>
          <w:rFonts w:hint="eastAsia" w:ascii="宋体" w:hAnsi="宋体" w:eastAsia="宋体" w:cs="宋体"/>
          <w:lang w:val="en-US" w:eastAsia="zh-CN"/>
        </w:rPr>
      </w:pPr>
      <w:r>
        <w:rPr>
          <w:rFonts w:hint="eastAsia" w:ascii="宋体" w:hAnsi="宋体" w:eastAsia="宋体" w:cs="宋体"/>
          <w:lang w:val="en-US" w:eastAsia="zh-CN"/>
        </w:rPr>
        <w:t>一种与集束转接线聚合的模拟断路器通过集束转接线与配电终端单元（DTU）建立稳定的物理连接，该装置能够精确模拟断路器的分合闸动作，为DTU提供与实际电网操作无异的外部刺激。在接到测试指令后，DTU对装置发起预设的分闸或合闸命令，这一过程完全遵循实际工作流程，确保实训过程的真实性和全面性。通过统一接口规格、实现动态模拟技术、优化结构材料选择、应用电气隔离技术等关键技术的应用，确保了装置的电气性能与耐用性，简化了电路结构，合理安排了成本，减少了硬件损耗，完善了装置功能，保证了运行稳定性和提高了系统可靠性，从而确保系统能够稳定运行并具备良好的性能和经济效益。</w:t>
      </w:r>
    </w:p>
    <w:p w14:paraId="473C4F50">
      <w:pPr>
        <w:pStyle w:val="86"/>
        <w:framePr w:wrap="auto" w:vAnchor="margin" w:hAnchor="text" w:yAlign="inline"/>
        <w:numPr>
          <w:ilvl w:val="1"/>
          <w:numId w:val="3"/>
        </w:numPr>
        <w:rPr>
          <w:rFonts w:hint="eastAsia" w:ascii="宋体" w:hAnsi="宋体" w:eastAsia="宋体" w:cs="宋体"/>
          <w:sz w:val="28"/>
          <w:szCs w:val="28"/>
          <w:lang w:val="en-US" w:eastAsia="zh-CN"/>
        </w:rPr>
      </w:pPr>
      <w:bookmarkStart w:id="31" w:name="_Toc9623"/>
      <w:r>
        <w:rPr>
          <w:rFonts w:hint="eastAsia" w:ascii="宋体" w:hAnsi="宋体" w:eastAsia="宋体" w:cs="宋体"/>
          <w:sz w:val="28"/>
          <w:szCs w:val="28"/>
          <w:lang w:val="en-US" w:eastAsia="zh-CN"/>
        </w:rPr>
        <w:t>成果交付</w:t>
      </w:r>
      <w:bookmarkEnd w:id="31"/>
    </w:p>
    <w:p w14:paraId="662D1E7F">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表</w:t>
      </w:r>
      <w:r>
        <w:rPr>
          <w:rFonts w:hint="eastAsia" w:ascii="宋体" w:hAnsi="宋体" w:eastAsia="宋体" w:cs="宋体"/>
          <w:sz w:val="21"/>
          <w:szCs w:val="21"/>
          <w:highlight w:val="none"/>
          <w:lang w:val="en-US" w:eastAsia="zh-CN"/>
        </w:rPr>
        <w:t>5-2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成果交付表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2848"/>
        <w:gridCol w:w="1905"/>
        <w:gridCol w:w="2030"/>
        <w:gridCol w:w="1007"/>
      </w:tblGrid>
      <w:tr w14:paraId="1CF6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blHeader/>
          <w:jc w:val="center"/>
        </w:trPr>
        <w:tc>
          <w:tcPr>
            <w:tcW w:w="431" w:type="pct"/>
            <w:noWrap w:val="0"/>
            <w:vAlign w:val="center"/>
          </w:tcPr>
          <w:p w14:paraId="209FC6B6">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670" w:type="pct"/>
            <w:noWrap w:val="0"/>
            <w:vAlign w:val="center"/>
          </w:tcPr>
          <w:p w14:paraId="250772B3">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成果</w:t>
            </w:r>
            <w:r>
              <w:rPr>
                <w:rFonts w:hint="eastAsia" w:ascii="宋体" w:hAnsi="宋体" w:eastAsia="宋体" w:cs="宋体"/>
                <w:sz w:val="22"/>
                <w:szCs w:val="22"/>
                <w:highlight w:val="none"/>
              </w:rPr>
              <w:t>名称</w:t>
            </w:r>
          </w:p>
        </w:tc>
        <w:tc>
          <w:tcPr>
            <w:tcW w:w="1117" w:type="pct"/>
            <w:noWrap w:val="0"/>
            <w:vAlign w:val="center"/>
          </w:tcPr>
          <w:p w14:paraId="1D519FFE">
            <w:pPr>
              <w:adjustRightInd w:val="0"/>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数量</w:t>
            </w:r>
          </w:p>
        </w:tc>
        <w:tc>
          <w:tcPr>
            <w:tcW w:w="1190" w:type="pct"/>
            <w:noWrap w:val="0"/>
            <w:vAlign w:val="center"/>
          </w:tcPr>
          <w:p w14:paraId="3AFC6264">
            <w:pPr>
              <w:pStyle w:val="19"/>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交付地点</w:t>
            </w:r>
          </w:p>
        </w:tc>
        <w:tc>
          <w:tcPr>
            <w:tcW w:w="590" w:type="pct"/>
            <w:noWrap w:val="0"/>
            <w:vAlign w:val="center"/>
          </w:tcPr>
          <w:p w14:paraId="6A9DB11B">
            <w:pPr>
              <w:pStyle w:val="19"/>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备注</w:t>
            </w:r>
          </w:p>
        </w:tc>
      </w:tr>
      <w:tr w14:paraId="16F9D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431" w:type="pct"/>
            <w:noWrap w:val="0"/>
            <w:vAlign w:val="center"/>
          </w:tcPr>
          <w:p w14:paraId="0B9B3B1F">
            <w:pPr>
              <w:numPr>
                <w:ilvl w:val="0"/>
                <w:numId w:val="6"/>
              </w:numPr>
              <w:adjustRightInd w:val="0"/>
              <w:ind w:left="454" w:leftChars="0" w:hanging="454" w:firstLineChars="0"/>
              <w:jc w:val="center"/>
              <w:rPr>
                <w:rFonts w:hint="eastAsia" w:ascii="宋体" w:hAnsi="宋体" w:eastAsia="宋体" w:cs="宋体"/>
                <w:sz w:val="22"/>
                <w:szCs w:val="22"/>
                <w:highlight w:val="none"/>
              </w:rPr>
            </w:pPr>
          </w:p>
        </w:tc>
        <w:tc>
          <w:tcPr>
            <w:tcW w:w="1670" w:type="pct"/>
            <w:noWrap w:val="0"/>
            <w:vAlign w:val="center"/>
          </w:tcPr>
          <w:p w14:paraId="2579BC58">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一种与集束转接线聚合的模拟断路器试制与应用</w:t>
            </w:r>
          </w:p>
        </w:tc>
        <w:tc>
          <w:tcPr>
            <w:tcW w:w="1117" w:type="pct"/>
            <w:noWrap w:val="0"/>
            <w:vAlign w:val="center"/>
          </w:tcPr>
          <w:p w14:paraId="58404097">
            <w:pPr>
              <w:adjustRightInd w:val="0"/>
              <w:jc w:val="center"/>
              <w:rPr>
                <w:rFonts w:hint="eastAsia" w:ascii="宋体" w:hAnsi="宋体" w:eastAsia="宋体" w:cs="宋体"/>
                <w:sz w:val="22"/>
                <w:szCs w:val="22"/>
                <w:highlight w:val="none"/>
                <w:lang w:eastAsia="zh-CN"/>
              </w:rPr>
            </w:pPr>
            <w:r>
              <w:rPr>
                <w:rFonts w:hint="eastAsia" w:ascii="宋体" w:hAnsi="宋体" w:eastAsia="宋体" w:cs="宋体"/>
                <w:color w:val="auto"/>
                <w:sz w:val="21"/>
                <w:szCs w:val="21"/>
                <w:highlight w:val="none"/>
                <w:lang w:val="en-US" w:eastAsia="zh-CN"/>
              </w:rPr>
              <w:t>1</w:t>
            </w:r>
          </w:p>
        </w:tc>
        <w:tc>
          <w:tcPr>
            <w:tcW w:w="1190" w:type="pct"/>
            <w:noWrap w:val="0"/>
            <w:vAlign w:val="center"/>
          </w:tcPr>
          <w:p w14:paraId="2127E591">
            <w:pPr>
              <w:jc w:val="center"/>
              <w:rPr>
                <w:rFonts w:hint="eastAsia" w:ascii="宋体" w:hAnsi="宋体" w:eastAsia="宋体" w:cs="宋体"/>
                <w:sz w:val="22"/>
                <w:szCs w:val="22"/>
                <w:highlight w:val="none"/>
                <w:lang w:val="en-US" w:eastAsia="zh-CN"/>
              </w:rPr>
            </w:pPr>
            <w:r>
              <w:rPr>
                <w:rFonts w:hint="eastAsia" w:ascii="宋体" w:hAnsi="宋体" w:eastAsia="宋体" w:cs="宋体"/>
                <w:u w:color="FF0000"/>
                <w:lang w:val="en-US" w:eastAsia="zh-CN"/>
              </w:rPr>
              <w:t>以合同签订为准</w:t>
            </w:r>
          </w:p>
        </w:tc>
        <w:tc>
          <w:tcPr>
            <w:tcW w:w="590" w:type="pct"/>
            <w:noWrap w:val="0"/>
            <w:vAlign w:val="center"/>
          </w:tcPr>
          <w:p w14:paraId="2048277A">
            <w:pPr>
              <w:jc w:val="center"/>
              <w:rPr>
                <w:rFonts w:hint="eastAsia" w:ascii="宋体" w:hAnsi="宋体" w:eastAsia="宋体" w:cs="宋体"/>
                <w:sz w:val="22"/>
                <w:szCs w:val="22"/>
                <w:highlight w:val="none"/>
              </w:rPr>
            </w:pPr>
          </w:p>
        </w:tc>
      </w:tr>
    </w:tbl>
    <w:p w14:paraId="710A1653">
      <w:pPr>
        <w:rPr>
          <w:rFonts w:hint="eastAsia" w:ascii="宋体" w:hAnsi="宋体" w:eastAsia="宋体" w:cs="宋体"/>
          <w:b/>
          <w:bCs/>
          <w:lang w:val="zh-TW" w:eastAsia="zh-TW"/>
        </w:rPr>
      </w:pPr>
    </w:p>
    <w:p w14:paraId="2BC71B11">
      <w:pPr>
        <w:pStyle w:val="80"/>
        <w:framePr w:wrap="auto" w:vAnchor="margin" w:hAnchor="text" w:yAlign="inline"/>
        <w:numPr>
          <w:ilvl w:val="0"/>
          <w:numId w:val="7"/>
        </w:numPr>
        <w:rPr>
          <w:rFonts w:hint="eastAsia" w:ascii="宋体" w:hAnsi="宋体" w:eastAsia="宋体" w:cs="宋体"/>
          <w:b/>
          <w:bCs/>
          <w:lang w:val="zh-TW" w:eastAsia="zh-TW"/>
        </w:rPr>
      </w:pPr>
      <w:bookmarkStart w:id="32" w:name="_Toc12936"/>
      <w:r>
        <w:rPr>
          <w:rFonts w:hint="eastAsia" w:ascii="宋体" w:hAnsi="宋体" w:eastAsia="宋体" w:cs="宋体"/>
          <w:b/>
          <w:bCs/>
          <w:lang w:val="zh-TW" w:eastAsia="zh-TW"/>
        </w:rPr>
        <w:t>服务要求</w:t>
      </w:r>
      <w:bookmarkEnd w:id="28"/>
      <w:bookmarkEnd w:id="29"/>
      <w:bookmarkEnd w:id="32"/>
    </w:p>
    <w:p w14:paraId="23276FDC">
      <w:pPr>
        <w:pStyle w:val="86"/>
        <w:framePr w:wrap="auto" w:vAnchor="margin" w:hAnchor="text" w:yAlign="inline"/>
        <w:numPr>
          <w:ilvl w:val="1"/>
          <w:numId w:val="3"/>
        </w:numPr>
        <w:rPr>
          <w:rFonts w:hint="eastAsia" w:ascii="宋体" w:hAnsi="宋体" w:eastAsia="宋体" w:cs="宋体"/>
          <w:sz w:val="28"/>
          <w:szCs w:val="28"/>
          <w:lang w:val="zh-TW" w:eastAsia="zh-CN"/>
        </w:rPr>
      </w:pPr>
      <w:bookmarkStart w:id="33" w:name="_Toc4393"/>
      <w:r>
        <w:rPr>
          <w:rFonts w:hint="eastAsia" w:ascii="宋体" w:hAnsi="宋体" w:eastAsia="宋体" w:cs="宋体"/>
          <w:sz w:val="28"/>
          <w:szCs w:val="28"/>
          <w:lang w:val="en-US" w:eastAsia="zh-CN"/>
        </w:rPr>
        <w:t>材料要求</w:t>
      </w:r>
      <w:bookmarkEnd w:id="33"/>
    </w:p>
    <w:p w14:paraId="5C054280">
      <w:pPr>
        <w:pStyle w:val="81"/>
        <w:framePr w:wrap="auto" w:vAnchor="margin" w:hAnchor="text" w:yAlign="inline"/>
        <w:spacing w:line="384" w:lineRule="auto"/>
        <w:ind w:firstLine="480"/>
        <w:jc w:val="both"/>
        <w:rPr>
          <w:rFonts w:hint="eastAsia" w:ascii="宋体" w:hAnsi="宋体" w:eastAsia="宋体" w:cs="宋体"/>
          <w:lang w:val="en-US" w:eastAsia="zh-CN"/>
        </w:rPr>
      </w:pPr>
      <w:r>
        <w:rPr>
          <w:rFonts w:hint="eastAsia" w:ascii="宋体" w:hAnsi="宋体" w:eastAsia="宋体" w:cs="宋体"/>
          <w:lang w:val="en-US" w:eastAsia="zh-CN"/>
        </w:rPr>
        <w:t>1）供应商需提供营业执照。</w:t>
      </w:r>
    </w:p>
    <w:p w14:paraId="1519075D">
      <w:pPr>
        <w:pStyle w:val="81"/>
        <w:framePr w:wrap="auto" w:vAnchor="margin" w:hAnchor="text" w:yAlign="inline"/>
        <w:spacing w:line="384" w:lineRule="auto"/>
        <w:ind w:firstLine="480"/>
        <w:jc w:val="both"/>
        <w:rPr>
          <w:rFonts w:hint="eastAsia" w:ascii="宋体" w:hAnsi="宋体" w:eastAsia="宋体" w:cs="宋体"/>
          <w:lang w:val="zh-TW" w:eastAsia="zh-CN"/>
        </w:rPr>
      </w:pPr>
      <w:r>
        <w:rPr>
          <w:rFonts w:hint="eastAsia" w:ascii="宋体" w:hAnsi="宋体" w:eastAsia="宋体" w:cs="宋体"/>
          <w:lang w:val="en-US" w:eastAsia="zh-CN"/>
        </w:rPr>
        <w:t>2）</w:t>
      </w:r>
      <w:r>
        <w:rPr>
          <w:rFonts w:hint="eastAsia" w:ascii="宋体" w:hAnsi="宋体" w:eastAsia="宋体" w:cs="宋体"/>
          <w:lang w:val="zh-TW" w:eastAsia="zh-TW"/>
        </w:rPr>
        <w:t>投标方通过质量管理体系认证</w:t>
      </w:r>
      <w:r>
        <w:rPr>
          <w:rFonts w:hint="eastAsia" w:ascii="宋体" w:hAnsi="宋体" w:eastAsia="宋体" w:cs="宋体"/>
          <w:lang w:val="zh-TW" w:eastAsia="zh-CN"/>
        </w:rPr>
        <w:t>、</w:t>
      </w:r>
      <w:r>
        <w:rPr>
          <w:rFonts w:hint="eastAsia" w:ascii="宋体" w:hAnsi="宋体" w:eastAsia="宋体" w:cs="宋体"/>
          <w:lang w:val="zh-TW" w:eastAsia="zh-TW"/>
        </w:rPr>
        <w:t>环境管理体系认证</w:t>
      </w:r>
      <w:r>
        <w:rPr>
          <w:rFonts w:hint="eastAsia" w:ascii="宋体" w:hAnsi="宋体" w:eastAsia="宋体" w:cs="宋体"/>
          <w:lang w:val="zh-TW" w:eastAsia="zh-CN"/>
        </w:rPr>
        <w:t>、</w:t>
      </w:r>
      <w:r>
        <w:rPr>
          <w:rFonts w:hint="eastAsia" w:ascii="宋体" w:hAnsi="宋体" w:eastAsia="宋体" w:cs="宋体"/>
          <w:lang w:val="zh-TW" w:eastAsia="zh-TW"/>
        </w:rPr>
        <w:t>职业健康安全管理体系认证，且在有效期内</w:t>
      </w:r>
      <w:r>
        <w:rPr>
          <w:rFonts w:hint="eastAsia" w:ascii="宋体" w:hAnsi="宋体" w:eastAsia="宋体" w:cs="宋体"/>
          <w:lang w:val="zh-TW" w:eastAsia="zh-CN"/>
        </w:rPr>
        <w:t>。</w:t>
      </w:r>
    </w:p>
    <w:p w14:paraId="23DE83C1">
      <w:pPr>
        <w:pStyle w:val="81"/>
        <w:framePr w:wrap="auto" w:vAnchor="margin" w:hAnchor="text" w:yAlign="inline"/>
        <w:ind w:firstLine="480" w:firstLineChars="20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3）供应商近1年有同类项目业绩经验，须提供项目合同、成交通知书或发票的资料复印件/扫描件。</w:t>
      </w:r>
    </w:p>
    <w:p w14:paraId="05DDA60F">
      <w:pPr>
        <w:pStyle w:val="81"/>
        <w:framePr w:wrap="auto" w:vAnchor="margin" w:hAnchor="text" w:yAlign="inline"/>
        <w:ind w:firstLine="480" w:firstLineChars="200"/>
        <w:rPr>
          <w:rFonts w:hint="eastAsia" w:ascii="宋体" w:hAnsi="宋体" w:eastAsia="宋体" w:cs="宋体"/>
          <w:lang w:val="zh-TW" w:eastAsia="zh-CN"/>
        </w:rPr>
      </w:pPr>
      <w:r>
        <w:rPr>
          <w:rFonts w:hint="eastAsia" w:ascii="宋体" w:hAnsi="宋体" w:eastAsia="宋体" w:cs="宋体"/>
          <w:color w:val="000000"/>
          <w:sz w:val="24"/>
          <w:szCs w:val="24"/>
          <w:u w:color="000000"/>
          <w:lang w:val="en-US" w:eastAsia="zh-CN" w:bidi="ar-SA"/>
        </w:rPr>
        <w:t>4）供应商因自身原因无法依照技术规范书要求按期交付相关成果的，采购方可立刻停止该采购服务,并按采购概算金额50%赔付采购人损失。</w:t>
      </w:r>
    </w:p>
    <w:p w14:paraId="615DA2C3">
      <w:pPr>
        <w:pStyle w:val="86"/>
        <w:framePr w:wrap="auto" w:vAnchor="margin" w:hAnchor="text" w:yAlign="inline"/>
        <w:numPr>
          <w:ilvl w:val="1"/>
          <w:numId w:val="3"/>
        </w:numPr>
        <w:rPr>
          <w:rFonts w:hint="eastAsia" w:ascii="宋体" w:hAnsi="宋体" w:eastAsia="宋体" w:cs="宋体"/>
          <w:sz w:val="28"/>
          <w:szCs w:val="28"/>
          <w:lang w:val="zh-TW" w:eastAsia="zh-CN"/>
        </w:rPr>
      </w:pPr>
      <w:bookmarkStart w:id="34" w:name="_Toc155"/>
      <w:r>
        <w:rPr>
          <w:rFonts w:hint="eastAsia" w:ascii="宋体" w:hAnsi="宋体" w:eastAsia="宋体" w:cs="宋体"/>
          <w:sz w:val="28"/>
          <w:szCs w:val="28"/>
          <w:lang w:val="zh-TW" w:eastAsia="zh-CN"/>
        </w:rPr>
        <w:t>基本要求</w:t>
      </w:r>
      <w:bookmarkEnd w:id="34"/>
    </w:p>
    <w:p w14:paraId="65F70AB5">
      <w:pPr>
        <w:pStyle w:val="81"/>
        <w:framePr w:wrap="auto" w:vAnchor="margin" w:hAnchor="text" w:yAlign="inline"/>
        <w:spacing w:line="384" w:lineRule="auto"/>
        <w:ind w:firstLine="480"/>
        <w:jc w:val="both"/>
        <w:rPr>
          <w:rFonts w:hint="eastAsia" w:ascii="宋体" w:hAnsi="宋体" w:eastAsia="宋体" w:cs="宋体"/>
          <w:lang w:val="zh-TW" w:eastAsia="zh-TW"/>
        </w:rPr>
      </w:pPr>
      <w:bookmarkStart w:id="35" w:name="_Toc114175627"/>
      <w:bookmarkStart w:id="36" w:name="_Toc12"/>
      <w:r>
        <w:rPr>
          <w:rFonts w:hint="eastAsia" w:ascii="宋体" w:hAnsi="宋体" w:eastAsia="宋体" w:cs="宋体"/>
        </w:rPr>
        <w:t>1</w:t>
      </w:r>
      <w:r>
        <w:rPr>
          <w:rFonts w:hint="eastAsia" w:ascii="宋体" w:hAnsi="宋体" w:eastAsia="宋体" w:cs="宋体"/>
          <w:lang w:val="zh-TW" w:eastAsia="zh-TW"/>
        </w:rPr>
        <w:t>）合同设备的质保期为现场验收合格后，质保期为</w:t>
      </w:r>
      <w:r>
        <w:rPr>
          <w:rFonts w:hint="eastAsia" w:ascii="宋体" w:hAnsi="宋体" w:eastAsia="宋体" w:cs="宋体"/>
          <w:u w:val="single" w:color="auto"/>
          <w:lang w:val="zh-TW" w:eastAsia="zh-TW"/>
        </w:rPr>
        <w:t>1</w:t>
      </w:r>
      <w:r>
        <w:rPr>
          <w:rFonts w:hint="eastAsia" w:ascii="宋体" w:hAnsi="宋体" w:eastAsia="宋体" w:cs="宋体"/>
          <w:lang w:val="zh-TW" w:eastAsia="zh-TW"/>
        </w:rPr>
        <w:t>年，相关费用包含在系统总报价中。</w:t>
      </w:r>
    </w:p>
    <w:p w14:paraId="41BF65E1">
      <w:pPr>
        <w:pStyle w:val="81"/>
        <w:framePr w:wrap="auto" w:vAnchor="margin" w:hAnchor="text" w:yAlign="inline"/>
        <w:spacing w:line="384" w:lineRule="auto"/>
        <w:ind w:firstLine="480"/>
        <w:jc w:val="both"/>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lang w:val="zh-TW" w:eastAsia="zh-TW"/>
        </w:rPr>
        <w:t>在本项目研究完成之后，中标方必须向用户提供良好的技术支持与咨询服务，必须要有专门队伍从事此项工作，为招标方提供相关的业务和咨询服务。</w:t>
      </w:r>
    </w:p>
    <w:p w14:paraId="7F8B6EF3">
      <w:pPr>
        <w:pStyle w:val="81"/>
        <w:framePr w:wrap="auto" w:vAnchor="margin" w:hAnchor="text" w:yAlign="inline"/>
        <w:spacing w:line="384" w:lineRule="auto"/>
        <w:ind w:firstLine="480"/>
        <w:rPr>
          <w:rFonts w:hint="eastAsia" w:ascii="宋体" w:hAnsi="宋体" w:eastAsia="宋体" w:cs="宋体"/>
          <w:lang w:val="zh-TW" w:eastAsia="zh-TW"/>
        </w:rPr>
      </w:pPr>
      <w:r>
        <w:rPr>
          <w:rFonts w:hint="eastAsia" w:ascii="宋体" w:hAnsi="宋体" w:eastAsia="宋体" w:cs="宋体"/>
          <w:lang w:val="en-US" w:eastAsia="zh-CN"/>
        </w:rPr>
        <w:t>3</w:t>
      </w:r>
      <w:r>
        <w:rPr>
          <w:rFonts w:hint="eastAsia" w:ascii="宋体" w:hAnsi="宋体" w:eastAsia="宋体" w:cs="宋体"/>
          <w:lang w:val="zh-TW" w:eastAsia="zh-TW"/>
        </w:rPr>
        <w:t>）中</w:t>
      </w:r>
      <w:r>
        <w:rPr>
          <w:rFonts w:hint="eastAsia" w:ascii="宋体" w:hAnsi="宋体" w:eastAsia="宋体" w:cs="宋体"/>
          <w:lang w:val="en-US" w:eastAsia="zh-CN"/>
        </w:rPr>
        <w:t>标方需</w:t>
      </w:r>
      <w:r>
        <w:rPr>
          <w:rFonts w:hint="eastAsia" w:ascii="宋体" w:hAnsi="宋体" w:eastAsia="宋体" w:cs="宋体"/>
          <w:lang w:val="zh-TW" w:eastAsia="zh-TW"/>
        </w:rPr>
        <w:t>委派人员跟进测试加工服务内容工作，跟进项目验收工作。</w:t>
      </w:r>
    </w:p>
    <w:p w14:paraId="0996DA90">
      <w:pPr>
        <w:pStyle w:val="81"/>
        <w:framePr w:wrap="auto" w:vAnchor="margin" w:hAnchor="text" w:yAlign="inline"/>
        <w:spacing w:line="384" w:lineRule="auto"/>
        <w:ind w:firstLine="480"/>
        <w:rPr>
          <w:rFonts w:hint="eastAsia" w:ascii="宋体" w:hAnsi="宋体" w:eastAsia="宋体" w:cs="宋体"/>
          <w:lang w:val="zh-TW" w:eastAsia="zh-TW"/>
        </w:rPr>
      </w:pPr>
      <w:r>
        <w:rPr>
          <w:rFonts w:hint="eastAsia" w:ascii="宋体" w:hAnsi="宋体" w:eastAsia="宋体" w:cs="宋体"/>
          <w:lang w:val="en-US" w:eastAsia="zh-CN"/>
        </w:rPr>
        <w:t>4）</w:t>
      </w:r>
      <w:r>
        <w:rPr>
          <w:rFonts w:hint="eastAsia" w:ascii="宋体" w:hAnsi="宋体" w:eastAsia="宋体" w:cs="宋体"/>
          <w:lang w:val="zh-TW" w:eastAsia="zh-TW"/>
        </w:rPr>
        <w:t>中</w:t>
      </w:r>
      <w:r>
        <w:rPr>
          <w:rFonts w:hint="eastAsia" w:ascii="宋体" w:hAnsi="宋体" w:eastAsia="宋体" w:cs="宋体"/>
          <w:lang w:val="en-US" w:eastAsia="zh-CN"/>
        </w:rPr>
        <w:t>标方需</w:t>
      </w:r>
      <w:r>
        <w:rPr>
          <w:rFonts w:hint="eastAsia" w:ascii="宋体" w:hAnsi="宋体" w:eastAsia="宋体" w:cs="宋体"/>
          <w:lang w:val="zh-TW" w:eastAsia="zh-TW"/>
        </w:rPr>
        <w:t>委派人员跟进设备现场验收功能，直至项目完结。</w:t>
      </w:r>
    </w:p>
    <w:p w14:paraId="3F99067F">
      <w:pPr>
        <w:pStyle w:val="81"/>
        <w:framePr w:wrap="auto" w:vAnchor="margin" w:hAnchor="text" w:yAlign="inline"/>
        <w:spacing w:line="384" w:lineRule="auto"/>
        <w:ind w:firstLine="48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val="zh-TW" w:eastAsia="zh-TW"/>
        </w:rPr>
        <w:t>在后期招标方对本项目的研究成果进行推广、宣传的过程中，中标方要提供相应的支持，为招标方提供咨询服务，同时对推广、宣传过程中用户提出的疑问进行解答。</w:t>
      </w:r>
    </w:p>
    <w:p w14:paraId="339E7C51">
      <w:pPr>
        <w:pStyle w:val="81"/>
        <w:framePr w:wrap="auto" w:vAnchor="margin" w:hAnchor="text" w:yAlign="inline"/>
        <w:spacing w:line="384" w:lineRule="auto"/>
        <w:ind w:firstLine="480"/>
        <w:rPr>
          <w:rFonts w:hint="eastAsia" w:ascii="宋体" w:hAnsi="宋体" w:eastAsia="宋体" w:cs="宋体"/>
          <w:lang w:val="zh-TW" w:eastAsia="zh-TW"/>
        </w:rPr>
      </w:pPr>
      <w:r>
        <w:rPr>
          <w:rFonts w:hint="eastAsia" w:ascii="宋体" w:hAnsi="宋体" w:eastAsia="宋体" w:cs="宋体"/>
          <w:lang w:val="en-US" w:eastAsia="zh-CN"/>
        </w:rPr>
        <w:t>6</w:t>
      </w:r>
      <w:r>
        <w:rPr>
          <w:rFonts w:hint="eastAsia" w:ascii="宋体" w:hAnsi="宋体" w:eastAsia="宋体" w:cs="宋体"/>
          <w:lang w:val="zh-TW" w:eastAsia="zh-TW"/>
        </w:rPr>
        <w:t>）如果招标方要对本次研究的成果进行修订，中标方应提供相应的咨询服务指导招标方完成修订工作。</w:t>
      </w:r>
    </w:p>
    <w:p w14:paraId="4BB9ED2A">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37" w:name="_Toc32050"/>
      <w:r>
        <w:rPr>
          <w:rFonts w:hint="eastAsia" w:ascii="宋体" w:hAnsi="宋体" w:eastAsia="宋体" w:cs="宋体"/>
          <w:sz w:val="28"/>
          <w:szCs w:val="28"/>
          <w:lang w:val="en-US" w:eastAsia="zh-CN"/>
        </w:rPr>
        <w:t>包装</w:t>
      </w:r>
      <w:bookmarkEnd w:id="37"/>
    </w:p>
    <w:p w14:paraId="73718194">
      <w:pPr>
        <w:pStyle w:val="13"/>
        <w:keepNext w:val="0"/>
        <w:keepLines w:val="0"/>
        <w:pageBreakBefore w:val="0"/>
        <w:tabs>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rPr>
        <w:t>1</w:t>
      </w:r>
      <w:r>
        <w:rPr>
          <w:rFonts w:hint="eastAsia" w:ascii="宋体" w:hAnsi="宋体" w:eastAsia="宋体" w:cs="宋体"/>
          <w:lang w:val="zh-TW" w:eastAsia="zh-TW"/>
        </w:rPr>
        <w:t>）</w:t>
      </w:r>
      <w:r>
        <w:rPr>
          <w:rFonts w:hint="eastAsia" w:ascii="宋体" w:hAnsi="宋体" w:eastAsia="宋体" w:cs="宋体"/>
          <w:kern w:val="2"/>
          <w:sz w:val="24"/>
          <w:szCs w:val="24"/>
          <w:lang w:val="en-US" w:eastAsia="zh-CN" w:bidi="ar-SA"/>
        </w:rPr>
        <w:t>要严格按照制造厂给出的说明书对产品进行包装、运输和储存。制造厂应在交货前的适当时间提供产品的运输和储存说明书；</w:t>
      </w:r>
    </w:p>
    <w:p w14:paraId="34622BE5">
      <w:pPr>
        <w:pStyle w:val="13"/>
        <w:keepNext w:val="0"/>
        <w:keepLines w:val="0"/>
        <w:pageBreakBefore w:val="0"/>
        <w:tabs>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lang w:val="en-US" w:eastAsia="zh-CN"/>
        </w:rPr>
        <w:t>2</w:t>
      </w:r>
      <w:r>
        <w:rPr>
          <w:rFonts w:hint="eastAsia" w:ascii="宋体" w:hAnsi="宋体" w:eastAsia="宋体" w:cs="宋体"/>
          <w:lang w:val="zh-TW" w:eastAsia="zh-TW"/>
        </w:rPr>
        <w:t>）</w:t>
      </w:r>
      <w:r>
        <w:rPr>
          <w:rFonts w:hint="eastAsia" w:ascii="宋体" w:hAnsi="宋体" w:eastAsia="宋体" w:cs="宋体"/>
          <w:kern w:val="2"/>
          <w:sz w:val="24"/>
          <w:szCs w:val="24"/>
          <w:lang w:val="en-US" w:eastAsia="zh-CN" w:bidi="ar-SA"/>
        </w:rPr>
        <w:t>产品制造完成并通过试验后应及时包装，否则应得到切实的保护。其包装也应符合铁路、公路和海运部门的有关规定；</w:t>
      </w:r>
    </w:p>
    <w:p w14:paraId="7C686E04">
      <w:pPr>
        <w:pStyle w:val="13"/>
        <w:keepNext w:val="0"/>
        <w:keepLines w:val="0"/>
        <w:pageBreakBefore w:val="0"/>
        <w:tabs>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lang w:val="en-US" w:eastAsia="zh-CN"/>
        </w:rPr>
        <w:t>3</w:t>
      </w:r>
      <w:r>
        <w:rPr>
          <w:rFonts w:hint="eastAsia" w:ascii="宋体" w:hAnsi="宋体" w:eastAsia="宋体" w:cs="宋体"/>
          <w:lang w:val="zh-TW" w:eastAsia="zh-TW"/>
        </w:rPr>
        <w:t>）</w:t>
      </w:r>
      <w:r>
        <w:rPr>
          <w:rFonts w:hint="eastAsia" w:ascii="宋体" w:hAnsi="宋体" w:eastAsia="宋体" w:cs="宋体"/>
          <w:kern w:val="2"/>
          <w:sz w:val="24"/>
          <w:szCs w:val="24"/>
          <w:lang w:val="en-US" w:eastAsia="zh-CN" w:bidi="ar-SA"/>
        </w:rPr>
        <w:t>包装箱上应有运输及起吊标志：“向上”、“防潮”、“小心轻放”、“由此吊起”等字样明显的包装储运图示标志，并应标明设备的订货号和发货号；</w:t>
      </w:r>
    </w:p>
    <w:p w14:paraId="6CF28213">
      <w:pPr>
        <w:pStyle w:val="81"/>
        <w:keepNext w:val="0"/>
        <w:keepLines w:val="0"/>
        <w:pageBreakBefore w:val="0"/>
        <w:framePr w:wrap="auto" w:vAnchor="margin" w:hAnchor="text" w:yAlign="inline"/>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zh-TW" w:eastAsia="zh-TW" w:bidi="ar-SA"/>
        </w:rPr>
      </w:pPr>
      <w:r>
        <w:rPr>
          <w:rFonts w:hint="eastAsia" w:ascii="宋体" w:hAnsi="宋体" w:eastAsia="宋体" w:cs="宋体"/>
          <w:kern w:val="2"/>
          <w:sz w:val="24"/>
          <w:szCs w:val="24"/>
          <w:lang w:val="en-US" w:eastAsia="zh-CN" w:bidi="ar-SA"/>
        </w:rPr>
        <w:t>产品的包装应能保证设备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64015F18">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38" w:name="_Toc8151"/>
      <w:r>
        <w:rPr>
          <w:rFonts w:hint="eastAsia" w:ascii="宋体" w:hAnsi="宋体" w:eastAsia="宋体" w:cs="宋体"/>
          <w:sz w:val="28"/>
          <w:szCs w:val="28"/>
          <w:lang w:val="en-US" w:eastAsia="zh-CN"/>
        </w:rPr>
        <w:t>运输</w:t>
      </w:r>
      <w:bookmarkEnd w:id="38"/>
    </w:p>
    <w:p w14:paraId="7816857C">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rPr>
        <w:t>1</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整体运输时产品内部元件应不得移位、损坏和受潮，不得影响安装；</w:t>
      </w:r>
    </w:p>
    <w:p w14:paraId="2A9D5048">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lang w:val="en-US" w:eastAsia="zh-CN"/>
        </w:rPr>
        <w:t>2</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单独运输的零部件应有标志，便于用户安装装配；</w:t>
      </w:r>
    </w:p>
    <w:p w14:paraId="19A0164F">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lang w:val="en-US" w:eastAsia="zh-CN"/>
        </w:rPr>
        <w:t>3</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整体产品或分别运输的部件，都要适合于运输及装卸的要求；</w:t>
      </w:r>
    </w:p>
    <w:p w14:paraId="36323C50">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lang w:val="en-US" w:eastAsia="zh-CN"/>
        </w:rPr>
        <w:t>4</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随同运输的产品应附有装箱清单，产品所需提供的技术资料应完整无缺；</w:t>
      </w:r>
    </w:p>
    <w:p w14:paraId="24785D61">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39" w:name="_Toc17176"/>
      <w:r>
        <w:rPr>
          <w:rFonts w:hint="eastAsia" w:ascii="宋体" w:hAnsi="宋体" w:eastAsia="宋体" w:cs="宋体"/>
          <w:sz w:val="28"/>
          <w:szCs w:val="28"/>
          <w:lang w:val="en-US" w:eastAsia="zh-CN"/>
        </w:rPr>
        <w:t>储存</w:t>
      </w:r>
      <w:bookmarkEnd w:id="39"/>
    </w:p>
    <w:p w14:paraId="5D1B2119">
      <w:pPr>
        <w:pStyle w:val="88"/>
        <w:tabs>
          <w:tab w:val="left" w:pos="567"/>
        </w:tabs>
        <w:spacing w:line="400" w:lineRule="exact"/>
        <w:ind w:firstLine="480" w:firstLineChars="200"/>
        <w:rPr>
          <w:rFonts w:hint="eastAsia" w:ascii="宋体" w:hAnsi="宋体" w:eastAsia="宋体" w:cs="宋体"/>
          <w:kern w:val="2"/>
          <w:sz w:val="24"/>
          <w:szCs w:val="24"/>
          <w:lang w:val="zh-TW" w:eastAsia="zh-TW" w:bidi="ar-SA"/>
        </w:rPr>
      </w:pPr>
      <w:r>
        <w:rPr>
          <w:rFonts w:hint="eastAsia" w:ascii="宋体" w:hAnsi="宋体" w:eastAsia="宋体" w:cs="宋体"/>
          <w:kern w:val="2"/>
          <w:sz w:val="24"/>
          <w:szCs w:val="24"/>
          <w:lang w:val="en-US" w:eastAsia="zh-CN" w:bidi="ar-SA"/>
        </w:rPr>
        <w:t>存放在正常环境温度、干燥的室内保管，以防止储存过程中密封破坏而受潮。</w:t>
      </w:r>
    </w:p>
    <w:p w14:paraId="53DBF5A9">
      <w:pPr>
        <w:pStyle w:val="86"/>
        <w:framePr w:wrap="auto" w:vAnchor="margin" w:hAnchor="text" w:yAlign="inline"/>
        <w:numPr>
          <w:ilvl w:val="1"/>
          <w:numId w:val="3"/>
        </w:numPr>
        <w:rPr>
          <w:rFonts w:hint="eastAsia" w:ascii="宋体" w:hAnsi="宋体" w:eastAsia="宋体" w:cs="宋体"/>
          <w:sz w:val="28"/>
          <w:szCs w:val="28"/>
          <w:lang w:val="zh-TW" w:eastAsia="zh-TW"/>
        </w:rPr>
      </w:pPr>
      <w:bookmarkStart w:id="40" w:name="_Toc31347"/>
      <w:r>
        <w:rPr>
          <w:rFonts w:hint="eastAsia" w:ascii="宋体" w:hAnsi="宋体" w:eastAsia="宋体" w:cs="宋体"/>
          <w:sz w:val="28"/>
          <w:szCs w:val="28"/>
          <w:lang w:val="en-US" w:eastAsia="zh-CN"/>
        </w:rPr>
        <w:t>安装指导</w:t>
      </w:r>
      <w:bookmarkEnd w:id="40"/>
    </w:p>
    <w:p w14:paraId="754D04E1">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color w:val="auto"/>
          <w:kern w:val="2"/>
          <w:sz w:val="24"/>
          <w:szCs w:val="24"/>
          <w:lang w:val="en-US" w:eastAsia="zh-CN" w:bidi="ar-SA"/>
        </w:rPr>
        <w:t>制造厂在安装和启动时应安排技术人员提供现场安装指导服务，提出技术建议，并有对运行人员提供相关培训的义务。</w:t>
      </w:r>
      <w:bookmarkEnd w:id="35"/>
      <w:bookmarkEnd w:id="36"/>
    </w:p>
    <w:sectPr>
      <w:footerReference r:id="rId4"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imSong Bold">
    <w:altName w:val="宋体"/>
    <w:panose1 w:val="00000000000000000000"/>
    <w:charset w:val="86"/>
    <w:family w:val="roman"/>
    <w:pitch w:val="default"/>
    <w:sig w:usb0="00000000" w:usb1="00000000" w:usb2="00000016" w:usb3="00000000" w:csb0="0004000D"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C9DF2">
    <w:pPr>
      <w:pStyle w:val="15"/>
      <w:jc w:val="center"/>
    </w:pPr>
    <w:r>
      <w:rPr>
        <w:rStyle w:val="25"/>
        <w:rFonts w:hint="eastAsia"/>
      </w:rPr>
      <w:t xml:space="preserve">－ </w:t>
    </w:r>
    <w:r>
      <w:fldChar w:fldCharType="begin"/>
    </w:r>
    <w:r>
      <w:rPr>
        <w:rStyle w:val="25"/>
      </w:rPr>
      <w:instrText xml:space="preserve"> PAGE </w:instrText>
    </w:r>
    <w:r>
      <w:fldChar w:fldCharType="separate"/>
    </w:r>
    <w:r>
      <w:rPr>
        <w:rStyle w:val="25"/>
      </w:rPr>
      <w:t>ii</w:t>
    </w:r>
    <w:r>
      <w:fldChar w:fldCharType="end"/>
    </w:r>
    <w:r>
      <w:rPr>
        <w:rStyle w:val="2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5AC73">
    <w:pPr>
      <w:pStyle w:val="15"/>
      <w:jc w:val="center"/>
    </w:pPr>
    <w:r>
      <w:fldChar w:fldCharType="begin"/>
    </w:r>
    <w:r>
      <w:instrText xml:space="preserve">PAGE   \* MERGEFORMAT</w:instrText>
    </w:r>
    <w:r>
      <w:fldChar w:fldCharType="separate"/>
    </w:r>
    <w:r>
      <w:rPr>
        <w:lang w:val="zh-CN"/>
      </w:rPr>
      <w:t>12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08B9EC"/>
    <w:multiLevelType w:val="singleLevel"/>
    <w:tmpl w:val="AC08B9EC"/>
    <w:lvl w:ilvl="0" w:tentative="0">
      <w:start w:val="1"/>
      <w:numFmt w:val="decimal"/>
      <w:suff w:val="nothing"/>
      <w:lvlText w:val="%1"/>
      <w:lvlJc w:val="left"/>
      <w:pPr>
        <w:tabs>
          <w:tab w:val="left" w:pos="397"/>
        </w:tabs>
        <w:ind w:left="454" w:hanging="454"/>
      </w:pPr>
      <w:rPr>
        <w:rFonts w:hint="default"/>
      </w:rPr>
    </w:lvl>
  </w:abstractNum>
  <w:abstractNum w:abstractNumId="1">
    <w:nsid w:val="00000001"/>
    <w:multiLevelType w:val="multilevel"/>
    <w:tmpl w:val="00000001"/>
    <w:lvl w:ilvl="0" w:tentative="0">
      <w:start w:val="1"/>
      <w:numFmt w:val="decimal"/>
      <w:lvlText w:val="%1."/>
      <w:lvlJc w:val="left"/>
      <w:pPr>
        <w:ind w:left="432" w:hanging="432"/>
      </w:pPr>
      <w:rPr>
        <w:rFonts w:ascii="宋体" w:hAnsi="宋体" w:eastAsia="宋体" w:cs="宋体"/>
        <w:b w:val="0"/>
        <w:bCs w:val="0"/>
        <w:i w:val="0"/>
        <w:iCs w:val="0"/>
        <w:caps w:val="0"/>
        <w:smallCaps w:val="0"/>
        <w:spacing w:val="0"/>
        <w:w w:val="100"/>
        <w:kern w:val="0"/>
        <w:position w:val="0"/>
        <w:highlight w:val="none"/>
        <w:vertAlign w:val="baseline"/>
      </w:rPr>
    </w:lvl>
    <w:lvl w:ilvl="1" w:tentative="0">
      <w:start w:val="1"/>
      <w:numFmt w:val="decimal"/>
      <w:suff w:val="nothing"/>
      <w:lvlText w:val="%1.%2."/>
      <w:lvlJc w:val="left"/>
      <w:pPr>
        <w:ind w:left="575" w:hanging="575"/>
      </w:pPr>
      <w:rPr>
        <w:rFonts w:hint="default" w:ascii="宋体" w:hAnsi="宋体" w:eastAsia="宋体" w:cs="宋体"/>
        <w:b w:val="0"/>
        <w:bCs w:val="0"/>
        <w:i w:val="0"/>
        <w:iCs w:val="0"/>
        <w:caps w:val="0"/>
        <w:smallCaps w:val="0"/>
        <w:spacing w:val="0"/>
        <w:w w:val="100"/>
        <w:kern w:val="0"/>
        <w:position w:val="0"/>
        <w:sz w:val="28"/>
        <w:szCs w:val="28"/>
        <w:highlight w:val="none"/>
        <w:vertAlign w:val="baseline"/>
      </w:rPr>
    </w:lvl>
    <w:lvl w:ilvl="2" w:tentative="0">
      <w:start w:val="1"/>
      <w:numFmt w:val="decimal"/>
      <w:suff w:val="nothing"/>
      <w:lvlText w:val="%1.%2.%3."/>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3" w:tentative="0">
      <w:start w:val="1"/>
      <w:numFmt w:val="decimal"/>
      <w:suff w:val="nothing"/>
      <w:lvlText w:val="%1.%2.%3.%4."/>
      <w:lvlJc w:val="left"/>
      <w:pPr>
        <w:ind w:left="720" w:hanging="720"/>
      </w:pPr>
      <w:rPr>
        <w:rFonts w:ascii="宋体" w:hAnsi="宋体" w:eastAsia="宋体" w:cs="宋体"/>
        <w:b w:val="0"/>
        <w:bCs w:val="0"/>
        <w:i w:val="0"/>
        <w:iCs w:val="0"/>
        <w:caps w:val="0"/>
        <w:smallCaps w:val="0"/>
        <w:spacing w:val="0"/>
        <w:w w:val="100"/>
        <w:kern w:val="0"/>
        <w:position w:val="0"/>
        <w:sz w:val="28"/>
        <w:szCs w:val="28"/>
        <w:highlight w:val="none"/>
        <w:vertAlign w:val="baseline"/>
      </w:rPr>
    </w:lvl>
    <w:lvl w:ilvl="4" w:tentative="0">
      <w:start w:val="1"/>
      <w:numFmt w:val="decimal"/>
      <w:suff w:val="nothing"/>
      <w:lvlText w:val="%1.%2.%3.%4.%5."/>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5" w:tentative="0">
      <w:start w:val="1"/>
      <w:numFmt w:val="decimal"/>
      <w:suff w:val="nothing"/>
      <w:lvlText w:val="%1.%2.%3.%4.%5.%6."/>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6" w:tentative="0">
      <w:start w:val="1"/>
      <w:numFmt w:val="decimal"/>
      <w:suff w:val="nothing"/>
      <w:lvlText w:val="%1.%2.%3.%4.%5.%6.%7."/>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7" w:tentative="0">
      <w:start w:val="1"/>
      <w:numFmt w:val="decimal"/>
      <w:suff w:val="nothing"/>
      <w:lvlText w:val="%1.%2.%3.%4.%5.%6.%7.%8."/>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8" w:tentative="0">
      <w:start w:val="1"/>
      <w:numFmt w:val="decimal"/>
      <w:suff w:val="nothing"/>
      <w:lvlText w:val="%1.%2.%3.%4.%5.%6.%7.%8.%9."/>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abstractNum>
  <w:abstractNum w:abstractNumId="2">
    <w:nsid w:val="16697EBD"/>
    <w:multiLevelType w:val="multilevel"/>
    <w:tmpl w:val="16697EBD"/>
    <w:lvl w:ilvl="0" w:tentative="0">
      <w:start w:val="1"/>
      <w:numFmt w:val="bullet"/>
      <w:pStyle w:val="38"/>
      <w:lvlText w:val=""/>
      <w:lvlJc w:val="left"/>
      <w:pPr>
        <w:tabs>
          <w:tab w:val="left" w:pos="1100"/>
        </w:tabs>
        <w:ind w:left="1100" w:hanging="420"/>
      </w:pPr>
      <w:rPr>
        <w:rFonts w:hint="default" w:ascii="Wingdings" w:hAnsi="Wingdings"/>
      </w:rPr>
    </w:lvl>
    <w:lvl w:ilvl="1" w:tentative="0">
      <w:start w:val="1"/>
      <w:numFmt w:val="bullet"/>
      <w:lvlText w:val=""/>
      <w:lvlJc w:val="left"/>
      <w:pPr>
        <w:tabs>
          <w:tab w:val="left" w:pos="1520"/>
        </w:tabs>
        <w:ind w:left="1520" w:hanging="420"/>
      </w:pPr>
      <w:rPr>
        <w:rFonts w:hint="default" w:ascii="Wingdings" w:hAnsi="Wingdings"/>
      </w:rPr>
    </w:lvl>
    <w:lvl w:ilvl="2" w:tentative="0">
      <w:start w:val="1"/>
      <w:numFmt w:val="bullet"/>
      <w:lvlText w:val=""/>
      <w:lvlJc w:val="left"/>
      <w:pPr>
        <w:tabs>
          <w:tab w:val="left" w:pos="1940"/>
        </w:tabs>
        <w:ind w:left="1940" w:hanging="420"/>
      </w:pPr>
      <w:rPr>
        <w:rFonts w:hint="default" w:ascii="Wingdings" w:hAnsi="Wingdings"/>
      </w:rPr>
    </w:lvl>
    <w:lvl w:ilvl="3" w:tentative="0">
      <w:start w:val="1"/>
      <w:numFmt w:val="bullet"/>
      <w:lvlText w:val=""/>
      <w:lvlJc w:val="left"/>
      <w:pPr>
        <w:tabs>
          <w:tab w:val="left" w:pos="2360"/>
        </w:tabs>
        <w:ind w:left="2360" w:hanging="420"/>
      </w:pPr>
      <w:rPr>
        <w:rFonts w:hint="default" w:ascii="Wingdings" w:hAnsi="Wingdings"/>
      </w:rPr>
    </w:lvl>
    <w:lvl w:ilvl="4" w:tentative="0">
      <w:start w:val="1"/>
      <w:numFmt w:val="bullet"/>
      <w:lvlText w:val=""/>
      <w:lvlJc w:val="left"/>
      <w:pPr>
        <w:tabs>
          <w:tab w:val="left" w:pos="2780"/>
        </w:tabs>
        <w:ind w:left="2780" w:hanging="420"/>
      </w:pPr>
      <w:rPr>
        <w:rFonts w:hint="default" w:ascii="Wingdings" w:hAnsi="Wingdings"/>
      </w:rPr>
    </w:lvl>
    <w:lvl w:ilvl="5" w:tentative="0">
      <w:start w:val="1"/>
      <w:numFmt w:val="bullet"/>
      <w:lvlText w:val=""/>
      <w:lvlJc w:val="left"/>
      <w:pPr>
        <w:tabs>
          <w:tab w:val="left" w:pos="3200"/>
        </w:tabs>
        <w:ind w:left="3200" w:hanging="420"/>
      </w:pPr>
      <w:rPr>
        <w:rFonts w:hint="default" w:ascii="Wingdings" w:hAnsi="Wingdings"/>
      </w:rPr>
    </w:lvl>
    <w:lvl w:ilvl="6" w:tentative="0">
      <w:start w:val="1"/>
      <w:numFmt w:val="bullet"/>
      <w:lvlText w:val=""/>
      <w:lvlJc w:val="left"/>
      <w:pPr>
        <w:tabs>
          <w:tab w:val="left" w:pos="3620"/>
        </w:tabs>
        <w:ind w:left="3620" w:hanging="420"/>
      </w:pPr>
      <w:rPr>
        <w:rFonts w:hint="default" w:ascii="Wingdings" w:hAnsi="Wingdings"/>
      </w:rPr>
    </w:lvl>
    <w:lvl w:ilvl="7" w:tentative="0">
      <w:start w:val="1"/>
      <w:numFmt w:val="bullet"/>
      <w:lvlText w:val=""/>
      <w:lvlJc w:val="left"/>
      <w:pPr>
        <w:tabs>
          <w:tab w:val="left" w:pos="4040"/>
        </w:tabs>
        <w:ind w:left="4040" w:hanging="420"/>
      </w:pPr>
      <w:rPr>
        <w:rFonts w:hint="default" w:ascii="Wingdings" w:hAnsi="Wingdings"/>
      </w:rPr>
    </w:lvl>
    <w:lvl w:ilvl="8" w:tentative="0">
      <w:start w:val="1"/>
      <w:numFmt w:val="bullet"/>
      <w:lvlText w:val=""/>
      <w:lvlJc w:val="left"/>
      <w:pPr>
        <w:tabs>
          <w:tab w:val="left" w:pos="4460"/>
        </w:tabs>
        <w:ind w:left="4460" w:hanging="420"/>
      </w:pPr>
      <w:rPr>
        <w:rFonts w:hint="default" w:ascii="Wingdings" w:hAnsi="Wingdings"/>
      </w:rPr>
    </w:lvl>
  </w:abstractNum>
  <w:abstractNum w:abstractNumId="3">
    <w:nsid w:val="718B1145"/>
    <w:multiLevelType w:val="multilevel"/>
    <w:tmpl w:val="718B1145"/>
    <w:lvl w:ilvl="0" w:tentative="0">
      <w:start w:val="1"/>
      <w:numFmt w:val="decimal"/>
      <w:suff w:val="nothing"/>
      <w:lvlText w:val="%1"/>
      <w:lvlJc w:val="left"/>
      <w:pPr>
        <w:tabs>
          <w:tab w:val="left" w:pos="0"/>
        </w:tabs>
        <w:ind w:left="704" w:hanging="420"/>
      </w:pPr>
      <w:rPr>
        <w:rFonts w:hint="default"/>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
    <w:nsid w:val="71B23DA0"/>
    <w:multiLevelType w:val="singleLevel"/>
    <w:tmpl w:val="71B23DA0"/>
    <w:lvl w:ilvl="0" w:tentative="0">
      <w:start w:val="1"/>
      <w:numFmt w:val="decimal"/>
      <w:suff w:val="nothing"/>
      <w:lvlText w:val="%1"/>
      <w:lvlJc w:val="left"/>
      <w:pPr>
        <w:tabs>
          <w:tab w:val="left" w:pos="397"/>
        </w:tabs>
        <w:ind w:left="454" w:hanging="454"/>
      </w:pPr>
      <w:rPr>
        <w:rFonts w:hint="default"/>
      </w:rPr>
    </w:lvl>
  </w:abstractNum>
  <w:abstractNum w:abstractNumId="5">
    <w:nsid w:val="756D29A0"/>
    <w:multiLevelType w:val="multilevel"/>
    <w:tmpl w:val="756D29A0"/>
    <w:lvl w:ilvl="0" w:tentative="0">
      <w:start w:val="1"/>
      <w:numFmt w:val="decimal"/>
      <w:pStyle w:val="4"/>
      <w:lvlText w:val="%1."/>
      <w:lvlJc w:val="left"/>
      <w:pPr>
        <w:tabs>
          <w:tab w:val="left" w:pos="425"/>
        </w:tabs>
        <w:ind w:left="425" w:hanging="425"/>
      </w:pPr>
      <w:rPr>
        <w:rFonts w:hint="default" w:ascii="Times New Roman" w:hAnsi="Times New Roman" w:eastAsia="宋体"/>
        <w:b/>
        <w:bCs/>
        <w:i w:val="0"/>
        <w:spacing w:val="-12"/>
        <w:sz w:val="28"/>
        <w:szCs w:val="44"/>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7"/>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 w:numId="7">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dhZTQ3NjQyZWFjNDFhODFhMWExN2M2NjUzYmE1MTgifQ=="/>
  </w:docVars>
  <w:rsids>
    <w:rsidRoot w:val="456D62B9"/>
    <w:rsid w:val="00005A8A"/>
    <w:rsid w:val="000123AE"/>
    <w:rsid w:val="00033ABD"/>
    <w:rsid w:val="00055C21"/>
    <w:rsid w:val="00072C5B"/>
    <w:rsid w:val="000735C7"/>
    <w:rsid w:val="00094E44"/>
    <w:rsid w:val="000961C1"/>
    <w:rsid w:val="000B14FC"/>
    <w:rsid w:val="000C31EC"/>
    <w:rsid w:val="000D4458"/>
    <w:rsid w:val="000D47C1"/>
    <w:rsid w:val="000E2739"/>
    <w:rsid w:val="00106663"/>
    <w:rsid w:val="00130683"/>
    <w:rsid w:val="00133252"/>
    <w:rsid w:val="00164BD1"/>
    <w:rsid w:val="00173000"/>
    <w:rsid w:val="0019446B"/>
    <w:rsid w:val="001949BE"/>
    <w:rsid w:val="001A5A53"/>
    <w:rsid w:val="001D4D93"/>
    <w:rsid w:val="001E4DFB"/>
    <w:rsid w:val="001F7FBC"/>
    <w:rsid w:val="00204E4C"/>
    <w:rsid w:val="002061F2"/>
    <w:rsid w:val="002067F0"/>
    <w:rsid w:val="00216FE3"/>
    <w:rsid w:val="00223B3C"/>
    <w:rsid w:val="00225676"/>
    <w:rsid w:val="0024421E"/>
    <w:rsid w:val="00244CF8"/>
    <w:rsid w:val="0029664E"/>
    <w:rsid w:val="002A4980"/>
    <w:rsid w:val="002C7323"/>
    <w:rsid w:val="002E15F6"/>
    <w:rsid w:val="002E1BA3"/>
    <w:rsid w:val="002E78EE"/>
    <w:rsid w:val="00310712"/>
    <w:rsid w:val="0032512B"/>
    <w:rsid w:val="00352260"/>
    <w:rsid w:val="00366030"/>
    <w:rsid w:val="00385A09"/>
    <w:rsid w:val="00390D97"/>
    <w:rsid w:val="003A13EA"/>
    <w:rsid w:val="003C0801"/>
    <w:rsid w:val="003E44B6"/>
    <w:rsid w:val="00400914"/>
    <w:rsid w:val="0040796C"/>
    <w:rsid w:val="00414D66"/>
    <w:rsid w:val="00420C51"/>
    <w:rsid w:val="00422E4C"/>
    <w:rsid w:val="00452F1B"/>
    <w:rsid w:val="004541E8"/>
    <w:rsid w:val="004541FD"/>
    <w:rsid w:val="0047664C"/>
    <w:rsid w:val="004A1628"/>
    <w:rsid w:val="005036D7"/>
    <w:rsid w:val="005133BD"/>
    <w:rsid w:val="00516580"/>
    <w:rsid w:val="00541BF4"/>
    <w:rsid w:val="00541EB5"/>
    <w:rsid w:val="00544F80"/>
    <w:rsid w:val="00584528"/>
    <w:rsid w:val="00594805"/>
    <w:rsid w:val="00597976"/>
    <w:rsid w:val="005B21BF"/>
    <w:rsid w:val="005B5C79"/>
    <w:rsid w:val="005D1DB1"/>
    <w:rsid w:val="005F5E6C"/>
    <w:rsid w:val="006038B8"/>
    <w:rsid w:val="0061607E"/>
    <w:rsid w:val="0061653C"/>
    <w:rsid w:val="0061793A"/>
    <w:rsid w:val="00630921"/>
    <w:rsid w:val="00665CBA"/>
    <w:rsid w:val="00667464"/>
    <w:rsid w:val="00693139"/>
    <w:rsid w:val="006A0156"/>
    <w:rsid w:val="006D57E1"/>
    <w:rsid w:val="006F6029"/>
    <w:rsid w:val="0070062A"/>
    <w:rsid w:val="00701F2C"/>
    <w:rsid w:val="007372DD"/>
    <w:rsid w:val="00737A1D"/>
    <w:rsid w:val="007421EB"/>
    <w:rsid w:val="00754AF8"/>
    <w:rsid w:val="0077764E"/>
    <w:rsid w:val="00782BEB"/>
    <w:rsid w:val="007953D8"/>
    <w:rsid w:val="007B2E38"/>
    <w:rsid w:val="007B38A9"/>
    <w:rsid w:val="007B7CD8"/>
    <w:rsid w:val="007E652C"/>
    <w:rsid w:val="007F58BE"/>
    <w:rsid w:val="007F7619"/>
    <w:rsid w:val="00816591"/>
    <w:rsid w:val="00831371"/>
    <w:rsid w:val="00835F2F"/>
    <w:rsid w:val="0083616C"/>
    <w:rsid w:val="00836315"/>
    <w:rsid w:val="00844703"/>
    <w:rsid w:val="00853A08"/>
    <w:rsid w:val="008767C4"/>
    <w:rsid w:val="00890557"/>
    <w:rsid w:val="008912E3"/>
    <w:rsid w:val="008923E0"/>
    <w:rsid w:val="008A3217"/>
    <w:rsid w:val="008B7EC7"/>
    <w:rsid w:val="008C6FD8"/>
    <w:rsid w:val="008E537D"/>
    <w:rsid w:val="008E798D"/>
    <w:rsid w:val="00916D73"/>
    <w:rsid w:val="00942C42"/>
    <w:rsid w:val="009548BE"/>
    <w:rsid w:val="00972AEA"/>
    <w:rsid w:val="0097524E"/>
    <w:rsid w:val="00983FF9"/>
    <w:rsid w:val="00996B29"/>
    <w:rsid w:val="00996FC2"/>
    <w:rsid w:val="009A41A3"/>
    <w:rsid w:val="009E494A"/>
    <w:rsid w:val="009F46B0"/>
    <w:rsid w:val="009F6BAE"/>
    <w:rsid w:val="00A0352B"/>
    <w:rsid w:val="00A037E9"/>
    <w:rsid w:val="00A36A31"/>
    <w:rsid w:val="00A53633"/>
    <w:rsid w:val="00A72B98"/>
    <w:rsid w:val="00A73397"/>
    <w:rsid w:val="00AA38A0"/>
    <w:rsid w:val="00AC48ED"/>
    <w:rsid w:val="00AD25CE"/>
    <w:rsid w:val="00AE350D"/>
    <w:rsid w:val="00B05428"/>
    <w:rsid w:val="00B05A67"/>
    <w:rsid w:val="00B10480"/>
    <w:rsid w:val="00B3710E"/>
    <w:rsid w:val="00B37CCF"/>
    <w:rsid w:val="00B502BD"/>
    <w:rsid w:val="00B50F0E"/>
    <w:rsid w:val="00B5699D"/>
    <w:rsid w:val="00B70B16"/>
    <w:rsid w:val="00BE5668"/>
    <w:rsid w:val="00BE6DA4"/>
    <w:rsid w:val="00C01068"/>
    <w:rsid w:val="00C038DD"/>
    <w:rsid w:val="00C12671"/>
    <w:rsid w:val="00C15B98"/>
    <w:rsid w:val="00C15DAC"/>
    <w:rsid w:val="00C34C80"/>
    <w:rsid w:val="00C5147A"/>
    <w:rsid w:val="00C52A0B"/>
    <w:rsid w:val="00C54230"/>
    <w:rsid w:val="00C7020D"/>
    <w:rsid w:val="00C82EE5"/>
    <w:rsid w:val="00C9407C"/>
    <w:rsid w:val="00C97CDA"/>
    <w:rsid w:val="00CA294E"/>
    <w:rsid w:val="00CC4C2C"/>
    <w:rsid w:val="00CC7761"/>
    <w:rsid w:val="00D21C58"/>
    <w:rsid w:val="00D26936"/>
    <w:rsid w:val="00D3536A"/>
    <w:rsid w:val="00D36AA6"/>
    <w:rsid w:val="00D42EC8"/>
    <w:rsid w:val="00D52D7C"/>
    <w:rsid w:val="00D55BBB"/>
    <w:rsid w:val="00D9501F"/>
    <w:rsid w:val="00DA1C52"/>
    <w:rsid w:val="00DA2912"/>
    <w:rsid w:val="00DA754A"/>
    <w:rsid w:val="00DE4905"/>
    <w:rsid w:val="00E21278"/>
    <w:rsid w:val="00E24C4F"/>
    <w:rsid w:val="00E56475"/>
    <w:rsid w:val="00E711F3"/>
    <w:rsid w:val="00E7560B"/>
    <w:rsid w:val="00E968B5"/>
    <w:rsid w:val="00EB1AF1"/>
    <w:rsid w:val="00F1361E"/>
    <w:rsid w:val="00F1389C"/>
    <w:rsid w:val="00F173F7"/>
    <w:rsid w:val="00F451D8"/>
    <w:rsid w:val="00F5410D"/>
    <w:rsid w:val="00F57C18"/>
    <w:rsid w:val="00F86E72"/>
    <w:rsid w:val="00FA027D"/>
    <w:rsid w:val="00FA4D75"/>
    <w:rsid w:val="00FC4544"/>
    <w:rsid w:val="00FF2D9C"/>
    <w:rsid w:val="010772F7"/>
    <w:rsid w:val="02B8008B"/>
    <w:rsid w:val="0354310B"/>
    <w:rsid w:val="04E124AB"/>
    <w:rsid w:val="0622743F"/>
    <w:rsid w:val="065B44BD"/>
    <w:rsid w:val="06F21498"/>
    <w:rsid w:val="076D2BC5"/>
    <w:rsid w:val="082751D4"/>
    <w:rsid w:val="087C3598"/>
    <w:rsid w:val="08C5502A"/>
    <w:rsid w:val="0958443C"/>
    <w:rsid w:val="096C7D03"/>
    <w:rsid w:val="09F9539C"/>
    <w:rsid w:val="0A0B6138"/>
    <w:rsid w:val="0A9A26C8"/>
    <w:rsid w:val="0BB70626"/>
    <w:rsid w:val="0C6658D0"/>
    <w:rsid w:val="0D125AE7"/>
    <w:rsid w:val="0D4A5670"/>
    <w:rsid w:val="0D6B18C2"/>
    <w:rsid w:val="0D74306F"/>
    <w:rsid w:val="0DB64159"/>
    <w:rsid w:val="0DC34C5E"/>
    <w:rsid w:val="0DD24147"/>
    <w:rsid w:val="0DF72A95"/>
    <w:rsid w:val="0E6534C2"/>
    <w:rsid w:val="0EDA07F5"/>
    <w:rsid w:val="0F1409D8"/>
    <w:rsid w:val="0F1E5E95"/>
    <w:rsid w:val="0F427271"/>
    <w:rsid w:val="0F864554"/>
    <w:rsid w:val="0FDB6AAD"/>
    <w:rsid w:val="10BE758F"/>
    <w:rsid w:val="10C92951"/>
    <w:rsid w:val="110C1E59"/>
    <w:rsid w:val="119F00D1"/>
    <w:rsid w:val="123C6479"/>
    <w:rsid w:val="125E468D"/>
    <w:rsid w:val="12614612"/>
    <w:rsid w:val="12ED1816"/>
    <w:rsid w:val="12ED5CBA"/>
    <w:rsid w:val="13347F43"/>
    <w:rsid w:val="13BF7CAB"/>
    <w:rsid w:val="14237DFD"/>
    <w:rsid w:val="14BF71E2"/>
    <w:rsid w:val="14CA1FE3"/>
    <w:rsid w:val="14CB6B69"/>
    <w:rsid w:val="1521478B"/>
    <w:rsid w:val="152570C3"/>
    <w:rsid w:val="158567D3"/>
    <w:rsid w:val="158F03A1"/>
    <w:rsid w:val="15D16CB3"/>
    <w:rsid w:val="15D53161"/>
    <w:rsid w:val="161737E6"/>
    <w:rsid w:val="162931E1"/>
    <w:rsid w:val="164041C8"/>
    <w:rsid w:val="172805BA"/>
    <w:rsid w:val="174E034E"/>
    <w:rsid w:val="17AF3275"/>
    <w:rsid w:val="18581279"/>
    <w:rsid w:val="191A24AF"/>
    <w:rsid w:val="19BE1623"/>
    <w:rsid w:val="1AEE4DCF"/>
    <w:rsid w:val="1B36409F"/>
    <w:rsid w:val="1B522B5E"/>
    <w:rsid w:val="1B7900EB"/>
    <w:rsid w:val="1B921DDF"/>
    <w:rsid w:val="1C1510C3"/>
    <w:rsid w:val="1E943D94"/>
    <w:rsid w:val="1E950B87"/>
    <w:rsid w:val="1F0148BD"/>
    <w:rsid w:val="1FE35702"/>
    <w:rsid w:val="1FF74F8E"/>
    <w:rsid w:val="20230F6D"/>
    <w:rsid w:val="208143B8"/>
    <w:rsid w:val="20A17B17"/>
    <w:rsid w:val="21C978F2"/>
    <w:rsid w:val="226B0733"/>
    <w:rsid w:val="22C75BE0"/>
    <w:rsid w:val="23533577"/>
    <w:rsid w:val="23BA6527"/>
    <w:rsid w:val="24870F7D"/>
    <w:rsid w:val="24D64800"/>
    <w:rsid w:val="252D146A"/>
    <w:rsid w:val="26680D73"/>
    <w:rsid w:val="26A33141"/>
    <w:rsid w:val="26D71DA6"/>
    <w:rsid w:val="28162ADB"/>
    <w:rsid w:val="28255771"/>
    <w:rsid w:val="290C6849"/>
    <w:rsid w:val="291122AA"/>
    <w:rsid w:val="298C64C9"/>
    <w:rsid w:val="2A565492"/>
    <w:rsid w:val="2A595CD0"/>
    <w:rsid w:val="2B0943D0"/>
    <w:rsid w:val="2CFD6DB2"/>
    <w:rsid w:val="2D734AAD"/>
    <w:rsid w:val="2D835999"/>
    <w:rsid w:val="2DAA19AE"/>
    <w:rsid w:val="2DC526CA"/>
    <w:rsid w:val="2DD47592"/>
    <w:rsid w:val="2E2A33BD"/>
    <w:rsid w:val="2ED51684"/>
    <w:rsid w:val="2F14135F"/>
    <w:rsid w:val="2F63179E"/>
    <w:rsid w:val="2FAB2D03"/>
    <w:rsid w:val="309E3B2D"/>
    <w:rsid w:val="30FA5C14"/>
    <w:rsid w:val="3135465C"/>
    <w:rsid w:val="31EA60C2"/>
    <w:rsid w:val="320428E3"/>
    <w:rsid w:val="32BB562C"/>
    <w:rsid w:val="32F045B9"/>
    <w:rsid w:val="33442501"/>
    <w:rsid w:val="346D303A"/>
    <w:rsid w:val="34924364"/>
    <w:rsid w:val="34D95509"/>
    <w:rsid w:val="35657300"/>
    <w:rsid w:val="356A38DC"/>
    <w:rsid w:val="3574562E"/>
    <w:rsid w:val="35B3610A"/>
    <w:rsid w:val="36794FEB"/>
    <w:rsid w:val="36B978CE"/>
    <w:rsid w:val="377073F0"/>
    <w:rsid w:val="379D0908"/>
    <w:rsid w:val="37B47DD4"/>
    <w:rsid w:val="37D01583"/>
    <w:rsid w:val="38B706D0"/>
    <w:rsid w:val="38D1447C"/>
    <w:rsid w:val="38E07A8A"/>
    <w:rsid w:val="390F49AC"/>
    <w:rsid w:val="39D76559"/>
    <w:rsid w:val="39D82007"/>
    <w:rsid w:val="3A426F31"/>
    <w:rsid w:val="3AA500BA"/>
    <w:rsid w:val="3AA52853"/>
    <w:rsid w:val="3B66288F"/>
    <w:rsid w:val="3C2361E5"/>
    <w:rsid w:val="3D5424B3"/>
    <w:rsid w:val="3D5D6B10"/>
    <w:rsid w:val="3D7572F7"/>
    <w:rsid w:val="3D76438A"/>
    <w:rsid w:val="3D8A3D56"/>
    <w:rsid w:val="3E3534C1"/>
    <w:rsid w:val="3F37201A"/>
    <w:rsid w:val="3F980E7B"/>
    <w:rsid w:val="3FE31187"/>
    <w:rsid w:val="40864ED4"/>
    <w:rsid w:val="417138DF"/>
    <w:rsid w:val="41AF2209"/>
    <w:rsid w:val="4249761C"/>
    <w:rsid w:val="42566E71"/>
    <w:rsid w:val="42625CDA"/>
    <w:rsid w:val="42C6203C"/>
    <w:rsid w:val="42CB4E20"/>
    <w:rsid w:val="43814576"/>
    <w:rsid w:val="442C49D8"/>
    <w:rsid w:val="44435EE1"/>
    <w:rsid w:val="44B51143"/>
    <w:rsid w:val="44ED5522"/>
    <w:rsid w:val="45350C77"/>
    <w:rsid w:val="456D62B9"/>
    <w:rsid w:val="45F42696"/>
    <w:rsid w:val="46E16A5F"/>
    <w:rsid w:val="47D1799B"/>
    <w:rsid w:val="484B6BDE"/>
    <w:rsid w:val="48A44149"/>
    <w:rsid w:val="48E334ED"/>
    <w:rsid w:val="48F23F69"/>
    <w:rsid w:val="493354CD"/>
    <w:rsid w:val="49E46913"/>
    <w:rsid w:val="49F21C2A"/>
    <w:rsid w:val="4A1878A4"/>
    <w:rsid w:val="4AD86931"/>
    <w:rsid w:val="4B046389"/>
    <w:rsid w:val="4CC476A2"/>
    <w:rsid w:val="4E56172D"/>
    <w:rsid w:val="50165DB1"/>
    <w:rsid w:val="50DB705E"/>
    <w:rsid w:val="50E72C25"/>
    <w:rsid w:val="51671B48"/>
    <w:rsid w:val="51C5229D"/>
    <w:rsid w:val="520308E4"/>
    <w:rsid w:val="52727FF2"/>
    <w:rsid w:val="52A30966"/>
    <w:rsid w:val="53166F93"/>
    <w:rsid w:val="5335540B"/>
    <w:rsid w:val="53626C1B"/>
    <w:rsid w:val="53722A3B"/>
    <w:rsid w:val="547A1194"/>
    <w:rsid w:val="54CF47EF"/>
    <w:rsid w:val="557C0232"/>
    <w:rsid w:val="560C0B22"/>
    <w:rsid w:val="56CB0175"/>
    <w:rsid w:val="56DB7DAA"/>
    <w:rsid w:val="5762751C"/>
    <w:rsid w:val="58403763"/>
    <w:rsid w:val="584F0FC5"/>
    <w:rsid w:val="58BD2E7F"/>
    <w:rsid w:val="58CC22D2"/>
    <w:rsid w:val="59B70513"/>
    <w:rsid w:val="59BB7A4F"/>
    <w:rsid w:val="59D10B16"/>
    <w:rsid w:val="59FA6402"/>
    <w:rsid w:val="5A5A0BD4"/>
    <w:rsid w:val="5A6A4AC7"/>
    <w:rsid w:val="5B254768"/>
    <w:rsid w:val="5B921C31"/>
    <w:rsid w:val="5B940ED8"/>
    <w:rsid w:val="5BBB41A2"/>
    <w:rsid w:val="5BD00703"/>
    <w:rsid w:val="5C8265BF"/>
    <w:rsid w:val="5CDC6150"/>
    <w:rsid w:val="5CDF7A32"/>
    <w:rsid w:val="5D42520B"/>
    <w:rsid w:val="5DEB784E"/>
    <w:rsid w:val="5E15676A"/>
    <w:rsid w:val="5E5B674D"/>
    <w:rsid w:val="5EC81B1E"/>
    <w:rsid w:val="5F0C485E"/>
    <w:rsid w:val="5F5E0A5B"/>
    <w:rsid w:val="602C4AE6"/>
    <w:rsid w:val="60D111EA"/>
    <w:rsid w:val="60D27197"/>
    <w:rsid w:val="613B7E7B"/>
    <w:rsid w:val="61783CF3"/>
    <w:rsid w:val="6217244A"/>
    <w:rsid w:val="62F403F2"/>
    <w:rsid w:val="63251B06"/>
    <w:rsid w:val="637202DD"/>
    <w:rsid w:val="637879A9"/>
    <w:rsid w:val="63827325"/>
    <w:rsid w:val="63C52215"/>
    <w:rsid w:val="640C53CD"/>
    <w:rsid w:val="643340F4"/>
    <w:rsid w:val="647311B7"/>
    <w:rsid w:val="64AC0143"/>
    <w:rsid w:val="64E70B07"/>
    <w:rsid w:val="652A557F"/>
    <w:rsid w:val="65C42B72"/>
    <w:rsid w:val="66561BE7"/>
    <w:rsid w:val="66C157CB"/>
    <w:rsid w:val="66D72ADD"/>
    <w:rsid w:val="6759214B"/>
    <w:rsid w:val="67D143D7"/>
    <w:rsid w:val="68630D54"/>
    <w:rsid w:val="68891926"/>
    <w:rsid w:val="688B5A21"/>
    <w:rsid w:val="69054339"/>
    <w:rsid w:val="69927E5A"/>
    <w:rsid w:val="69C77840"/>
    <w:rsid w:val="6A4D41E9"/>
    <w:rsid w:val="6A89136D"/>
    <w:rsid w:val="6B0C0FC3"/>
    <w:rsid w:val="6B1B763B"/>
    <w:rsid w:val="6C520910"/>
    <w:rsid w:val="6CF43042"/>
    <w:rsid w:val="6CF531B5"/>
    <w:rsid w:val="6D8C078C"/>
    <w:rsid w:val="6DC5678C"/>
    <w:rsid w:val="6E4C7917"/>
    <w:rsid w:val="6EA95FE7"/>
    <w:rsid w:val="6EFF1435"/>
    <w:rsid w:val="6FD068F0"/>
    <w:rsid w:val="70330C01"/>
    <w:rsid w:val="70671E2E"/>
    <w:rsid w:val="707F0E75"/>
    <w:rsid w:val="70C475F5"/>
    <w:rsid w:val="70E30E24"/>
    <w:rsid w:val="70EB579D"/>
    <w:rsid w:val="715C11B6"/>
    <w:rsid w:val="716825B6"/>
    <w:rsid w:val="71793919"/>
    <w:rsid w:val="72BD3ED6"/>
    <w:rsid w:val="7372099F"/>
    <w:rsid w:val="737B2D9A"/>
    <w:rsid w:val="73814F04"/>
    <w:rsid w:val="745054B7"/>
    <w:rsid w:val="74791999"/>
    <w:rsid w:val="75170442"/>
    <w:rsid w:val="75295853"/>
    <w:rsid w:val="76746552"/>
    <w:rsid w:val="769B34C2"/>
    <w:rsid w:val="76AB6FB1"/>
    <w:rsid w:val="76CB7891"/>
    <w:rsid w:val="76E75929"/>
    <w:rsid w:val="76E77774"/>
    <w:rsid w:val="773526DE"/>
    <w:rsid w:val="775545EE"/>
    <w:rsid w:val="77B70EF4"/>
    <w:rsid w:val="794E7636"/>
    <w:rsid w:val="796E4346"/>
    <w:rsid w:val="79780A9A"/>
    <w:rsid w:val="79AE4579"/>
    <w:rsid w:val="79B643EB"/>
    <w:rsid w:val="7A2025CB"/>
    <w:rsid w:val="7A884037"/>
    <w:rsid w:val="7B7E6F57"/>
    <w:rsid w:val="7CD52A5E"/>
    <w:rsid w:val="7D5B41D7"/>
    <w:rsid w:val="7F480B71"/>
    <w:rsid w:val="7FA25E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5">
    <w:name w:val="heading 2"/>
    <w:basedOn w:val="1"/>
    <w:next w:val="6"/>
    <w:qFormat/>
    <w:uiPriority w:val="0"/>
    <w:pPr>
      <w:keepNext/>
      <w:keepLines/>
      <w:numPr>
        <w:ilvl w:val="1"/>
        <w:numId w:val="1"/>
      </w:numPr>
      <w:tabs>
        <w:tab w:val="left" w:pos="425"/>
      </w:tabs>
      <w:spacing w:line="360" w:lineRule="auto"/>
      <w:jc w:val="left"/>
      <w:outlineLvl w:val="1"/>
    </w:pPr>
    <w:rPr>
      <w:rFonts w:ascii="仿宋_GB2312" w:hAnsi="仿宋_GB2312" w:eastAsia="仿宋_GB2312"/>
      <w:b/>
      <w:bCs/>
      <w:sz w:val="32"/>
      <w:szCs w:val="28"/>
    </w:rPr>
  </w:style>
  <w:style w:type="paragraph" w:styleId="7">
    <w:name w:val="heading 3"/>
    <w:basedOn w:val="1"/>
    <w:next w:val="1"/>
    <w:link w:val="36"/>
    <w:qFormat/>
    <w:uiPriority w:val="0"/>
    <w:pPr>
      <w:keepNext/>
      <w:keepLines/>
      <w:numPr>
        <w:ilvl w:val="2"/>
        <w:numId w:val="1"/>
      </w:numPr>
      <w:tabs>
        <w:tab w:val="left" w:pos="425"/>
      </w:tabs>
      <w:spacing w:line="415" w:lineRule="auto"/>
      <w:outlineLvl w:val="2"/>
    </w:pPr>
    <w:rPr>
      <w:rFonts w:ascii="仿宋" w:hAnsi="仿宋" w:eastAsia="仿宋_GB2312"/>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6"/>
    <w:qFormat/>
    <w:uiPriority w:val="99"/>
    <w:pPr>
      <w:spacing w:after="120"/>
      <w:ind w:firstLine="200" w:firstLineChars="200"/>
    </w:pPr>
    <w:rPr>
      <w:sz w:val="24"/>
    </w:rPr>
  </w:style>
  <w:style w:type="paragraph" w:styleId="3">
    <w:name w:val="Title"/>
    <w:basedOn w:val="1"/>
    <w:qFormat/>
    <w:uiPriority w:val="0"/>
    <w:pPr>
      <w:spacing w:before="240" w:after="60"/>
      <w:jc w:val="center"/>
      <w:outlineLvl w:val="0"/>
    </w:pPr>
    <w:rPr>
      <w:rFonts w:ascii="Arial" w:hAnsi="Arial"/>
      <w:b/>
      <w:sz w:val="32"/>
    </w:rPr>
  </w:style>
  <w:style w:type="paragraph" w:customStyle="1" w:styleId="6">
    <w:name w:val="Normal Indent1"/>
    <w:basedOn w:val="1"/>
    <w:qFormat/>
    <w:uiPriority w:val="0"/>
    <w:pPr>
      <w:ind w:firstLine="200" w:firstLineChars="200"/>
    </w:pPr>
    <w:rPr>
      <w:sz w:val="24"/>
    </w:rPr>
  </w:style>
  <w:style w:type="paragraph" w:styleId="8">
    <w:name w:val="Normal Indent"/>
    <w:basedOn w:val="1"/>
    <w:qFormat/>
    <w:uiPriority w:val="0"/>
    <w:pPr>
      <w:spacing w:line="300" w:lineRule="auto"/>
      <w:ind w:firstLine="420"/>
    </w:pPr>
    <w:rPr>
      <w:sz w:val="24"/>
      <w:szCs w:val="20"/>
    </w:rPr>
  </w:style>
  <w:style w:type="paragraph" w:styleId="9">
    <w:name w:val="annotation text"/>
    <w:basedOn w:val="1"/>
    <w:link w:val="42"/>
    <w:qFormat/>
    <w:uiPriority w:val="0"/>
    <w:pPr>
      <w:jc w:val="left"/>
    </w:pPr>
  </w:style>
  <w:style w:type="paragraph" w:styleId="10">
    <w:name w:val="Body Text Indent"/>
    <w:basedOn w:val="1"/>
    <w:next w:val="11"/>
    <w:unhideWhenUsed/>
    <w:qFormat/>
    <w:uiPriority w:val="99"/>
    <w:pPr>
      <w:spacing w:after="120"/>
      <w:ind w:left="420" w:leftChars="200"/>
    </w:pPr>
    <w:rPr>
      <w:rFonts w:ascii="Times New Roman" w:hAnsi="Times New Roman"/>
      <w:szCs w:val="24"/>
    </w:rPr>
  </w:style>
  <w:style w:type="paragraph" w:styleId="11">
    <w:name w:val="envelope return"/>
    <w:basedOn w:val="1"/>
    <w:qFormat/>
    <w:uiPriority w:val="99"/>
    <w:pPr>
      <w:snapToGrid w:val="0"/>
    </w:pPr>
    <w:rPr>
      <w:rFonts w:ascii="Arial" w:hAnsi="Arial" w:cs="Arial"/>
    </w:rPr>
  </w:style>
  <w:style w:type="paragraph" w:styleId="12">
    <w:name w:val="List Continue"/>
    <w:basedOn w:val="1"/>
    <w:qFormat/>
    <w:uiPriority w:val="0"/>
    <w:pPr>
      <w:spacing w:after="120"/>
      <w:ind w:left="420" w:leftChars="200"/>
    </w:pPr>
  </w:style>
  <w:style w:type="paragraph" w:styleId="13">
    <w:name w:val="Plain Text"/>
    <w:basedOn w:val="1"/>
    <w:link w:val="45"/>
    <w:qFormat/>
    <w:uiPriority w:val="0"/>
    <w:pPr>
      <w:ind w:firstLine="200" w:firstLineChars="200"/>
    </w:pPr>
    <w:rPr>
      <w:rFonts w:ascii="宋体" w:hAnsi="Courier New"/>
      <w:sz w:val="24"/>
    </w:rPr>
  </w:style>
  <w:style w:type="paragraph" w:styleId="14">
    <w:name w:val="Balloon Text"/>
    <w:basedOn w:val="1"/>
    <w:link w:val="44"/>
    <w:qFormat/>
    <w:uiPriority w:val="0"/>
    <w:rPr>
      <w:sz w:val="18"/>
      <w:szCs w:val="18"/>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style>
  <w:style w:type="paragraph" w:styleId="18">
    <w:name w:val="toc 2"/>
    <w:basedOn w:val="1"/>
    <w:next w:val="1"/>
    <w:qFormat/>
    <w:uiPriority w:val="39"/>
    <w:pPr>
      <w:ind w:left="420" w:leftChars="200"/>
    </w:p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annotation subject"/>
    <w:basedOn w:val="9"/>
    <w:next w:val="9"/>
    <w:link w:val="43"/>
    <w:qFormat/>
    <w:uiPriority w:val="0"/>
    <w:rPr>
      <w:b/>
      <w:bCs/>
    </w:rPr>
  </w:style>
  <w:style w:type="paragraph" w:styleId="21">
    <w:name w:val="Body Text First Indent"/>
    <w:basedOn w:val="2"/>
    <w:qFormat/>
    <w:uiPriority w:val="0"/>
    <w:pPr>
      <w:adjustRightInd w:val="0"/>
      <w:spacing w:line="312" w:lineRule="atLeast"/>
      <w:ind w:firstLine="420" w:firstLineChars="100"/>
      <w:textAlignment w:val="baseline"/>
    </w:pPr>
    <w:rPr>
      <w:kern w:val="0"/>
      <w:sz w:val="21"/>
    </w:rPr>
  </w:style>
  <w:style w:type="table" w:styleId="23">
    <w:name w:val="Table Grid"/>
    <w:basedOn w:val="22"/>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FollowedHyperlink"/>
    <w:basedOn w:val="24"/>
    <w:unhideWhenUsed/>
    <w:qFormat/>
    <w:uiPriority w:val="99"/>
    <w:rPr>
      <w:color w:val="954F72"/>
      <w:u w:val="single"/>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basedOn w:val="24"/>
    <w:qFormat/>
    <w:uiPriority w:val="0"/>
    <w:rPr>
      <w:sz w:val="21"/>
      <w:szCs w:val="21"/>
    </w:rPr>
  </w:style>
  <w:style w:type="paragraph" w:customStyle="1" w:styleId="29">
    <w:name w:val="目录 21"/>
    <w:basedOn w:val="1"/>
    <w:next w:val="1"/>
    <w:qFormat/>
    <w:uiPriority w:val="0"/>
    <w:pPr>
      <w:spacing w:before="100" w:beforeAutospacing="1" w:after="100" w:afterAutospacing="1"/>
      <w:ind w:left="420" w:leftChars="200"/>
    </w:pPr>
  </w:style>
  <w:style w:type="paragraph" w:customStyle="1" w:styleId="30">
    <w:name w:val="目录 11"/>
    <w:basedOn w:val="1"/>
    <w:next w:val="1"/>
    <w:qFormat/>
    <w:uiPriority w:val="39"/>
    <w:pPr>
      <w:spacing w:before="120" w:after="120" w:line="60" w:lineRule="auto"/>
      <w:jc w:val="left"/>
    </w:pPr>
    <w:rPr>
      <w:b/>
      <w:bCs/>
      <w:caps/>
      <w:sz w:val="20"/>
      <w:szCs w:val="20"/>
    </w:rPr>
  </w:style>
  <w:style w:type="paragraph" w:customStyle="1" w:styleId="31">
    <w:name w:val="正文文本缩进1"/>
    <w:basedOn w:val="1"/>
    <w:qFormat/>
    <w:uiPriority w:val="0"/>
    <w:pPr>
      <w:spacing w:line="300" w:lineRule="auto"/>
      <w:ind w:firstLine="480"/>
    </w:pPr>
    <w:rPr>
      <w:rFonts w:ascii="宋体" w:hAnsi="宋体"/>
      <w:kern w:val="0"/>
      <w:sz w:val="24"/>
    </w:rPr>
  </w:style>
  <w:style w:type="paragraph" w:customStyle="1" w:styleId="32">
    <w:name w:val="GEDI正文样式"/>
    <w:basedOn w:val="1"/>
    <w:qFormat/>
    <w:uiPriority w:val="0"/>
    <w:pPr>
      <w:adjustRightInd w:val="0"/>
      <w:snapToGrid w:val="0"/>
      <w:spacing w:line="480" w:lineRule="atLeast"/>
      <w:ind w:firstLine="480" w:firstLineChars="200"/>
    </w:pPr>
    <w:rPr>
      <w:sz w:val="24"/>
    </w:rPr>
  </w:style>
  <w:style w:type="paragraph" w:customStyle="1" w:styleId="33">
    <w:name w:val="GEDI正文(无编号)"/>
    <w:basedOn w:val="1"/>
    <w:qFormat/>
    <w:uiPriority w:val="0"/>
    <w:pPr>
      <w:adjustRightInd w:val="0"/>
      <w:snapToGrid w:val="0"/>
      <w:ind w:left="420"/>
    </w:pPr>
    <w:rPr>
      <w:rFonts w:hAnsi="宋体"/>
      <w:szCs w:val="20"/>
    </w:rPr>
  </w:style>
  <w:style w:type="paragraph" w:styleId="34">
    <w:name w:val="List Paragraph"/>
    <w:basedOn w:val="1"/>
    <w:next w:val="12"/>
    <w:link w:val="37"/>
    <w:qFormat/>
    <w:uiPriority w:val="34"/>
    <w:pPr>
      <w:ind w:firstLine="420" w:firstLineChars="200"/>
    </w:pPr>
  </w:style>
  <w:style w:type="paragraph" w:customStyle="1" w:styleId="35">
    <w:name w:val="列出段落1"/>
    <w:basedOn w:val="1"/>
    <w:qFormat/>
    <w:uiPriority w:val="34"/>
    <w:pPr>
      <w:widowControl/>
      <w:spacing w:line="360" w:lineRule="auto"/>
      <w:ind w:firstLine="420" w:firstLineChars="200"/>
    </w:pPr>
    <w:rPr>
      <w:rFonts w:ascii="Calibri" w:hAnsi="Calibri"/>
      <w:kern w:val="0"/>
      <w:sz w:val="24"/>
    </w:rPr>
  </w:style>
  <w:style w:type="character" w:customStyle="1" w:styleId="36">
    <w:name w:val="标题 3 字符"/>
    <w:basedOn w:val="24"/>
    <w:link w:val="7"/>
    <w:qFormat/>
    <w:uiPriority w:val="0"/>
    <w:rPr>
      <w:rFonts w:ascii="仿宋" w:hAnsi="仿宋" w:eastAsia="仿宋_GB2312"/>
      <w:b/>
      <w:bCs/>
      <w:kern w:val="2"/>
      <w:sz w:val="32"/>
      <w:szCs w:val="32"/>
    </w:rPr>
  </w:style>
  <w:style w:type="character" w:customStyle="1" w:styleId="37">
    <w:name w:val="列表段落 字符"/>
    <w:link w:val="34"/>
    <w:qFormat/>
    <w:uiPriority w:val="34"/>
    <w:rPr>
      <w:kern w:val="2"/>
      <w:sz w:val="21"/>
      <w:szCs w:val="24"/>
    </w:rPr>
  </w:style>
  <w:style w:type="paragraph" w:customStyle="1" w:styleId="38">
    <w:name w:val="列表符号项目级别1"/>
    <w:basedOn w:val="1"/>
    <w:link w:val="39"/>
    <w:qFormat/>
    <w:uiPriority w:val="0"/>
    <w:pPr>
      <w:widowControl/>
      <w:numPr>
        <w:ilvl w:val="0"/>
        <w:numId w:val="2"/>
      </w:numPr>
      <w:spacing w:line="360" w:lineRule="auto"/>
    </w:pPr>
    <w:rPr>
      <w:rFonts w:ascii="Arial" w:hAnsi="Arial"/>
      <w:kern w:val="0"/>
      <w:sz w:val="24"/>
    </w:rPr>
  </w:style>
  <w:style w:type="character" w:customStyle="1" w:styleId="39">
    <w:name w:val="列表符号项目级别1 Char"/>
    <w:basedOn w:val="24"/>
    <w:link w:val="38"/>
    <w:qFormat/>
    <w:uiPriority w:val="0"/>
    <w:rPr>
      <w:rFonts w:ascii="Arial" w:hAnsi="Arial"/>
      <w:sz w:val="24"/>
      <w:szCs w:val="24"/>
    </w:rPr>
  </w:style>
  <w:style w:type="paragraph" w:customStyle="1" w:styleId="40">
    <w:name w:val="样式 正文缩进 + 首行缩进:  2 字符"/>
    <w:basedOn w:val="1"/>
    <w:link w:val="41"/>
    <w:qFormat/>
    <w:uiPriority w:val="0"/>
    <w:pPr>
      <w:widowControl/>
      <w:spacing w:line="360" w:lineRule="auto"/>
      <w:ind w:firstLine="200" w:firstLineChars="200"/>
    </w:pPr>
    <w:rPr>
      <w:rFonts w:ascii="Arial" w:hAnsi="Arial" w:cs="宋体"/>
      <w:kern w:val="0"/>
      <w:sz w:val="24"/>
      <w:szCs w:val="20"/>
    </w:rPr>
  </w:style>
  <w:style w:type="character" w:customStyle="1" w:styleId="41">
    <w:name w:val="样式 正文缩进 + 首行缩进:  2 字符 Char"/>
    <w:basedOn w:val="24"/>
    <w:link w:val="40"/>
    <w:qFormat/>
    <w:uiPriority w:val="0"/>
    <w:rPr>
      <w:rFonts w:ascii="Arial" w:hAnsi="Arial" w:cs="宋体"/>
      <w:sz w:val="24"/>
    </w:rPr>
  </w:style>
  <w:style w:type="character" w:customStyle="1" w:styleId="42">
    <w:name w:val="批注文字 字符"/>
    <w:basedOn w:val="24"/>
    <w:link w:val="9"/>
    <w:qFormat/>
    <w:uiPriority w:val="0"/>
    <w:rPr>
      <w:kern w:val="2"/>
      <w:sz w:val="21"/>
      <w:szCs w:val="24"/>
    </w:rPr>
  </w:style>
  <w:style w:type="character" w:customStyle="1" w:styleId="43">
    <w:name w:val="批注主题 字符"/>
    <w:basedOn w:val="42"/>
    <w:link w:val="20"/>
    <w:qFormat/>
    <w:uiPriority w:val="0"/>
    <w:rPr>
      <w:b/>
      <w:bCs/>
      <w:kern w:val="2"/>
      <w:sz w:val="21"/>
      <w:szCs w:val="24"/>
    </w:rPr>
  </w:style>
  <w:style w:type="character" w:customStyle="1" w:styleId="44">
    <w:name w:val="批注框文本 字符"/>
    <w:basedOn w:val="24"/>
    <w:link w:val="14"/>
    <w:qFormat/>
    <w:uiPriority w:val="0"/>
    <w:rPr>
      <w:kern w:val="2"/>
      <w:sz w:val="18"/>
      <w:szCs w:val="18"/>
    </w:rPr>
  </w:style>
  <w:style w:type="character" w:customStyle="1" w:styleId="45">
    <w:name w:val="纯文本 字符"/>
    <w:basedOn w:val="24"/>
    <w:link w:val="13"/>
    <w:qFormat/>
    <w:uiPriority w:val="0"/>
    <w:rPr>
      <w:rFonts w:ascii="宋体" w:hAnsi="Courier New"/>
      <w:kern w:val="2"/>
      <w:sz w:val="24"/>
      <w:szCs w:val="24"/>
    </w:rPr>
  </w:style>
  <w:style w:type="character" w:customStyle="1" w:styleId="46">
    <w:name w:val="正文文本 字符"/>
    <w:basedOn w:val="24"/>
    <w:link w:val="2"/>
    <w:qFormat/>
    <w:uiPriority w:val="99"/>
    <w:rPr>
      <w:kern w:val="2"/>
      <w:sz w:val="24"/>
      <w:szCs w:val="24"/>
    </w:rPr>
  </w:style>
  <w:style w:type="paragraph" w:customStyle="1" w:styleId="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49">
    <w:name w:val="font6"/>
    <w:basedOn w:val="1"/>
    <w:qFormat/>
    <w:uiPriority w:val="0"/>
    <w:pPr>
      <w:widowControl/>
      <w:spacing w:before="100" w:beforeAutospacing="1" w:after="100" w:afterAutospacing="1"/>
      <w:jc w:val="left"/>
    </w:pPr>
    <w:rPr>
      <w:rFonts w:ascii="仿宋" w:hAnsi="仿宋" w:eastAsia="仿宋" w:cs="宋体"/>
      <w:color w:val="000000"/>
      <w:kern w:val="0"/>
      <w:szCs w:val="21"/>
    </w:rPr>
  </w:style>
  <w:style w:type="paragraph" w:customStyle="1" w:styleId="50">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1">
    <w:name w:val="xl6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6">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7">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5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1">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4">
    <w:name w:val="xl79"/>
    <w:basedOn w:val="1"/>
    <w:qFormat/>
    <w:uiPriority w:val="0"/>
    <w:pPr>
      <w:widowControl/>
      <w:pBdr>
        <w:top w:val="single" w:color="auto" w:sz="4" w:space="0"/>
        <w:bottom w:val="single" w:color="auto" w:sz="4" w:space="0"/>
      </w:pBdr>
      <w:spacing w:before="100" w:beforeAutospacing="1" w:after="100" w:afterAutospacing="1"/>
      <w:jc w:val="center"/>
    </w:pPr>
    <w:rPr>
      <w:rFonts w:ascii="仿宋" w:hAnsi="仿宋" w:eastAsia="仿宋" w:cs="宋体"/>
      <w:kern w:val="0"/>
      <w:sz w:val="24"/>
    </w:rPr>
  </w:style>
  <w:style w:type="paragraph" w:customStyle="1" w:styleId="65">
    <w:name w:val="xl8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6">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9">
    <w:name w:val="xl84"/>
    <w:basedOn w:val="1"/>
    <w:qFormat/>
    <w:uiPriority w:val="0"/>
    <w:pPr>
      <w:widowControl/>
      <w:spacing w:before="100" w:beforeAutospacing="1" w:after="100" w:afterAutospacing="1"/>
      <w:jc w:val="left"/>
    </w:pPr>
    <w:rPr>
      <w:rFonts w:ascii="仿宋" w:hAnsi="仿宋" w:eastAsia="仿宋" w:cs="宋体"/>
      <w:kern w:val="0"/>
      <w:sz w:val="24"/>
    </w:rPr>
  </w:style>
  <w:style w:type="paragraph" w:customStyle="1" w:styleId="7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7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3">
    <w:name w:val="xl8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32"/>
      <w:szCs w:val="32"/>
    </w:rPr>
  </w:style>
  <w:style w:type="paragraph" w:customStyle="1" w:styleId="75">
    <w:name w:val="xl9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6">
    <w:name w:val="xl9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7">
    <w:name w:val="xl92"/>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8">
    <w:name w:val="xl93"/>
    <w:basedOn w:val="1"/>
    <w:qFormat/>
    <w:uiPriority w:val="0"/>
    <w:pPr>
      <w:widowControl/>
      <w:pBdr>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9">
    <w:name w:val="xl94"/>
    <w:basedOn w:val="1"/>
    <w:qFormat/>
    <w:uiPriority w:val="0"/>
    <w:pPr>
      <w:widowControl/>
      <w:pBdr>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80">
    <w:name w:val="标题 11"/>
    <w:next w:val="81"/>
    <w:qFormat/>
    <w:uiPriority w:val="0"/>
    <w:pPr>
      <w:keepNext/>
      <w:framePr w:wrap="around" w:vAnchor="margin" w:hAnchor="text" w:y="1"/>
      <w:tabs>
        <w:tab w:val="left" w:pos="432"/>
      </w:tabs>
      <w:spacing w:line="360" w:lineRule="auto"/>
      <w:outlineLvl w:val="0"/>
    </w:pPr>
    <w:rPr>
      <w:rFonts w:ascii="SimSong Bold" w:hAnsi="SimSong Bold" w:eastAsia="SimSong Bold" w:cs="SimSong Bold"/>
      <w:color w:val="000000"/>
      <w:sz w:val="32"/>
      <w:szCs w:val="32"/>
      <w:u w:color="000000"/>
      <w:lang w:val="en-US" w:eastAsia="zh-CN" w:bidi="ar-SA"/>
    </w:rPr>
  </w:style>
  <w:style w:type="paragraph" w:customStyle="1" w:styleId="81">
    <w:name w:val="正文1"/>
    <w:next w:val="82"/>
    <w:qFormat/>
    <w:uiPriority w:val="0"/>
    <w:pPr>
      <w:framePr w:wrap="around" w:vAnchor="margin" w:hAnchor="text" w:y="1"/>
      <w:spacing w:line="360" w:lineRule="auto"/>
    </w:pPr>
    <w:rPr>
      <w:rFonts w:ascii="Calibri" w:hAnsi="Calibri" w:eastAsia="Arial Unicode MS" w:cs="Arial Unicode MS"/>
      <w:color w:val="000000"/>
      <w:sz w:val="24"/>
      <w:szCs w:val="24"/>
      <w:u w:color="000000"/>
      <w:lang w:val="en-US" w:eastAsia="zh-CN" w:bidi="ar-SA"/>
    </w:rPr>
  </w:style>
  <w:style w:type="paragraph" w:customStyle="1" w:styleId="82">
    <w:name w:val="正文文本1"/>
    <w:qFormat/>
    <w:uiPriority w:val="0"/>
    <w:pPr>
      <w:framePr w:wrap="around" w:vAnchor="margin" w:hAnchor="text" w:y="1"/>
      <w:spacing w:after="120" w:line="360" w:lineRule="auto"/>
    </w:pPr>
    <w:rPr>
      <w:rFonts w:ascii="Calibri" w:hAnsi="Calibri" w:eastAsia="Arial Unicode MS" w:cs="Arial Unicode MS"/>
      <w:color w:val="000000"/>
      <w:sz w:val="24"/>
      <w:szCs w:val="24"/>
      <w:u w:color="000000"/>
      <w:lang w:val="en-US" w:eastAsia="zh-CN" w:bidi="ar-SA"/>
    </w:rPr>
  </w:style>
  <w:style w:type="paragraph" w:customStyle="1" w:styleId="83">
    <w:name w:val="正文缩进1"/>
    <w:qFormat/>
    <w:uiPriority w:val="0"/>
    <w:pPr>
      <w:framePr w:wrap="around" w:vAnchor="margin" w:hAnchor="text" w:y="1"/>
      <w:spacing w:line="360" w:lineRule="auto"/>
      <w:ind w:firstLine="420"/>
    </w:pPr>
    <w:rPr>
      <w:rFonts w:ascii="Calibri" w:hAnsi="Calibri" w:eastAsia="Calibri" w:cs="Calibri"/>
      <w:color w:val="000000"/>
      <w:sz w:val="24"/>
      <w:szCs w:val="24"/>
      <w:u w:color="000000"/>
      <w:lang w:val="en-US" w:eastAsia="zh-CN" w:bidi="ar-SA"/>
    </w:rPr>
  </w:style>
  <w:style w:type="character" w:customStyle="1" w:styleId="84">
    <w:name w:val="font21"/>
    <w:basedOn w:val="24"/>
    <w:qFormat/>
    <w:uiPriority w:val="0"/>
    <w:rPr>
      <w:rFonts w:hint="default" w:ascii="Times New Roman" w:hAnsi="Times New Roman" w:cs="Times New Roman"/>
      <w:color w:val="000000"/>
      <w:sz w:val="24"/>
      <w:szCs w:val="24"/>
      <w:u w:val="none"/>
    </w:rPr>
  </w:style>
  <w:style w:type="character" w:customStyle="1" w:styleId="85">
    <w:name w:val="font31"/>
    <w:basedOn w:val="24"/>
    <w:qFormat/>
    <w:uiPriority w:val="0"/>
    <w:rPr>
      <w:rFonts w:hint="eastAsia" w:ascii="宋体" w:hAnsi="宋体" w:eastAsia="宋体" w:cs="宋体"/>
      <w:color w:val="000000"/>
      <w:sz w:val="24"/>
      <w:szCs w:val="24"/>
      <w:u w:val="none"/>
    </w:rPr>
  </w:style>
  <w:style w:type="paragraph" w:customStyle="1" w:styleId="86">
    <w:name w:val="标题 21"/>
    <w:next w:val="81"/>
    <w:qFormat/>
    <w:uiPriority w:val="0"/>
    <w:pPr>
      <w:keepNext/>
      <w:keepLines/>
      <w:framePr w:wrap="around" w:vAnchor="margin" w:hAnchor="text" w:y="1"/>
      <w:spacing w:line="360" w:lineRule="auto"/>
      <w:ind w:left="155" w:hanging="155"/>
      <w:outlineLvl w:val="1"/>
    </w:pPr>
    <w:rPr>
      <w:rFonts w:ascii="SimSong Bold" w:hAnsi="SimSong Bold" w:eastAsia="SimSong Bold" w:cs="SimSong Bold"/>
      <w:color w:val="000000"/>
      <w:sz w:val="30"/>
      <w:szCs w:val="30"/>
      <w:u w:color="000000"/>
      <w:lang w:val="en-US" w:eastAsia="zh-CN" w:bidi="ar-SA"/>
    </w:rPr>
  </w:style>
  <w:style w:type="paragraph" w:customStyle="1" w:styleId="87">
    <w:name w:val="内容正文"/>
    <w:qFormat/>
    <w:uiPriority w:val="0"/>
    <w:pPr>
      <w:framePr w:wrap="around" w:vAnchor="margin" w:hAnchor="text" w:y="1"/>
      <w:widowControl w:val="0"/>
      <w:spacing w:line="360" w:lineRule="auto"/>
      <w:ind w:firstLine="420"/>
      <w:jc w:val="both"/>
    </w:pPr>
    <w:rPr>
      <w:rFonts w:hint="eastAsia" w:ascii="Arial Unicode MS" w:hAnsi="Arial Unicode MS" w:eastAsia="Arial" w:cs="Arial Unicode MS"/>
      <w:color w:val="000000"/>
      <w:kern w:val="2"/>
      <w:sz w:val="21"/>
      <w:szCs w:val="21"/>
      <w:u w:color="000000"/>
      <w:lang w:val="zh-TW" w:eastAsia="zh-TW" w:bidi="ar-SA"/>
    </w:rPr>
  </w:style>
  <w:style w:type="paragraph" w:customStyle="1" w:styleId="88">
    <w:name w:val="无间隔1"/>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181</Words>
  <Characters>233</Characters>
  <Lines>86</Lines>
  <Paragraphs>24</Paragraphs>
  <TotalTime>4</TotalTime>
  <ScaleCrop>false</ScaleCrop>
  <LinksUpToDate>false</LinksUpToDate>
  <CharactersWithSpaces>277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2023-03-07T21:48:00Z</dcterms:created>
  <dc:creator>七月</dc:creator>
  <cp:lastModifiedBy>admin</cp:lastModifiedBy>
  <dcterms:modified xsi:type="dcterms:W3CDTF">2025-09-25T03:19:51Z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6AE8C1402298475E99AEF07842A90E5E_13</vt:lpwstr>
  </property>
  <property fmtid="{D5CDD505-2E9C-101B-9397-08002B2CF9AE}" pid="4" name="KSOTemplateDocerSaveRecord">
    <vt:lpwstr>eyJoZGlkIjoiNGY4YTA5ZGFiNmE1NjA4YTQzYjE1NDMyMDZhNmU5ZWYiLCJ1c2VySWQiOiI0NDIzMDU4NjEifQ==</vt:lpwstr>
  </property>
</Properties>
</file>