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零星采购规范书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一、项目基本内容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项目名称：南方电网国际贸易（广州）有限责任公司2025-2026年办公区绿植租摆及养护服务零星采购项目（二）采购范围：南方电网国际贸易（广州）有限责任公司绿植租用及养护服务，根据办公室的空间大小、装修风格和采光条件等，合理搭配不同种类的绿植，并提供相应养护服务。绿植品种需求详见附件1。</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（三）预算金额：本零星采购项目预算金额4.9万元。按季/月</w:t>
      </w:r>
      <w:r>
        <w:rPr>
          <w:rFonts w:hint="eastAsia" w:ascii="仿宋_GB2312" w:hAnsi="仿宋_GB2312" w:eastAsia="仿宋_GB2312" w:cs="仿宋_GB2312"/>
          <w:color w:val="FF0000"/>
          <w:sz w:val="32"/>
          <w:szCs w:val="32"/>
          <w:highlight w:val="none"/>
          <w:lang w:val="en-US" w:eastAsia="zh-CN"/>
        </w:rPr>
        <w:t>根据实际需求</w:t>
      </w:r>
      <w:r>
        <w:rPr>
          <w:rFonts w:hint="eastAsia" w:ascii="仿宋_GB2312" w:hAnsi="仿宋_GB2312" w:eastAsia="仿宋_GB2312" w:cs="仿宋_GB2312"/>
          <w:sz w:val="32"/>
          <w:szCs w:val="32"/>
          <w:highlight w:val="none"/>
          <w:lang w:val="en-US" w:eastAsia="zh-CN"/>
        </w:rPr>
        <w:t>据实结算，有效期一年，有效期届满前双方可协商续租事宜，续租次数不受限制，最长不超过三年，如累计结算金额达到5万元，则项目自动终止。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（一）具有独立承担民事责任能力；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（二）具有良好的商业信誉和健全的财务会计制度；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（三）经营活动中无重大违法失信记录；在中国南方电网有限责任公司范围内没有处于限制投标资格的处罚期内；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trike w:val="0"/>
          <w:dstrike w:val="0"/>
          <w:sz w:val="32"/>
          <w:szCs w:val="32"/>
          <w:highlight w:val="none"/>
          <w:lang w:val="en-US" w:eastAsia="zh-CN"/>
        </w:rPr>
      </w:pPr>
      <w:r>
        <w:rPr>
          <w:rFonts w:hint="eastAsia" w:ascii="仿宋_GB2312" w:hAnsi="仿宋_GB2312" w:eastAsia="仿宋_GB2312" w:cs="仿宋_GB2312"/>
          <w:strike w:val="0"/>
          <w:dstrike w:val="0"/>
          <w:sz w:val="32"/>
          <w:szCs w:val="32"/>
          <w:highlight w:val="none"/>
          <w:lang w:val="en-US" w:eastAsia="zh-CN"/>
        </w:rPr>
        <w:t>（五）本项目不接受联合体投标；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三、服务要求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租摆服务：根据甲方要求进行绿植摆放，特定区域乙方须派专业设计师现场查看后设计方案。绿植品种、规格、数量及摆放位置，双方共同协商决定。乙方负责将绿植运输至指定的办公地点，并进行合理的摆放布置。根据甲方要求定期更换部分绿植，保持办公室的新鲜感和活力。提供不同规格的花盆和花架，以满足不同绿植的摆放需求，并与办公室环境相协调。</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养护管理： 定期对绿植进行浇水、施肥、修剪、除虫、防病等养护工作，确保绿植的健康生长。定期检查卫生,确保叶片及花盆上无明显的尘泥等影响美观的情况。对出现病虫害、枯萎或生长不良的绿植，及时进行处理和更换。根据办公室的环境条件，如温度、湿度、光照等，调整养护措施，以适应绿植的生长需求。有专业人员实施绿化养护管理，按时提交年度养护计划、月度养护计划、日常养护计划、填报每日作业记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其他服务：在特殊节日或活动期间，根据客户的要求提供定制化的绿植布置服务。负责绿植租摆期间的所有费用，包括绿植采购、运输、养护、更换等费用。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服务标准。绿化养护质量达到 DB44/T269-2005《广东省城市绿地养护质量标准》一级标准及本办公区的绿化服务相关质量要求。技术规范按照 DBJ440100/T14-2008《园林绿化养护管理技术规范》执行。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四、响应文件要求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有意向的供应商请务必提供以下响应文件，并均需加盖公司公章：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（一）合法有效的营业执照。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（二）提供近三年（2022年至今）同类有关服务业绩材料，提供相关合同（首页、服务内容页、签字盖章页扫描件）或中标通知书等有效证明材料。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（三）报价表（见附件1）。</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（四）无重大违法失信记录证明材料（提供信用中国或国家企业信用信息公示系统的截图，显示截图日期）。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（五）在中国南方电网有限责任公司范围内没有处于限制投标资格处罚期内的自证材料（投标方需在南网供应链统一服务平台登录，找到供应商信用管理，查询失信行为扣分管理截图并盖公章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五、中标原则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（一）本项目为框架采购，在符合资格条件的供应商中，按照合计单价最低中标原则确定合作供应商。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（二）如我方发现供应商提交的响应文件不实，或存在不符合供应商资质要求的情况，以及在合作过程中存在不诚信、以次充好的行为，我方可中止有关合作。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六、结算安排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（一）具体结算金额根据招标确定的单价及甲方实际需求数量计算，该金额包括了乙方完成约定的所有义务所需的全部费用。服务地点为广州市黄埔区科研路18号2楼。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trike w:val="0"/>
          <w:dstrike w:val="0"/>
          <w:sz w:val="32"/>
          <w:szCs w:val="32"/>
          <w:highlight w:val="none"/>
          <w:lang w:val="en-US" w:eastAsia="zh-CN"/>
        </w:rPr>
        <w:t>据实结算。结算需要乙方提供请款函、增值税专用发票，以及双方确认的委托书（附件2）、验收书（附件3）等有关材料。</w:t>
      </w:r>
      <w:r>
        <w:rPr>
          <w:rFonts w:hint="eastAsia" w:ascii="仿宋_GB2312" w:hAnsi="仿宋_GB2312" w:eastAsia="仿宋_GB2312" w:cs="仿宋_GB2312"/>
          <w:strike w:val="0"/>
          <w:sz w:val="32"/>
          <w:szCs w:val="32"/>
          <w:highlight w:val="none"/>
          <w:lang w:val="en-US" w:eastAsia="zh-CN"/>
        </w:rPr>
        <w:t>甲方在收到乙方开具的符合规定的发票后30日内，将结算款付至乙方指定账户。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六、争议解决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乙方提供的服务要符合行业标准和本次采购的有关要求，如因乙方原因导致提供的服务出现偏差，应及时、积极采取措施予以补救，由此所产生的有关费用由乙方承担。如乙方服务出现重大失误，并对我方造成重大不利影响，需对我方的经济损失进行赔偿。</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（二）双方要本着公平、真诚、务实的原则进行合作，如双方出现争议，应加强沟通、友好协商，可通过函件往来进一步明确未尽事宜。如协商不成，可向甲方所在法院提起诉讼。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黑体" w:hAnsi="黑体" w:eastAsia="黑体" w:cs="黑体"/>
          <w:sz w:val="32"/>
          <w:szCs w:val="32"/>
          <w:highlight w:val="none"/>
          <w:lang w:val="en-US" w:eastAsia="zh-CN"/>
        </w:rPr>
        <w:t>七、其他约定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（一）本规范书及所列附件与采购公告及其附件具同等法律效力。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（二）服务人员人身安全责任由投标公司全权承担，与采购方无关。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附件：1.报价表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2.绿植确认单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3.结算验收书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4.合同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附件1：</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32"/>
          <w:szCs w:val="32"/>
          <w:highlight w:val="none"/>
          <w:lang w:val="en-US" w:eastAsia="zh-CN"/>
        </w:rPr>
      </w:pPr>
      <w:r>
        <w:rPr>
          <w:rFonts w:hint="eastAsia" w:ascii="方正小标宋_GBK" w:hAnsi="方正小标宋_GBK" w:eastAsia="方正小标宋_GBK" w:cs="方正小标宋_GBK"/>
          <w:b w:val="0"/>
          <w:bCs w:val="0"/>
          <w:sz w:val="32"/>
          <w:szCs w:val="32"/>
          <w:highlight w:val="none"/>
          <w:lang w:val="en-US" w:eastAsia="zh-CN"/>
        </w:rPr>
        <w:t>报价表</w:t>
      </w:r>
    </w:p>
    <w:tbl>
      <w:tblPr>
        <w:tblStyle w:val="4"/>
        <w:tblW w:w="6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3"/>
        <w:gridCol w:w="1545"/>
        <w:gridCol w:w="1485"/>
        <w:gridCol w:w="1965"/>
        <w:gridCol w:w="968"/>
        <w:gridCol w:w="919"/>
        <w:gridCol w:w="930"/>
        <w:gridCol w:w="1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628"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2"/>
                <w:sz w:val="24"/>
                <w:szCs w:val="24"/>
                <w:highlight w:val="none"/>
                <w:u w:val="none"/>
                <w:lang w:val="en-US" w:eastAsia="zh-CN" w:bidi="ar-SA"/>
              </w:rPr>
            </w:pPr>
            <w:r>
              <w:rPr>
                <w:rFonts w:hint="eastAsia" w:asciiTheme="minorEastAsia" w:hAnsiTheme="minorEastAsia" w:eastAsiaTheme="minorEastAsia" w:cstheme="minorEastAsia"/>
                <w:b/>
                <w:i w:val="0"/>
                <w:color w:val="000000"/>
                <w:kern w:val="0"/>
                <w:sz w:val="24"/>
                <w:szCs w:val="24"/>
                <w:highlight w:val="none"/>
                <w:u w:val="none"/>
                <w:lang w:val="en-US" w:eastAsia="zh-CN" w:bidi="ar"/>
              </w:rPr>
              <w:t>植物名称</w:t>
            </w:r>
          </w:p>
        </w:tc>
        <w:tc>
          <w:tcPr>
            <w:tcW w:w="712"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2"/>
                <w:sz w:val="24"/>
                <w:szCs w:val="24"/>
                <w:highlight w:val="none"/>
                <w:u w:val="none"/>
                <w:lang w:val="en-US" w:eastAsia="zh-CN" w:bidi="ar-SA"/>
              </w:rPr>
            </w:pPr>
            <w:r>
              <w:rPr>
                <w:rFonts w:hint="eastAsia" w:asciiTheme="minorEastAsia" w:hAnsiTheme="minorEastAsia" w:eastAsiaTheme="minorEastAsia" w:cstheme="minorEastAsia"/>
                <w:b/>
                <w:i w:val="0"/>
                <w:color w:val="000000"/>
                <w:kern w:val="0"/>
                <w:sz w:val="24"/>
                <w:szCs w:val="24"/>
                <w:highlight w:val="none"/>
                <w:u w:val="none"/>
                <w:lang w:val="en-US" w:eastAsia="zh-CN" w:bidi="ar"/>
              </w:rPr>
              <w:t>规格（CM）</w:t>
            </w:r>
          </w:p>
        </w:tc>
        <w:tc>
          <w:tcPr>
            <w:tcW w:w="684"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2"/>
                <w:sz w:val="24"/>
                <w:szCs w:val="24"/>
                <w:highlight w:val="none"/>
                <w:u w:val="none"/>
                <w:lang w:val="en-US" w:eastAsia="zh-CN" w:bidi="ar-SA"/>
              </w:rPr>
            </w:pPr>
            <w:r>
              <w:rPr>
                <w:rFonts w:hint="eastAsia" w:asciiTheme="minorEastAsia" w:hAnsiTheme="minorEastAsia" w:cstheme="minorEastAsia"/>
                <w:b/>
                <w:i w:val="0"/>
                <w:color w:val="000000"/>
                <w:kern w:val="0"/>
                <w:sz w:val="24"/>
                <w:szCs w:val="24"/>
                <w:highlight w:val="none"/>
                <w:u w:val="none"/>
                <w:lang w:val="en-US" w:eastAsia="zh-CN" w:bidi="ar"/>
              </w:rPr>
              <w:t>含税单价限价（元/月）</w:t>
            </w:r>
          </w:p>
        </w:tc>
        <w:tc>
          <w:tcPr>
            <w:tcW w:w="90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含税单价（元/月/盆）</w:t>
            </w: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（每月）预估数量</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预估月数</w:t>
            </w:r>
          </w:p>
        </w:tc>
        <w:tc>
          <w:tcPr>
            <w:tcW w:w="428" w:type="pct"/>
            <w:vAlign w:val="center"/>
          </w:tcPr>
          <w:p>
            <w:pPr>
              <w:keepNext w:val="0"/>
              <w:keepLines w:val="0"/>
              <w:widowControl/>
              <w:suppressLineNumbers w:val="0"/>
              <w:jc w:val="both"/>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小计（元）</w:t>
            </w:r>
          </w:p>
        </w:tc>
        <w:tc>
          <w:tcPr>
            <w:tcW w:w="767"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000" w:type="pct"/>
            <w:gridSpan w:val="8"/>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月租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富贵竹笼造景</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180cm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315</w:t>
            </w:r>
          </w:p>
        </w:tc>
        <w:tc>
          <w:tcPr>
            <w:tcW w:w="90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w:t>
            </w:r>
          </w:p>
        </w:tc>
        <w:tc>
          <w:tcPr>
            <w:tcW w:w="423"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c>
          <w:tcPr>
            <w:tcW w:w="767" w:type="pct"/>
            <w:vMerge w:val="restar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小计=（含税单价*预估数量*预估月数）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富贵竹塔</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40cm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53</w:t>
            </w:r>
          </w:p>
        </w:tc>
        <w:tc>
          <w:tcPr>
            <w:tcW w:w="90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2</w:t>
            </w:r>
          </w:p>
        </w:tc>
        <w:tc>
          <w:tcPr>
            <w:tcW w:w="423"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步步高发财树</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170cm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53</w:t>
            </w:r>
          </w:p>
        </w:tc>
        <w:tc>
          <w:tcPr>
            <w:tcW w:w="90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4</w:t>
            </w:r>
          </w:p>
        </w:tc>
        <w:tc>
          <w:tcPr>
            <w:tcW w:w="423"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三足也门铁</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140cm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27</w:t>
            </w:r>
          </w:p>
        </w:tc>
        <w:tc>
          <w:tcPr>
            <w:tcW w:w="90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4</w:t>
            </w:r>
          </w:p>
        </w:tc>
        <w:tc>
          <w:tcPr>
            <w:tcW w:w="423"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小绿萝</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30cm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6</w:t>
            </w:r>
          </w:p>
        </w:tc>
        <w:tc>
          <w:tcPr>
            <w:tcW w:w="906"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52</w:t>
            </w:r>
          </w:p>
        </w:tc>
        <w:tc>
          <w:tcPr>
            <w:tcW w:w="423" w:type="pct"/>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碧玉</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25cm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13</w:t>
            </w:r>
          </w:p>
        </w:tc>
        <w:tc>
          <w:tcPr>
            <w:tcW w:w="906"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4</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发财树</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160cm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53</w:t>
            </w:r>
          </w:p>
        </w:tc>
        <w:tc>
          <w:tcPr>
            <w:tcW w:w="906"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6</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金钱树</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135cm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53</w:t>
            </w:r>
          </w:p>
        </w:tc>
        <w:tc>
          <w:tcPr>
            <w:tcW w:w="906"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9</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绿萝</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160cm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32</w:t>
            </w:r>
          </w:p>
        </w:tc>
        <w:tc>
          <w:tcPr>
            <w:tcW w:w="906"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15</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小幸福树</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25cm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16</w:t>
            </w:r>
          </w:p>
        </w:tc>
        <w:tc>
          <w:tcPr>
            <w:tcW w:w="906"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2</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2"/>
                <w:sz w:val="24"/>
                <w:szCs w:val="24"/>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color w:val="000000"/>
                <w:sz w:val="24"/>
                <w:szCs w:val="24"/>
                <w:lang w:val="en-US" w:eastAsia="zh-CN"/>
              </w:rPr>
            </w:pPr>
            <w:r>
              <w:rPr>
                <w:rFonts w:hint="eastAsia" w:ascii="宋体" w:hAnsi="宋体"/>
                <w:color w:val="000000"/>
                <w:sz w:val="24"/>
                <w:szCs w:val="24"/>
              </w:rPr>
              <w:t>红掌</w:t>
            </w:r>
          </w:p>
        </w:tc>
        <w:tc>
          <w:tcPr>
            <w:tcW w:w="712" w:type="pct"/>
            <w:vAlign w:val="center"/>
          </w:tcPr>
          <w:p>
            <w:pPr>
              <w:spacing w:beforeLines="0" w:afterLines="0"/>
              <w:jc w:val="center"/>
              <w:rPr>
                <w:rFonts w:hint="eastAsia" w:ascii="宋体" w:hAnsi="宋体" w:eastAsiaTheme="minorEastAsia" w:cstheme="minorBidi"/>
                <w:color w:val="000000"/>
                <w:kern w:val="2"/>
                <w:sz w:val="22"/>
                <w:szCs w:val="24"/>
                <w:lang w:val="en-US" w:eastAsia="zh-CN" w:bidi="ar-SA"/>
              </w:rPr>
            </w:pPr>
            <w:r>
              <w:rPr>
                <w:rFonts w:hint="eastAsia" w:ascii="宋体" w:hAnsi="宋体"/>
                <w:color w:val="000000"/>
                <w:sz w:val="24"/>
                <w:szCs w:val="24"/>
              </w:rPr>
              <w:t>35cm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21</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电梯组景</w:t>
            </w:r>
          </w:p>
        </w:tc>
        <w:tc>
          <w:tcPr>
            <w:tcW w:w="712" w:type="pct"/>
            <w:vAlign w:val="center"/>
          </w:tcPr>
          <w:p>
            <w:pPr>
              <w:spacing w:beforeLines="0" w:afterLines="0"/>
              <w:jc w:val="center"/>
              <w:rPr>
                <w:rFonts w:hint="eastAsia" w:ascii="宋体" w:hAnsi="宋体" w:eastAsiaTheme="minorEastAsia" w:cstheme="minorBidi"/>
                <w:color w:val="000000"/>
                <w:kern w:val="2"/>
                <w:sz w:val="22"/>
                <w:szCs w:val="24"/>
                <w:lang w:val="en-US" w:eastAsia="zh-CN" w:bidi="ar-SA"/>
              </w:rPr>
            </w:pPr>
            <w:r>
              <w:rPr>
                <w:rFonts w:hint="eastAsia" w:ascii="宋体" w:hAnsi="宋体"/>
                <w:color w:val="000000"/>
                <w:sz w:val="22"/>
                <w:szCs w:val="24"/>
              </w:rPr>
              <w:t>1.6*2.2m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1260</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12</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803" w:type="pct"/>
            <w:gridSpan w:val="6"/>
            <w:vAlign w:val="center"/>
          </w:tcPr>
          <w:p>
            <w:pPr>
              <w:keepNext w:val="0"/>
              <w:keepLines w:val="0"/>
              <w:widowControl/>
              <w:suppressLineNumbers w:val="0"/>
              <w:tabs>
                <w:tab w:val="left" w:pos="213"/>
                <w:tab w:val="left" w:pos="5707"/>
              </w:tabs>
              <w:jc w:val="right"/>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合计（以上所有绿植小计之和）</w:t>
            </w:r>
          </w:p>
        </w:tc>
        <w:tc>
          <w:tcPr>
            <w:tcW w:w="1196" w:type="pct"/>
            <w:gridSpan w:val="2"/>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000" w:type="pct"/>
            <w:gridSpan w:val="8"/>
            <w:vAlign w:val="center"/>
          </w:tcPr>
          <w:p>
            <w:pPr>
              <w:keepNext w:val="0"/>
              <w:keepLines w:val="0"/>
              <w:widowControl/>
              <w:suppressLineNumbers w:val="0"/>
              <w:tabs>
                <w:tab w:val="left" w:pos="3657"/>
              </w:tabs>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一次性购买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墨兰（购买）</w:t>
            </w:r>
          </w:p>
        </w:tc>
        <w:tc>
          <w:tcPr>
            <w:tcW w:w="712" w:type="pct"/>
            <w:vAlign w:val="center"/>
          </w:tcPr>
          <w:p>
            <w:pPr>
              <w:spacing w:beforeLines="0" w:afterLines="0"/>
              <w:jc w:val="center"/>
              <w:rPr>
                <w:rFonts w:hint="eastAsia" w:ascii="宋体" w:hAnsi="宋体" w:eastAsiaTheme="minorEastAsia" w:cstheme="minorBidi"/>
                <w:color w:val="000000"/>
                <w:kern w:val="2"/>
                <w:sz w:val="22"/>
                <w:szCs w:val="24"/>
                <w:lang w:val="en-US" w:eastAsia="zh-CN" w:bidi="ar-SA"/>
              </w:rPr>
            </w:pPr>
            <w:r>
              <w:rPr>
                <w:rFonts w:hint="eastAsia" w:ascii="宋体" w:hAnsi="宋体"/>
                <w:color w:val="000000"/>
                <w:sz w:val="22"/>
                <w:szCs w:val="24"/>
              </w:rPr>
              <w:t>45cm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50</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both"/>
              <w:textAlignment w:val="center"/>
              <w:rPr>
                <w:rFonts w:hint="eastAsia" w:asciiTheme="minorEastAsia" w:hAnsiTheme="minorEastAsia" w:eastAsiaTheme="minorEastAsia" w:cstheme="minorEastAsia"/>
                <w:b/>
                <w:i w:val="0"/>
                <w:color w:val="000000"/>
                <w:kern w:val="0"/>
                <w:sz w:val="24"/>
                <w:szCs w:val="24"/>
                <w:highlight w:val="none"/>
                <w:u w:val="none"/>
                <w:lang w:val="en-US" w:eastAsia="zh-CN" w:bidi="ar"/>
              </w:rPr>
            </w:pPr>
          </w:p>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p>
        </w:tc>
        <w:tc>
          <w:tcPr>
            <w:tcW w:w="767" w:type="pct"/>
            <w:vMerge w:val="restar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小计=（含税单价*预估数量）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蝴蝶兰（购买）</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45cm（单价按照每支计算）</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53</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（20支）</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年桔（购买）</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160cm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315</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大花蕙兰（购买）</w:t>
            </w:r>
          </w:p>
        </w:tc>
        <w:tc>
          <w:tcPr>
            <w:tcW w:w="712"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6头130cm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368</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四季桔（购买）</w:t>
            </w:r>
          </w:p>
        </w:tc>
        <w:tc>
          <w:tcPr>
            <w:tcW w:w="712" w:type="pct"/>
            <w:vAlign w:val="center"/>
          </w:tcPr>
          <w:p>
            <w:pPr>
              <w:spacing w:beforeLines="0" w:afterLines="0"/>
              <w:jc w:val="center"/>
              <w:rPr>
                <w:rFonts w:hint="eastAsia" w:ascii="宋体" w:hAnsi="宋体" w:eastAsiaTheme="minorEastAsia" w:cstheme="minorBidi"/>
                <w:color w:val="000000"/>
                <w:kern w:val="2"/>
                <w:sz w:val="22"/>
                <w:szCs w:val="24"/>
                <w:lang w:val="en-US" w:eastAsia="zh-CN" w:bidi="ar-SA"/>
              </w:rPr>
            </w:pPr>
            <w:r>
              <w:rPr>
                <w:rFonts w:hint="eastAsia" w:ascii="宋体" w:hAnsi="宋体"/>
                <w:color w:val="000000"/>
                <w:sz w:val="22"/>
                <w:szCs w:val="24"/>
              </w:rPr>
              <w:t>1.6m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420</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金蛋果（购买）</w:t>
            </w:r>
          </w:p>
        </w:tc>
        <w:tc>
          <w:tcPr>
            <w:tcW w:w="712" w:type="pct"/>
            <w:vAlign w:val="center"/>
          </w:tcPr>
          <w:p>
            <w:pPr>
              <w:spacing w:beforeLines="0" w:afterLines="0"/>
              <w:jc w:val="center"/>
              <w:rPr>
                <w:rFonts w:hint="eastAsia" w:ascii="宋体" w:hAnsi="宋体" w:eastAsiaTheme="minorEastAsia" w:cstheme="minorBidi"/>
                <w:color w:val="000000"/>
                <w:kern w:val="2"/>
                <w:sz w:val="22"/>
                <w:szCs w:val="24"/>
                <w:lang w:val="en-US" w:eastAsia="zh-CN" w:bidi="ar-SA"/>
              </w:rPr>
            </w:pPr>
            <w:r>
              <w:rPr>
                <w:rFonts w:hint="eastAsia" w:ascii="宋体" w:hAnsi="宋体"/>
                <w:color w:val="000000"/>
                <w:sz w:val="22"/>
                <w:szCs w:val="24"/>
              </w:rPr>
              <w:t>35cm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158</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花束（购买）</w:t>
            </w:r>
          </w:p>
        </w:tc>
        <w:tc>
          <w:tcPr>
            <w:tcW w:w="712" w:type="pct"/>
            <w:vAlign w:val="center"/>
          </w:tcPr>
          <w:p>
            <w:pPr>
              <w:spacing w:beforeLines="0" w:afterLines="0"/>
              <w:jc w:val="center"/>
              <w:rPr>
                <w:rFonts w:hint="eastAsia" w:ascii="宋体" w:hAnsi="宋体" w:eastAsiaTheme="minorEastAsia" w:cstheme="minorBidi"/>
                <w:color w:val="000000"/>
                <w:kern w:val="2"/>
                <w:sz w:val="22"/>
                <w:szCs w:val="24"/>
                <w:lang w:val="en-US" w:eastAsia="zh-CN" w:bidi="ar-SA"/>
              </w:rPr>
            </w:pPr>
            <w:r>
              <w:rPr>
                <w:rFonts w:hint="eastAsia" w:ascii="宋体" w:hAnsi="宋体"/>
                <w:color w:val="000000"/>
                <w:sz w:val="22"/>
                <w:szCs w:val="24"/>
              </w:rPr>
              <w:t>50-60cm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303</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2</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新年摆件（购买）</w:t>
            </w:r>
          </w:p>
        </w:tc>
        <w:tc>
          <w:tcPr>
            <w:tcW w:w="712" w:type="pct"/>
            <w:vAlign w:val="center"/>
          </w:tcPr>
          <w:p>
            <w:pPr>
              <w:spacing w:beforeLines="0" w:afterLines="0"/>
              <w:jc w:val="center"/>
              <w:rPr>
                <w:rFonts w:hint="eastAsia" w:ascii="宋体" w:hAnsi="宋体" w:eastAsiaTheme="minorEastAsia" w:cstheme="minorBidi"/>
                <w:color w:val="000000"/>
                <w:kern w:val="2"/>
                <w:sz w:val="22"/>
                <w:szCs w:val="24"/>
                <w:lang w:val="en-US" w:eastAsia="zh-CN" w:bidi="ar-SA"/>
              </w:rPr>
            </w:pPr>
            <w:r>
              <w:rPr>
                <w:rFonts w:hint="eastAsia" w:ascii="宋体" w:hAnsi="宋体"/>
                <w:color w:val="000000"/>
                <w:sz w:val="22"/>
                <w:szCs w:val="24"/>
              </w:rPr>
              <w:t>50cm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189</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2</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28" w:type="pct"/>
            <w:vAlign w:val="center"/>
          </w:tcPr>
          <w:p>
            <w:pPr>
              <w:spacing w:beforeLines="0" w:afterLines="0"/>
              <w:jc w:val="center"/>
              <w:rPr>
                <w:rFonts w:hint="eastAsia" w:ascii="宋体" w:hAnsi="宋体" w:eastAsiaTheme="minorEastAsia" w:cstheme="minorBidi"/>
                <w:color w:val="000000"/>
                <w:kern w:val="2"/>
                <w:sz w:val="24"/>
                <w:szCs w:val="24"/>
                <w:lang w:val="en-US" w:eastAsia="zh-CN" w:bidi="ar-SA"/>
              </w:rPr>
            </w:pPr>
            <w:r>
              <w:rPr>
                <w:rFonts w:hint="eastAsia" w:ascii="宋体" w:hAnsi="宋体"/>
                <w:color w:val="000000"/>
                <w:sz w:val="24"/>
                <w:szCs w:val="24"/>
              </w:rPr>
              <w:t>灯笼（购买）</w:t>
            </w:r>
          </w:p>
        </w:tc>
        <w:tc>
          <w:tcPr>
            <w:tcW w:w="712" w:type="pct"/>
            <w:vAlign w:val="center"/>
          </w:tcPr>
          <w:p>
            <w:pPr>
              <w:spacing w:beforeLines="0" w:afterLines="0"/>
              <w:jc w:val="center"/>
              <w:rPr>
                <w:rFonts w:hint="eastAsia" w:ascii="宋体" w:hAnsi="宋体" w:eastAsiaTheme="minorEastAsia" w:cstheme="minorBidi"/>
                <w:color w:val="000000"/>
                <w:kern w:val="2"/>
                <w:sz w:val="22"/>
                <w:szCs w:val="24"/>
                <w:lang w:val="en-US" w:eastAsia="zh-CN" w:bidi="ar-SA"/>
              </w:rPr>
            </w:pPr>
            <w:r>
              <w:rPr>
                <w:rFonts w:hint="eastAsia" w:ascii="宋体" w:hAnsi="宋体"/>
                <w:color w:val="000000"/>
                <w:sz w:val="22"/>
                <w:szCs w:val="24"/>
              </w:rPr>
              <w:t>3-5cm</w:t>
            </w:r>
          </w:p>
        </w:tc>
        <w:tc>
          <w:tcPr>
            <w:tcW w:w="684" w:type="pct"/>
            <w:vAlign w:val="center"/>
          </w:tcPr>
          <w:p>
            <w:pPr>
              <w:spacing w:beforeLines="0" w:afterLines="0"/>
              <w:jc w:val="center"/>
              <w:rPr>
                <w:rFonts w:hint="default" w:ascii="宋体" w:hAnsi="宋体" w:eastAsiaTheme="minorEastAsia" w:cstheme="minorBidi"/>
                <w:color w:val="000000"/>
                <w:kern w:val="2"/>
                <w:sz w:val="22"/>
                <w:szCs w:val="24"/>
                <w:lang w:val="en-US" w:eastAsia="zh-CN" w:bidi="ar-SA"/>
              </w:rPr>
            </w:pPr>
            <w:r>
              <w:rPr>
                <w:rFonts w:hint="eastAsia" w:ascii="宋体" w:hAnsi="宋体" w:cstheme="minorBidi"/>
                <w:color w:val="000000"/>
                <w:kern w:val="2"/>
                <w:sz w:val="22"/>
                <w:szCs w:val="24"/>
                <w:lang w:val="en-US" w:eastAsia="zh-CN" w:bidi="ar-SA"/>
              </w:rPr>
              <w:t>16</w:t>
            </w:r>
          </w:p>
        </w:tc>
        <w:tc>
          <w:tcPr>
            <w:tcW w:w="906"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446"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10</w:t>
            </w:r>
          </w:p>
        </w:tc>
        <w:tc>
          <w:tcPr>
            <w:tcW w:w="423" w:type="pct"/>
            <w:vAlign w:val="center"/>
          </w:tcPr>
          <w:p>
            <w:pPr>
              <w:keepNext w:val="0"/>
              <w:keepLines w:val="0"/>
              <w:widowControl/>
              <w:suppressLineNumbers w:val="0"/>
              <w:jc w:val="center"/>
              <w:textAlignment w:val="center"/>
              <w:rPr>
                <w:rFonts w:hint="default" w:asciiTheme="minorEastAsia" w:hAnsi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w:t>
            </w:r>
          </w:p>
        </w:tc>
        <w:tc>
          <w:tcPr>
            <w:tcW w:w="428" w:type="pct"/>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c>
          <w:tcPr>
            <w:tcW w:w="767" w:type="pct"/>
            <w:vMerge w:val="continue"/>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232" w:type="pct"/>
            <w:gridSpan w:val="7"/>
            <w:vAlign w:val="center"/>
          </w:tcPr>
          <w:p>
            <w:pPr>
              <w:keepNext w:val="0"/>
              <w:keepLines w:val="0"/>
              <w:widowControl/>
              <w:suppressLineNumbers w:val="0"/>
              <w:jc w:val="right"/>
              <w:textAlignment w:val="center"/>
              <w:rPr>
                <w:rFonts w:hint="eastAsia" w:asciiTheme="minorEastAsia" w:hAnsiTheme="minorEastAsia" w:cstheme="minorEastAsia"/>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合计（以上一次性购买费用小计之和）</w:t>
            </w:r>
          </w:p>
        </w:tc>
        <w:tc>
          <w:tcPr>
            <w:tcW w:w="767" w:type="pct"/>
            <w:vAlign w:val="center"/>
          </w:tcPr>
          <w:p>
            <w:pPr>
              <w:keepNext w:val="0"/>
              <w:keepLines w:val="0"/>
              <w:widowControl/>
              <w:suppressLineNumbers w:val="0"/>
              <w:jc w:val="center"/>
              <w:textAlignment w:val="center"/>
              <w:rPr>
                <w:rFonts w:hint="eastAsia" w:asciiTheme="minorEastAsia" w:hAnsiTheme="minorEastAsia" w:cstheme="minorEastAsia"/>
                <w:i w:val="0"/>
                <w:color w:val="000000"/>
                <w:kern w:val="0"/>
                <w:sz w:val="24"/>
                <w:szCs w:val="24"/>
                <w:highlight w:val="none"/>
                <w:u w:val="none"/>
                <w:lang w:val="en-US" w:eastAsia="zh-CN" w:bidi="ar"/>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黑体" w:hAnsi="黑体" w:eastAsia="黑体" w:cs="黑体"/>
          <w:sz w:val="28"/>
          <w:szCs w:val="28"/>
          <w:highlight w:val="none"/>
          <w:u w:val="none"/>
          <w:lang w:val="en-US" w:eastAsia="zh-CN"/>
        </w:rPr>
      </w:pPr>
      <w:r>
        <w:rPr>
          <w:rFonts w:hint="eastAsia" w:ascii="黑体" w:hAnsi="黑体" w:eastAsia="黑体" w:cs="黑体"/>
          <w:b/>
          <w:bCs/>
          <w:sz w:val="28"/>
          <w:szCs w:val="28"/>
          <w:highlight w:val="none"/>
          <w:lang w:val="en-US" w:eastAsia="zh-CN"/>
        </w:rPr>
        <w:t>综上，本次采购的总计报价为</w:t>
      </w:r>
      <w:r>
        <w:rPr>
          <w:rFonts w:hint="eastAsia" w:ascii="黑体" w:hAnsi="黑体" w:eastAsia="黑体" w:cs="黑体"/>
          <w:sz w:val="28"/>
          <w:szCs w:val="28"/>
          <w:highlight w:val="none"/>
          <w:u w:val="none"/>
          <w:lang w:val="en-US" w:eastAsia="zh-CN"/>
        </w:rPr>
        <w:t>（报价=月租合计+一次性购买合计）</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default" w:ascii="黑体" w:hAnsi="黑体" w:eastAsia="黑体" w:cs="黑体"/>
          <w:sz w:val="21"/>
          <w:szCs w:val="21"/>
          <w:highlight w:val="none"/>
          <w:lang w:val="en-US" w:eastAsia="zh-CN"/>
        </w:rPr>
      </w:pPr>
      <w:r>
        <w:rPr>
          <w:rFonts w:hint="eastAsia" w:asciiTheme="minorEastAsia" w:hAnsiTheme="minorEastAsia" w:eastAsiaTheme="minorEastAsia" w:cstheme="minorEastAsia"/>
          <w:b/>
          <w:bCs/>
          <w:sz w:val="28"/>
          <w:szCs w:val="28"/>
          <w:highlight w:val="none"/>
          <w:lang w:val="en-US" w:eastAsia="zh-CN"/>
        </w:rPr>
        <w:t>________________</w:t>
      </w:r>
      <w:r>
        <w:rPr>
          <w:rFonts w:hint="eastAsia" w:ascii="黑体" w:hAnsi="黑体" w:eastAsia="黑体" w:cs="黑体"/>
          <w:b/>
          <w:bCs/>
          <w:sz w:val="28"/>
          <w:szCs w:val="28"/>
          <w:highlight w:val="none"/>
          <w:lang w:val="en-US" w:eastAsia="zh-CN"/>
        </w:rPr>
        <w:t>元</w:t>
      </w:r>
      <w:r>
        <w:rPr>
          <w:rFonts w:hint="eastAsia" w:ascii="黑体" w:hAnsi="黑体" w:eastAsia="黑体" w:cs="黑体"/>
          <w:sz w:val="28"/>
          <w:szCs w:val="28"/>
          <w:highlight w:val="none"/>
          <w:u w:val="none"/>
          <w:lang w:val="en-US" w:eastAsia="zh-CN"/>
        </w:rPr>
        <w:t>。（此为预估总价，以实际结算为准，投标人请以该报价填入系统内以便比价。）</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default" w:eastAsia="宋体" w:asciiTheme="minorEastAsia" w:hAnsiTheme="minorEastAsia" w:cstheme="minorEastAsia"/>
          <w:b w:val="0"/>
          <w:bCs w:val="0"/>
          <w:color w:val="auto"/>
          <w:sz w:val="21"/>
          <w:szCs w:val="21"/>
          <w:highlight w:val="none"/>
          <w:lang w:val="en-US" w:eastAsia="zh-CN"/>
        </w:rPr>
      </w:pPr>
      <w:r>
        <w:rPr>
          <w:rFonts w:hint="eastAsia" w:ascii="宋体" w:hAnsi="宋体" w:eastAsia="宋体" w:cs="宋体"/>
          <w:b w:val="0"/>
          <w:bCs w:val="0"/>
          <w:color w:val="auto"/>
          <w:sz w:val="24"/>
          <w:szCs w:val="24"/>
          <w:lang w:val="en-US" w:eastAsia="zh-CN"/>
        </w:rPr>
        <w:t>（注：1.以上报价包括乙方向甲方提供服务全过程产生的所有费用。合计报价请四舍五入保留两位小数，请确保单项报价准确无误。</w:t>
      </w:r>
      <w:r>
        <w:rPr>
          <w:rFonts w:hint="eastAsia" w:asciiTheme="minorEastAsia" w:hAnsiTheme="minorEastAsia" w:cstheme="minorEastAsia"/>
          <w:b w:val="0"/>
          <w:bCs w:val="0"/>
          <w:color w:val="auto"/>
          <w:sz w:val="21"/>
          <w:szCs w:val="21"/>
          <w:highlight w:val="none"/>
          <w:lang w:val="en-US" w:eastAsia="zh-CN"/>
        </w:rPr>
        <w:br w:type="textWrapping"/>
      </w:r>
      <w:r>
        <w:rPr>
          <w:rFonts w:hint="eastAsia" w:asciiTheme="minorEastAsia" w:hAnsiTheme="minorEastAsia" w:cstheme="minorEastAsia"/>
          <w:b/>
          <w:bCs/>
          <w:color w:val="auto"/>
          <w:sz w:val="21"/>
          <w:szCs w:val="21"/>
          <w:highlight w:val="none"/>
          <w:lang w:val="en-US" w:eastAsia="zh-CN"/>
        </w:rPr>
        <w:t>2.</w:t>
      </w:r>
      <w:r>
        <w:rPr>
          <w:rFonts w:ascii="宋体" w:hAnsi="宋体" w:eastAsia="宋体" w:cs="宋体"/>
          <w:b/>
          <w:bCs/>
          <w:color w:val="auto"/>
          <w:sz w:val="24"/>
          <w:szCs w:val="24"/>
        </w:rPr>
        <w:t>以上</w:t>
      </w:r>
      <w:r>
        <w:rPr>
          <w:rFonts w:hint="eastAsia" w:ascii="宋体" w:hAnsi="宋体" w:eastAsia="宋体" w:cs="宋体"/>
          <w:b/>
          <w:bCs/>
          <w:color w:val="auto"/>
          <w:sz w:val="24"/>
          <w:szCs w:val="24"/>
          <w:lang w:val="en-US" w:eastAsia="zh-CN"/>
        </w:rPr>
        <w:t>绿植</w:t>
      </w:r>
      <w:r>
        <w:rPr>
          <w:rFonts w:ascii="宋体" w:hAnsi="宋体" w:eastAsia="宋体" w:cs="宋体"/>
          <w:b/>
          <w:bCs/>
          <w:color w:val="auto"/>
          <w:sz w:val="24"/>
          <w:szCs w:val="24"/>
        </w:rPr>
        <w:t>的采购数量</w:t>
      </w:r>
      <w:r>
        <w:rPr>
          <w:rFonts w:hint="eastAsia" w:ascii="宋体" w:hAnsi="宋体" w:eastAsia="宋体" w:cs="宋体"/>
          <w:b/>
          <w:bCs/>
          <w:color w:val="auto"/>
          <w:sz w:val="24"/>
          <w:szCs w:val="24"/>
          <w:lang w:val="en-US" w:eastAsia="zh-CN"/>
        </w:rPr>
        <w:t>不受预估数量限制，</w:t>
      </w:r>
      <w:r>
        <w:rPr>
          <w:rFonts w:ascii="宋体" w:hAnsi="宋体" w:eastAsia="宋体" w:cs="宋体"/>
          <w:b/>
          <w:bCs/>
          <w:color w:val="auto"/>
          <w:sz w:val="24"/>
          <w:szCs w:val="24"/>
        </w:rPr>
        <w:t>由我司根据实际</w:t>
      </w:r>
      <w:r>
        <w:rPr>
          <w:rFonts w:hint="eastAsia" w:ascii="宋体" w:hAnsi="宋体" w:eastAsia="宋体" w:cs="宋体"/>
          <w:b/>
          <w:bCs/>
          <w:color w:val="auto"/>
          <w:sz w:val="24"/>
          <w:szCs w:val="24"/>
          <w:lang w:val="en-US" w:eastAsia="zh-CN"/>
        </w:rPr>
        <w:t>需求</w:t>
      </w:r>
      <w:r>
        <w:rPr>
          <w:rFonts w:ascii="宋体" w:hAnsi="宋体" w:eastAsia="宋体" w:cs="宋体"/>
          <w:b/>
          <w:bCs/>
          <w:color w:val="auto"/>
          <w:sz w:val="24"/>
          <w:szCs w:val="24"/>
        </w:rPr>
        <w:t>确定，结算时以所采购</w:t>
      </w:r>
      <w:r>
        <w:rPr>
          <w:rFonts w:hint="eastAsia" w:ascii="宋体" w:hAnsi="宋体" w:eastAsia="宋体" w:cs="宋体"/>
          <w:b/>
          <w:bCs/>
          <w:color w:val="auto"/>
          <w:sz w:val="24"/>
          <w:szCs w:val="24"/>
          <w:lang w:val="en-US" w:eastAsia="zh-CN"/>
        </w:rPr>
        <w:t>绿植</w:t>
      </w:r>
      <w:r>
        <w:rPr>
          <w:rFonts w:ascii="宋体" w:hAnsi="宋体" w:eastAsia="宋体" w:cs="宋体"/>
          <w:b/>
          <w:bCs/>
          <w:color w:val="auto"/>
          <w:sz w:val="24"/>
          <w:szCs w:val="24"/>
        </w:rPr>
        <w:t>实际数量和</w:t>
      </w:r>
      <w:r>
        <w:rPr>
          <w:rFonts w:hint="eastAsia" w:ascii="宋体" w:hAnsi="宋体" w:eastAsia="宋体" w:cs="宋体"/>
          <w:b/>
          <w:bCs/>
          <w:color w:val="auto"/>
          <w:sz w:val="24"/>
          <w:szCs w:val="24"/>
          <w:lang w:val="en-US" w:eastAsia="zh-CN"/>
        </w:rPr>
        <w:t>对应</w:t>
      </w:r>
      <w:r>
        <w:rPr>
          <w:rFonts w:ascii="宋体" w:hAnsi="宋体" w:eastAsia="宋体" w:cs="宋体"/>
          <w:b/>
          <w:bCs/>
          <w:color w:val="auto"/>
          <w:sz w:val="24"/>
          <w:szCs w:val="24"/>
        </w:rPr>
        <w:t>报价单价进行</w:t>
      </w:r>
      <w:r>
        <w:rPr>
          <w:rFonts w:hint="eastAsia" w:ascii="宋体" w:hAnsi="宋体" w:eastAsia="宋体" w:cs="宋体"/>
          <w:b/>
          <w:bCs/>
          <w:color w:val="auto"/>
          <w:sz w:val="24"/>
          <w:szCs w:val="24"/>
          <w:lang w:val="en-US" w:eastAsia="zh-CN"/>
        </w:rPr>
        <w:t>据实</w:t>
      </w:r>
      <w:bookmarkStart w:id="0" w:name="_GoBack"/>
      <w:bookmarkEnd w:id="0"/>
      <w:r>
        <w:rPr>
          <w:rFonts w:ascii="宋体" w:hAnsi="宋体" w:eastAsia="宋体" w:cs="宋体"/>
          <w:b/>
          <w:bCs/>
          <w:color w:val="auto"/>
          <w:sz w:val="24"/>
          <w:szCs w:val="24"/>
        </w:rPr>
        <w:t>结算。</w:t>
      </w:r>
      <w:r>
        <w:rPr>
          <w:rFonts w:ascii="宋体" w:hAnsi="宋体" w:eastAsia="宋体" w:cs="宋体"/>
          <w:b/>
          <w:bCs/>
          <w:color w:val="auto"/>
          <w:sz w:val="24"/>
          <w:szCs w:val="24"/>
        </w:rPr>
        <w:br w:type="textWrapping"/>
      </w:r>
      <w:r>
        <w:rPr>
          <w:rFonts w:hint="eastAsia" w:ascii="宋体" w:hAnsi="宋体" w:eastAsia="宋体" w:cs="宋体"/>
          <w:b/>
          <w:bCs/>
          <w:color w:val="auto"/>
          <w:sz w:val="24"/>
          <w:szCs w:val="24"/>
          <w:lang w:val="en-US" w:eastAsia="zh-CN"/>
        </w:rPr>
        <w:t>3.本报价清单所有绿植均需逐项填报价格，且报价不得高于每项绿植的限价，漏填任一绿植报价将视为无效报价，不参与最低价中标评审。）</w:t>
      </w:r>
      <w:r>
        <w:rPr>
          <w:rFonts w:hint="eastAsia" w:ascii="宋体" w:hAnsi="宋体" w:eastAsia="宋体" w:cs="宋体"/>
          <w:b/>
          <w:bCs/>
          <w:color w:val="auto"/>
          <w:sz w:val="24"/>
          <w:szCs w:val="24"/>
          <w:lang w:val="en-US" w:eastAsia="zh-CN"/>
        </w:rPr>
        <w:br w:type="textWrapp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b/>
          <w:bCs/>
          <w:color w:val="FF0000"/>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3600" w:firstLineChars="1500"/>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4"/>
          <w:szCs w:val="24"/>
          <w:highlight w:val="none"/>
          <w:lang w:val="en-US" w:eastAsia="zh-CN"/>
        </w:rPr>
        <w:t>报价单位（盖章）：</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exact"/>
        <w:ind w:firstLine="3600" w:firstLineChars="1500"/>
        <w:textAlignment w:val="auto"/>
        <w:rPr>
          <w:rFonts w:hint="default" w:ascii="仿宋_GB2312" w:hAnsi="仿宋_GB2312" w:eastAsia="仿宋_GB2312" w:cs="仿宋_GB2312"/>
          <w:sz w:val="32"/>
          <w:szCs w:val="32"/>
          <w:highlight w:val="none"/>
          <w:lang w:val="en-US" w:eastAsia="zh-CN"/>
        </w:rPr>
      </w:pPr>
      <w:r>
        <w:rPr>
          <w:rFonts w:hint="eastAsia" w:asciiTheme="minorEastAsia" w:hAnsiTheme="minorEastAsia" w:eastAsiaTheme="minorEastAsia" w:cstheme="minorEastAsia"/>
          <w:sz w:val="24"/>
          <w:szCs w:val="24"/>
          <w:highlight w:val="none"/>
          <w:lang w:val="en-US" w:eastAsia="zh-CN"/>
        </w:rPr>
        <w:t>时    间：      年</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rPr>
        <w:t xml:space="preserve">   月</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rPr>
        <w:t xml:space="preserve">   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附件2：</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sz w:val="32"/>
          <w:szCs w:val="32"/>
          <w:highlight w:val="none"/>
          <w:lang w:val="en-US" w:eastAsia="zh-CN"/>
        </w:rPr>
      </w:pPr>
      <w:r>
        <w:rPr>
          <w:rFonts w:hint="eastAsia" w:ascii="方正小标宋_GBK" w:hAnsi="方正小标宋_GBK" w:eastAsia="方正小标宋_GBK" w:cs="方正小标宋_GBK"/>
          <w:sz w:val="32"/>
          <w:szCs w:val="32"/>
          <w:highlight w:val="none"/>
          <w:lang w:val="en-US" w:eastAsia="zh-CN"/>
        </w:rPr>
        <w:t>绿植确定单</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订单编号：</w:t>
      </w:r>
      <w:r>
        <w:rPr>
          <w:rFonts w:hint="eastAsia" w:asciiTheme="minorEastAsia" w:hAnsiTheme="minorEastAsia" w:cstheme="minorEastAsia"/>
          <w:i/>
          <w:iCs/>
          <w:sz w:val="21"/>
          <w:szCs w:val="21"/>
          <w:highlight w:val="none"/>
          <w:lang w:val="en-US" w:eastAsia="zh-CN"/>
        </w:rPr>
        <w:t>以</w:t>
      </w:r>
      <w:r>
        <w:rPr>
          <w:rFonts w:hint="eastAsia" w:asciiTheme="minorEastAsia" w:hAnsiTheme="minorEastAsia" w:eastAsiaTheme="minorEastAsia" w:cstheme="minorEastAsia"/>
          <w:i/>
          <w:iCs/>
          <w:sz w:val="21"/>
          <w:szCs w:val="21"/>
          <w:highlight w:val="none"/>
          <w:lang w:val="en-US" w:eastAsia="zh-CN"/>
        </w:rPr>
        <w:t>填写委托书时的年月日时分数字来避免编号的重复，如202409191450</w:t>
      </w:r>
    </w:p>
    <w:tbl>
      <w:tblPr>
        <w:tblStyle w:val="4"/>
        <w:tblW w:w="8857" w:type="dxa"/>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1720"/>
        <w:gridCol w:w="1913"/>
        <w:gridCol w:w="2258"/>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8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订单时间</w:t>
            </w:r>
          </w:p>
        </w:tc>
        <w:tc>
          <w:tcPr>
            <w:tcW w:w="17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绿植品种</w:t>
            </w:r>
          </w:p>
        </w:tc>
        <w:tc>
          <w:tcPr>
            <w:tcW w:w="191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数量</w:t>
            </w:r>
          </w:p>
        </w:tc>
        <w:tc>
          <w:tcPr>
            <w:tcW w:w="22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使用日期</w:t>
            </w:r>
          </w:p>
        </w:tc>
        <w:tc>
          <w:tcPr>
            <w:tcW w:w="109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trPr>
        <w:tc>
          <w:tcPr>
            <w:tcW w:w="18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i/>
                <w:iCs/>
                <w:sz w:val="21"/>
                <w:szCs w:val="21"/>
                <w:highlight w:val="none"/>
                <w:vertAlign w:val="baseline"/>
                <w:lang w:val="en-US" w:eastAsia="zh-CN"/>
              </w:rPr>
              <w:t>20XX年X月X日</w:t>
            </w:r>
          </w:p>
        </w:tc>
        <w:tc>
          <w:tcPr>
            <w:tcW w:w="17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stheme="minorEastAsia"/>
                <w:i/>
                <w:iCs/>
                <w:sz w:val="21"/>
                <w:szCs w:val="21"/>
                <w:highlight w:val="none"/>
                <w:vertAlign w:val="baseline"/>
                <w:lang w:val="en-US" w:eastAsia="zh-CN"/>
              </w:rPr>
            </w:pPr>
          </w:p>
        </w:tc>
        <w:tc>
          <w:tcPr>
            <w:tcW w:w="191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cstheme="minorEastAsia"/>
                <w:i/>
                <w:iCs/>
                <w:sz w:val="21"/>
                <w:szCs w:val="21"/>
                <w:highlight w:val="none"/>
                <w:vertAlign w:val="baseline"/>
                <w:lang w:val="en-US" w:eastAsia="zh-CN"/>
              </w:rPr>
            </w:pPr>
          </w:p>
        </w:tc>
        <w:tc>
          <w:tcPr>
            <w:tcW w:w="2258" w:type="dxa"/>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stheme="minorEastAsia"/>
                <w:sz w:val="21"/>
                <w:szCs w:val="21"/>
                <w:highlight w:val="none"/>
                <w:vertAlign w:val="baseline"/>
                <w:lang w:val="en-US" w:eastAsia="zh-CN"/>
              </w:rPr>
            </w:pPr>
          </w:p>
        </w:tc>
        <w:tc>
          <w:tcPr>
            <w:tcW w:w="1096" w:type="dxa"/>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sz w:val="21"/>
                <w:szCs w:val="21"/>
                <w:highlight w:val="non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甲方（盖章）：                              乙方（盖章）：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联系人：                                    联系人：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附件3：</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2"/>
          <w:szCs w:val="32"/>
          <w:highlight w:val="none"/>
          <w:lang w:val="en-US" w:eastAsia="zh-CN"/>
        </w:rPr>
      </w:pPr>
      <w:r>
        <w:rPr>
          <w:rFonts w:hint="eastAsia" w:ascii="方正小标宋_GBK" w:hAnsi="方正小标宋_GBK" w:eastAsia="方正小标宋_GBK" w:cs="方正小标宋_GBK"/>
          <w:sz w:val="32"/>
          <w:szCs w:val="32"/>
          <w:highlight w:val="none"/>
          <w:lang w:val="en-US" w:eastAsia="zh-CN"/>
        </w:rPr>
        <w:t>结算验收书</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sz w:val="21"/>
          <w:szCs w:val="21"/>
          <w:highlight w:val="none"/>
          <w:lang w:val="en-US" w:eastAsia="zh-CN"/>
        </w:rPr>
      </w:pPr>
    </w:p>
    <w:tbl>
      <w:tblPr>
        <w:tblStyle w:val="4"/>
        <w:tblW w:w="9476" w:type="dxa"/>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6"/>
        <w:gridCol w:w="1289"/>
        <w:gridCol w:w="1452"/>
        <w:gridCol w:w="1997"/>
        <w:gridCol w:w="1906"/>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906" w:type="dxa"/>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2"/>
                <w:sz w:val="24"/>
                <w:szCs w:val="24"/>
                <w:highlight w:val="none"/>
                <w:u w:val="none"/>
                <w:lang w:val="en-US" w:eastAsia="zh-CN" w:bidi="ar-SA"/>
              </w:rPr>
            </w:pPr>
            <w:r>
              <w:rPr>
                <w:rFonts w:hint="eastAsia" w:asciiTheme="minorEastAsia" w:hAnsiTheme="minorEastAsia" w:eastAsiaTheme="minorEastAsia" w:cstheme="minorEastAsia"/>
                <w:b/>
                <w:i w:val="0"/>
                <w:color w:val="000000"/>
                <w:kern w:val="0"/>
                <w:sz w:val="24"/>
                <w:szCs w:val="24"/>
                <w:highlight w:val="none"/>
                <w:u w:val="none"/>
                <w:lang w:val="en-US" w:eastAsia="zh-CN" w:bidi="ar"/>
              </w:rPr>
              <w:t>植物名称</w:t>
            </w:r>
          </w:p>
        </w:tc>
        <w:tc>
          <w:tcPr>
            <w:tcW w:w="1289" w:type="dxa"/>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2"/>
                <w:sz w:val="24"/>
                <w:szCs w:val="24"/>
                <w:highlight w:val="none"/>
                <w:u w:val="none"/>
                <w:lang w:val="en-US" w:eastAsia="zh-CN" w:bidi="ar-SA"/>
              </w:rPr>
            </w:pPr>
            <w:r>
              <w:rPr>
                <w:rFonts w:hint="eastAsia" w:asciiTheme="minorEastAsia" w:hAnsiTheme="minorEastAsia" w:eastAsiaTheme="minorEastAsia" w:cstheme="minorEastAsia"/>
                <w:b/>
                <w:i w:val="0"/>
                <w:color w:val="000000"/>
                <w:kern w:val="0"/>
                <w:sz w:val="24"/>
                <w:szCs w:val="24"/>
                <w:highlight w:val="none"/>
                <w:u w:val="none"/>
                <w:lang w:val="en-US" w:eastAsia="zh-CN" w:bidi="ar"/>
              </w:rPr>
              <w:t>规格（CM）</w:t>
            </w:r>
          </w:p>
        </w:tc>
        <w:tc>
          <w:tcPr>
            <w:tcW w:w="1452" w:type="dxa"/>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2"/>
                <w:sz w:val="24"/>
                <w:szCs w:val="24"/>
                <w:highlight w:val="none"/>
                <w:u w:val="none"/>
                <w:lang w:val="en-US" w:eastAsia="zh-CN" w:bidi="ar-SA"/>
              </w:rPr>
            </w:pPr>
            <w:r>
              <w:rPr>
                <w:rFonts w:hint="eastAsia" w:asciiTheme="minorEastAsia" w:hAnsiTheme="minorEastAsia" w:eastAsiaTheme="minorEastAsia" w:cstheme="minorEastAsia"/>
                <w:b/>
                <w:i w:val="0"/>
                <w:color w:val="000000"/>
                <w:kern w:val="0"/>
                <w:sz w:val="24"/>
                <w:szCs w:val="24"/>
                <w:highlight w:val="none"/>
                <w:u w:val="none"/>
                <w:lang w:val="en-US" w:eastAsia="zh-CN" w:bidi="ar"/>
              </w:rPr>
              <w:t>数量（盆）</w:t>
            </w:r>
          </w:p>
        </w:tc>
        <w:tc>
          <w:tcPr>
            <w:tcW w:w="1997" w:type="dxa"/>
            <w:vAlign w:val="center"/>
          </w:tcPr>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highlight w:val="none"/>
                <w:u w:val="none"/>
                <w:lang w:val="en-US" w:eastAsia="zh-CN" w:bidi="ar"/>
              </w:rPr>
            </w:pPr>
            <w:r>
              <w:rPr>
                <w:rFonts w:hint="eastAsia" w:asciiTheme="minorEastAsia" w:hAnsiTheme="minorEastAsia" w:cstheme="minorEastAsia"/>
                <w:b/>
                <w:i w:val="0"/>
                <w:color w:val="000000"/>
                <w:kern w:val="0"/>
                <w:sz w:val="24"/>
                <w:szCs w:val="24"/>
                <w:highlight w:val="none"/>
                <w:u w:val="none"/>
                <w:lang w:val="en-US" w:eastAsia="zh-CN" w:bidi="ar"/>
              </w:rPr>
              <w:t>金额（元）</w:t>
            </w:r>
          </w:p>
        </w:tc>
        <w:tc>
          <w:tcPr>
            <w:tcW w:w="190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验收结果</w:t>
            </w:r>
          </w:p>
        </w:tc>
        <w:tc>
          <w:tcPr>
            <w:tcW w:w="92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1" w:hRule="atLeast"/>
        </w:trPr>
        <w:tc>
          <w:tcPr>
            <w:tcW w:w="190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sz w:val="21"/>
                <w:szCs w:val="21"/>
                <w:highlight w:val="none"/>
                <w:vertAlign w:val="baseline"/>
                <w:lang w:val="en-US" w:eastAsia="zh-CN"/>
              </w:rPr>
            </w:pPr>
          </w:p>
        </w:tc>
        <w:tc>
          <w:tcPr>
            <w:tcW w:w="128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Theme="minorEastAsia" w:hAnsiTheme="minorEastAsia" w:eastAsiaTheme="minorEastAsia" w:cstheme="minorEastAsia"/>
                <w:i/>
                <w:iCs/>
                <w:sz w:val="21"/>
                <w:szCs w:val="21"/>
                <w:highlight w:val="none"/>
                <w:vertAlign w:val="baseline"/>
                <w:lang w:val="en-US" w:eastAsia="zh-CN"/>
              </w:rPr>
            </w:pPr>
          </w:p>
        </w:tc>
        <w:tc>
          <w:tcPr>
            <w:tcW w:w="145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cstheme="minorEastAsia"/>
                <w:i/>
                <w:iCs/>
                <w:sz w:val="21"/>
                <w:szCs w:val="21"/>
                <w:highlight w:val="none"/>
                <w:vertAlign w:val="baseline"/>
                <w:lang w:val="en-US" w:eastAsia="zh-CN"/>
              </w:rPr>
            </w:pPr>
          </w:p>
        </w:tc>
        <w:tc>
          <w:tcPr>
            <w:tcW w:w="199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eastAsiaTheme="minorEastAsia" w:cstheme="minorEastAsia"/>
                <w:i/>
                <w:iCs/>
                <w:sz w:val="21"/>
                <w:szCs w:val="21"/>
                <w:highlight w:val="none"/>
                <w:vertAlign w:val="baseline"/>
                <w:lang w:val="en-US" w:eastAsia="zh-CN"/>
              </w:rPr>
            </w:pPr>
          </w:p>
        </w:tc>
        <w:tc>
          <w:tcPr>
            <w:tcW w:w="190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Theme="minorEastAsia" w:hAnsi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sym w:font="Wingdings" w:char="00A8"/>
            </w:r>
            <w:r>
              <w:rPr>
                <w:rFonts w:hint="eastAsia" w:asciiTheme="minorEastAsia" w:hAnsiTheme="minorEastAsia" w:cstheme="minorEastAsia"/>
                <w:sz w:val="21"/>
                <w:szCs w:val="21"/>
                <w:highlight w:val="none"/>
                <w:vertAlign w:val="baseline"/>
                <w:lang w:val="en-US" w:eastAsia="zh-CN"/>
              </w:rPr>
              <w:t>合格</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Theme="minorEastAsia" w:hAnsiTheme="minorEastAsia" w:cstheme="minorEastAsia"/>
                <w:sz w:val="21"/>
                <w:szCs w:val="21"/>
                <w:highlight w:val="none"/>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cstheme="minorEastAsia"/>
                <w:sz w:val="21"/>
                <w:szCs w:val="21"/>
                <w:highlight w:val="none"/>
                <w:vertAlign w:val="baseline"/>
                <w:lang w:val="en-US" w:eastAsia="zh-CN"/>
              </w:rPr>
            </w:pPr>
            <w:r>
              <w:rPr>
                <w:rFonts w:hint="default" w:asciiTheme="minorEastAsia" w:hAnsiTheme="minorEastAsia" w:cstheme="minorEastAsia"/>
                <w:sz w:val="21"/>
                <w:szCs w:val="21"/>
                <w:highlight w:val="none"/>
                <w:vertAlign w:val="baseline"/>
                <w:lang w:val="en-US" w:eastAsia="zh-CN"/>
              </w:rPr>
              <w:sym w:font="Wingdings" w:char="00A8"/>
            </w:r>
            <w:r>
              <w:rPr>
                <w:rFonts w:hint="eastAsia" w:asciiTheme="minorEastAsia" w:hAnsiTheme="minorEastAsia" w:cstheme="minorEastAsia"/>
                <w:sz w:val="21"/>
                <w:szCs w:val="21"/>
                <w:highlight w:val="none"/>
                <w:vertAlign w:val="baseline"/>
                <w:lang w:val="en-US" w:eastAsia="zh-CN"/>
              </w:rPr>
              <w:t>不合格</w:t>
            </w:r>
          </w:p>
        </w:tc>
        <w:tc>
          <w:tcPr>
            <w:tcW w:w="92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sz w:val="21"/>
                <w:szCs w:val="21"/>
                <w:highlight w:val="non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验收意见：</w:t>
      </w:r>
      <w:r>
        <w:rPr>
          <w:rFonts w:hint="eastAsia" w:ascii="仿宋_GB2312" w:hAnsi="仿宋_GB2312" w:eastAsia="仿宋_GB2312" w:cs="仿宋_GB2312"/>
          <w:i/>
          <w:iCs/>
          <w:sz w:val="24"/>
          <w:szCs w:val="24"/>
          <w:highlight w:val="none"/>
          <w:lang w:val="en-US" w:eastAsia="zh-CN"/>
        </w:rPr>
        <w:t>[可详细描述验收过程中发现的问题或对服务的总体评价]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甲方（盖章）：                              乙方（盖章）：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验收人：                                    联系人：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highlight w:val="none"/>
          <w:lang w:val="en-US" w:eastAsia="zh-CN"/>
        </w:rPr>
      </w:pP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8F397B"/>
    <w:multiLevelType w:val="singleLevel"/>
    <w:tmpl w:val="1F8F397B"/>
    <w:lvl w:ilvl="0" w:tentative="0">
      <w:start w:val="2"/>
      <w:numFmt w:val="chineseCounting"/>
      <w:suff w:val="nothing"/>
      <w:lvlText w:val="（%1）"/>
      <w:lvlJc w:val="left"/>
      <w:pPr>
        <w:ind w:left="-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5ZTA3NWJjMGVlYmY5ODhkMjQ1NmU2MWQwNmZjZjQifQ=="/>
  </w:docVars>
  <w:rsids>
    <w:rsidRoot w:val="00000000"/>
    <w:rsid w:val="000B498E"/>
    <w:rsid w:val="003F7EF7"/>
    <w:rsid w:val="004E4C8E"/>
    <w:rsid w:val="0057244D"/>
    <w:rsid w:val="007C1999"/>
    <w:rsid w:val="00B420B4"/>
    <w:rsid w:val="00B8433E"/>
    <w:rsid w:val="00CE2C5E"/>
    <w:rsid w:val="0112244E"/>
    <w:rsid w:val="02532A52"/>
    <w:rsid w:val="02B16677"/>
    <w:rsid w:val="032E14C4"/>
    <w:rsid w:val="03FF761E"/>
    <w:rsid w:val="0444488F"/>
    <w:rsid w:val="04452310"/>
    <w:rsid w:val="04C81265"/>
    <w:rsid w:val="055C13E9"/>
    <w:rsid w:val="05965135"/>
    <w:rsid w:val="06C248A3"/>
    <w:rsid w:val="070C5F9C"/>
    <w:rsid w:val="072E19D4"/>
    <w:rsid w:val="07D956F0"/>
    <w:rsid w:val="07F45F69"/>
    <w:rsid w:val="08315941"/>
    <w:rsid w:val="08360008"/>
    <w:rsid w:val="08A076B7"/>
    <w:rsid w:val="08CD39FE"/>
    <w:rsid w:val="08E9552D"/>
    <w:rsid w:val="09DC163D"/>
    <w:rsid w:val="09E15AC5"/>
    <w:rsid w:val="0A470CEC"/>
    <w:rsid w:val="0AB66DA2"/>
    <w:rsid w:val="0AC11B0C"/>
    <w:rsid w:val="0AC30636"/>
    <w:rsid w:val="0B8F0C83"/>
    <w:rsid w:val="0C922E30"/>
    <w:rsid w:val="0D001E0B"/>
    <w:rsid w:val="0D1A400D"/>
    <w:rsid w:val="0D646E08"/>
    <w:rsid w:val="0D8E0749"/>
    <w:rsid w:val="0DB90694"/>
    <w:rsid w:val="0E405FEE"/>
    <w:rsid w:val="0E596F18"/>
    <w:rsid w:val="0E5C5180"/>
    <w:rsid w:val="0EAF071F"/>
    <w:rsid w:val="0EC926CA"/>
    <w:rsid w:val="0EFE54A8"/>
    <w:rsid w:val="0F317B9D"/>
    <w:rsid w:val="0F891019"/>
    <w:rsid w:val="102B5847"/>
    <w:rsid w:val="10771491"/>
    <w:rsid w:val="10E16942"/>
    <w:rsid w:val="116539D5"/>
    <w:rsid w:val="123D7AF8"/>
    <w:rsid w:val="12B415CF"/>
    <w:rsid w:val="1363315E"/>
    <w:rsid w:val="137568FB"/>
    <w:rsid w:val="13AD7CBC"/>
    <w:rsid w:val="13E0285C"/>
    <w:rsid w:val="144F625E"/>
    <w:rsid w:val="14542823"/>
    <w:rsid w:val="148E4E49"/>
    <w:rsid w:val="14A35CE8"/>
    <w:rsid w:val="14A77F72"/>
    <w:rsid w:val="14C07817"/>
    <w:rsid w:val="15C80049"/>
    <w:rsid w:val="1634517A"/>
    <w:rsid w:val="163760FE"/>
    <w:rsid w:val="165D633E"/>
    <w:rsid w:val="176E0406"/>
    <w:rsid w:val="17CA4418"/>
    <w:rsid w:val="182A5635"/>
    <w:rsid w:val="188A4C9E"/>
    <w:rsid w:val="18DC7657"/>
    <w:rsid w:val="19042D9A"/>
    <w:rsid w:val="19B80818"/>
    <w:rsid w:val="1A861C11"/>
    <w:rsid w:val="1A905DA4"/>
    <w:rsid w:val="1AB339DA"/>
    <w:rsid w:val="1ACE7564"/>
    <w:rsid w:val="1AF76A4D"/>
    <w:rsid w:val="1B5F5177"/>
    <w:rsid w:val="1BD50639"/>
    <w:rsid w:val="1C100450"/>
    <w:rsid w:val="1CFC261A"/>
    <w:rsid w:val="1D8A64F7"/>
    <w:rsid w:val="1D951D1C"/>
    <w:rsid w:val="1DAA26B3"/>
    <w:rsid w:val="1EA97CFC"/>
    <w:rsid w:val="1EC31F1B"/>
    <w:rsid w:val="1EF8115B"/>
    <w:rsid w:val="1FA173F5"/>
    <w:rsid w:val="1FA67FFA"/>
    <w:rsid w:val="1FCC1763"/>
    <w:rsid w:val="1FE06EDA"/>
    <w:rsid w:val="20100A06"/>
    <w:rsid w:val="20A73113"/>
    <w:rsid w:val="21270BF7"/>
    <w:rsid w:val="21480A2B"/>
    <w:rsid w:val="219B3202"/>
    <w:rsid w:val="21A223BE"/>
    <w:rsid w:val="21CD5401"/>
    <w:rsid w:val="2316669C"/>
    <w:rsid w:val="23EF2784"/>
    <w:rsid w:val="23FD0F19"/>
    <w:rsid w:val="240F2544"/>
    <w:rsid w:val="249B7927"/>
    <w:rsid w:val="24E64719"/>
    <w:rsid w:val="25AC31DE"/>
    <w:rsid w:val="25EA2CC2"/>
    <w:rsid w:val="2624631F"/>
    <w:rsid w:val="262C6FAF"/>
    <w:rsid w:val="269221D6"/>
    <w:rsid w:val="26F54479"/>
    <w:rsid w:val="28046835"/>
    <w:rsid w:val="284D7A25"/>
    <w:rsid w:val="28AD37CB"/>
    <w:rsid w:val="28E02D20"/>
    <w:rsid w:val="28E107A2"/>
    <w:rsid w:val="28E50B04"/>
    <w:rsid w:val="292C1B1A"/>
    <w:rsid w:val="295C266A"/>
    <w:rsid w:val="29AD1716"/>
    <w:rsid w:val="29AE4672"/>
    <w:rsid w:val="2C025DC0"/>
    <w:rsid w:val="2C0B66D0"/>
    <w:rsid w:val="2C5E3F2E"/>
    <w:rsid w:val="2C755355"/>
    <w:rsid w:val="2C7F4490"/>
    <w:rsid w:val="2CAF71DE"/>
    <w:rsid w:val="2DD76C40"/>
    <w:rsid w:val="2E200339"/>
    <w:rsid w:val="2E6668AF"/>
    <w:rsid w:val="2F471420"/>
    <w:rsid w:val="2F6B035B"/>
    <w:rsid w:val="30203302"/>
    <w:rsid w:val="308E71B9"/>
    <w:rsid w:val="30A5135D"/>
    <w:rsid w:val="314D62F2"/>
    <w:rsid w:val="31B43718"/>
    <w:rsid w:val="31F1685C"/>
    <w:rsid w:val="324C0413"/>
    <w:rsid w:val="32D912FC"/>
    <w:rsid w:val="3359184A"/>
    <w:rsid w:val="335B05D1"/>
    <w:rsid w:val="336B086B"/>
    <w:rsid w:val="33AD177F"/>
    <w:rsid w:val="33F76FEA"/>
    <w:rsid w:val="342E2B27"/>
    <w:rsid w:val="3486483B"/>
    <w:rsid w:val="34CC536B"/>
    <w:rsid w:val="34E27153"/>
    <w:rsid w:val="3513096F"/>
    <w:rsid w:val="35547113"/>
    <w:rsid w:val="35B16527"/>
    <w:rsid w:val="35FA219E"/>
    <w:rsid w:val="36302C3E"/>
    <w:rsid w:val="36751AE8"/>
    <w:rsid w:val="36E6529F"/>
    <w:rsid w:val="37604F68"/>
    <w:rsid w:val="37930204"/>
    <w:rsid w:val="37BF0805"/>
    <w:rsid w:val="3836588A"/>
    <w:rsid w:val="38377F46"/>
    <w:rsid w:val="385F708A"/>
    <w:rsid w:val="38785873"/>
    <w:rsid w:val="38853A46"/>
    <w:rsid w:val="396D7605"/>
    <w:rsid w:val="39CC5062"/>
    <w:rsid w:val="3BA21765"/>
    <w:rsid w:val="3BA7366E"/>
    <w:rsid w:val="3BB10376"/>
    <w:rsid w:val="3BB4167F"/>
    <w:rsid w:val="3BC64F72"/>
    <w:rsid w:val="3DB22783"/>
    <w:rsid w:val="3DB44648"/>
    <w:rsid w:val="3E1E275A"/>
    <w:rsid w:val="3E9E2047"/>
    <w:rsid w:val="3EBF53EE"/>
    <w:rsid w:val="3ED30323"/>
    <w:rsid w:val="3F3C44CF"/>
    <w:rsid w:val="3FB41B8F"/>
    <w:rsid w:val="3FBB3E73"/>
    <w:rsid w:val="3FBC01F6"/>
    <w:rsid w:val="3FEE7D66"/>
    <w:rsid w:val="40D048E5"/>
    <w:rsid w:val="40E655D8"/>
    <w:rsid w:val="412F48FF"/>
    <w:rsid w:val="4143359F"/>
    <w:rsid w:val="4199652C"/>
    <w:rsid w:val="43AB7211"/>
    <w:rsid w:val="43AC0516"/>
    <w:rsid w:val="43C113B5"/>
    <w:rsid w:val="440C12DF"/>
    <w:rsid w:val="445960B0"/>
    <w:rsid w:val="455C6BD8"/>
    <w:rsid w:val="456D75C0"/>
    <w:rsid w:val="458F552D"/>
    <w:rsid w:val="45C81AEB"/>
    <w:rsid w:val="45D43FEC"/>
    <w:rsid w:val="461E3AA0"/>
    <w:rsid w:val="46500769"/>
    <w:rsid w:val="46B77214"/>
    <w:rsid w:val="46EF4D27"/>
    <w:rsid w:val="47134FE8"/>
    <w:rsid w:val="473B19EC"/>
    <w:rsid w:val="473C2E9C"/>
    <w:rsid w:val="47626028"/>
    <w:rsid w:val="47675D33"/>
    <w:rsid w:val="47FB4028"/>
    <w:rsid w:val="48431535"/>
    <w:rsid w:val="48624CD1"/>
    <w:rsid w:val="48CA33FC"/>
    <w:rsid w:val="494C02AD"/>
    <w:rsid w:val="49A83CE4"/>
    <w:rsid w:val="49BC2984"/>
    <w:rsid w:val="4A5F1243"/>
    <w:rsid w:val="4A7965BA"/>
    <w:rsid w:val="4A8536D2"/>
    <w:rsid w:val="4AC85A88"/>
    <w:rsid w:val="4AF02D81"/>
    <w:rsid w:val="4B3756F4"/>
    <w:rsid w:val="4B51409F"/>
    <w:rsid w:val="4B7B7AEE"/>
    <w:rsid w:val="4C2904FF"/>
    <w:rsid w:val="4C58104F"/>
    <w:rsid w:val="4D2A71A9"/>
    <w:rsid w:val="4DB72290"/>
    <w:rsid w:val="4DC8252A"/>
    <w:rsid w:val="4E036E8C"/>
    <w:rsid w:val="4E0E741B"/>
    <w:rsid w:val="4F9A67A2"/>
    <w:rsid w:val="505A2863"/>
    <w:rsid w:val="506F6F85"/>
    <w:rsid w:val="50EC654F"/>
    <w:rsid w:val="50ED7854"/>
    <w:rsid w:val="51241B8B"/>
    <w:rsid w:val="51345A4A"/>
    <w:rsid w:val="5139664E"/>
    <w:rsid w:val="515B4604"/>
    <w:rsid w:val="515D338B"/>
    <w:rsid w:val="51EA6472"/>
    <w:rsid w:val="51FB6FB6"/>
    <w:rsid w:val="52085A22"/>
    <w:rsid w:val="521E3449"/>
    <w:rsid w:val="52660640"/>
    <w:rsid w:val="52C53A06"/>
    <w:rsid w:val="531A23E7"/>
    <w:rsid w:val="531A6B64"/>
    <w:rsid w:val="53803A05"/>
    <w:rsid w:val="53D0487C"/>
    <w:rsid w:val="53FB210B"/>
    <w:rsid w:val="54021060"/>
    <w:rsid w:val="54660D84"/>
    <w:rsid w:val="54BC7595"/>
    <w:rsid w:val="54CF4F30"/>
    <w:rsid w:val="54EE1F62"/>
    <w:rsid w:val="55137FA3"/>
    <w:rsid w:val="55147C23"/>
    <w:rsid w:val="55240EDF"/>
    <w:rsid w:val="553539DB"/>
    <w:rsid w:val="55A2658D"/>
    <w:rsid w:val="55C36AC2"/>
    <w:rsid w:val="56391F84"/>
    <w:rsid w:val="56C86370"/>
    <w:rsid w:val="56D41AFF"/>
    <w:rsid w:val="56E80E23"/>
    <w:rsid w:val="57106764"/>
    <w:rsid w:val="57722F85"/>
    <w:rsid w:val="577C3895"/>
    <w:rsid w:val="578A642E"/>
    <w:rsid w:val="57CC5553"/>
    <w:rsid w:val="57F24B59"/>
    <w:rsid w:val="57F944E3"/>
    <w:rsid w:val="58055D78"/>
    <w:rsid w:val="58D10943"/>
    <w:rsid w:val="590F1AAD"/>
    <w:rsid w:val="59161438"/>
    <w:rsid w:val="591B3341"/>
    <w:rsid w:val="594C608F"/>
    <w:rsid w:val="59BB6342"/>
    <w:rsid w:val="59E71226"/>
    <w:rsid w:val="5A160FDB"/>
    <w:rsid w:val="5A490530"/>
    <w:rsid w:val="5A9B7581"/>
    <w:rsid w:val="5ACC1A03"/>
    <w:rsid w:val="5C61531C"/>
    <w:rsid w:val="5C7774C0"/>
    <w:rsid w:val="5CB318A3"/>
    <w:rsid w:val="5D3543FB"/>
    <w:rsid w:val="5D406F09"/>
    <w:rsid w:val="5D7E2DA9"/>
    <w:rsid w:val="5E007347"/>
    <w:rsid w:val="5E5C63DC"/>
    <w:rsid w:val="5EA758ED"/>
    <w:rsid w:val="5EB21369"/>
    <w:rsid w:val="5F176B0F"/>
    <w:rsid w:val="5FC45F2D"/>
    <w:rsid w:val="5FF506FB"/>
    <w:rsid w:val="60CC2CDD"/>
    <w:rsid w:val="610160E0"/>
    <w:rsid w:val="61457124"/>
    <w:rsid w:val="615A3AE7"/>
    <w:rsid w:val="61A1737B"/>
    <w:rsid w:val="61D37C8C"/>
    <w:rsid w:val="62426A55"/>
    <w:rsid w:val="6251364A"/>
    <w:rsid w:val="632B5CBF"/>
    <w:rsid w:val="64007972"/>
    <w:rsid w:val="655F3CA2"/>
    <w:rsid w:val="65AB285B"/>
    <w:rsid w:val="65AB6FD8"/>
    <w:rsid w:val="65F63BD4"/>
    <w:rsid w:val="664B4963"/>
    <w:rsid w:val="66AB23FE"/>
    <w:rsid w:val="66D74547"/>
    <w:rsid w:val="67456D79"/>
    <w:rsid w:val="67E31201"/>
    <w:rsid w:val="68FC5697"/>
    <w:rsid w:val="69581059"/>
    <w:rsid w:val="697F6A24"/>
    <w:rsid w:val="6A796416"/>
    <w:rsid w:val="6B441808"/>
    <w:rsid w:val="6BA96FAE"/>
    <w:rsid w:val="6C845A17"/>
    <w:rsid w:val="6CAF20DF"/>
    <w:rsid w:val="6CDA0134"/>
    <w:rsid w:val="6DA04EEA"/>
    <w:rsid w:val="6DAD389E"/>
    <w:rsid w:val="6E167891"/>
    <w:rsid w:val="6E505F87"/>
    <w:rsid w:val="6E791F84"/>
    <w:rsid w:val="6EAD6321"/>
    <w:rsid w:val="6EB611AF"/>
    <w:rsid w:val="6F7B34F6"/>
    <w:rsid w:val="6FAC3CC5"/>
    <w:rsid w:val="6FC95729"/>
    <w:rsid w:val="6FCB6AF9"/>
    <w:rsid w:val="6FEF21B0"/>
    <w:rsid w:val="6FF30BB6"/>
    <w:rsid w:val="700C7562"/>
    <w:rsid w:val="705666DD"/>
    <w:rsid w:val="7057292D"/>
    <w:rsid w:val="706C68BA"/>
    <w:rsid w:val="70B950FC"/>
    <w:rsid w:val="70DE78BA"/>
    <w:rsid w:val="71365D4B"/>
    <w:rsid w:val="71667B5C"/>
    <w:rsid w:val="717D2C55"/>
    <w:rsid w:val="718F5195"/>
    <w:rsid w:val="718F76DE"/>
    <w:rsid w:val="726E34C9"/>
    <w:rsid w:val="729C127A"/>
    <w:rsid w:val="72AF55B7"/>
    <w:rsid w:val="730814C9"/>
    <w:rsid w:val="730B244E"/>
    <w:rsid w:val="73410465"/>
    <w:rsid w:val="73655FDF"/>
    <w:rsid w:val="73BE4628"/>
    <w:rsid w:val="7554328C"/>
    <w:rsid w:val="755F54F7"/>
    <w:rsid w:val="75FA3A1A"/>
    <w:rsid w:val="760268A8"/>
    <w:rsid w:val="76A52BBD"/>
    <w:rsid w:val="76F23CED"/>
    <w:rsid w:val="7709745B"/>
    <w:rsid w:val="776677F4"/>
    <w:rsid w:val="784B2888"/>
    <w:rsid w:val="789E74F1"/>
    <w:rsid w:val="78B35CB8"/>
    <w:rsid w:val="78B41694"/>
    <w:rsid w:val="78D244C8"/>
    <w:rsid w:val="78FD7F89"/>
    <w:rsid w:val="79003D12"/>
    <w:rsid w:val="79820DE8"/>
    <w:rsid w:val="79F60ADE"/>
    <w:rsid w:val="7A2B7F7C"/>
    <w:rsid w:val="7B88456D"/>
    <w:rsid w:val="7BFD36FB"/>
    <w:rsid w:val="7C3051CE"/>
    <w:rsid w:val="7C8053E2"/>
    <w:rsid w:val="7D3E54B1"/>
    <w:rsid w:val="7D443A12"/>
    <w:rsid w:val="7DB939D1"/>
    <w:rsid w:val="7DE7106B"/>
    <w:rsid w:val="7EC54E07"/>
    <w:rsid w:val="7FA90F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2549</Words>
  <Characters>2919</Characters>
  <Lines>0</Lines>
  <Paragraphs>0</Paragraphs>
  <TotalTime>20</TotalTime>
  <ScaleCrop>false</ScaleCrop>
  <LinksUpToDate>false</LinksUpToDate>
  <CharactersWithSpaces>3074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2024-09-19T08:11:00Z</dcterms:created>
  <dc:creator>EDY</dc:creator>
  <cp:lastModifiedBy>唐雪</cp:lastModifiedBy>
  <cp:lastPrinted>2025-09-26T08:25:00Z</cp:lastPrinted>
  <dcterms:modified xsi:type="dcterms:W3CDTF">2025-09-26T08:51:14Z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CAA0C2D66C014803B1ACE6FACA262CA6</vt:lpwstr>
  </property>
  <property fmtid="{D5CDD505-2E9C-101B-9397-08002B2CF9AE}" pid="4" name="KSOTemplateDocerSaveRecord">
    <vt:lpwstr>eyJoZGlkIjoiNDU4ZTgzNThkMTAxYWYzOTQ2ODk3NjM0MDNmMTJlMmUiLCJ1c2VySWQiOiIzNjA4NTM2NzIifQ==</vt:lpwstr>
  </property>
</Properties>
</file>